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5"/>
        <w:rPr>
          <w:rFonts w:ascii="Times New Roman" w:hAnsi="Times New Roman" w:cs="Times New Roman" w:eastAsia="Times New Roman" w:hint="default"/>
          <w:sz w:val="9"/>
          <w:szCs w:val="9"/>
        </w:rPr>
      </w:pPr>
      <w:r>
        <w:rPr/>
        <w:pict>
          <v:shape style="position:absolute;margin-left:0pt;margin-top:764.640015pt;width:595.0801pt;height:63.84pt;mso-position-horizontal-relative:page;mso-position-vertical-relative:page;z-index:1096" type="#_x0000_t75" stroked="false">
            <v:imagedata r:id="rId5" o:title=""/>
          </v:shape>
        </w:pict>
      </w:r>
    </w:p>
    <w:p>
      <w:pPr>
        <w:spacing w:line="331" w:lineRule="exact"/>
        <w:ind w:left="162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3224133" cy="210311"/>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3224133" cy="210311"/>
                    </a:xfrm>
                    <a:prstGeom prst="rect">
                      <a:avLst/>
                    </a:prstGeom>
                  </pic:spPr>
                </pic:pic>
              </a:graphicData>
            </a:graphic>
          </wp:inline>
        </w:drawing>
      </w:r>
      <w:r>
        <w:rPr>
          <w:rFonts w:ascii="Times New Roman" w:hAnsi="Times New Roman" w:cs="Times New Roman" w:eastAsia="Times New Roman" w:hint="default"/>
          <w:position w:val="-6"/>
          <w:sz w:val="20"/>
          <w:szCs w:val="20"/>
        </w:rPr>
      </w:r>
    </w:p>
    <w:p>
      <w:pPr>
        <w:pStyle w:val="Heading3"/>
        <w:spacing w:line="240" w:lineRule="auto" w:before="39"/>
        <w:ind w:left="1626" w:right="0"/>
        <w:jc w:val="left"/>
        <w:rPr>
          <w:rFonts w:ascii="Arial" w:hAnsi="Arial" w:cs="Arial" w:eastAsia="Arial" w:hint="default"/>
        </w:rPr>
      </w:pPr>
      <w:r>
        <w:rPr/>
        <w:pict>
          <v:shape style="position:absolute;margin-left:34.073132pt;margin-top:-17.514114pt;width:40.791780pt;height:31.44pt;mso-position-horizontal-relative:page;mso-position-vertical-relative:paragraph;z-index:1120" type="#_x0000_t75" stroked="false">
            <v:imagedata r:id="rId7" o:title=""/>
          </v:shape>
        </w:pict>
      </w:r>
      <w:r>
        <w:rPr>
          <w:rFonts w:ascii="Arial" w:hAnsi="Arial"/>
        </w:rPr>
        <w:t>Beijing</w:t>
      </w:r>
      <w:r>
        <w:rPr>
          <w:rFonts w:ascii="Arial" w:hAnsi="Arial"/>
          <w:spacing w:val="-46"/>
        </w:rPr>
        <w:t> </w:t>
      </w:r>
      <w:r>
        <w:rPr>
          <w:rFonts w:ascii="Arial" w:hAnsi="Arial"/>
        </w:rPr>
        <w:t>Watertek</w:t>
      </w:r>
      <w:r>
        <w:rPr>
          <w:rFonts w:ascii="Arial" w:hAnsi="Arial"/>
          <w:spacing w:val="-24"/>
        </w:rPr>
        <w:t> </w:t>
      </w:r>
      <w:r>
        <w:rPr>
          <w:rFonts w:ascii="Arial" w:hAnsi="Arial"/>
        </w:rPr>
        <w:t>łnformation</w:t>
      </w:r>
      <w:r>
        <w:rPr>
          <w:rFonts w:ascii="Arial" w:hAnsi="Arial"/>
          <w:spacing w:val="-31"/>
        </w:rPr>
        <w:t> </w:t>
      </w:r>
      <w:r>
        <w:rPr>
          <w:rFonts w:ascii="Arial" w:hAnsi="Arial"/>
        </w:rPr>
        <w:t>Technology</w:t>
      </w:r>
      <w:r>
        <w:rPr>
          <w:rFonts w:ascii="Arial" w:hAnsi="Arial"/>
          <w:spacing w:val="-28"/>
        </w:rPr>
        <w:t> </w:t>
      </w:r>
      <w:r>
        <w:rPr>
          <w:rFonts w:ascii="Arial" w:hAnsi="Arial"/>
        </w:rPr>
        <w:t>Co.,Ltd.</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26"/>
          <w:szCs w:val="26"/>
        </w:rPr>
      </w:pPr>
    </w:p>
    <w:p>
      <w:pPr>
        <w:spacing w:line="777" w:lineRule="exact"/>
        <w:ind w:left="6617" w:right="0" w:firstLine="0"/>
        <w:rPr>
          <w:rFonts w:ascii="Arial" w:hAnsi="Arial" w:cs="Arial" w:eastAsia="Arial" w:hint="default"/>
          <w:sz w:val="20"/>
          <w:szCs w:val="20"/>
        </w:rPr>
      </w:pPr>
      <w:r>
        <w:rPr>
          <w:rFonts w:ascii="Arial" w:hAnsi="Arial" w:cs="Arial" w:eastAsia="Arial" w:hint="default"/>
          <w:position w:val="-15"/>
          <w:sz w:val="20"/>
          <w:szCs w:val="20"/>
        </w:rPr>
        <w:pict>
          <v:group style="width:183.1pt;height:38.9pt;mso-position-horizontal-relative:char;mso-position-vertical-relative:line" coordorigin="0,0" coordsize="3662,778">
            <v:shape style="position:absolute;left:0;top:96;width:418;height:600" type="#_x0000_t75" stroked="false">
              <v:imagedata r:id="rId8" o:title=""/>
            </v:shape>
            <v:shape style="position:absolute;left:475;top:19;width:749;height:749" type="#_x0000_t75" stroked="false">
              <v:imagedata r:id="rId9" o:title=""/>
            </v:shape>
            <v:shape style="position:absolute;left:2078;top:0;width:758;height:778" type="#_x0000_t75" stroked="false">
              <v:imagedata r:id="rId10" o:title=""/>
            </v:shape>
            <v:shape style="position:absolute;left:2903;top:19;width:758;height:739" type="#_x0000_t75" stroked="false">
              <v:imagedata r:id="rId11" o:title=""/>
            </v:shape>
            <v:shape style="position:absolute;left:1291;top:19;width:739;height:749" type="#_x0000_t75" stroked="false">
              <v:imagedata r:id="rId12" o:title=""/>
            </v:shape>
          </v:group>
        </w:pict>
      </w:r>
      <w:r>
        <w:rPr>
          <w:rFonts w:ascii="Arial" w:hAnsi="Arial" w:cs="Arial" w:eastAsia="Arial" w:hint="default"/>
          <w:position w:val="-15"/>
          <w:sz w:val="20"/>
          <w:szCs w:val="20"/>
        </w:rPr>
      </w:r>
    </w:p>
    <w:p>
      <w:pPr>
        <w:spacing w:line="240" w:lineRule="auto" w:before="5"/>
        <w:rPr>
          <w:rFonts w:ascii="Arial" w:hAnsi="Arial" w:cs="Arial" w:eastAsia="Arial" w:hint="default"/>
          <w:sz w:val="13"/>
          <w:szCs w:val="13"/>
        </w:rPr>
      </w:pPr>
    </w:p>
    <w:p>
      <w:pPr>
        <w:spacing w:line="7228" w:lineRule="exact"/>
        <w:ind w:left="0" w:right="0" w:firstLine="0"/>
        <w:rPr>
          <w:rFonts w:ascii="Arial" w:hAnsi="Arial" w:cs="Arial" w:eastAsia="Arial" w:hint="default"/>
          <w:sz w:val="20"/>
          <w:szCs w:val="20"/>
        </w:rPr>
      </w:pPr>
      <w:r>
        <w:rPr>
          <w:rFonts w:ascii="Arial" w:hAnsi="Arial" w:cs="Arial" w:eastAsia="Arial" w:hint="default"/>
          <w:position w:val="-144"/>
          <w:sz w:val="20"/>
          <w:szCs w:val="20"/>
        </w:rPr>
        <w:pict>
          <v:group style="width:573.050pt;height:361.45pt;mso-position-horizontal-relative:char;mso-position-vertical-relative:line" coordorigin="0,0" coordsize="11461,7229">
            <v:shape style="position:absolute;left:0;top:0;width:11460;height:7229" type="#_x0000_t75" stroked="false">
              <v:imagedata r:id="rId13" o:title=""/>
            </v:shape>
            <v:shapetype id="_x0000_t202" o:spt="202" coordsize="21600,21600" path="m,l,21600r21600,l21600,xe">
              <v:stroke joinstyle="miter"/>
              <v:path gradientshapeok="t" o:connecttype="rect"/>
            </v:shapetype>
            <v:shape style="position:absolute;left:7659;top:493;width:2085;height:470" type="#_x0000_t202" filled="false" stroked="false">
              <v:textbox inset="0,0,0,0">
                <w:txbxContent>
                  <w:p>
                    <w:pPr>
                      <w:spacing w:line="470" w:lineRule="exact" w:before="0"/>
                      <w:ind w:left="0" w:right="0" w:firstLine="0"/>
                      <w:jc w:val="left"/>
                      <w:rPr>
                        <w:rFonts w:ascii="Arial" w:hAnsi="Arial" w:cs="Arial" w:eastAsia="Arial" w:hint="default"/>
                        <w:sz w:val="47"/>
                        <w:szCs w:val="47"/>
                      </w:rPr>
                    </w:pPr>
                    <w:r>
                      <w:rPr>
                        <w:rFonts w:ascii="Arial"/>
                        <w:sz w:val="47"/>
                      </w:rPr>
                      <w:t>2020-031</w:t>
                    </w:r>
                  </w:p>
                </w:txbxContent>
              </v:textbox>
              <w10:wrap type="none"/>
            </v:shape>
          </v:group>
        </w:pict>
      </w:r>
      <w:r>
        <w:rPr>
          <w:rFonts w:ascii="Arial" w:hAnsi="Arial" w:cs="Arial" w:eastAsia="Arial" w:hint="default"/>
          <w:position w:val="-144"/>
          <w:sz w:val="20"/>
          <w:szCs w:val="20"/>
        </w:rPr>
      </w:r>
    </w:p>
    <w:p>
      <w:pPr>
        <w:spacing w:after="0" w:line="7228" w:lineRule="exact"/>
        <w:rPr>
          <w:rFonts w:ascii="Arial" w:hAnsi="Arial" w:cs="Arial" w:eastAsia="Arial" w:hint="default"/>
          <w:sz w:val="20"/>
          <w:szCs w:val="20"/>
        </w:rPr>
        <w:sectPr>
          <w:type w:val="continuous"/>
          <w:pgSz w:w="11910" w:h="16840"/>
          <w:pgMar w:top="1160" w:bottom="0" w:left="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pStyle w:val="Heading1"/>
        <w:spacing w:line="240" w:lineRule="auto" w:before="140"/>
        <w:ind w:left="2812" w:right="1127"/>
        <w:jc w:val="left"/>
      </w:pPr>
      <w:bookmarkStart w:name="_TOC_250012" w:id="1"/>
      <w:bookmarkStart w:name="第一节 重要提示、目录和释义" w:id="2"/>
      <w:r>
        <w:rPr/>
      </w:r>
      <w:r>
        <w:rPr/>
        <w:t>第一节</w:t>
      </w:r>
      <w:r>
        <w:rPr>
          <w:spacing w:val="-3"/>
        </w:rPr>
        <w:t> </w:t>
      </w:r>
      <w:bookmarkEnd w:id="1"/>
      <w:r>
        <w:rPr/>
        <w:t>重要提示、目录和释义</w:t>
      </w:r>
    </w:p>
    <w:p>
      <w:pPr>
        <w:spacing w:line="240" w:lineRule="auto" w:before="10"/>
        <w:rPr>
          <w:rFonts w:ascii="黑体" w:hAnsi="黑体" w:cs="黑体" w:eastAsia="黑体" w:hint="default"/>
          <w:sz w:val="46"/>
          <w:szCs w:val="46"/>
        </w:rPr>
      </w:pPr>
    </w:p>
    <w:p>
      <w:pPr>
        <w:pStyle w:val="BodyText"/>
        <w:spacing w:line="408" w:lineRule="auto"/>
        <w:ind w:left="152" w:right="1127" w:firstLine="420"/>
        <w:jc w:val="left"/>
      </w:pPr>
      <w:r>
        <w:rPr>
          <w:spacing w:val="-2"/>
        </w:rPr>
        <w:t>公司董事会、监事会及董事、监事、高级管理人员保证年度报告内容的真实、准确、完整，不存在虚</w:t>
      </w:r>
      <w:r>
        <w:rPr>
          <w:w w:val="100"/>
        </w:rPr>
        <w:t> </w:t>
      </w:r>
      <w:r>
        <w:rPr/>
        <w:t>假记载、误导性陈述或重大遗漏，并承担个别和连带的法律责任。</w:t>
      </w:r>
    </w:p>
    <w:p>
      <w:pPr>
        <w:pStyle w:val="BodyText"/>
        <w:spacing w:line="386" w:lineRule="auto" w:before="147"/>
        <w:ind w:left="152" w:right="1127" w:firstLine="419"/>
        <w:jc w:val="left"/>
      </w:pPr>
      <w:r>
        <w:rPr/>
        <w:t>公司负责人陈江涛、主管会计工作负责人陈为群及会计机构负责人</w:t>
      </w:r>
      <w:r>
        <w:rPr>
          <w:rFonts w:ascii="Times New Roman" w:hAnsi="Times New Roman" w:cs="Times New Roman" w:eastAsia="Times New Roman" w:hint="default"/>
        </w:rPr>
        <w:t>(</w:t>
      </w:r>
      <w:r>
        <w:rPr/>
        <w:t>会计主管人员</w:t>
      </w:r>
      <w:r>
        <w:rPr>
          <w:rFonts w:ascii="Times New Roman" w:hAnsi="Times New Roman" w:cs="Times New Roman" w:eastAsia="Times New Roman" w:hint="default"/>
        </w:rPr>
        <w:t>)</w:t>
      </w:r>
      <w:r>
        <w:rPr/>
        <w:t>张丽英声明：保证</w:t>
      </w:r>
      <w:r>
        <w:rPr>
          <w:w w:val="100"/>
        </w:rPr>
        <w:t> </w:t>
      </w:r>
      <w:r>
        <w:rPr/>
        <w:t>年度报告中财务报告的真实、准确、完整。</w:t>
      </w:r>
    </w:p>
    <w:p>
      <w:pPr>
        <w:pStyle w:val="BodyText"/>
        <w:spacing w:line="494" w:lineRule="auto" w:before="166"/>
        <w:ind w:right="1127"/>
        <w:jc w:val="left"/>
      </w:pPr>
      <w:r>
        <w:rPr/>
        <w:t>所有董事均已出席了审议本报告的董事会会议。</w:t>
      </w:r>
      <w:r>
        <w:rPr>
          <w:w w:val="100"/>
        </w:rPr>
        <w:t> </w:t>
      </w:r>
      <w:r>
        <w:rPr>
          <w:spacing w:val="-2"/>
        </w:rPr>
        <w:t>本年度报告涉及的未来计划、发展战略等前瞻性描述不构成公司对投资者的实质承诺，敬请投资者注</w:t>
      </w:r>
    </w:p>
    <w:p>
      <w:pPr>
        <w:pStyle w:val="BodyText"/>
        <w:spacing w:line="245" w:lineRule="exact"/>
        <w:ind w:left="152" w:right="1127"/>
        <w:jc w:val="left"/>
      </w:pPr>
      <w:r>
        <w:rPr/>
        <w:t>意投资风险。</w:t>
      </w:r>
    </w:p>
    <w:p>
      <w:pPr>
        <w:spacing w:line="240" w:lineRule="auto" w:before="6"/>
        <w:rPr>
          <w:rFonts w:ascii="宋体" w:hAnsi="宋体" w:cs="宋体" w:eastAsia="宋体" w:hint="default"/>
          <w:sz w:val="22"/>
          <w:szCs w:val="22"/>
        </w:rPr>
      </w:pPr>
    </w:p>
    <w:p>
      <w:pPr>
        <w:pStyle w:val="BodyText"/>
        <w:spacing w:line="470" w:lineRule="auto"/>
        <w:ind w:right="1127"/>
        <w:jc w:val="left"/>
      </w:pPr>
      <w:r>
        <w:rPr/>
        <w:t>公司相关风险提示详见</w:t>
      </w:r>
      <w:r>
        <w:rPr>
          <w:rFonts w:ascii="Times New Roman" w:hAnsi="Times New Roman" w:cs="Times New Roman" w:eastAsia="Times New Roman" w:hint="default"/>
        </w:rPr>
        <w:t>“</w:t>
      </w:r>
      <w:r>
        <w:rPr/>
        <w:t>第四节、十公司面临的风险和应对措施</w:t>
      </w:r>
      <w:r>
        <w:rPr>
          <w:rFonts w:ascii="Times New Roman" w:hAnsi="Times New Roman" w:cs="Times New Roman" w:eastAsia="Times New Roman" w:hint="default"/>
        </w:rPr>
        <w:t>”</w:t>
      </w:r>
      <w:r>
        <w:rPr/>
        <w:t>。</w:t>
      </w:r>
      <w:r>
        <w:rPr>
          <w:w w:val="100"/>
        </w:rPr>
        <w:t> </w:t>
      </w:r>
      <w:r>
        <w:rPr/>
        <w:t>公司经本次董事会审议通过的利润分配预案为：以</w:t>
      </w:r>
      <w:r>
        <w:rPr>
          <w:spacing w:val="-55"/>
        </w:rPr>
        <w:t> </w:t>
      </w:r>
      <w:r>
        <w:rPr>
          <w:rFonts w:ascii="Times New Roman" w:hAnsi="Times New Roman" w:cs="Times New Roman" w:eastAsia="Times New Roman" w:hint="default"/>
        </w:rPr>
        <w:t>1753014595 </w:t>
      </w:r>
      <w:r>
        <w:rPr>
          <w:spacing w:val="-3"/>
        </w:rPr>
        <w:t>为基数，向全体股东每</w:t>
      </w:r>
      <w:r>
        <w:rPr>
          <w:spacing w:val="-53"/>
        </w:rPr>
        <w:t> </w:t>
      </w:r>
      <w:r>
        <w:rPr>
          <w:rFonts w:ascii="Times New Roman" w:hAnsi="Times New Roman" w:cs="Times New Roman" w:eastAsia="Times New Roman" w:hint="default"/>
        </w:rPr>
        <w:t>10 </w:t>
      </w:r>
      <w:r>
        <w:rPr/>
        <w:t>股派发现金</w:t>
      </w:r>
    </w:p>
    <w:p>
      <w:pPr>
        <w:pStyle w:val="BodyText"/>
        <w:spacing w:line="245" w:lineRule="exact"/>
        <w:ind w:left="152" w:right="1127"/>
        <w:jc w:val="left"/>
      </w:pPr>
      <w:r>
        <w:rPr>
          <w:w w:val="100"/>
        </w:rPr>
        <w:t>红利</w:t>
      </w:r>
      <w:r>
        <w:rPr>
          <w:spacing w:val="-53"/>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45</w:t>
      </w:r>
      <w:r>
        <w:rPr>
          <w:rFonts w:ascii="Times New Roman" w:hAnsi="Times New Roman" w:cs="Times New Roman" w:eastAsia="Times New Roman" w:hint="default"/>
          <w:spacing w:val="-3"/>
        </w:rPr>
        <w:t> </w:t>
      </w:r>
      <w:r>
        <w:rPr>
          <w:w w:val="100"/>
        </w:rPr>
        <w:t>元</w:t>
      </w:r>
      <w:r>
        <w:rPr>
          <w:spacing w:val="-3"/>
          <w:w w:val="100"/>
        </w:rPr>
        <w:t>（</w:t>
      </w:r>
      <w:r>
        <w:rPr>
          <w:w w:val="100"/>
        </w:rPr>
        <w:t>含税</w:t>
      </w:r>
      <w:r>
        <w:rPr>
          <w:spacing w:val="-108"/>
          <w:w w:val="100"/>
        </w:rPr>
        <w:t>）</w:t>
      </w:r>
      <w:r>
        <w:rPr>
          <w:w w:val="100"/>
        </w:rPr>
        <w:t>，</w:t>
      </w:r>
      <w:r>
        <w:rPr>
          <w:spacing w:val="-3"/>
          <w:w w:val="100"/>
        </w:rPr>
        <w:t>送</w:t>
      </w:r>
      <w:r>
        <w:rPr>
          <w:w w:val="100"/>
        </w:rPr>
        <w:t>红股</w:t>
      </w:r>
      <w:r>
        <w:rPr>
          <w:spacing w:val="-53"/>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rPr>
        <w:t> </w:t>
      </w:r>
      <w:r>
        <w:rPr>
          <w:w w:val="100"/>
        </w:rPr>
        <w:t>股</w:t>
      </w:r>
      <w:r>
        <w:rPr>
          <w:spacing w:val="-3"/>
          <w:w w:val="100"/>
        </w:rPr>
        <w:t>（</w:t>
      </w:r>
      <w:r>
        <w:rPr>
          <w:w w:val="100"/>
        </w:rPr>
        <w:t>含</w:t>
      </w:r>
      <w:r>
        <w:rPr>
          <w:spacing w:val="-3"/>
          <w:w w:val="100"/>
        </w:rPr>
        <w:t>税</w:t>
      </w:r>
      <w:r>
        <w:rPr>
          <w:spacing w:val="-106"/>
          <w:w w:val="100"/>
        </w:rPr>
        <w:t>）</w:t>
      </w:r>
      <w:r>
        <w:rPr>
          <w:spacing w:val="-3"/>
          <w:w w:val="100"/>
        </w:rPr>
        <w:t>，</w:t>
      </w:r>
      <w:r>
        <w:rPr>
          <w:w w:val="100"/>
        </w:rPr>
        <w:t>以</w:t>
      </w:r>
      <w:r>
        <w:rPr>
          <w:spacing w:val="-3"/>
          <w:w w:val="100"/>
        </w:rPr>
        <w:t>资本</w:t>
      </w:r>
      <w:r>
        <w:rPr>
          <w:w w:val="100"/>
        </w:rPr>
        <w:t>公积</w:t>
      </w:r>
      <w:r>
        <w:rPr>
          <w:spacing w:val="-3"/>
          <w:w w:val="100"/>
        </w:rPr>
        <w:t>金</w:t>
      </w:r>
      <w:r>
        <w:rPr>
          <w:w w:val="100"/>
        </w:rPr>
        <w:t>向</w:t>
      </w:r>
      <w:r>
        <w:rPr>
          <w:spacing w:val="-3"/>
          <w:w w:val="100"/>
        </w:rPr>
        <w:t>全</w:t>
      </w:r>
      <w:r>
        <w:rPr>
          <w:w w:val="100"/>
        </w:rPr>
        <w:t>体</w:t>
      </w:r>
      <w:r>
        <w:rPr>
          <w:spacing w:val="-3"/>
          <w:w w:val="100"/>
        </w:rPr>
        <w:t>股东</w:t>
      </w:r>
      <w:r>
        <w:rPr>
          <w:w w:val="100"/>
        </w:rPr>
        <w:t>每</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spacing w:val="-3"/>
          <w:w w:val="100"/>
        </w:rPr>
        <w:t>股</w:t>
      </w:r>
      <w:r>
        <w:rPr>
          <w:w w:val="100"/>
        </w:rPr>
        <w:t>转增</w:t>
      </w:r>
      <w:r>
        <w:rPr>
          <w:spacing w:val="-53"/>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rPr>
        <w:t> </w:t>
      </w:r>
      <w:r>
        <w:rPr>
          <w:w w:val="100"/>
        </w:rPr>
        <w:t>股。</w:t>
      </w:r>
    </w:p>
    <w:p>
      <w:pPr>
        <w:spacing w:after="0" w:line="245" w:lineRule="exact"/>
        <w:jc w:val="left"/>
        <w:sectPr>
          <w:headerReference w:type="default" r:id="rId14"/>
          <w:footerReference w:type="default" r:id="rId15"/>
          <w:pgSz w:w="11910" w:h="16840"/>
          <w:pgMar w:header="882" w:footer="1134" w:top="1280" w:bottom="1320" w:left="980" w:right="0"/>
          <w:pgNumType w:start="2"/>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0"/>
        <w:ind w:left="134" w:right="1116" w:firstLine="0"/>
        <w:jc w:val="center"/>
        <w:rPr>
          <w:rFonts w:ascii="黑体" w:hAnsi="黑体" w:cs="黑体" w:eastAsia="黑体" w:hint="default"/>
          <w:sz w:val="32"/>
          <w:szCs w:val="32"/>
        </w:rPr>
      </w:pPr>
      <w:bookmarkStart w:name="目录" w:id="3"/>
      <w:bookmarkEnd w:id="3"/>
      <w:r>
        <w:rPr/>
      </w:r>
      <w:r>
        <w:rPr>
          <w:rFonts w:ascii="黑体" w:hAnsi="黑体" w:cs="黑体" w:eastAsia="黑体" w:hint="default"/>
          <w:sz w:val="32"/>
          <w:szCs w:val="32"/>
        </w:rPr>
        <w:t>目录</w:t>
      </w:r>
    </w:p>
    <w:sdt>
      <w:sdtPr>
        <w:docPartObj>
          <w:docPartGallery w:val="Table of Contents"/>
          <w:docPartUnique/>
        </w:docPartObj>
      </w:sdtPr>
      <w:sdtEndPr/>
      <w:sdtContent>
        <w:p>
          <w:pPr>
            <w:pStyle w:val="TOC1"/>
            <w:tabs>
              <w:tab w:pos="9781" w:val="right" w:leader="dot"/>
            </w:tabs>
            <w:spacing w:line="240" w:lineRule="auto" w:before="589"/>
            <w:ind w:right="0"/>
            <w:jc w:val="left"/>
            <w:rPr>
              <w:rFonts w:ascii="Times New Roman" w:hAnsi="Times New Roman" w:cs="Times New Roman" w:eastAsia="Times New Roman" w:hint="default"/>
              <w:b w:val="0"/>
              <w:bCs w:val="0"/>
            </w:rPr>
          </w:pPr>
          <w:hyperlink w:history="true" w:anchor="_TOC_250012">
            <w:r>
              <w:rPr/>
              <w:t>第一节</w:t>
            </w:r>
            <w:r>
              <w:rPr>
                <w:spacing w:val="-19"/>
              </w:rPr>
              <w:t> </w:t>
            </w:r>
            <w:r>
              <w:rPr/>
              <w:t>重要提示、目录和释义</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第二节</w:t>
            </w:r>
            <w:r>
              <w:rPr>
                <w:spacing w:val="-19"/>
              </w:rPr>
              <w:t> </w:t>
            </w:r>
            <w:r>
              <w:rPr/>
              <w:t>公司简介和主要财务指标</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第三节</w:t>
            </w:r>
            <w:r>
              <w:rPr>
                <w:spacing w:val="-19"/>
              </w:rPr>
              <w:t> </w:t>
            </w:r>
            <w:r>
              <w:rPr/>
              <w:t>公司业务概要</w:t>
            </w:r>
            <w:r>
              <w:rPr>
                <w:rFonts w:ascii="Times New Roman" w:hAnsi="Times New Roman" w:cs="Times New Roman" w:eastAsia="Times New Roman" w:hint="default"/>
              </w:rPr>
              <w:tab/>
              <w:t>21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第四节</w:t>
            </w:r>
            <w:r>
              <w:rPr>
                <w:spacing w:val="-19"/>
              </w:rPr>
              <w:t> </w:t>
            </w:r>
            <w:r>
              <w:rPr/>
              <w:t>经营情况讨论与分析</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第五节</w:t>
            </w:r>
            <w:r>
              <w:rPr>
                <w:spacing w:val="-19"/>
              </w:rPr>
              <w:t> </w:t>
            </w:r>
            <w:r>
              <w:rPr/>
              <w:t>重要事项</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第六节</w:t>
            </w:r>
            <w:r>
              <w:rPr>
                <w:spacing w:val="-19"/>
              </w:rPr>
              <w:t> </w:t>
            </w:r>
            <w:r>
              <w:rPr/>
              <w:t>股份变动及股东情况</w:t>
            </w:r>
            <w:r>
              <w:rPr>
                <w:rFonts w:ascii="Times New Roman" w:hAnsi="Times New Roman" w:cs="Times New Roman" w:eastAsia="Times New Roman" w:hint="default"/>
              </w:rPr>
              <w:tab/>
              <w:t>97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第七节</w:t>
            </w:r>
            <w:r>
              <w:rPr>
                <w:spacing w:val="-19"/>
              </w:rPr>
              <w:t> </w:t>
            </w:r>
            <w:r>
              <w:rPr/>
              <w:t>优先股相关情况</w:t>
            </w:r>
            <w:r>
              <w:rPr>
                <w:rFonts w:ascii="Times New Roman" w:hAnsi="Times New Roman" w:cs="Times New Roman" w:eastAsia="Times New Roman" w:hint="default"/>
              </w:rPr>
              <w:tab/>
              <w:t>97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第八节</w:t>
            </w:r>
            <w:r>
              <w:rPr>
                <w:spacing w:val="-19"/>
              </w:rPr>
              <w:t> </w:t>
            </w:r>
            <w:r>
              <w:rPr/>
              <w:t>可转换公司债券相关情况</w:t>
            </w:r>
            <w:r>
              <w:rPr>
                <w:rFonts w:ascii="Times New Roman" w:hAnsi="Times New Roman" w:cs="Times New Roman" w:eastAsia="Times New Roman" w:hint="default"/>
              </w:rPr>
              <w:tab/>
              <w:t>97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第九节</w:t>
            </w:r>
            <w:r>
              <w:rPr>
                <w:spacing w:val="-19"/>
              </w:rPr>
              <w:t> </w:t>
            </w:r>
            <w:r>
              <w:rPr/>
              <w:t>董事、监事、高级管理人员和员工情况</w:t>
            </w:r>
            <w:r>
              <w:rPr>
                <w:rFonts w:ascii="Times New Roman" w:hAnsi="Times New Roman" w:cs="Times New Roman" w:eastAsia="Times New Roman" w:hint="default"/>
              </w:rPr>
              <w:tab/>
              <w:t>98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第十节</w:t>
            </w:r>
            <w:r>
              <w:rPr>
                <w:spacing w:val="-19"/>
              </w:rPr>
              <w:t> </w:t>
            </w:r>
            <w:r>
              <w:rPr/>
              <w:t>公司治理</w:t>
            </w:r>
            <w:r>
              <w:rPr>
                <w:rFonts w:ascii="Times New Roman" w:hAnsi="Times New Roman" w:cs="Times New Roman" w:eastAsia="Times New Roman" w:hint="default"/>
              </w:rPr>
              <w:tab/>
              <w:t>99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第十一节</w:t>
            </w:r>
            <w:r>
              <w:rPr>
                <w:spacing w:val="-19"/>
              </w:rPr>
              <w:t> </w:t>
            </w:r>
            <w:r>
              <w:rPr/>
              <w:t>公司债券相关情况</w:t>
            </w:r>
            <w:r>
              <w:rPr>
                <w:rFonts w:ascii="Times New Roman" w:hAnsi="Times New Roman" w:cs="Times New Roman" w:eastAsia="Times New Roman" w:hint="default"/>
              </w:rPr>
              <w:tab/>
              <w:t>109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第十二节</w:t>
            </w:r>
            <w:r>
              <w:rPr>
                <w:spacing w:val="-18"/>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spacing w:val="-5"/>
              </w:rPr>
              <w:t>114</w:t>
            </w:r>
            <w:r>
              <w:rPr>
                <w:rFonts w:ascii="Times New Roman" w:hAnsi="Times New Roman" w:cs="Times New Roman" w:eastAsia="Times New Roman" w:hint="default"/>
                <w:b w:val="0"/>
                <w:bCs w:val="0"/>
                <w:spacing w:val="-5"/>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第十三节</w:t>
            </w:r>
            <w:r>
              <w:rPr>
                <w:spacing w:val="-19"/>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5"/>
              </w:rPr>
              <w:t>115</w:t>
            </w:r>
            <w:r>
              <w:rPr>
                <w:rFonts w:ascii="Times New Roman" w:hAnsi="Times New Roman" w:cs="Times New Roman" w:eastAsia="Times New Roman" w:hint="default"/>
                <w:b w:val="0"/>
                <w:bCs w:val="0"/>
                <w:spacing w:val="-5"/>
              </w:rPr>
            </w:r>
          </w:hyperlink>
        </w:p>
      </w:sdtContent>
    </w:sdt>
    <w:p>
      <w:pPr>
        <w:spacing w:after="0" w:line="240" w:lineRule="auto"/>
        <w:jc w:val="left"/>
        <w:rPr>
          <w:rFonts w:ascii="Times New Roman" w:hAnsi="Times New Roman" w:cs="Times New Roman" w:eastAsia="Times New Roman" w:hint="default"/>
        </w:rPr>
        <w:sectPr>
          <w:pgSz w:w="11910" w:h="16840"/>
          <w:pgMar w:header="882" w:footer="1134" w:top="1280" w:bottom="1320" w:left="980" w:right="0"/>
        </w:sectPr>
      </w:pPr>
    </w:p>
    <w:p>
      <w:pPr>
        <w:spacing w:before="420"/>
        <w:ind w:left="134" w:right="1116" w:firstLine="0"/>
        <w:jc w:val="center"/>
        <w:rPr>
          <w:rFonts w:ascii="黑体" w:hAnsi="黑体" w:cs="黑体" w:eastAsia="黑体" w:hint="default"/>
          <w:sz w:val="32"/>
          <w:szCs w:val="32"/>
        </w:rPr>
      </w:pPr>
      <w:bookmarkStart w:name="释义" w:id="4"/>
      <w:bookmarkEnd w:id="4"/>
      <w:r>
        <w:rPr/>
      </w:r>
      <w:r>
        <w:rPr>
          <w:rFonts w:ascii="黑体" w:hAnsi="黑体" w:cs="黑体" w:eastAsia="黑体" w:hint="default"/>
          <w:sz w:val="32"/>
          <w:szCs w:val="32"/>
        </w:rPr>
        <w:t>释义</w:t>
      </w: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3535"/>
        <w:gridCol w:w="610"/>
        <w:gridCol w:w="5424"/>
      </w:tblGrid>
      <w:tr>
        <w:trPr>
          <w:trHeight w:val="509" w:hRule="exact"/>
        </w:trPr>
        <w:tc>
          <w:tcPr>
            <w:tcW w:w="3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释义项</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释义内容</w:t>
            </w:r>
          </w:p>
        </w:tc>
      </w:tr>
      <w:tr>
        <w:trPr>
          <w:trHeight w:val="509"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旋极信息、本公司、公司</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w:t>
            </w:r>
          </w:p>
        </w:tc>
      </w:tr>
      <w:tr>
        <w:trPr>
          <w:trHeight w:val="506"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上海旋极</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18"/>
                <w:szCs w:val="18"/>
              </w:rPr>
            </w:pPr>
            <w:r>
              <w:rPr>
                <w:rFonts w:ascii="宋体" w:hAnsi="宋体" w:cs="宋体" w:eastAsia="宋体" w:hint="default"/>
                <w:sz w:val="18"/>
                <w:szCs w:val="18"/>
              </w:rPr>
              <w:t>上海旋极信息技术有限公司，本公司全资子公司</w:t>
            </w:r>
          </w:p>
        </w:tc>
      </w:tr>
      <w:tr>
        <w:trPr>
          <w:trHeight w:val="509"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中软金卡</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18"/>
                <w:szCs w:val="18"/>
              </w:rPr>
            </w:pPr>
            <w:r>
              <w:rPr>
                <w:rFonts w:ascii="宋体" w:hAnsi="宋体" w:cs="宋体" w:eastAsia="宋体" w:hint="default"/>
                <w:sz w:val="18"/>
                <w:szCs w:val="18"/>
              </w:rPr>
              <w:t>北京中软金卡信息技术有限公司，本公司全资子公司</w:t>
            </w:r>
          </w:p>
        </w:tc>
      </w:tr>
      <w:tr>
        <w:trPr>
          <w:trHeight w:val="509"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西安西谷</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18"/>
                <w:szCs w:val="18"/>
              </w:rPr>
            </w:pPr>
            <w:r>
              <w:rPr>
                <w:rFonts w:ascii="宋体" w:hAnsi="宋体" w:cs="宋体" w:eastAsia="宋体" w:hint="default"/>
                <w:sz w:val="18"/>
                <w:szCs w:val="18"/>
              </w:rPr>
              <w:t>西安西谷微电子有限责任公司，本公司全资子公司</w:t>
            </w:r>
          </w:p>
        </w:tc>
      </w:tr>
      <w:tr>
        <w:trPr>
          <w:trHeight w:val="506"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泰豪智能</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北京泰豪智能工程有限公司，本公司全资子公司</w:t>
            </w:r>
          </w:p>
        </w:tc>
      </w:tr>
      <w:tr>
        <w:trPr>
          <w:trHeight w:val="509"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旋极伏羲</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18"/>
                <w:szCs w:val="18"/>
              </w:rPr>
            </w:pPr>
            <w:r>
              <w:rPr>
                <w:rFonts w:ascii="宋体" w:hAnsi="宋体" w:cs="宋体" w:eastAsia="宋体" w:hint="default"/>
                <w:sz w:val="18"/>
                <w:szCs w:val="18"/>
              </w:rPr>
              <w:t>北京旋极伏羲大数据技术有限公司，本公司控股子公司</w:t>
            </w:r>
          </w:p>
        </w:tc>
      </w:tr>
      <w:tr>
        <w:trPr>
          <w:trHeight w:val="509"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赛瑞工信</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18"/>
                <w:szCs w:val="18"/>
              </w:rPr>
            </w:pPr>
            <w:r>
              <w:rPr>
                <w:rFonts w:ascii="宋体" w:hAnsi="宋体" w:cs="宋体" w:eastAsia="宋体" w:hint="default"/>
                <w:sz w:val="18"/>
                <w:szCs w:val="18"/>
              </w:rPr>
              <w:t>赛瑞工信科技（北京）有限公司，本公司控股子公司</w:t>
            </w:r>
          </w:p>
        </w:tc>
      </w:tr>
      <w:tr>
        <w:trPr>
          <w:trHeight w:val="506"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旋极百旺</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18"/>
                <w:szCs w:val="18"/>
              </w:rPr>
            </w:pPr>
            <w:r>
              <w:rPr>
                <w:rFonts w:ascii="宋体" w:hAnsi="宋体" w:cs="宋体" w:eastAsia="宋体" w:hint="default"/>
                <w:sz w:val="18"/>
                <w:szCs w:val="18"/>
              </w:rPr>
              <w:t>北京旋极百旺科技有限公司，本公司控股子公司</w:t>
            </w:r>
          </w:p>
        </w:tc>
      </w:tr>
      <w:tr>
        <w:trPr>
          <w:trHeight w:val="161" w:hRule="exact"/>
        </w:trPr>
        <w:tc>
          <w:tcPr>
            <w:tcW w:w="3535" w:type="dxa"/>
            <w:vMerge w:val="restart"/>
            <w:tcBorders>
              <w:top w:val="single" w:sz="4" w:space="0" w:color="000000"/>
              <w:left w:val="single" w:sz="4" w:space="0" w:color="000000"/>
              <w:right w:val="single" w:sz="9" w:space="0" w:color="D4D4D4"/>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北京百旺</w:t>
            </w:r>
          </w:p>
        </w:tc>
        <w:tc>
          <w:tcPr>
            <w:tcW w:w="610" w:type="dxa"/>
            <w:tcBorders>
              <w:top w:val="single" w:sz="4" w:space="0" w:color="000000"/>
              <w:left w:val="single" w:sz="4" w:space="0" w:color="000000"/>
              <w:bottom w:val="nil" w:sz="6" w:space="0" w:color="auto"/>
              <w:right w:val="single" w:sz="4" w:space="0" w:color="000000"/>
            </w:tcBorders>
            <w:shd w:val="clear" w:color="auto" w:fill="D4D4D4"/>
          </w:tcPr>
          <w:p>
            <w:pPr/>
          </w:p>
        </w:tc>
        <w:tc>
          <w:tcPr>
            <w:tcW w:w="5424" w:type="dxa"/>
            <w:vMerge w:val="restart"/>
            <w:tcBorders>
              <w:top w:val="single" w:sz="4" w:space="0" w:color="000000"/>
              <w:left w:val="single" w:sz="9" w:space="0" w:color="D4D4D4"/>
              <w:right w:val="single" w:sz="4" w:space="0" w:color="000000"/>
            </w:tcBorders>
          </w:tcPr>
          <w:p>
            <w:pPr>
              <w:pStyle w:val="TableParagraph"/>
              <w:spacing w:line="316" w:lineRule="auto" w:before="101"/>
              <w:ind w:left="17" w:right="22"/>
              <w:jc w:val="left"/>
              <w:rPr>
                <w:rFonts w:ascii="宋体" w:hAnsi="宋体" w:cs="宋体" w:eastAsia="宋体" w:hint="default"/>
                <w:sz w:val="18"/>
                <w:szCs w:val="18"/>
              </w:rPr>
            </w:pPr>
            <w:r>
              <w:rPr>
                <w:rFonts w:ascii="宋体" w:hAnsi="宋体" w:cs="宋体" w:eastAsia="宋体" w:hint="default"/>
                <w:spacing w:val="-2"/>
                <w:sz w:val="18"/>
                <w:szCs w:val="18"/>
              </w:rPr>
              <w:t>北京百旺金赋科技有限公司，本公司控股子公司，北京地区税务信息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化产品销售、服务提供商</w:t>
            </w:r>
          </w:p>
        </w:tc>
      </w:tr>
      <w:tr>
        <w:trPr>
          <w:trHeight w:val="499" w:hRule="exact"/>
        </w:trPr>
        <w:tc>
          <w:tcPr>
            <w:tcW w:w="3535" w:type="dxa"/>
            <w:vMerge/>
            <w:tcBorders>
              <w:left w:val="single" w:sz="4" w:space="0" w:color="000000"/>
              <w:right w:val="single" w:sz="9" w:space="0" w:color="D4D4D4"/>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4D4D4"/>
              <w:right w:val="single" w:sz="4" w:space="0" w:color="000000"/>
            </w:tcBorders>
          </w:tcPr>
          <w:p>
            <w:pPr/>
          </w:p>
        </w:tc>
      </w:tr>
      <w:tr>
        <w:trPr>
          <w:trHeight w:val="161" w:hRule="exact"/>
        </w:trPr>
        <w:tc>
          <w:tcPr>
            <w:tcW w:w="3535" w:type="dxa"/>
            <w:vMerge/>
            <w:tcBorders>
              <w:left w:val="single" w:sz="4" w:space="0" w:color="000000"/>
              <w:bottom w:val="single" w:sz="4" w:space="0" w:color="000000"/>
              <w:right w:val="single" w:sz="9" w:space="0" w:color="D4D4D4"/>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4D4D4"/>
          </w:tcPr>
          <w:p>
            <w:pPr/>
          </w:p>
        </w:tc>
        <w:tc>
          <w:tcPr>
            <w:tcW w:w="5424" w:type="dxa"/>
            <w:vMerge/>
            <w:tcBorders>
              <w:left w:val="single" w:sz="9" w:space="0" w:color="D4D4D4"/>
              <w:bottom w:val="single" w:sz="4" w:space="0" w:color="000000"/>
              <w:right w:val="single" w:sz="4" w:space="0" w:color="000000"/>
            </w:tcBorders>
          </w:tcPr>
          <w:p>
            <w:pPr/>
          </w:p>
        </w:tc>
      </w:tr>
      <w:tr>
        <w:trPr>
          <w:trHeight w:val="509"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联合信标</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18"/>
                <w:szCs w:val="18"/>
              </w:rPr>
            </w:pPr>
            <w:r>
              <w:rPr>
                <w:rFonts w:ascii="宋体" w:hAnsi="宋体" w:cs="宋体" w:eastAsia="宋体" w:hint="default"/>
                <w:sz w:val="18"/>
                <w:szCs w:val="18"/>
              </w:rPr>
              <w:t>北京联合信标测试技术有限公司，本公司全资子公司</w:t>
            </w:r>
          </w:p>
        </w:tc>
      </w:tr>
      <w:tr>
        <w:trPr>
          <w:trHeight w:val="506"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泰豪新能源</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18"/>
                <w:szCs w:val="18"/>
              </w:rPr>
            </w:pPr>
            <w:r>
              <w:rPr>
                <w:rFonts w:ascii="宋体" w:hAnsi="宋体" w:cs="宋体" w:eastAsia="宋体" w:hint="default"/>
                <w:sz w:val="18"/>
                <w:szCs w:val="18"/>
              </w:rPr>
              <w:t>北京泰豪新能源科技有限公司，泰豪智能全资子公司</w:t>
            </w:r>
          </w:p>
        </w:tc>
      </w:tr>
      <w:tr>
        <w:trPr>
          <w:trHeight w:val="509"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泰豪智能科技</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北京泰豪智能科技有限公司，泰豪智能全资子公司</w:t>
            </w:r>
          </w:p>
        </w:tc>
      </w:tr>
      <w:tr>
        <w:trPr>
          <w:trHeight w:val="509"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四川旋极</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18"/>
                <w:szCs w:val="18"/>
              </w:rPr>
            </w:pPr>
            <w:r>
              <w:rPr>
                <w:rFonts w:ascii="宋体" w:hAnsi="宋体" w:cs="宋体" w:eastAsia="宋体" w:hint="default"/>
                <w:sz w:val="18"/>
                <w:szCs w:val="18"/>
              </w:rPr>
              <w:t>四川旋极智能科技有限公司，本公司全资子公司</w:t>
            </w:r>
          </w:p>
        </w:tc>
      </w:tr>
      <w:tr>
        <w:trPr>
          <w:trHeight w:val="506"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上海信业</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18"/>
                <w:szCs w:val="18"/>
              </w:rPr>
            </w:pPr>
            <w:r>
              <w:rPr>
                <w:rFonts w:ascii="宋体" w:hAnsi="宋体" w:cs="宋体" w:eastAsia="宋体" w:hint="default"/>
                <w:sz w:val="18"/>
                <w:szCs w:val="18"/>
              </w:rPr>
              <w:t>上海信业智能科技股份有限公司，泰豪智能全资子公司</w:t>
            </w:r>
          </w:p>
        </w:tc>
      </w:tr>
      <w:tr>
        <w:trPr>
          <w:trHeight w:val="509"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百望金赋</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18"/>
                <w:szCs w:val="18"/>
              </w:rPr>
            </w:pPr>
            <w:r>
              <w:rPr>
                <w:rFonts w:ascii="宋体" w:hAnsi="宋体" w:cs="宋体" w:eastAsia="宋体" w:hint="default"/>
                <w:spacing w:val="-2"/>
                <w:sz w:val="18"/>
                <w:szCs w:val="18"/>
              </w:rPr>
              <w:t>百望金赋科技有限公司，原旋极百旺控股子公司，现为公司参股公司</w:t>
            </w:r>
          </w:p>
        </w:tc>
      </w:tr>
      <w:tr>
        <w:trPr>
          <w:trHeight w:val="509"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沈阳旋飞</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18"/>
                <w:szCs w:val="18"/>
              </w:rPr>
            </w:pPr>
            <w:r>
              <w:rPr>
                <w:rFonts w:ascii="宋体" w:hAnsi="宋体" w:cs="宋体" w:eastAsia="宋体" w:hint="default"/>
                <w:sz w:val="18"/>
                <w:szCs w:val="18"/>
              </w:rPr>
              <w:t>沈阳旋飞航空技术有限公司，本公司参股公司</w:t>
            </w:r>
          </w:p>
        </w:tc>
      </w:tr>
      <w:tr>
        <w:trPr>
          <w:trHeight w:val="506"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蓝鲸众合</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18"/>
                <w:szCs w:val="18"/>
              </w:rPr>
            </w:pPr>
            <w:r>
              <w:rPr>
                <w:rFonts w:ascii="宋体" w:hAnsi="宋体" w:cs="宋体" w:eastAsia="宋体" w:hint="default"/>
                <w:sz w:val="18"/>
                <w:szCs w:val="18"/>
              </w:rPr>
              <w:t>北京蓝鲸众合投资管理有限公司，本公司参股公司</w:t>
            </w:r>
          </w:p>
        </w:tc>
      </w:tr>
      <w:tr>
        <w:trPr>
          <w:trHeight w:val="509"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百望股份</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18"/>
                <w:szCs w:val="18"/>
              </w:rPr>
            </w:pPr>
            <w:r>
              <w:rPr>
                <w:rFonts w:ascii="宋体" w:hAnsi="宋体" w:cs="宋体" w:eastAsia="宋体" w:hint="default"/>
                <w:sz w:val="18"/>
                <w:szCs w:val="18"/>
              </w:rPr>
              <w:t>百望股份有限公司，本公司参股公司</w:t>
            </w:r>
          </w:p>
        </w:tc>
      </w:tr>
      <w:tr>
        <w:trPr>
          <w:trHeight w:val="509"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航星中云</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18"/>
                <w:szCs w:val="18"/>
              </w:rPr>
            </w:pPr>
            <w:r>
              <w:rPr>
                <w:rFonts w:ascii="宋体" w:hAnsi="宋体" w:cs="宋体" w:eastAsia="宋体" w:hint="default"/>
                <w:sz w:val="18"/>
                <w:szCs w:val="18"/>
              </w:rPr>
              <w:t>北京航星中云科技有限公司，本公司参股公司</w:t>
            </w:r>
          </w:p>
        </w:tc>
      </w:tr>
      <w:tr>
        <w:trPr>
          <w:trHeight w:val="161" w:hRule="exact"/>
        </w:trPr>
        <w:tc>
          <w:tcPr>
            <w:tcW w:w="3535" w:type="dxa"/>
            <w:vMerge w:val="restart"/>
            <w:tcBorders>
              <w:top w:val="single" w:sz="4" w:space="0" w:color="000000"/>
              <w:left w:val="single" w:sz="4" w:space="0" w:color="000000"/>
              <w:right w:val="single" w:sz="9" w:space="0" w:color="D4D4D4"/>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伏羲科技</w:t>
            </w:r>
          </w:p>
        </w:tc>
        <w:tc>
          <w:tcPr>
            <w:tcW w:w="610" w:type="dxa"/>
            <w:tcBorders>
              <w:top w:val="single" w:sz="4" w:space="0" w:color="000000"/>
              <w:left w:val="single" w:sz="4" w:space="0" w:color="000000"/>
              <w:bottom w:val="nil" w:sz="6" w:space="0" w:color="auto"/>
              <w:right w:val="single" w:sz="4" w:space="0" w:color="000000"/>
            </w:tcBorders>
            <w:shd w:val="clear" w:color="auto" w:fill="D4D4D4"/>
          </w:tcPr>
          <w:p>
            <w:pPr/>
          </w:p>
        </w:tc>
        <w:tc>
          <w:tcPr>
            <w:tcW w:w="5424" w:type="dxa"/>
            <w:vMerge w:val="restart"/>
            <w:tcBorders>
              <w:top w:val="single" w:sz="4" w:space="0" w:color="000000"/>
              <w:left w:val="single" w:sz="9" w:space="0" w:color="D4D4D4"/>
              <w:right w:val="single" w:sz="4" w:space="0" w:color="000000"/>
            </w:tcBorders>
          </w:tcPr>
          <w:p>
            <w:pPr>
              <w:pStyle w:val="TableParagraph"/>
              <w:spacing w:line="314" w:lineRule="auto" w:before="101"/>
              <w:ind w:left="17" w:right="22"/>
              <w:jc w:val="left"/>
              <w:rPr>
                <w:rFonts w:ascii="宋体" w:hAnsi="宋体" w:cs="宋体" w:eastAsia="宋体" w:hint="default"/>
                <w:sz w:val="18"/>
                <w:szCs w:val="18"/>
              </w:rPr>
            </w:pPr>
            <w:r>
              <w:rPr>
                <w:rFonts w:ascii="宋体" w:hAnsi="宋体" w:cs="宋体" w:eastAsia="宋体" w:hint="default"/>
                <w:spacing w:val="-2"/>
                <w:sz w:val="18"/>
                <w:szCs w:val="18"/>
              </w:rPr>
              <w:t>北京旋极伏羲科技有限公司，原北京都在哪网讯科技有限公司，公司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参股公司</w:t>
            </w:r>
          </w:p>
        </w:tc>
      </w:tr>
      <w:tr>
        <w:trPr>
          <w:trHeight w:val="497" w:hRule="exact"/>
        </w:trPr>
        <w:tc>
          <w:tcPr>
            <w:tcW w:w="3535" w:type="dxa"/>
            <w:vMerge/>
            <w:tcBorders>
              <w:left w:val="single" w:sz="4" w:space="0" w:color="000000"/>
              <w:right w:val="single" w:sz="9" w:space="0" w:color="D4D4D4"/>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4D4D4"/>
              <w:right w:val="single" w:sz="4" w:space="0" w:color="000000"/>
            </w:tcBorders>
          </w:tcPr>
          <w:p>
            <w:pPr/>
          </w:p>
        </w:tc>
      </w:tr>
      <w:tr>
        <w:trPr>
          <w:trHeight w:val="161" w:hRule="exact"/>
        </w:trPr>
        <w:tc>
          <w:tcPr>
            <w:tcW w:w="3535" w:type="dxa"/>
            <w:vMerge/>
            <w:tcBorders>
              <w:left w:val="single" w:sz="4" w:space="0" w:color="000000"/>
              <w:bottom w:val="single" w:sz="4" w:space="0" w:color="000000"/>
              <w:right w:val="single" w:sz="9" w:space="0" w:color="D4D4D4"/>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4D4D4"/>
          </w:tcPr>
          <w:p>
            <w:pPr/>
          </w:p>
        </w:tc>
        <w:tc>
          <w:tcPr>
            <w:tcW w:w="5424" w:type="dxa"/>
            <w:vMerge/>
            <w:tcBorders>
              <w:left w:val="single" w:sz="9" w:space="0" w:color="D4D4D4"/>
              <w:bottom w:val="single" w:sz="4" w:space="0" w:color="000000"/>
              <w:right w:val="single" w:sz="4" w:space="0" w:color="000000"/>
            </w:tcBorders>
          </w:tcPr>
          <w:p>
            <w:pPr/>
          </w:p>
        </w:tc>
      </w:tr>
      <w:tr>
        <w:trPr>
          <w:trHeight w:val="509"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都在哪智慧</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18"/>
                <w:szCs w:val="18"/>
              </w:rPr>
            </w:pPr>
            <w:r>
              <w:rPr>
                <w:rFonts w:ascii="宋体" w:hAnsi="宋体" w:cs="宋体" w:eastAsia="宋体" w:hint="default"/>
                <w:sz w:val="18"/>
                <w:szCs w:val="18"/>
              </w:rPr>
              <w:t>北京都在哪智慧城市科技有限公司，旋极伏羲参股公司</w:t>
            </w:r>
          </w:p>
        </w:tc>
      </w:tr>
      <w:tr>
        <w:trPr>
          <w:trHeight w:val="509"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湘潭智城</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18"/>
                <w:szCs w:val="18"/>
              </w:rPr>
            </w:pPr>
            <w:r>
              <w:rPr>
                <w:rFonts w:ascii="宋体" w:hAnsi="宋体" w:cs="宋体" w:eastAsia="宋体" w:hint="default"/>
                <w:sz w:val="18"/>
                <w:szCs w:val="18"/>
              </w:rPr>
              <w:t>湘潭智城联合信息科技有限公司，泰豪智能参股公司</w:t>
            </w:r>
          </w:p>
        </w:tc>
      </w:tr>
    </w:tbl>
    <w:p>
      <w:pPr>
        <w:spacing w:after="0" w:line="240" w:lineRule="auto"/>
        <w:jc w:val="left"/>
        <w:rPr>
          <w:rFonts w:ascii="宋体" w:hAnsi="宋体" w:cs="宋体" w:eastAsia="宋体" w:hint="default"/>
          <w:sz w:val="18"/>
          <w:szCs w:val="18"/>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4"/>
        <w:gridCol w:w="620"/>
        <w:gridCol w:w="5424"/>
      </w:tblGrid>
      <w:tr>
        <w:trPr>
          <w:trHeight w:val="82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考拉昆仑</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9"/>
              <w:jc w:val="left"/>
              <w:rPr>
                <w:rFonts w:ascii="宋体" w:hAnsi="宋体" w:cs="宋体" w:eastAsia="宋体" w:hint="default"/>
                <w:sz w:val="18"/>
                <w:szCs w:val="18"/>
              </w:rPr>
            </w:pPr>
            <w:r>
              <w:rPr>
                <w:rFonts w:ascii="宋体" w:hAnsi="宋体" w:cs="宋体" w:eastAsia="宋体" w:hint="default"/>
                <w:spacing w:val="-2"/>
                <w:sz w:val="18"/>
                <w:szCs w:val="18"/>
              </w:rPr>
              <w:t>北京考拉昆仑信息技术有限公司，本公司联营公司，原名为北京旋极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拉卡拉信息技术有限公司，</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月更名</w:t>
            </w:r>
          </w:p>
        </w:tc>
      </w:tr>
      <w:tr>
        <w:trPr>
          <w:trHeight w:val="81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中天涌慧</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2"/>
              <w:jc w:val="left"/>
              <w:rPr>
                <w:rFonts w:ascii="宋体" w:hAnsi="宋体" w:cs="宋体" w:eastAsia="宋体" w:hint="default"/>
                <w:sz w:val="18"/>
                <w:szCs w:val="18"/>
              </w:rPr>
            </w:pPr>
            <w:r>
              <w:rPr>
                <w:rFonts w:ascii="宋体" w:hAnsi="宋体" w:cs="宋体" w:eastAsia="宋体" w:hint="default"/>
                <w:spacing w:val="-2"/>
                <w:sz w:val="18"/>
                <w:szCs w:val="18"/>
              </w:rPr>
              <w:t>北京中天涌慧投资咨询有限公司，本公司设立时发起人之一，本公司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控股股东、实际控制人陈江涛先生持有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88.89%</w:t>
            </w:r>
            <w:r>
              <w:rPr>
                <w:rFonts w:ascii="宋体" w:hAnsi="宋体" w:cs="宋体" w:eastAsia="宋体" w:hint="default"/>
                <w:sz w:val="18"/>
                <w:szCs w:val="18"/>
              </w:rPr>
              <w:t>股权</w:t>
            </w:r>
          </w:p>
        </w:tc>
      </w:tr>
      <w:tr>
        <w:trPr>
          <w:trHeight w:val="50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汇达基金</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北京汇达高新投资基金中心（有限合伙</w:t>
            </w:r>
            <w:r>
              <w:rPr>
                <w:rFonts w:ascii="宋体" w:hAnsi="宋体" w:cs="宋体" w:eastAsia="宋体" w:hint="default"/>
                <w:spacing w:val="-92"/>
                <w:sz w:val="18"/>
                <w:szCs w:val="18"/>
              </w:rPr>
              <w:t>）</w:t>
            </w:r>
            <w:r>
              <w:rPr>
                <w:rFonts w:ascii="宋体" w:hAnsi="宋体" w:cs="宋体" w:eastAsia="宋体" w:hint="default"/>
                <w:sz w:val="18"/>
                <w:szCs w:val="18"/>
              </w:rPr>
              <w:t>，陈江涛先生一致</w:t>
            </w:r>
            <w:r>
              <w:rPr>
                <w:rFonts w:ascii="宋体" w:hAnsi="宋体" w:cs="宋体" w:eastAsia="宋体" w:hint="default"/>
                <w:spacing w:val="2"/>
                <w:sz w:val="18"/>
                <w:szCs w:val="18"/>
              </w:rPr>
              <w:t>行</w:t>
            </w:r>
            <w:r>
              <w:rPr>
                <w:rFonts w:ascii="宋体" w:hAnsi="宋体" w:cs="宋体" w:eastAsia="宋体" w:hint="default"/>
                <w:sz w:val="18"/>
                <w:szCs w:val="18"/>
              </w:rPr>
              <w:t>动人</w:t>
            </w:r>
          </w:p>
        </w:tc>
      </w:tr>
      <w:tr>
        <w:trPr>
          <w:trHeight w:val="50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新余京达</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新余京达投资管理中心（有限合伙</w:t>
            </w:r>
            <w:r>
              <w:rPr>
                <w:rFonts w:ascii="宋体" w:hAnsi="宋体" w:cs="宋体" w:eastAsia="宋体" w:hint="default"/>
                <w:spacing w:val="-92"/>
                <w:sz w:val="18"/>
                <w:szCs w:val="18"/>
              </w:rPr>
              <w:t>）</w:t>
            </w:r>
            <w:r>
              <w:rPr>
                <w:rFonts w:ascii="宋体" w:hAnsi="宋体" w:cs="宋体" w:eastAsia="宋体" w:hint="default"/>
                <w:sz w:val="18"/>
                <w:szCs w:val="18"/>
              </w:rPr>
              <w:t>，陈江涛先生一致行动人</w:t>
            </w:r>
          </w:p>
        </w:tc>
      </w:tr>
      <w:tr>
        <w:trPr>
          <w:trHeight w:val="5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合肥瑞成</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合肥瑞成产业投资有限公司，公司重组项目标的</w:t>
            </w:r>
          </w:p>
        </w:tc>
      </w:tr>
      <w:tr>
        <w:trPr>
          <w:trHeight w:val="50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北京嘉广</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北京嘉广资产管理中心（有限合伙</w:t>
            </w:r>
            <w:r>
              <w:rPr>
                <w:rFonts w:ascii="宋体" w:hAnsi="宋体" w:cs="宋体" w:eastAsia="宋体" w:hint="default"/>
                <w:spacing w:val="-92"/>
                <w:sz w:val="18"/>
                <w:szCs w:val="18"/>
              </w:rPr>
              <w:t>）</w:t>
            </w:r>
            <w:r>
              <w:rPr>
                <w:rFonts w:ascii="宋体" w:hAnsi="宋体" w:cs="宋体" w:eastAsia="宋体" w:hint="default"/>
                <w:sz w:val="18"/>
                <w:szCs w:val="18"/>
              </w:rPr>
              <w:t>，合肥瑞成股东之一</w:t>
            </w:r>
          </w:p>
        </w:tc>
      </w:tr>
      <w:tr>
        <w:trPr>
          <w:trHeight w:val="113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嵌入式系统</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9"/>
              <w:jc w:val="both"/>
              <w:rPr>
                <w:rFonts w:ascii="宋体" w:hAnsi="宋体" w:cs="宋体" w:eastAsia="宋体" w:hint="default"/>
                <w:sz w:val="18"/>
                <w:szCs w:val="18"/>
              </w:rPr>
            </w:pPr>
            <w:r>
              <w:rPr>
                <w:rFonts w:ascii="宋体" w:hAnsi="宋体" w:cs="宋体" w:eastAsia="宋体" w:hint="default"/>
                <w:spacing w:val="-2"/>
                <w:sz w:val="18"/>
                <w:szCs w:val="18"/>
              </w:rPr>
              <w:t>以应用为中心，以计算机技术为基础，并且软硬件可裁剪，适用于应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用环境中，对功能、可靠性、成本、体积、功耗有严格要求的专用计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算机系统。</w:t>
            </w:r>
          </w:p>
        </w:tc>
      </w:tr>
      <w:tr>
        <w:trPr>
          <w:trHeight w:val="81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嵌入式软件</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7"/>
              <w:jc w:val="left"/>
              <w:rPr>
                <w:rFonts w:ascii="宋体" w:hAnsi="宋体" w:cs="宋体" w:eastAsia="宋体" w:hint="default"/>
                <w:sz w:val="18"/>
                <w:szCs w:val="18"/>
              </w:rPr>
            </w:pPr>
            <w:r>
              <w:rPr>
                <w:rFonts w:ascii="宋体" w:hAnsi="宋体" w:cs="宋体" w:eastAsia="宋体" w:hint="default"/>
                <w:spacing w:val="-1"/>
                <w:sz w:val="18"/>
                <w:szCs w:val="18"/>
              </w:rPr>
              <w:t>基于嵌入式系统设计的软件，可细分成系统软件、支撑软件、应用软</w:t>
            </w:r>
            <w:r>
              <w:rPr>
                <w:rFonts w:ascii="宋体" w:hAnsi="宋体" w:cs="宋体" w:eastAsia="宋体" w:hint="default"/>
                <w:sz w:val="18"/>
                <w:szCs w:val="18"/>
              </w:rPr>
              <w:t> 件三类。</w:t>
            </w:r>
          </w:p>
        </w:tc>
      </w:tr>
      <w:tr>
        <w:trPr>
          <w:trHeight w:val="82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嵌入式系统测试</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9"/>
              <w:jc w:val="left"/>
              <w:rPr>
                <w:rFonts w:ascii="宋体" w:hAnsi="宋体" w:cs="宋体" w:eastAsia="宋体" w:hint="default"/>
                <w:sz w:val="18"/>
                <w:szCs w:val="18"/>
              </w:rPr>
            </w:pPr>
            <w:r>
              <w:rPr>
                <w:rFonts w:ascii="宋体" w:hAnsi="宋体" w:cs="宋体" w:eastAsia="宋体" w:hint="default"/>
                <w:spacing w:val="-2"/>
                <w:sz w:val="18"/>
                <w:szCs w:val="18"/>
              </w:rPr>
              <w:t>通过构建一个系统环境对嵌入式系统进行的测试，包括对构成嵌入式</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系统一部分的软件、硬件和整个系统的测试。</w:t>
            </w:r>
          </w:p>
        </w:tc>
      </w:tr>
      <w:tr>
        <w:trPr>
          <w:trHeight w:val="82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仿真测试</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0"/>
              <w:jc w:val="left"/>
              <w:rPr>
                <w:rFonts w:ascii="宋体" w:hAnsi="宋体" w:cs="宋体" w:eastAsia="宋体" w:hint="default"/>
                <w:sz w:val="18"/>
                <w:szCs w:val="18"/>
              </w:rPr>
            </w:pPr>
            <w:r>
              <w:rPr>
                <w:rFonts w:ascii="宋体" w:hAnsi="宋体" w:cs="宋体" w:eastAsia="宋体" w:hint="default"/>
                <w:sz w:val="18"/>
                <w:szCs w:val="18"/>
              </w:rPr>
              <w:t>模拟软件的真实使用环境，软件配置到真实的使用状态进行的测试， 一般发生在产品交付使用前。</w:t>
            </w:r>
          </w:p>
        </w:tc>
      </w:tr>
      <w:tr>
        <w:trPr>
          <w:trHeight w:val="113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故障注入</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7"/>
              <w:jc w:val="both"/>
              <w:rPr>
                <w:rFonts w:ascii="宋体" w:hAnsi="宋体" w:cs="宋体" w:eastAsia="宋体" w:hint="default"/>
                <w:sz w:val="18"/>
                <w:szCs w:val="18"/>
              </w:rPr>
            </w:pPr>
            <w:r>
              <w:rPr>
                <w:rFonts w:ascii="宋体" w:hAnsi="宋体" w:cs="宋体" w:eastAsia="宋体" w:hint="default"/>
                <w:spacing w:val="-2"/>
                <w:sz w:val="18"/>
                <w:szCs w:val="18"/>
              </w:rPr>
              <w:t>一种可靠性验证技术，通过受控实验向系统中刻意引入故障，并观察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系统中存在故障时的行为，一般分为：基于硬件的故障注入、基于软</w:t>
            </w:r>
            <w:r>
              <w:rPr>
                <w:rFonts w:ascii="宋体" w:hAnsi="宋体" w:cs="宋体" w:eastAsia="宋体" w:hint="default"/>
                <w:sz w:val="18"/>
                <w:szCs w:val="18"/>
              </w:rPr>
              <w:t> 件的故障注入以及基于仿真的故障注入。</w:t>
            </w:r>
          </w:p>
        </w:tc>
      </w:tr>
      <w:tr>
        <w:trPr>
          <w:trHeight w:val="82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多用途航电中继系统</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1"/>
              <w:ind w:left="23" w:right="-10"/>
              <w:jc w:val="left"/>
              <w:rPr>
                <w:rFonts w:ascii="宋体" w:hAnsi="宋体" w:cs="宋体" w:eastAsia="宋体" w:hint="default"/>
                <w:sz w:val="18"/>
                <w:szCs w:val="18"/>
              </w:rPr>
            </w:pPr>
            <w:r>
              <w:rPr>
                <w:rFonts w:ascii="宋体" w:hAnsi="宋体" w:cs="宋体" w:eastAsia="宋体" w:hint="default"/>
                <w:sz w:val="18"/>
                <w:szCs w:val="18"/>
              </w:rPr>
              <w:t>即</w:t>
            </w:r>
            <w:r>
              <w:rPr>
                <w:rFonts w:ascii="宋体" w:hAnsi="宋体" w:cs="宋体" w:eastAsia="宋体" w:hint="default"/>
                <w:spacing w:val="-40"/>
                <w:sz w:val="18"/>
                <w:szCs w:val="18"/>
              </w:rPr>
              <w:t> </w:t>
            </w:r>
            <w:r>
              <w:rPr>
                <w:rFonts w:ascii="Times New Roman" w:hAnsi="Times New Roman" w:cs="Times New Roman" w:eastAsia="Times New Roman" w:hint="default"/>
                <w:spacing w:val="-1"/>
                <w:w w:val="99"/>
                <w:sz w:val="18"/>
                <w:szCs w:val="18"/>
              </w:rPr>
              <w:t>MARS-Multipurpose</w:t>
            </w:r>
            <w:r>
              <w:rPr>
                <w:rFonts w:ascii="Times New Roman" w:hAnsi="Times New Roman" w:cs="Times New Roman" w:eastAsia="Times New Roman" w:hint="default"/>
                <w:spacing w:val="-6"/>
                <w:w w:val="99"/>
                <w:sz w:val="18"/>
                <w:szCs w:val="18"/>
              </w:rPr>
              <w:t> </w:t>
            </w:r>
            <w:r>
              <w:rPr>
                <w:rFonts w:ascii="Times New Roman" w:hAnsi="Times New Roman" w:cs="Times New Roman" w:eastAsia="Times New Roman" w:hint="default"/>
                <w:spacing w:val="-3"/>
                <w:w w:val="99"/>
                <w:sz w:val="18"/>
                <w:szCs w:val="18"/>
              </w:rPr>
              <w:t>Avionics</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1"/>
                <w:sz w:val="18"/>
                <w:szCs w:val="18"/>
              </w:rPr>
              <w:t>Relay</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6"/>
                <w:w w:val="99"/>
                <w:sz w:val="18"/>
                <w:szCs w:val="18"/>
              </w:rPr>
              <w:t>System</w:t>
            </w:r>
            <w:r>
              <w:rPr>
                <w:rFonts w:ascii="宋体" w:hAnsi="宋体" w:cs="宋体" w:eastAsia="宋体" w:hint="default"/>
                <w:spacing w:val="-6"/>
                <w:w w:val="99"/>
                <w:sz w:val="18"/>
                <w:szCs w:val="18"/>
              </w:rPr>
              <w:t>，基于高速光纤通信的航</w:t>
            </w:r>
            <w:r>
              <w:rPr>
                <w:rFonts w:ascii="宋体" w:hAnsi="宋体" w:cs="宋体" w:eastAsia="宋体" w:hint="default"/>
                <w:spacing w:val="-82"/>
                <w:w w:val="99"/>
                <w:sz w:val="18"/>
                <w:szCs w:val="18"/>
              </w:rPr>
              <w:t> </w:t>
            </w:r>
            <w:r>
              <w:rPr>
                <w:rFonts w:ascii="宋体" w:hAnsi="宋体" w:cs="宋体" w:eastAsia="宋体" w:hint="default"/>
                <w:spacing w:val="-82"/>
                <w:w w:val="99"/>
                <w:sz w:val="18"/>
                <w:szCs w:val="18"/>
              </w:rPr>
            </w:r>
            <w:r>
              <w:rPr>
                <w:rFonts w:ascii="宋体" w:hAnsi="宋体" w:cs="宋体" w:eastAsia="宋体" w:hint="default"/>
                <w:sz w:val="18"/>
                <w:szCs w:val="18"/>
              </w:rPr>
              <w:t>电中继技术是用来在分立实验室之间实现远程互联的航电中继网络。</w:t>
            </w:r>
          </w:p>
        </w:tc>
      </w:tr>
      <w:tr>
        <w:trPr>
          <w:trHeight w:val="82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航电系统</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2"/>
              <w:jc w:val="left"/>
              <w:rPr>
                <w:rFonts w:ascii="宋体" w:hAnsi="宋体" w:cs="宋体" w:eastAsia="宋体" w:hint="default"/>
                <w:sz w:val="18"/>
                <w:szCs w:val="18"/>
              </w:rPr>
            </w:pPr>
            <w:r>
              <w:rPr>
                <w:rFonts w:ascii="宋体" w:hAnsi="宋体" w:cs="宋体" w:eastAsia="宋体" w:hint="default"/>
                <w:spacing w:val="-2"/>
                <w:sz w:val="18"/>
                <w:szCs w:val="18"/>
              </w:rPr>
              <w:t>飞机上所有电子系统的总和，一个最基本的航空电子系统由通信、导</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航和显示管理等多个系统构成。</w:t>
            </w:r>
          </w:p>
        </w:tc>
      </w:tr>
      <w:tr>
        <w:trPr>
          <w:trHeight w:val="144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航电总线协议</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1"/>
              <w:ind w:left="23" w:right="19"/>
              <w:jc w:val="left"/>
              <w:rPr>
                <w:rFonts w:ascii="宋体" w:hAnsi="宋体" w:cs="宋体" w:eastAsia="宋体" w:hint="default"/>
                <w:sz w:val="18"/>
                <w:szCs w:val="18"/>
              </w:rPr>
            </w:pPr>
            <w:r>
              <w:rPr>
                <w:rFonts w:ascii="宋体" w:hAnsi="宋体" w:cs="宋体" w:eastAsia="宋体" w:hint="default"/>
                <w:spacing w:val="-2"/>
                <w:sz w:val="18"/>
                <w:szCs w:val="18"/>
              </w:rPr>
              <w:t>航空电子领域总线传输协议的统称，主要应用在航空、航天领域，目</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前主要的航电总线协议有</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MIL-STD-1553B</w:t>
            </w:r>
            <w:r>
              <w:rPr>
                <w:rFonts w:ascii="宋体" w:hAnsi="宋体" w:cs="宋体" w:eastAsia="宋体" w:hint="default"/>
                <w:sz w:val="18"/>
                <w:szCs w:val="18"/>
              </w:rPr>
              <w:t>、</w:t>
            </w:r>
            <w:r>
              <w:rPr>
                <w:rFonts w:ascii="Times New Roman" w:hAnsi="Times New Roman" w:cs="Times New Roman" w:eastAsia="Times New Roman" w:hint="default"/>
                <w:sz w:val="18"/>
                <w:szCs w:val="18"/>
              </w:rPr>
              <w:t>ARINC429</w:t>
            </w:r>
            <w:r>
              <w:rPr>
                <w:rFonts w:ascii="宋体" w:hAnsi="宋体" w:cs="宋体" w:eastAsia="宋体" w:hint="default"/>
                <w:sz w:val="18"/>
                <w:szCs w:val="18"/>
              </w:rPr>
              <w:t>，另外</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AFDX</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FC-AE </w:t>
            </w:r>
            <w:r>
              <w:rPr>
                <w:rFonts w:ascii="宋体" w:hAnsi="宋体" w:cs="宋体" w:eastAsia="宋体" w:hint="default"/>
                <w:sz w:val="18"/>
                <w:szCs w:val="18"/>
              </w:rPr>
              <w:t>是新兴的高速航电总线协议，用在一些新型航空航天系统</w:t>
            </w:r>
            <w:r>
              <w:rPr>
                <w:rFonts w:ascii="宋体" w:hAnsi="宋体" w:cs="宋体" w:eastAsia="宋体" w:hint="default"/>
                <w:w w:val="99"/>
                <w:sz w:val="18"/>
                <w:szCs w:val="18"/>
              </w:rPr>
              <w:t> </w:t>
            </w:r>
            <w:r>
              <w:rPr>
                <w:rFonts w:ascii="宋体" w:hAnsi="宋体" w:cs="宋体" w:eastAsia="宋体" w:hint="default"/>
                <w:sz w:val="18"/>
                <w:szCs w:val="18"/>
              </w:rPr>
              <w:t>中。</w:t>
            </w:r>
          </w:p>
        </w:tc>
      </w:tr>
      <w:tr>
        <w:trPr>
          <w:trHeight w:val="82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检测</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2"/>
              <w:jc w:val="left"/>
              <w:rPr>
                <w:rFonts w:ascii="宋体" w:hAnsi="宋体" w:cs="宋体" w:eastAsia="宋体" w:hint="default"/>
                <w:sz w:val="18"/>
                <w:szCs w:val="18"/>
              </w:rPr>
            </w:pPr>
            <w:r>
              <w:rPr>
                <w:rFonts w:ascii="宋体" w:hAnsi="宋体" w:cs="宋体" w:eastAsia="宋体" w:hint="default"/>
                <w:spacing w:val="-2"/>
                <w:sz w:val="18"/>
                <w:szCs w:val="18"/>
              </w:rPr>
              <w:t>利用标准仪器设备，根据指定的测试方法，在实验室或现场对产品的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物理性能或化学成分进行测量和出具检测报告</w:t>
            </w:r>
          </w:p>
        </w:tc>
      </w:tr>
      <w:tr>
        <w:trPr>
          <w:trHeight w:val="82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认证</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9"/>
              <w:jc w:val="left"/>
              <w:rPr>
                <w:rFonts w:ascii="宋体" w:hAnsi="宋体" w:cs="宋体" w:eastAsia="宋体" w:hint="default"/>
                <w:sz w:val="18"/>
                <w:szCs w:val="18"/>
              </w:rPr>
            </w:pPr>
            <w:r>
              <w:rPr>
                <w:rFonts w:ascii="宋体" w:hAnsi="宋体" w:cs="宋体" w:eastAsia="宋体" w:hint="default"/>
                <w:spacing w:val="-2"/>
                <w:sz w:val="18"/>
                <w:szCs w:val="18"/>
              </w:rPr>
              <w:t>由认证机构证明产品、服务、管理体系符合相关技术规范的强制性要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求或标准的合格评定活动</w:t>
            </w:r>
          </w:p>
        </w:tc>
      </w:tr>
      <w:tr>
        <w:trPr>
          <w:trHeight w:val="81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认可</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9"/>
              <w:jc w:val="left"/>
              <w:rPr>
                <w:rFonts w:ascii="宋体" w:hAnsi="宋体" w:cs="宋体" w:eastAsia="宋体" w:hint="default"/>
                <w:sz w:val="18"/>
                <w:szCs w:val="18"/>
              </w:rPr>
            </w:pPr>
            <w:r>
              <w:rPr>
                <w:rFonts w:ascii="宋体" w:hAnsi="宋体" w:cs="宋体" w:eastAsia="宋体" w:hint="default"/>
                <w:spacing w:val="-2"/>
                <w:sz w:val="18"/>
                <w:szCs w:val="18"/>
              </w:rPr>
              <w:t>由认可机构对认证机构、检查机构、实验室以及从事评审、审核等认</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证活动人员的能力和执业资格，予以承认的合格评定活动</w:t>
            </w:r>
          </w:p>
        </w:tc>
      </w:tr>
    </w:tbl>
    <w:p>
      <w:pPr>
        <w:spacing w:after="0" w:line="316" w:lineRule="auto"/>
        <w:jc w:val="left"/>
        <w:rPr>
          <w:rFonts w:ascii="宋体" w:hAnsi="宋体" w:cs="宋体" w:eastAsia="宋体" w:hint="default"/>
          <w:sz w:val="18"/>
          <w:szCs w:val="18"/>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4"/>
        <w:gridCol w:w="620"/>
        <w:gridCol w:w="5424"/>
      </w:tblGrid>
      <w:tr>
        <w:trPr>
          <w:trHeight w:val="113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装备健康管理</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0"/>
              <w:jc w:val="both"/>
              <w:rPr>
                <w:rFonts w:ascii="宋体" w:hAnsi="宋体" w:cs="宋体" w:eastAsia="宋体" w:hint="default"/>
                <w:sz w:val="18"/>
                <w:szCs w:val="18"/>
              </w:rPr>
            </w:pPr>
            <w:r>
              <w:rPr>
                <w:rFonts w:ascii="宋体" w:hAnsi="宋体" w:cs="宋体" w:eastAsia="宋体" w:hint="default"/>
                <w:spacing w:val="-2"/>
                <w:sz w:val="18"/>
                <w:szCs w:val="18"/>
              </w:rPr>
              <w:t>一种新的装备维保管理模式和手段，通过分析装备健康状态的影响因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素，紧密结合状态监测、维修、使用和环境等信息，对装备健康状态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进行评估、预测和管理，并基于装备的健康状态合理选择维保策略。</w:t>
            </w:r>
          </w:p>
        </w:tc>
      </w:tr>
      <w:tr>
        <w:trPr>
          <w:trHeight w:val="113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PHM</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1"/>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Prognosties and Health Management</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的英文缩写，预测与健康管理技术</w:t>
            </w:r>
            <w:r>
              <w:rPr>
                <w:rFonts w:ascii="宋体" w:hAnsi="宋体" w:cs="宋体" w:eastAsia="宋体" w:hint="default"/>
                <w:sz w:val="18"/>
                <w:szCs w:val="18"/>
              </w:rPr>
              <w:t> 是综合利用现代信息技术、</w:t>
            </w:r>
            <w:r>
              <w:rPr>
                <w:rFonts w:ascii="宋体" w:hAnsi="宋体" w:cs="宋体" w:eastAsia="宋体" w:hint="default"/>
                <w:spacing w:val="1"/>
                <w:sz w:val="18"/>
                <w:szCs w:val="18"/>
              </w:rPr>
              <w:t> </w:t>
            </w:r>
            <w:r>
              <w:rPr>
                <w:rFonts w:ascii="宋体" w:hAnsi="宋体" w:cs="宋体" w:eastAsia="宋体" w:hint="default"/>
                <w:sz w:val="18"/>
                <w:szCs w:val="18"/>
              </w:rPr>
              <w:t>人工智能技术的最新研究成果而提出的</w:t>
            </w:r>
            <w:r>
              <w:rPr>
                <w:rFonts w:ascii="宋体" w:hAnsi="宋体" w:cs="宋体" w:eastAsia="宋体" w:hint="default"/>
                <w:sz w:val="18"/>
                <w:szCs w:val="18"/>
              </w:rPr>
              <w:t> 一种全新的管理健康状态的技术。</w:t>
            </w:r>
          </w:p>
        </w:tc>
      </w:tr>
      <w:tr>
        <w:trPr>
          <w:trHeight w:val="206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自组网</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23" w:right="-10"/>
              <w:jc w:val="both"/>
              <w:rPr>
                <w:rFonts w:ascii="宋体" w:hAnsi="宋体" w:cs="宋体" w:eastAsia="宋体" w:hint="default"/>
                <w:sz w:val="18"/>
                <w:szCs w:val="18"/>
              </w:rPr>
            </w:pPr>
            <w:r>
              <w:rPr>
                <w:rFonts w:ascii="宋体" w:hAnsi="宋体" w:cs="宋体" w:eastAsia="宋体" w:hint="default"/>
                <w:sz w:val="18"/>
                <w:szCs w:val="18"/>
              </w:rPr>
              <w:t>是基于</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LTE</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技术和末端自组网技术的区域通信指挥系统，实现车下人</w:t>
            </w:r>
            <w:r>
              <w:rPr>
                <w:rFonts w:ascii="宋体" w:hAnsi="宋体" w:cs="宋体" w:eastAsia="宋体" w:hint="default"/>
                <w:sz w:val="18"/>
                <w:szCs w:val="18"/>
              </w:rPr>
              <w:t> 员之间、车下人员与车上人员或上级进行无线话音通信和数据通信。 </w:t>
            </w:r>
            <w:r>
              <w:rPr>
                <w:rFonts w:ascii="宋体" w:hAnsi="宋体" w:cs="宋体" w:eastAsia="宋体" w:hint="default"/>
                <w:spacing w:val="-2"/>
                <w:sz w:val="18"/>
                <w:szCs w:val="18"/>
              </w:rPr>
              <w:t>融合了专业语言集群、视频调度、多方视频会议、数据传输、北斗定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位及末端自组网通信等多项业务，具有核心器件国产化、可靠性高、 保密性好、吞吐量大、时延低等特点。可保障指挥信息适时、准确、 安全、不间断的传输。</w:t>
            </w:r>
          </w:p>
        </w:tc>
      </w:tr>
      <w:tr>
        <w:trPr>
          <w:trHeight w:val="113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时空大数据</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1"/>
              <w:ind w:left="23" w:right="19"/>
              <w:jc w:val="both"/>
              <w:rPr>
                <w:rFonts w:ascii="宋体" w:hAnsi="宋体" w:cs="宋体" w:eastAsia="宋体" w:hint="default"/>
                <w:sz w:val="18"/>
                <w:szCs w:val="18"/>
              </w:rPr>
            </w:pPr>
            <w:r>
              <w:rPr>
                <w:rFonts w:ascii="宋体" w:hAnsi="宋体" w:cs="宋体" w:eastAsia="宋体" w:hint="default"/>
                <w:spacing w:val="-2"/>
                <w:sz w:val="18"/>
                <w:szCs w:val="18"/>
              </w:rPr>
              <w:t>指同时具有时间和空间维度的数据，现实世界中的数据超过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与地 </w:t>
            </w:r>
            <w:r>
              <w:rPr>
                <w:rFonts w:ascii="宋体" w:hAnsi="宋体" w:cs="宋体" w:eastAsia="宋体" w:hint="default"/>
                <w:spacing w:val="-2"/>
                <w:sz w:val="18"/>
                <w:szCs w:val="18"/>
              </w:rPr>
              <w:t>理位置有关。时空大数据包括时间、空间、专题属性三维信息，具有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多源、海量、更新快速的综合特点。</w:t>
            </w:r>
          </w:p>
        </w:tc>
      </w:tr>
      <w:tr>
        <w:trPr>
          <w:trHeight w:val="81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2"/>
              <w:jc w:val="left"/>
              <w:rPr>
                <w:rFonts w:ascii="宋体" w:hAnsi="宋体" w:cs="宋体" w:eastAsia="宋体" w:hint="default"/>
                <w:sz w:val="18"/>
                <w:szCs w:val="18"/>
              </w:rPr>
            </w:pPr>
            <w:r>
              <w:rPr>
                <w:rFonts w:ascii="宋体" w:hAnsi="宋体" w:cs="宋体" w:eastAsia="宋体" w:hint="default"/>
                <w:spacing w:val="-2"/>
                <w:sz w:val="18"/>
                <w:szCs w:val="18"/>
              </w:rPr>
              <w:t>基于互联网相关服务的增加、使用和交付模式，通常涉及通过互联网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来提供动态易扩展且经常是虚拟化的资源。</w:t>
            </w:r>
          </w:p>
        </w:tc>
      </w:tr>
      <w:tr>
        <w:trPr>
          <w:trHeight w:val="82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税务信息化产品</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68"/>
              <w:jc w:val="left"/>
              <w:rPr>
                <w:rFonts w:ascii="宋体" w:hAnsi="宋体" w:cs="宋体" w:eastAsia="宋体" w:hint="default"/>
                <w:sz w:val="18"/>
                <w:szCs w:val="18"/>
              </w:rPr>
            </w:pPr>
            <w:r>
              <w:rPr>
                <w:rFonts w:ascii="宋体" w:hAnsi="宋体" w:cs="宋体" w:eastAsia="宋体" w:hint="default"/>
                <w:sz w:val="18"/>
                <w:szCs w:val="18"/>
              </w:rPr>
              <w:t>税务部门安装在企业公司的专门用来监督企业公司发票开具领取作 废等使用情况的设备，同时可以有效监督企业公司申报纳税情况。</w:t>
            </w:r>
          </w:p>
        </w:tc>
      </w:tr>
      <w:tr>
        <w:trPr>
          <w:trHeight w:val="113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税务信息化服务器</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9"/>
              <w:jc w:val="left"/>
              <w:rPr>
                <w:rFonts w:ascii="宋体" w:hAnsi="宋体" w:cs="宋体" w:eastAsia="宋体" w:hint="default"/>
                <w:sz w:val="18"/>
                <w:szCs w:val="18"/>
              </w:rPr>
            </w:pPr>
            <w:r>
              <w:rPr>
                <w:rFonts w:ascii="宋体" w:hAnsi="宋体" w:cs="宋体" w:eastAsia="宋体" w:hint="default"/>
                <w:sz w:val="18"/>
                <w:szCs w:val="18"/>
              </w:rPr>
              <w:t>税务部门安装在金融保险等行业大中型企业公司专门用来监督其发 </w:t>
            </w:r>
            <w:r>
              <w:rPr>
                <w:rFonts w:ascii="宋体" w:hAnsi="宋体" w:cs="宋体" w:eastAsia="宋体" w:hint="default"/>
                <w:spacing w:val="-2"/>
                <w:sz w:val="18"/>
                <w:szCs w:val="18"/>
              </w:rPr>
              <w:t>票开具领取作废等使用情况的税控专用服务器设备，同时可以有效监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督其申报纳税情况。</w:t>
            </w:r>
          </w:p>
        </w:tc>
      </w:tr>
      <w:tr>
        <w:trPr>
          <w:trHeight w:val="144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0"/>
              <w:jc w:val="both"/>
              <w:rPr>
                <w:rFonts w:ascii="宋体" w:hAnsi="宋体" w:cs="宋体" w:eastAsia="宋体" w:hint="default"/>
                <w:sz w:val="18"/>
                <w:szCs w:val="18"/>
              </w:rPr>
            </w:pPr>
            <w:r>
              <w:rPr>
                <w:rFonts w:ascii="宋体" w:hAnsi="宋体" w:cs="宋体" w:eastAsia="宋体" w:hint="default"/>
                <w:spacing w:val="-2"/>
                <w:sz w:val="18"/>
                <w:szCs w:val="18"/>
              </w:rPr>
              <w:t>充分运用物联网、云计算等先进信息技术手段，全面感测、分析、整</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合城市运行中的各项关键信息，通过提供智能化的服务，使城市的管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理和服务更有效，为城市工商业活动和市民提供人与社会、人与人、 人与物和谐共处的环境。</w:t>
            </w:r>
          </w:p>
        </w:tc>
      </w:tr>
      <w:tr>
        <w:trPr>
          <w:trHeight w:val="144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建筑智能化工程</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9"/>
              <w:jc w:val="left"/>
              <w:rPr>
                <w:rFonts w:ascii="宋体" w:hAnsi="宋体" w:cs="宋体" w:eastAsia="宋体" w:hint="default"/>
                <w:sz w:val="18"/>
                <w:szCs w:val="18"/>
              </w:rPr>
            </w:pPr>
            <w:r>
              <w:rPr>
                <w:rFonts w:ascii="宋体" w:hAnsi="宋体" w:cs="宋体" w:eastAsia="宋体" w:hint="default"/>
                <w:sz w:val="18"/>
                <w:szCs w:val="18"/>
              </w:rPr>
              <w:t>是以综合布线为基本传输媒质，以计算机网络为主要通信和控制手 </w:t>
            </w:r>
            <w:r>
              <w:rPr>
                <w:rFonts w:ascii="宋体" w:hAnsi="宋体" w:cs="宋体" w:eastAsia="宋体" w:hint="default"/>
                <w:spacing w:val="-2"/>
                <w:sz w:val="18"/>
                <w:szCs w:val="18"/>
              </w:rPr>
              <w:t>段，对建筑通信网络系统、办公自动化系统、建筑设备系统、安全防</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范系统等所有功能系统，通过系统集成形成了一个自动控制和管理的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综合建筑环境。</w:t>
            </w:r>
          </w:p>
        </w:tc>
      </w:tr>
      <w:tr>
        <w:trPr>
          <w:trHeight w:val="144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智慧建筑</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9"/>
              <w:jc w:val="both"/>
              <w:rPr>
                <w:rFonts w:ascii="宋体" w:hAnsi="宋体" w:cs="宋体" w:eastAsia="宋体" w:hint="default"/>
                <w:sz w:val="18"/>
                <w:szCs w:val="18"/>
              </w:rPr>
            </w:pPr>
            <w:r>
              <w:rPr>
                <w:rFonts w:ascii="宋体" w:hAnsi="宋体" w:cs="宋体" w:eastAsia="宋体" w:hint="default"/>
                <w:spacing w:val="-2"/>
                <w:sz w:val="18"/>
                <w:szCs w:val="18"/>
              </w:rPr>
              <w:t>是以建筑物为平台，兼备信息设施系统、信息化应用系统、建筑设备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管理系统、公共安全系统等，集结构、系统、服务、管理及其优化组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合为一体，向人们提供安全、高效、便捷、节能、环保、健康的建筑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环境。</w:t>
            </w:r>
          </w:p>
        </w:tc>
      </w:tr>
      <w:tr>
        <w:trPr>
          <w:trHeight w:val="103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智慧能源</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9"/>
              <w:jc w:val="both"/>
              <w:rPr>
                <w:rFonts w:ascii="宋体" w:hAnsi="宋体" w:cs="宋体" w:eastAsia="宋体" w:hint="default"/>
                <w:sz w:val="18"/>
                <w:szCs w:val="18"/>
              </w:rPr>
            </w:pPr>
            <w:r>
              <w:rPr>
                <w:rFonts w:ascii="宋体" w:hAnsi="宋体" w:cs="宋体" w:eastAsia="宋体" w:hint="default"/>
                <w:spacing w:val="-2"/>
                <w:sz w:val="18"/>
                <w:szCs w:val="18"/>
              </w:rPr>
              <w:t>智慧能源就是充分开发人类的智力和能力，通过不断技术创新和制度</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变革，在能源开发利用、生产消费的全过程和各环节融汇人类独有的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智慧，建立和完善符合生态文明和可持续发展要求的能源技术和能源</w:t>
            </w:r>
          </w:p>
        </w:tc>
      </w:tr>
    </w:tbl>
    <w:p>
      <w:pPr>
        <w:spacing w:after="0" w:line="316" w:lineRule="auto"/>
        <w:jc w:val="both"/>
        <w:rPr>
          <w:rFonts w:ascii="宋体" w:hAnsi="宋体" w:cs="宋体" w:eastAsia="宋体" w:hint="default"/>
          <w:sz w:val="18"/>
          <w:szCs w:val="18"/>
        </w:rPr>
        <w:sectPr>
          <w:pgSz w:w="11910" w:h="16840"/>
          <w:pgMar w:header="882" w:footer="1134" w:top="1280" w:bottom="13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5"/>
          <w:szCs w:val="15"/>
        </w:rPr>
      </w:pPr>
    </w:p>
    <w:p>
      <w:pPr>
        <w:spacing w:before="0"/>
        <w:ind w:left="0" w:right="1140" w:firstLine="0"/>
        <w:jc w:val="right"/>
        <w:rPr>
          <w:rFonts w:ascii="宋体" w:hAnsi="宋体" w:cs="宋体" w:eastAsia="宋体" w:hint="default"/>
          <w:sz w:val="18"/>
          <w:szCs w:val="18"/>
        </w:rPr>
      </w:pPr>
      <w:r>
        <w:rPr/>
        <w:pict>
          <v:shape style="position:absolute;margin-left:56.400002pt;margin-top:-139.489304pt;width:479.2pt;height:378.6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415"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制度体系，从而呈现出的一种全新能源形式。</w:t>
                        </w:r>
                      </w:p>
                    </w:tc>
                  </w:tr>
                  <w:tr>
                    <w:trPr>
                      <w:trHeight w:val="113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9"/>
                          <w:jc w:val="both"/>
                          <w:rPr>
                            <w:rFonts w:ascii="宋体" w:hAnsi="宋体" w:cs="宋体" w:eastAsia="宋体" w:hint="default"/>
                            <w:sz w:val="18"/>
                            <w:szCs w:val="18"/>
                          </w:rPr>
                        </w:pPr>
                        <w:r>
                          <w:rPr>
                            <w:rFonts w:ascii="宋体" w:hAnsi="宋体" w:cs="宋体" w:eastAsia="宋体" w:hint="default"/>
                            <w:spacing w:val="-2"/>
                            <w:sz w:val="18"/>
                            <w:szCs w:val="18"/>
                          </w:rPr>
                          <w:t>将物联网、云计算为代表的智能传感技术、信息网络技术、通信传输</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技术和数据处理技术等有效地集成，并运用到整个交通系统中，在更</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大的时空范围内发挥作用的综合交通体系。</w:t>
                        </w:r>
                      </w:p>
                    </w:tc>
                  </w:tr>
                  <w:tr>
                    <w:trPr>
                      <w:trHeight w:val="81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分布式光伏发电</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23" w:right="-10"/>
                          <w:jc w:val="left"/>
                          <w:rPr>
                            <w:rFonts w:ascii="宋体" w:hAnsi="宋体" w:cs="宋体" w:eastAsia="宋体" w:hint="default"/>
                            <w:sz w:val="18"/>
                            <w:szCs w:val="18"/>
                          </w:rPr>
                        </w:pPr>
                        <w:r>
                          <w:rPr>
                            <w:rFonts w:ascii="宋体" w:hAnsi="宋体" w:cs="宋体" w:eastAsia="宋体" w:hint="default"/>
                            <w:spacing w:val="-2"/>
                            <w:sz w:val="18"/>
                            <w:szCs w:val="18"/>
                          </w:rPr>
                          <w:t>分布式光伏发电特指在用户场地附近建设，运行方式以用户侧自发自</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用、多余电量上网，且在配电系统平衡调节为特征的光伏发电方式。</w:t>
                        </w:r>
                      </w:p>
                    </w:tc>
                  </w:tr>
                  <w:tr>
                    <w:trPr>
                      <w:trHeight w:val="113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9"/>
                          <w:jc w:val="left"/>
                          <w:rPr>
                            <w:rFonts w:ascii="宋体" w:hAnsi="宋体" w:cs="宋体" w:eastAsia="宋体" w:hint="default"/>
                            <w:sz w:val="18"/>
                            <w:szCs w:val="18"/>
                          </w:rPr>
                        </w:pPr>
                        <w:r>
                          <w:rPr>
                            <w:rFonts w:ascii="宋体" w:hAnsi="宋体" w:cs="宋体" w:eastAsia="宋体" w:hint="default"/>
                            <w:spacing w:val="-2"/>
                            <w:sz w:val="18"/>
                            <w:szCs w:val="18"/>
                          </w:rPr>
                          <w:t>利用局部网络或互联网等通信技术把传感器、控制器、机器、人员和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物等通过新的方式联在一起，形成人与物、物与物相联，实现信息化</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远程管理控制和智能化的网络。</w:t>
                        </w:r>
                      </w:p>
                    </w:tc>
                  </w:tr>
                  <w:tr>
                    <w:trPr>
                      <w:trHeight w:val="50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5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50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50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5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《北京旋极信息技术股份有限公司章程》</w:t>
                        </w:r>
                      </w:p>
                    </w:tc>
                  </w:tr>
                  <w:tr>
                    <w:trPr>
                      <w:trHeight w:val="50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50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5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每股面值为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元之人民币普通股</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82" w:footer="1134" w:top="1280" w:bottom="1320" w:left="980" w:right="0"/>
        </w:sectPr>
      </w:pPr>
    </w:p>
    <w:p>
      <w:pPr>
        <w:spacing w:line="240" w:lineRule="auto" w:before="0"/>
        <w:rPr>
          <w:rFonts w:ascii="宋体" w:hAnsi="宋体" w:cs="宋体" w:eastAsia="宋体" w:hint="default"/>
          <w:sz w:val="20"/>
          <w:szCs w:val="20"/>
        </w:rPr>
      </w:pPr>
      <w:r>
        <w:rPr/>
        <w:pict>
          <v:group style="position:absolute;margin-left:171.119995pt;margin-top:270.239990pt;width:362.65pt;height:26.05pt;mso-position-horizontal-relative:page;mso-position-vertical-relative:page;z-index:-1427416" coordorigin="3422,5405" coordsize="7253,521">
            <v:group style="position:absolute;left:3434;top:5417;width:2;height:497" coordorigin="3434,5417" coordsize="2,497">
              <v:shape style="position:absolute;left:3434;top:5417;width:2;height:497" coordorigin="3434,5417" coordsize="0,497" path="m3434,5417l3434,5914e" filled="false" stroked="true" strokeweight="1.2pt" strokecolor="#ffffff">
                <v:path arrowok="t"/>
              </v:shape>
            </v:group>
            <v:group style="position:absolute;left:3446;top:5417;width:7229;height:497" coordorigin="3446,5417" coordsize="7229,497">
              <v:shape style="position:absolute;left:3446;top:5417;width:7229;height:497" coordorigin="3446,5417" coordsize="7229,497" path="m3446,5914l10675,5914,10675,5417,3446,5417,3446,5914xe" filled="true" fillcolor="#ffffff" stroked="false">
                <v:path arrowok="t"/>
                <v:fill type="solid"/>
              </v:shape>
            </v:group>
            <w10:wrap type="none"/>
          </v:group>
        </w:pict>
      </w:r>
    </w:p>
    <w:p>
      <w:pPr>
        <w:spacing w:line="240" w:lineRule="auto" w:before="2"/>
        <w:rPr>
          <w:rFonts w:ascii="宋体" w:hAnsi="宋体" w:cs="宋体" w:eastAsia="宋体" w:hint="default"/>
          <w:sz w:val="18"/>
          <w:szCs w:val="18"/>
        </w:rPr>
      </w:pPr>
    </w:p>
    <w:p>
      <w:pPr>
        <w:pStyle w:val="Heading1"/>
        <w:spacing w:line="240" w:lineRule="auto"/>
        <w:ind w:left="2651" w:right="1127"/>
        <w:jc w:val="left"/>
      </w:pPr>
      <w:bookmarkStart w:name="_TOC_250011" w:id="5"/>
      <w:bookmarkStart w:name="第二节 公司简介和主要财务指标" w:id="6"/>
      <w:r>
        <w:rPr/>
      </w:r>
      <w:r>
        <w:rPr/>
        <w:t>第二节</w:t>
      </w:r>
      <w:r>
        <w:rPr>
          <w:spacing w:val="-4"/>
        </w:rPr>
        <w:t> </w:t>
      </w:r>
      <w:bookmarkEnd w:id="5"/>
      <w:r>
        <w:rPr/>
        <w:t>公司简介和主要财务指标</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7"/>
          <w:szCs w:val="17"/>
        </w:rPr>
      </w:pPr>
    </w:p>
    <w:p>
      <w:pPr>
        <w:pStyle w:val="Heading2"/>
        <w:spacing w:line="240" w:lineRule="auto" w:before="26"/>
        <w:ind w:right="1127"/>
        <w:jc w:val="left"/>
        <w:rPr>
          <w:b w:val="0"/>
          <w:bCs w:val="0"/>
        </w:rPr>
      </w:pPr>
      <w:bookmarkStart w:name="一、公司信息" w:id="7"/>
      <w:bookmarkEnd w:id="7"/>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64"/>
        <w:gridCol w:w="2132"/>
        <w:gridCol w:w="2188"/>
      </w:tblGrid>
      <w:tr>
        <w:trPr>
          <w:trHeight w:val="509"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股票简称</w:t>
            </w:r>
          </w:p>
        </w:tc>
        <w:tc>
          <w:tcPr>
            <w:tcW w:w="296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旋极信息</w:t>
            </w:r>
          </w:p>
        </w:tc>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700"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left="9" w:right="0"/>
              <w:jc w:val="center"/>
              <w:rPr>
                <w:rFonts w:ascii="Times New Roman" w:hAnsi="Times New Roman" w:cs="Times New Roman" w:eastAsia="Times New Roman" w:hint="default"/>
                <w:sz w:val="18"/>
                <w:szCs w:val="18"/>
              </w:rPr>
            </w:pPr>
            <w:r>
              <w:rPr>
                <w:rFonts w:ascii="Times New Roman"/>
                <w:sz w:val="18"/>
              </w:rPr>
              <w:t>300324</w:t>
            </w:r>
          </w:p>
        </w:tc>
      </w:tr>
      <w:tr>
        <w:trPr>
          <w:trHeight w:val="506"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505"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78" w:right="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w:t>
            </w:r>
          </w:p>
        </w:tc>
      </w:tr>
      <w:tr>
        <w:trPr>
          <w:trHeight w:val="509"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4"/>
              <w:ind w:left="505"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509"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146"/>
              <w:jc w:val="righ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90" w:right="0"/>
              <w:jc w:val="left"/>
              <w:rPr>
                <w:rFonts w:ascii="Times New Roman" w:hAnsi="Times New Roman" w:cs="Times New Roman" w:eastAsia="Times New Roman" w:hint="default"/>
                <w:sz w:val="18"/>
                <w:szCs w:val="18"/>
              </w:rPr>
            </w:pPr>
            <w:r>
              <w:rPr>
                <w:rFonts w:ascii="Times New Roman"/>
                <w:sz w:val="18"/>
              </w:rPr>
              <w:t>Beijing </w:t>
            </w:r>
            <w:r>
              <w:rPr>
                <w:rFonts w:ascii="Times New Roman"/>
                <w:spacing w:val="-3"/>
                <w:sz w:val="18"/>
              </w:rPr>
              <w:t>Watertek </w:t>
            </w:r>
            <w:r>
              <w:rPr>
                <w:rFonts w:ascii="Times New Roman"/>
                <w:sz w:val="18"/>
              </w:rPr>
              <w:t>Information Technology Co.,</w:t>
            </w:r>
            <w:r>
              <w:rPr>
                <w:rFonts w:ascii="Times New Roman"/>
                <w:spacing w:val="-20"/>
                <w:sz w:val="18"/>
              </w:rPr>
              <w:t> </w:t>
            </w:r>
            <w:r>
              <w:rPr>
                <w:rFonts w:ascii="Times New Roman"/>
                <w:sz w:val="18"/>
              </w:rPr>
              <w:t>Ltd.</w:t>
            </w:r>
          </w:p>
        </w:tc>
      </w:tr>
      <w:tr>
        <w:trPr>
          <w:trHeight w:val="506"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110"/>
              <w:jc w:val="right"/>
              <w:rPr>
                <w:rFonts w:ascii="宋体" w:hAnsi="宋体" w:cs="宋体" w:eastAsia="宋体" w:hint="default"/>
                <w:sz w:val="18"/>
                <w:szCs w:val="18"/>
              </w:rPr>
            </w:pPr>
            <w:r>
              <w:rPr>
                <w:rFonts w:ascii="宋体" w:hAnsi="宋体" w:cs="宋体" w:eastAsia="宋体" w:hint="default"/>
                <w:spacing w:val="-2"/>
                <w:sz w:val="18"/>
                <w:szCs w:val="18"/>
              </w:rPr>
              <w:t>公司的外文名称缩写（如有</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tabs>
                <w:tab w:pos="3314" w:val="left" w:leader="none"/>
              </w:tabs>
              <w:spacing w:line="240" w:lineRule="auto" w:before="101"/>
              <w:ind w:left="-1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3"/>
                <w:sz w:val="18"/>
                <w:szCs w:val="18"/>
              </w:rPr>
              <w:t>Watertek</w:t>
            </w:r>
          </w:p>
        </w:tc>
      </w:tr>
      <w:tr>
        <w:trPr>
          <w:trHeight w:val="509"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4"/>
              <w:ind w:left="416"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陈江涛</w:t>
            </w:r>
          </w:p>
        </w:tc>
      </w:tr>
      <w:tr>
        <w:trPr>
          <w:trHeight w:val="509"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北京市海淀区丰秀中路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号楼</w:t>
            </w:r>
            <w:r>
              <w:rPr>
                <w:rFonts w:ascii="Times New Roman" w:hAnsi="Times New Roman" w:cs="Times New Roman" w:eastAsia="Times New Roman" w:hint="default"/>
                <w:sz w:val="18"/>
                <w:szCs w:val="18"/>
              </w:rPr>
              <w:t>-1 </w:t>
            </w:r>
            <w:r>
              <w:rPr>
                <w:rFonts w:ascii="宋体" w:hAnsi="宋体" w:cs="宋体" w:eastAsia="宋体" w:hint="default"/>
                <w:sz w:val="18"/>
                <w:szCs w:val="18"/>
              </w:rPr>
              <w:t>层至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101</w:t>
            </w:r>
          </w:p>
        </w:tc>
      </w:tr>
      <w:tr>
        <w:trPr>
          <w:trHeight w:val="506"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325"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100094</w:t>
            </w:r>
          </w:p>
        </w:tc>
      </w:tr>
      <w:tr>
        <w:trPr>
          <w:trHeight w:val="509"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办公地址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152" w:right="0"/>
              <w:jc w:val="left"/>
              <w:rPr>
                <w:rFonts w:ascii="宋体" w:hAnsi="宋体" w:cs="宋体" w:eastAsia="宋体" w:hint="default"/>
                <w:sz w:val="18"/>
                <w:szCs w:val="18"/>
              </w:rPr>
            </w:pPr>
            <w:r>
              <w:rPr>
                <w:rFonts w:ascii="宋体" w:hAnsi="宋体" w:cs="宋体" w:eastAsia="宋体" w:hint="default"/>
                <w:sz w:val="18"/>
                <w:szCs w:val="18"/>
              </w:rPr>
              <w:t>北京市海淀区丰秀中路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509"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325"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100094</w:t>
            </w:r>
          </w:p>
        </w:tc>
      </w:tr>
      <w:tr>
        <w:trPr>
          <w:trHeight w:val="506"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325"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hyperlink r:id="rId16">
              <w:r>
                <w:rPr>
                  <w:rFonts w:ascii="Times New Roman"/>
                  <w:sz w:val="18"/>
                </w:rPr>
                <w:t>www.watertek.com</w:t>
              </w:r>
            </w:hyperlink>
          </w:p>
        </w:tc>
      </w:tr>
      <w:tr>
        <w:trPr>
          <w:trHeight w:val="509"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hyperlink r:id="rId17">
              <w:r>
                <w:rPr>
                  <w:rFonts w:ascii="Times New Roman"/>
                  <w:sz w:val="18"/>
                </w:rPr>
                <w:t>investor@watertek.com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7"/>
        <w:jc w:val="left"/>
        <w:rPr>
          <w:b w:val="0"/>
          <w:bCs w:val="0"/>
        </w:rPr>
      </w:pPr>
      <w:bookmarkStart w:name="二、联系人和联系方式" w:id="8"/>
      <w:bookmarkEnd w:id="8"/>
      <w:r>
        <w:rPr>
          <w:b w:val="0"/>
          <w:bCs w:val="0"/>
        </w:rPr>
      </w: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506"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509"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4"/>
              <w:ind w:left="-1"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4"/>
              <w:ind w:left="4"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司宇</w:t>
            </w:r>
          </w:p>
        </w:tc>
      </w:tr>
      <w:tr>
        <w:trPr>
          <w:trHeight w:val="509"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1"/>
              <w:ind w:left="9" w:right="0"/>
              <w:jc w:val="center"/>
              <w:rPr>
                <w:rFonts w:ascii="宋体" w:hAnsi="宋体" w:cs="宋体" w:eastAsia="宋体" w:hint="default"/>
                <w:sz w:val="18"/>
                <w:szCs w:val="18"/>
              </w:rPr>
            </w:pPr>
            <w:r>
              <w:rPr>
                <w:rFonts w:ascii="宋体" w:hAnsi="宋体" w:cs="宋体" w:eastAsia="宋体" w:hint="default"/>
                <w:sz w:val="18"/>
                <w:szCs w:val="18"/>
              </w:rPr>
              <w:t>北京市海淀区丰秀中路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北京市海淀区丰秀中路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506"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 w:right="1"/>
              <w:jc w:val="center"/>
              <w:rPr>
                <w:rFonts w:ascii="宋体" w:hAnsi="宋体" w:cs="宋体" w:eastAsia="宋体" w:hint="default"/>
                <w:sz w:val="18"/>
                <w:szCs w:val="18"/>
              </w:rPr>
            </w:pPr>
            <w:r>
              <w:rPr>
                <w:rFonts w:ascii="宋体" w:hAnsi="宋体" w:cs="宋体" w:eastAsia="宋体" w:hint="default"/>
                <w:sz w:val="18"/>
                <w:szCs w:val="18"/>
              </w:rPr>
              <w:t>电话</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4"/>
              <w:ind w:left="9" w:right="0"/>
              <w:jc w:val="center"/>
              <w:rPr>
                <w:rFonts w:ascii="Times New Roman" w:hAnsi="Times New Roman" w:cs="Times New Roman" w:eastAsia="Times New Roman" w:hint="default"/>
                <w:sz w:val="18"/>
                <w:szCs w:val="18"/>
              </w:rPr>
            </w:pPr>
            <w:r>
              <w:rPr>
                <w:rFonts w:ascii="Times New Roman"/>
                <w:sz w:val="18"/>
              </w:rPr>
              <w:t>010-82885950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 w:right="0"/>
              <w:jc w:val="center"/>
              <w:rPr>
                <w:rFonts w:ascii="Times New Roman" w:hAnsi="Times New Roman" w:cs="Times New Roman" w:eastAsia="Times New Roman" w:hint="default"/>
                <w:sz w:val="18"/>
                <w:szCs w:val="18"/>
              </w:rPr>
            </w:pPr>
            <w:r>
              <w:rPr>
                <w:rFonts w:ascii="Times New Roman"/>
                <w:sz w:val="18"/>
              </w:rPr>
              <w:t>010-82885950</w:t>
            </w:r>
          </w:p>
        </w:tc>
      </w:tr>
      <w:tr>
        <w:trPr>
          <w:trHeight w:val="509"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4"/>
              <w:ind w:left="-1" w:right="1"/>
              <w:jc w:val="center"/>
              <w:rPr>
                <w:rFonts w:ascii="宋体" w:hAnsi="宋体" w:cs="宋体" w:eastAsia="宋体" w:hint="default"/>
                <w:sz w:val="18"/>
                <w:szCs w:val="18"/>
              </w:rPr>
            </w:pPr>
            <w:r>
              <w:rPr>
                <w:rFonts w:ascii="宋体" w:hAnsi="宋体" w:cs="宋体" w:eastAsia="宋体" w:hint="default"/>
                <w:sz w:val="18"/>
                <w:szCs w:val="18"/>
              </w:rPr>
              <w:t>传真</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6"/>
              <w:ind w:left="9" w:right="0"/>
              <w:jc w:val="center"/>
              <w:rPr>
                <w:rFonts w:ascii="Times New Roman" w:hAnsi="Times New Roman" w:cs="Times New Roman" w:eastAsia="Times New Roman" w:hint="default"/>
                <w:sz w:val="18"/>
                <w:szCs w:val="18"/>
              </w:rPr>
            </w:pPr>
            <w:r>
              <w:rPr>
                <w:rFonts w:ascii="Times New Roman"/>
                <w:sz w:val="18"/>
              </w:rPr>
              <w:t>010-82885950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 w:right="0"/>
              <w:jc w:val="center"/>
              <w:rPr>
                <w:rFonts w:ascii="Times New Roman" w:hAnsi="Times New Roman" w:cs="Times New Roman" w:eastAsia="Times New Roman" w:hint="default"/>
                <w:sz w:val="18"/>
                <w:szCs w:val="18"/>
              </w:rPr>
            </w:pPr>
            <w:r>
              <w:rPr>
                <w:rFonts w:ascii="Times New Roman"/>
                <w:sz w:val="18"/>
              </w:rPr>
              <w:t>010-82885950</w:t>
            </w:r>
          </w:p>
        </w:tc>
      </w:tr>
      <w:tr>
        <w:trPr>
          <w:trHeight w:val="509"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4"/>
              <w:ind w:left="5" w:right="0"/>
              <w:jc w:val="center"/>
              <w:rPr>
                <w:rFonts w:ascii="Times New Roman" w:hAnsi="Times New Roman" w:cs="Times New Roman" w:eastAsia="Times New Roman" w:hint="default"/>
                <w:sz w:val="18"/>
                <w:szCs w:val="18"/>
              </w:rPr>
            </w:pPr>
            <w:hyperlink r:id="rId17">
              <w:r>
                <w:rPr>
                  <w:rFonts w:ascii="Times New Roman"/>
                  <w:sz w:val="18"/>
                </w:rPr>
                <w:t>investor@watertek.com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hyperlink r:id="rId17">
              <w:r>
                <w:rPr>
                  <w:rFonts w:ascii="Times New Roman"/>
                  <w:sz w:val="18"/>
                </w:rPr>
                <w:t>investor@watertek.com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7"/>
        <w:jc w:val="left"/>
        <w:rPr>
          <w:b w:val="0"/>
          <w:bCs w:val="0"/>
        </w:rPr>
      </w:pPr>
      <w:bookmarkStart w:name="三、信息披露及备置地点" w:id="9"/>
      <w:bookmarkEnd w:id="9"/>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509"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4"/>
              <w:ind w:left="1" w:right="0"/>
              <w:jc w:val="center"/>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上海证券报》</w:t>
            </w:r>
          </w:p>
        </w:tc>
      </w:tr>
      <w:tr>
        <w:trPr>
          <w:trHeight w:val="509"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8">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882" w:footer="1134" w:top="1280" w:bottom="1320" w:left="980" w:right="0"/>
        </w:sectPr>
      </w:pPr>
    </w:p>
    <w:p>
      <w:pPr>
        <w:spacing w:line="240" w:lineRule="auto" w:before="5"/>
        <w:rPr>
          <w:rFonts w:ascii="宋体" w:hAnsi="宋体" w:cs="宋体" w:eastAsia="宋体" w:hint="default"/>
          <w:b/>
          <w:bCs/>
          <w:sz w:val="13"/>
          <w:szCs w:val="13"/>
        </w:rPr>
      </w:pPr>
    </w:p>
    <w:tbl>
      <w:tblPr>
        <w:tblW w:w="0" w:type="auto"/>
        <w:jc w:val="left"/>
        <w:tblInd w:w="109" w:type="dxa"/>
        <w:tblLayout w:type="fixed"/>
        <w:tblCellMar>
          <w:top w:w="0" w:type="dxa"/>
          <w:left w:w="0" w:type="dxa"/>
          <w:bottom w:w="0" w:type="dxa"/>
          <w:right w:w="0" w:type="dxa"/>
        </w:tblCellMar>
        <w:tblLook w:val="01E0"/>
      </w:tblPr>
      <w:tblGrid>
        <w:gridCol w:w="3990"/>
        <w:gridCol w:w="5578"/>
      </w:tblGrid>
      <w:tr>
        <w:trPr>
          <w:trHeight w:val="158" w:hRule="exact"/>
        </w:trPr>
        <w:tc>
          <w:tcPr>
            <w:tcW w:w="3990" w:type="dxa"/>
            <w:tcBorders>
              <w:top w:val="single" w:sz="6" w:space="0" w:color="000000"/>
              <w:left w:val="nil" w:sz="6" w:space="0" w:color="auto"/>
              <w:bottom w:val="single" w:sz="4" w:space="0" w:color="000000"/>
              <w:right w:val="nil" w:sz="6" w:space="0" w:color="auto"/>
            </w:tcBorders>
          </w:tcPr>
          <w:p>
            <w:pPr/>
          </w:p>
        </w:tc>
        <w:tc>
          <w:tcPr>
            <w:tcW w:w="5578" w:type="dxa"/>
            <w:tcBorders>
              <w:top w:val="single" w:sz="6" w:space="0" w:color="000000"/>
              <w:left w:val="nil" w:sz="6" w:space="0" w:color="auto"/>
              <w:bottom w:val="single" w:sz="4" w:space="0" w:color="000000"/>
              <w:right w:val="nil" w:sz="6" w:space="0" w:color="auto"/>
            </w:tcBorders>
          </w:tcPr>
          <w:p>
            <w:pPr/>
          </w:p>
        </w:tc>
      </w:tr>
      <w:tr>
        <w:trPr>
          <w:trHeight w:val="509"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090"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证券部</w:t>
            </w:r>
          </w:p>
        </w:tc>
      </w:tr>
    </w:tbl>
    <w:p>
      <w:pPr>
        <w:spacing w:line="240" w:lineRule="auto" w:before="1"/>
        <w:rPr>
          <w:rFonts w:ascii="宋体" w:hAnsi="宋体" w:cs="宋体" w:eastAsia="宋体" w:hint="default"/>
          <w:b/>
          <w:bCs/>
          <w:sz w:val="18"/>
          <w:szCs w:val="18"/>
        </w:rPr>
      </w:pPr>
    </w:p>
    <w:p>
      <w:pPr>
        <w:pStyle w:val="Heading2"/>
        <w:spacing w:line="240" w:lineRule="auto" w:before="26"/>
        <w:ind w:left="112" w:right="4814"/>
        <w:jc w:val="left"/>
        <w:rPr>
          <w:b w:val="0"/>
          <w:bCs w:val="0"/>
        </w:rPr>
      </w:pPr>
      <w:bookmarkStart w:name="四、其他有关资料" w:id="10"/>
      <w:bookmarkEnd w:id="10"/>
      <w:r>
        <w:rPr>
          <w:b w:val="0"/>
          <w:bCs w:val="0"/>
        </w:rPr>
      </w:r>
      <w:r>
        <w:rPr/>
        <w:t>四、其他有关资料</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32" w:right="4814"/>
        <w:jc w:val="left"/>
      </w:pPr>
      <w:r>
        <w:rPr/>
        <w:t>公司聘请的会计师事务所</w:t>
      </w:r>
    </w:p>
    <w:p>
      <w:pPr>
        <w:spacing w:line="240" w:lineRule="auto" w:before="7"/>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2650"/>
        <w:gridCol w:w="6918"/>
      </w:tblGrid>
      <w:tr>
        <w:trPr>
          <w:trHeight w:val="509"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1"/>
              <w:ind w:left="3" w:right="0"/>
              <w:jc w:val="center"/>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506"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北京市朝阳区安定路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号楼中海国际中心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509"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4"/>
              <w:ind w:left="9" w:right="0"/>
              <w:jc w:val="center"/>
              <w:rPr>
                <w:rFonts w:ascii="宋体" w:hAnsi="宋体" w:cs="宋体" w:eastAsia="宋体" w:hint="default"/>
                <w:sz w:val="18"/>
                <w:szCs w:val="18"/>
              </w:rPr>
            </w:pPr>
            <w:r>
              <w:rPr>
                <w:rFonts w:ascii="宋体" w:hAnsi="宋体" w:cs="宋体" w:eastAsia="宋体" w:hint="default"/>
                <w:sz w:val="18"/>
                <w:szCs w:val="18"/>
              </w:rPr>
              <w:t>签字会计师姓名</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4"/>
              <w:ind w:left="3" w:right="0"/>
              <w:jc w:val="center"/>
              <w:rPr>
                <w:rFonts w:ascii="宋体" w:hAnsi="宋体" w:cs="宋体" w:eastAsia="宋体" w:hint="default"/>
                <w:sz w:val="18"/>
                <w:szCs w:val="18"/>
              </w:rPr>
            </w:pPr>
            <w:r>
              <w:rPr>
                <w:rFonts w:ascii="宋体" w:hAnsi="宋体" w:cs="宋体" w:eastAsia="宋体" w:hint="default"/>
                <w:sz w:val="18"/>
                <w:szCs w:val="18"/>
              </w:rPr>
              <w:t>王首一、刘宇</w:t>
            </w:r>
          </w:p>
        </w:tc>
      </w:tr>
    </w:tbl>
    <w:p>
      <w:pPr>
        <w:spacing w:line="240" w:lineRule="auto" w:before="11"/>
        <w:rPr>
          <w:rFonts w:ascii="宋体" w:hAnsi="宋体" w:cs="宋体" w:eastAsia="宋体" w:hint="default"/>
          <w:sz w:val="9"/>
          <w:szCs w:val="9"/>
        </w:rPr>
      </w:pPr>
    </w:p>
    <w:p>
      <w:pPr>
        <w:pStyle w:val="BodyText"/>
        <w:spacing w:line="240" w:lineRule="auto" w:before="36"/>
        <w:ind w:left="532" w:right="4814"/>
        <w:jc w:val="left"/>
      </w:pPr>
      <w:r>
        <w:rPr/>
        <w:t>公司聘请的报告期内履行持续督导职责的保荐机构</w:t>
      </w:r>
    </w:p>
    <w:p>
      <w:pPr>
        <w:spacing w:line="240" w:lineRule="auto" w:before="6"/>
        <w:rPr>
          <w:rFonts w:ascii="宋体" w:hAnsi="宋体" w:cs="宋体" w:eastAsia="宋体" w:hint="default"/>
          <w:sz w:val="22"/>
          <w:szCs w:val="22"/>
        </w:rPr>
      </w:pPr>
    </w:p>
    <w:p>
      <w:pPr>
        <w:pStyle w:val="BodyText"/>
        <w:spacing w:line="468" w:lineRule="auto"/>
        <w:ind w:left="532" w:right="4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公司聘请的报告期内履行持续督导职责的财务顾问</w:t>
      </w:r>
    </w:p>
    <w:p>
      <w:pPr>
        <w:pStyle w:val="BodyText"/>
        <w:spacing w:line="240" w:lineRule="auto" w:before="94"/>
        <w:ind w:left="532" w:right="4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ind w:left="112" w:right="4814"/>
        <w:jc w:val="left"/>
        <w:rPr>
          <w:b w:val="0"/>
          <w:bCs w:val="0"/>
        </w:rPr>
      </w:pPr>
      <w:bookmarkStart w:name="五、主要会计数据和财务指标" w:id="11"/>
      <w:bookmarkEnd w:id="11"/>
      <w:r>
        <w:rPr>
          <w:b w:val="0"/>
          <w:bCs w:val="0"/>
        </w:rPr>
      </w:r>
      <w:r>
        <w:rPr/>
        <w:t>五、主要会计数据和财务指标</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32" w:right="4814"/>
        <w:jc w:val="left"/>
      </w:pPr>
      <w:r>
        <w:rPr/>
        <w:t>公司是否需追溯调整或重述以前年度会计数据</w:t>
      </w:r>
    </w:p>
    <w:p>
      <w:pPr>
        <w:spacing w:line="240" w:lineRule="auto" w:before="6"/>
        <w:rPr>
          <w:rFonts w:ascii="宋体" w:hAnsi="宋体" w:cs="宋体" w:eastAsia="宋体" w:hint="default"/>
          <w:sz w:val="22"/>
          <w:szCs w:val="22"/>
        </w:rPr>
      </w:pPr>
    </w:p>
    <w:p>
      <w:pPr>
        <w:pStyle w:val="BodyText"/>
        <w:spacing w:line="470" w:lineRule="auto"/>
        <w:ind w:left="532" w:right="8453"/>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3"/>
        </w:rPr>
        <w:t> </w:t>
      </w:r>
      <w:r>
        <w:rPr>
          <w:spacing w:val="-1"/>
        </w:rPr>
        <w:t>追溯调整或重述原因</w:t>
      </w:r>
    </w:p>
    <w:p>
      <w:pPr>
        <w:pStyle w:val="BodyText"/>
        <w:spacing w:line="240" w:lineRule="auto" w:before="90"/>
        <w:ind w:left="532" w:right="4814"/>
        <w:jc w:val="left"/>
      </w:pPr>
      <w:r>
        <w:rPr/>
        <w:t>会计政策变更</w:t>
      </w:r>
      <w:r>
        <w:rPr>
          <w:rFonts w:ascii="Times New Roman" w:hAnsi="Times New Roman" w:cs="Times New Roman" w:eastAsia="Times New Roman" w:hint="default"/>
        </w:rPr>
        <w:t>;</w:t>
      </w:r>
      <w:r>
        <w:rPr/>
        <w:t>会计差错更正</w:t>
      </w:r>
      <w:r>
        <w:rPr>
          <w:rFonts w:ascii="Times New Roman" w:hAnsi="Times New Roman" w:cs="Times New Roman" w:eastAsia="Times New Roman" w:hint="default"/>
        </w:rPr>
        <w:t>;</w:t>
      </w:r>
      <w:r>
        <w:rPr/>
        <w:t>同一控制下企业合并</w:t>
      </w:r>
    </w:p>
    <w:p>
      <w:pPr>
        <w:spacing w:line="240" w:lineRule="auto" w:before="4"/>
        <w:rPr>
          <w:rFonts w:ascii="宋体" w:hAnsi="宋体" w:cs="宋体" w:eastAsia="宋体"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2359"/>
        <w:gridCol w:w="1200"/>
        <w:gridCol w:w="1202"/>
        <w:gridCol w:w="1200"/>
        <w:gridCol w:w="1202"/>
        <w:gridCol w:w="1200"/>
        <w:gridCol w:w="1202"/>
      </w:tblGrid>
      <w:tr>
        <w:trPr>
          <w:trHeight w:val="161" w:hRule="exact"/>
        </w:trPr>
        <w:tc>
          <w:tcPr>
            <w:tcW w:w="2359" w:type="dxa"/>
            <w:vMerge w:val="restart"/>
            <w:tcBorders>
              <w:top w:val="single" w:sz="4" w:space="0" w:color="000000"/>
              <w:left w:val="single" w:sz="4" w:space="0" w:color="000000"/>
              <w:right w:val="single" w:sz="4" w:space="0" w:color="000000"/>
            </w:tcBorders>
            <w:shd w:val="clear" w:color="auto" w:fill="D4D4D4"/>
          </w:tcPr>
          <w:p>
            <w:pPr/>
          </w:p>
        </w:tc>
        <w:tc>
          <w:tcPr>
            <w:tcW w:w="1200" w:type="dxa"/>
            <w:vMerge w:val="restart"/>
            <w:tcBorders>
              <w:top w:val="single" w:sz="4" w:space="0" w:color="000000"/>
              <w:left w:val="single" w:sz="4" w:space="0" w:color="000000"/>
              <w:right w:val="single" w:sz="4" w:space="0" w:color="000000"/>
            </w:tcBorders>
            <w:shd w:val="clear" w:color="auto" w:fill="D4D4D4"/>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20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101"/>
              <w:ind w:left="506" w:right="55" w:hanging="452"/>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2" w:type="dxa"/>
            <w:gridSpan w:val="2"/>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54" w:hRule="exact"/>
        </w:trPr>
        <w:tc>
          <w:tcPr>
            <w:tcW w:w="2359" w:type="dxa"/>
            <w:vMerge/>
            <w:tcBorders>
              <w:left w:val="single" w:sz="4" w:space="0" w:color="000000"/>
              <w:bottom w:val="nil" w:sz="6" w:space="0" w:color="auto"/>
              <w:right w:val="single" w:sz="4" w:space="0" w:color="000000"/>
            </w:tcBorders>
            <w:shd w:val="clear" w:color="auto" w:fill="D4D4D4"/>
          </w:tcPr>
          <w:p>
            <w:pPr/>
          </w:p>
        </w:tc>
        <w:tc>
          <w:tcPr>
            <w:tcW w:w="1200" w:type="dxa"/>
            <w:vMerge/>
            <w:tcBorders>
              <w:left w:val="single" w:sz="4" w:space="0" w:color="000000"/>
              <w:bottom w:val="nil" w:sz="6" w:space="0" w:color="auto"/>
              <w:right w:val="single" w:sz="4" w:space="0" w:color="000000"/>
            </w:tcBorders>
            <w:shd w:val="clear" w:color="auto" w:fill="D4D4D4"/>
          </w:tcPr>
          <w:p>
            <w:pPr/>
          </w:p>
        </w:tc>
        <w:tc>
          <w:tcPr>
            <w:tcW w:w="240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4D4D4"/>
          </w:tcPr>
          <w:p>
            <w:pPr/>
          </w:p>
        </w:tc>
        <w:tc>
          <w:tcPr>
            <w:tcW w:w="240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45" w:hRule="exact"/>
        </w:trPr>
        <w:tc>
          <w:tcPr>
            <w:tcW w:w="2359" w:type="dxa"/>
            <w:vMerge w:val="restart"/>
            <w:tcBorders>
              <w:top w:val="nil" w:sz="6" w:space="0" w:color="auto"/>
              <w:left w:val="single" w:sz="4" w:space="0" w:color="000000"/>
              <w:right w:val="single" w:sz="4" w:space="0" w:color="000000"/>
            </w:tcBorders>
            <w:shd w:val="clear" w:color="auto" w:fill="D4D4D4"/>
          </w:tcPr>
          <w:p>
            <w:pPr/>
          </w:p>
        </w:tc>
        <w:tc>
          <w:tcPr>
            <w:tcW w:w="120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1"/>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vMerge/>
            <w:tcBorders>
              <w:left w:val="single" w:sz="4" w:space="0" w:color="000000"/>
              <w:bottom w:val="nil" w:sz="6" w:space="0" w:color="auto"/>
              <w:right w:val="single" w:sz="4" w:space="0" w:color="000000"/>
            </w:tcBorders>
            <w:shd w:val="clear" w:color="auto" w:fill="D4D4D4"/>
          </w:tcPr>
          <w:p>
            <w:pPr/>
          </w:p>
        </w:tc>
        <w:tc>
          <w:tcPr>
            <w:tcW w:w="1202" w:type="dxa"/>
            <w:vMerge/>
            <w:tcBorders>
              <w:left w:val="single" w:sz="4" w:space="0" w:color="000000"/>
              <w:right w:val="single" w:sz="4" w:space="0" w:color="000000"/>
            </w:tcBorders>
            <w:shd w:val="clear" w:color="auto" w:fill="D4D4D4"/>
          </w:tcPr>
          <w:p>
            <w:pPr/>
          </w:p>
        </w:tc>
        <w:tc>
          <w:tcPr>
            <w:tcW w:w="2402" w:type="dxa"/>
            <w:gridSpan w:val="2"/>
            <w:vMerge/>
            <w:tcBorders>
              <w:left w:val="single" w:sz="4" w:space="0" w:color="000000"/>
              <w:bottom w:val="nil" w:sz="6" w:space="0" w:color="auto"/>
              <w:right w:val="single" w:sz="4" w:space="0" w:color="000000"/>
            </w:tcBorders>
            <w:shd w:val="clear" w:color="auto" w:fill="D4D4D4"/>
          </w:tcPr>
          <w:p>
            <w:pPr/>
          </w:p>
        </w:tc>
      </w:tr>
      <w:tr>
        <w:trPr>
          <w:trHeight w:val="156" w:hRule="exact"/>
        </w:trPr>
        <w:tc>
          <w:tcPr>
            <w:tcW w:w="2359" w:type="dxa"/>
            <w:vMerge/>
            <w:tcBorders>
              <w:left w:val="single" w:sz="4" w:space="0" w:color="000000"/>
              <w:right w:val="single" w:sz="4" w:space="0" w:color="000000"/>
            </w:tcBorders>
            <w:shd w:val="clear" w:color="auto" w:fill="D4D4D4"/>
          </w:tcPr>
          <w:p>
            <w:pPr/>
          </w:p>
        </w:tc>
        <w:tc>
          <w:tcPr>
            <w:tcW w:w="1200" w:type="dxa"/>
            <w:vMerge/>
            <w:tcBorders>
              <w:left w:val="single" w:sz="4" w:space="0" w:color="000000"/>
              <w:right w:val="single" w:sz="4" w:space="0" w:color="000000"/>
            </w:tcBorders>
            <w:shd w:val="clear" w:color="auto" w:fill="D4D4D4"/>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202" w:type="dxa"/>
            <w:vMerge/>
            <w:tcBorders>
              <w:left w:val="single" w:sz="4" w:space="0" w:color="000000"/>
              <w:bottom w:val="single" w:sz="4" w:space="0" w:color="000000"/>
              <w:right w:val="single" w:sz="4" w:space="0" w:color="000000"/>
            </w:tcBorders>
            <w:shd w:val="clear" w:color="auto" w:fill="D4D4D4"/>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4D4D4"/>
          </w:tcPr>
          <w:p>
            <w:pPr/>
          </w:p>
        </w:tc>
      </w:tr>
      <w:tr>
        <w:trPr>
          <w:trHeight w:val="98" w:hRule="exact"/>
        </w:trPr>
        <w:tc>
          <w:tcPr>
            <w:tcW w:w="2359" w:type="dxa"/>
            <w:vMerge/>
            <w:tcBorders>
              <w:left w:val="single" w:sz="4" w:space="0" w:color="000000"/>
              <w:bottom w:val="nil" w:sz="6" w:space="0" w:color="auto"/>
              <w:right w:val="single" w:sz="4" w:space="0" w:color="000000"/>
            </w:tcBorders>
            <w:shd w:val="clear" w:color="auto" w:fill="D4D4D4"/>
          </w:tcPr>
          <w:p>
            <w:pPr/>
          </w:p>
        </w:tc>
        <w:tc>
          <w:tcPr>
            <w:tcW w:w="1200" w:type="dxa"/>
            <w:vMerge/>
            <w:tcBorders>
              <w:left w:val="single" w:sz="4" w:space="0" w:color="000000"/>
              <w:bottom w:val="nil" w:sz="6" w:space="0" w:color="auto"/>
              <w:right w:val="single" w:sz="4" w:space="0" w:color="000000"/>
            </w:tcBorders>
            <w:shd w:val="clear" w:color="auto" w:fill="D4D4D4"/>
          </w:tcPr>
          <w:p>
            <w:pPr/>
          </w:p>
        </w:tc>
        <w:tc>
          <w:tcPr>
            <w:tcW w:w="120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6"/>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6"/>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6"/>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13" w:hRule="exact"/>
        </w:trPr>
        <w:tc>
          <w:tcPr>
            <w:tcW w:w="2359"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0"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2" w:type="dxa"/>
            <w:vMerge/>
            <w:tcBorders>
              <w:left w:val="single" w:sz="4" w:space="0" w:color="000000"/>
              <w:bottom w:val="single" w:sz="4" w:space="0" w:color="000000"/>
              <w:right w:val="single" w:sz="4" w:space="0" w:color="000000"/>
            </w:tcBorders>
            <w:shd w:val="clear" w:color="auto" w:fill="D4D4D4"/>
          </w:tcPr>
          <w:p>
            <w:pPr/>
          </w:p>
        </w:tc>
        <w:tc>
          <w:tcPr>
            <w:tcW w:w="1200" w:type="dxa"/>
            <w:vMerge/>
            <w:tcBorders>
              <w:left w:val="single" w:sz="4" w:space="0" w:color="000000"/>
              <w:bottom w:val="single" w:sz="4" w:space="0" w:color="000000"/>
              <w:right w:val="single" w:sz="4" w:space="0" w:color="000000"/>
            </w:tcBorders>
            <w:shd w:val="clear" w:color="auto" w:fill="D4D4D4"/>
          </w:tcPr>
          <w:p>
            <w:pPr/>
          </w:p>
        </w:tc>
        <w:tc>
          <w:tcPr>
            <w:tcW w:w="1202" w:type="dxa"/>
            <w:vMerge/>
            <w:tcBorders>
              <w:left w:val="single" w:sz="4" w:space="0" w:color="000000"/>
              <w:bottom w:val="single" w:sz="4" w:space="0" w:color="000000"/>
              <w:right w:val="single" w:sz="4" w:space="0" w:color="000000"/>
            </w:tcBorders>
            <w:shd w:val="clear" w:color="auto" w:fill="D4D4D4"/>
          </w:tcPr>
          <w:p>
            <w:pPr/>
          </w:p>
        </w:tc>
        <w:tc>
          <w:tcPr>
            <w:tcW w:w="1200" w:type="dxa"/>
            <w:vMerge/>
            <w:tcBorders>
              <w:left w:val="single" w:sz="4" w:space="0" w:color="000000"/>
              <w:bottom w:val="single" w:sz="4" w:space="0" w:color="000000"/>
              <w:right w:val="single" w:sz="4" w:space="0" w:color="000000"/>
            </w:tcBorders>
            <w:shd w:val="clear" w:color="auto" w:fill="D4D4D4"/>
          </w:tcPr>
          <w:p>
            <w:pPr/>
          </w:p>
        </w:tc>
        <w:tc>
          <w:tcPr>
            <w:tcW w:w="1202" w:type="dxa"/>
            <w:vMerge/>
            <w:tcBorders>
              <w:left w:val="single" w:sz="4" w:space="0" w:color="000000"/>
              <w:bottom w:val="single" w:sz="4" w:space="0" w:color="000000"/>
              <w:right w:val="single" w:sz="4" w:space="0" w:color="000000"/>
            </w:tcBorders>
            <w:shd w:val="clear" w:color="auto" w:fill="D4D4D4"/>
          </w:tcPr>
          <w:p>
            <w:pPr/>
          </w:p>
        </w:tc>
      </w:tr>
      <w:tr>
        <w:trPr>
          <w:trHeight w:val="163" w:hRule="exact"/>
        </w:trPr>
        <w:tc>
          <w:tcPr>
            <w:tcW w:w="2359" w:type="dxa"/>
            <w:tcBorders>
              <w:top w:val="single" w:sz="4" w:space="0" w:color="000000"/>
              <w:left w:val="single" w:sz="4" w:space="0" w:color="000000"/>
              <w:bottom w:val="nil" w:sz="6" w:space="0" w:color="auto"/>
              <w:right w:val="single" w:sz="4" w:space="0" w:color="000000"/>
            </w:tcBorders>
            <w:shd w:val="clear" w:color="auto" w:fill="D4D4D4"/>
          </w:tcPr>
          <w:p>
            <w:pPr/>
          </w:p>
        </w:tc>
        <w:tc>
          <w:tcPr>
            <w:tcW w:w="1200" w:type="dxa"/>
            <w:vMerge w:val="restart"/>
            <w:tcBorders>
              <w:top w:val="single" w:sz="4" w:space="0" w:color="000000"/>
              <w:left w:val="single" w:sz="10" w:space="0" w:color="D4D4D4"/>
              <w:right w:val="single" w:sz="4" w:space="0" w:color="000000"/>
            </w:tcBorders>
          </w:tcPr>
          <w:p>
            <w:pPr>
              <w:pStyle w:val="TableParagraph"/>
              <w:spacing w:line="240" w:lineRule="auto" w:before="146"/>
              <w:ind w:right="16"/>
              <w:jc w:val="right"/>
              <w:rPr>
                <w:rFonts w:ascii="Times New Roman" w:hAnsi="Times New Roman" w:cs="Times New Roman" w:eastAsia="Times New Roman" w:hint="default"/>
                <w:sz w:val="18"/>
                <w:szCs w:val="18"/>
              </w:rPr>
            </w:pPr>
            <w:r>
              <w:rPr>
                <w:rFonts w:ascii="Times New Roman"/>
                <w:spacing w:val="-1"/>
                <w:sz w:val="18"/>
              </w:rPr>
              <w:t>3,329,393,828.</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36</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46"/>
              <w:ind w:right="18"/>
              <w:jc w:val="right"/>
              <w:rPr>
                <w:rFonts w:ascii="Times New Roman" w:hAnsi="Times New Roman" w:cs="Times New Roman" w:eastAsia="Times New Roman" w:hint="default"/>
                <w:sz w:val="18"/>
                <w:szCs w:val="18"/>
              </w:rPr>
            </w:pPr>
            <w:r>
              <w:rPr>
                <w:rFonts w:ascii="Times New Roman"/>
                <w:spacing w:val="-1"/>
                <w:sz w:val="18"/>
              </w:rPr>
              <w:t>3,855,143,392.</w:t>
            </w:r>
            <w:r>
              <w:rPr>
                <w:rFonts w:ascii="Times New Roman"/>
                <w:sz w:val="18"/>
              </w:rPr>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77</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146"/>
              <w:ind w:right="16"/>
              <w:jc w:val="right"/>
              <w:rPr>
                <w:rFonts w:ascii="Times New Roman" w:hAnsi="Times New Roman" w:cs="Times New Roman" w:eastAsia="Times New Roman" w:hint="default"/>
                <w:sz w:val="18"/>
                <w:szCs w:val="18"/>
              </w:rPr>
            </w:pPr>
            <w:r>
              <w:rPr>
                <w:rFonts w:ascii="Times New Roman"/>
                <w:spacing w:val="-1"/>
                <w:sz w:val="18"/>
              </w:rPr>
              <w:t>3,859,957,922.</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70</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-13.75%</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146"/>
              <w:ind w:right="13"/>
              <w:jc w:val="right"/>
              <w:rPr>
                <w:rFonts w:ascii="Times New Roman" w:hAnsi="Times New Roman" w:cs="Times New Roman" w:eastAsia="Times New Roman" w:hint="default"/>
                <w:sz w:val="18"/>
                <w:szCs w:val="18"/>
              </w:rPr>
            </w:pPr>
            <w:r>
              <w:rPr>
                <w:rFonts w:ascii="Times New Roman"/>
                <w:spacing w:val="-1"/>
                <w:sz w:val="18"/>
              </w:rPr>
              <w:t>3,297,140,845.</w:t>
            </w:r>
            <w:r>
              <w:rPr>
                <w:rFonts w:ascii="Times New Roman"/>
                <w:sz w:val="18"/>
              </w:rPr>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46"/>
              <w:ind w:right="13"/>
              <w:jc w:val="right"/>
              <w:rPr>
                <w:rFonts w:ascii="Times New Roman" w:hAnsi="Times New Roman" w:cs="Times New Roman" w:eastAsia="Times New Roman" w:hint="default"/>
                <w:sz w:val="18"/>
                <w:szCs w:val="18"/>
              </w:rPr>
            </w:pPr>
            <w:r>
              <w:rPr>
                <w:rFonts w:ascii="Times New Roman"/>
                <w:spacing w:val="-1"/>
                <w:sz w:val="18"/>
              </w:rPr>
              <w:t>3,330,462,752.</w:t>
            </w:r>
            <w:r>
              <w:rPr>
                <w:rFonts w:ascii="Times New Roman"/>
                <w:sz w:val="18"/>
              </w:rPr>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09</w:t>
            </w:r>
          </w:p>
        </w:tc>
      </w:tr>
      <w:tr>
        <w:trPr>
          <w:trHeight w:val="497" w:hRule="exact"/>
        </w:trPr>
        <w:tc>
          <w:tcPr>
            <w:tcW w:w="235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1"/>
              <w:ind w:left="54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vMerge/>
            <w:tcBorders>
              <w:left w:val="single" w:sz="10" w:space="0" w:color="D4D4D4"/>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59"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0" w:type="dxa"/>
            <w:vMerge/>
            <w:tcBorders>
              <w:left w:val="single" w:sz="10" w:space="0" w:color="D4D4D4"/>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821" w:hRule="exact"/>
        </w:trPr>
        <w:tc>
          <w:tcPr>
            <w:tcW w:w="23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816" w:right="91" w:hanging="720"/>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258,641,760.54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50,617,502.86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44,120,618.46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486.22%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389,292,168.20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386,803,334.69</w:t>
            </w:r>
          </w:p>
        </w:tc>
      </w:tr>
      <w:tr>
        <w:trPr>
          <w:trHeight w:val="818" w:hRule="exact"/>
        </w:trPr>
        <w:tc>
          <w:tcPr>
            <w:tcW w:w="23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24" w:right="-15" w:firstLine="72"/>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230,972,152.93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37,650,432.67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29,850,639.72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673.76%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359,961,220.20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357,472,386.70</w:t>
            </w:r>
          </w:p>
        </w:tc>
      </w:tr>
      <w:tr>
        <w:trPr>
          <w:trHeight w:val="821" w:hRule="exact"/>
        </w:trPr>
        <w:tc>
          <w:tcPr>
            <w:tcW w:w="23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104"/>
              <w:ind w:left="816" w:right="91" w:hanging="720"/>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659,860,570.98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-66,397,129.27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-66,266,061.61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1,095.77%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666,110,081.70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666,097,066.19</w:t>
            </w:r>
          </w:p>
        </w:tc>
      </w:tr>
    </w:tbl>
    <w:p>
      <w:pPr>
        <w:spacing w:after="0" w:line="240" w:lineRule="auto"/>
        <w:jc w:val="left"/>
        <w:rPr>
          <w:rFonts w:ascii="Times New Roman" w:hAnsi="Times New Roman" w:cs="Times New Roman" w:eastAsia="Times New Roman" w:hint="default"/>
          <w:sz w:val="18"/>
          <w:szCs w:val="18"/>
        </w:rPr>
        <w:sectPr>
          <w:headerReference w:type="default" r:id="rId19"/>
          <w:pgSz w:w="11910" w:h="16840"/>
          <w:pgMar w:header="882" w:footer="1134" w:top="1100" w:bottom="1320" w:left="1020" w:right="0"/>
        </w:sectPr>
      </w:pPr>
    </w:p>
    <w:p>
      <w:pPr>
        <w:spacing w:line="240" w:lineRule="auto" w:before="5"/>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359"/>
        <w:gridCol w:w="1200"/>
        <w:gridCol w:w="1202"/>
        <w:gridCol w:w="1200"/>
        <w:gridCol w:w="1202"/>
        <w:gridCol w:w="1200"/>
        <w:gridCol w:w="1202"/>
      </w:tblGrid>
      <w:tr>
        <w:trPr>
          <w:trHeight w:val="509" w:hRule="exact"/>
        </w:trPr>
        <w:tc>
          <w:tcPr>
            <w:tcW w:w="23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0.1512</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0.0270</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0.0256</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490.63%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pacing w:val="-1"/>
                <w:sz w:val="18"/>
              </w:rPr>
              <w:t>0.2249</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pacing w:val="-1"/>
                <w:sz w:val="18"/>
              </w:rPr>
              <w:t>0.2235</w:t>
            </w:r>
            <w:r>
              <w:rPr>
                <w:rFonts w:ascii="Times New Roman"/>
                <w:sz w:val="18"/>
              </w:rPr>
            </w:r>
          </w:p>
        </w:tc>
      </w:tr>
      <w:tr>
        <w:trPr>
          <w:trHeight w:val="506" w:hRule="exact"/>
        </w:trPr>
        <w:tc>
          <w:tcPr>
            <w:tcW w:w="23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0.1503</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0.0270</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0.0256</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w w:val="95"/>
                <w:sz w:val="18"/>
              </w:rPr>
              <w:t>487.11%</w:t>
            </w:r>
            <w:r>
              <w:rPr>
                <w:rFonts w:ascii="Times New Roman"/>
                <w:w w:val="95"/>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pacing w:val="-1"/>
                <w:sz w:val="18"/>
              </w:rPr>
              <w:t>0.2249</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pacing w:val="-1"/>
                <w:sz w:val="18"/>
              </w:rPr>
              <w:t>0.2235</w:t>
            </w:r>
            <w:r>
              <w:rPr>
                <w:rFonts w:ascii="Times New Roman"/>
                <w:sz w:val="18"/>
              </w:rPr>
            </w:r>
          </w:p>
        </w:tc>
      </w:tr>
      <w:tr>
        <w:trPr>
          <w:trHeight w:val="509" w:hRule="exact"/>
        </w:trPr>
        <w:tc>
          <w:tcPr>
            <w:tcW w:w="23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5.13%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0.94%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0.89%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4.24%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z w:val="18"/>
              </w:rPr>
              <w:t>7.78%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z w:val="18"/>
              </w:rPr>
              <w:t>7.75%</w:t>
            </w:r>
          </w:p>
        </w:tc>
      </w:tr>
      <w:tr>
        <w:trPr>
          <w:trHeight w:val="161" w:hRule="exact"/>
        </w:trPr>
        <w:tc>
          <w:tcPr>
            <w:tcW w:w="2359" w:type="dxa"/>
            <w:vMerge w:val="restart"/>
            <w:tcBorders>
              <w:top w:val="single" w:sz="4" w:space="0" w:color="000000"/>
              <w:left w:val="single" w:sz="4" w:space="0" w:color="000000"/>
              <w:right w:val="single" w:sz="4" w:space="0" w:color="000000"/>
            </w:tcBorders>
            <w:shd w:val="clear" w:color="auto" w:fill="D4D4D4"/>
          </w:tcPr>
          <w:p>
            <w:pPr/>
          </w:p>
        </w:tc>
        <w:tc>
          <w:tcPr>
            <w:tcW w:w="1200" w:type="dxa"/>
            <w:vMerge w:val="restart"/>
            <w:tcBorders>
              <w:top w:val="single" w:sz="4" w:space="0" w:color="000000"/>
              <w:left w:val="single" w:sz="4" w:space="0" w:color="000000"/>
              <w:right w:val="single" w:sz="4" w:space="0" w:color="000000"/>
            </w:tcBorders>
            <w:shd w:val="clear" w:color="auto" w:fill="D4D4D4"/>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20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101"/>
              <w:ind w:left="326" w:right="55" w:hanging="272"/>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2" w:type="dxa"/>
            <w:gridSpan w:val="2"/>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54" w:hRule="exact"/>
        </w:trPr>
        <w:tc>
          <w:tcPr>
            <w:tcW w:w="2359" w:type="dxa"/>
            <w:vMerge/>
            <w:tcBorders>
              <w:left w:val="single" w:sz="4" w:space="0" w:color="000000"/>
              <w:bottom w:val="nil" w:sz="6" w:space="0" w:color="auto"/>
              <w:right w:val="single" w:sz="4" w:space="0" w:color="000000"/>
            </w:tcBorders>
            <w:shd w:val="clear" w:color="auto" w:fill="D4D4D4"/>
          </w:tcPr>
          <w:p>
            <w:pPr/>
          </w:p>
        </w:tc>
        <w:tc>
          <w:tcPr>
            <w:tcW w:w="1200" w:type="dxa"/>
            <w:vMerge/>
            <w:tcBorders>
              <w:left w:val="single" w:sz="4" w:space="0" w:color="000000"/>
              <w:bottom w:val="nil" w:sz="6" w:space="0" w:color="auto"/>
              <w:right w:val="single" w:sz="4" w:space="0" w:color="000000"/>
            </w:tcBorders>
            <w:shd w:val="clear" w:color="auto" w:fill="D4D4D4"/>
          </w:tcPr>
          <w:p>
            <w:pPr/>
          </w:p>
        </w:tc>
        <w:tc>
          <w:tcPr>
            <w:tcW w:w="240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4D4D4"/>
          </w:tcPr>
          <w:p>
            <w:pPr/>
          </w:p>
        </w:tc>
        <w:tc>
          <w:tcPr>
            <w:tcW w:w="240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245" w:hRule="exact"/>
        </w:trPr>
        <w:tc>
          <w:tcPr>
            <w:tcW w:w="2359" w:type="dxa"/>
            <w:vMerge w:val="restart"/>
            <w:tcBorders>
              <w:top w:val="nil" w:sz="6" w:space="0" w:color="auto"/>
              <w:left w:val="single" w:sz="4" w:space="0" w:color="000000"/>
              <w:right w:val="single" w:sz="4" w:space="0" w:color="000000"/>
            </w:tcBorders>
            <w:shd w:val="clear" w:color="auto" w:fill="D4D4D4"/>
          </w:tcPr>
          <w:p>
            <w:pPr/>
          </w:p>
        </w:tc>
        <w:tc>
          <w:tcPr>
            <w:tcW w:w="120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1"/>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vMerge/>
            <w:tcBorders>
              <w:left w:val="single" w:sz="4" w:space="0" w:color="000000"/>
              <w:bottom w:val="nil" w:sz="6" w:space="0" w:color="auto"/>
              <w:right w:val="single" w:sz="4" w:space="0" w:color="000000"/>
            </w:tcBorders>
            <w:shd w:val="clear" w:color="auto" w:fill="D4D4D4"/>
          </w:tcPr>
          <w:p>
            <w:pPr/>
          </w:p>
        </w:tc>
        <w:tc>
          <w:tcPr>
            <w:tcW w:w="1202" w:type="dxa"/>
            <w:vMerge/>
            <w:tcBorders>
              <w:left w:val="single" w:sz="4" w:space="0" w:color="000000"/>
              <w:right w:val="single" w:sz="4" w:space="0" w:color="000000"/>
            </w:tcBorders>
            <w:shd w:val="clear" w:color="auto" w:fill="D4D4D4"/>
          </w:tcPr>
          <w:p>
            <w:pPr/>
          </w:p>
        </w:tc>
        <w:tc>
          <w:tcPr>
            <w:tcW w:w="2402" w:type="dxa"/>
            <w:gridSpan w:val="2"/>
            <w:vMerge/>
            <w:tcBorders>
              <w:left w:val="single" w:sz="4" w:space="0" w:color="000000"/>
              <w:bottom w:val="nil" w:sz="6" w:space="0" w:color="auto"/>
              <w:right w:val="single" w:sz="4" w:space="0" w:color="000000"/>
            </w:tcBorders>
            <w:shd w:val="clear" w:color="auto" w:fill="D4D4D4"/>
          </w:tcPr>
          <w:p>
            <w:pPr/>
          </w:p>
        </w:tc>
      </w:tr>
      <w:tr>
        <w:trPr>
          <w:trHeight w:val="156" w:hRule="exact"/>
        </w:trPr>
        <w:tc>
          <w:tcPr>
            <w:tcW w:w="2359" w:type="dxa"/>
            <w:vMerge/>
            <w:tcBorders>
              <w:left w:val="single" w:sz="4" w:space="0" w:color="000000"/>
              <w:right w:val="single" w:sz="4" w:space="0" w:color="000000"/>
            </w:tcBorders>
            <w:shd w:val="clear" w:color="auto" w:fill="D4D4D4"/>
          </w:tcPr>
          <w:p>
            <w:pPr/>
          </w:p>
        </w:tc>
        <w:tc>
          <w:tcPr>
            <w:tcW w:w="1200" w:type="dxa"/>
            <w:vMerge/>
            <w:tcBorders>
              <w:left w:val="single" w:sz="4" w:space="0" w:color="000000"/>
              <w:right w:val="single" w:sz="4" w:space="0" w:color="000000"/>
            </w:tcBorders>
            <w:shd w:val="clear" w:color="auto" w:fill="D4D4D4"/>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202" w:type="dxa"/>
            <w:vMerge/>
            <w:tcBorders>
              <w:left w:val="single" w:sz="4" w:space="0" w:color="000000"/>
              <w:bottom w:val="single" w:sz="4" w:space="0" w:color="000000"/>
              <w:right w:val="single" w:sz="4" w:space="0" w:color="000000"/>
            </w:tcBorders>
            <w:shd w:val="clear" w:color="auto" w:fill="D4D4D4"/>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4D4D4"/>
          </w:tcPr>
          <w:p>
            <w:pPr/>
          </w:p>
        </w:tc>
      </w:tr>
      <w:tr>
        <w:trPr>
          <w:trHeight w:val="96" w:hRule="exact"/>
        </w:trPr>
        <w:tc>
          <w:tcPr>
            <w:tcW w:w="2359" w:type="dxa"/>
            <w:vMerge/>
            <w:tcBorders>
              <w:left w:val="single" w:sz="4" w:space="0" w:color="000000"/>
              <w:bottom w:val="nil" w:sz="6" w:space="0" w:color="auto"/>
              <w:right w:val="single" w:sz="4" w:space="0" w:color="000000"/>
            </w:tcBorders>
            <w:shd w:val="clear" w:color="auto" w:fill="D4D4D4"/>
          </w:tcPr>
          <w:p>
            <w:pPr/>
          </w:p>
        </w:tc>
        <w:tc>
          <w:tcPr>
            <w:tcW w:w="1200" w:type="dxa"/>
            <w:vMerge/>
            <w:tcBorders>
              <w:left w:val="single" w:sz="4" w:space="0" w:color="000000"/>
              <w:bottom w:val="nil" w:sz="6" w:space="0" w:color="auto"/>
              <w:right w:val="single" w:sz="4" w:space="0" w:color="000000"/>
            </w:tcBorders>
            <w:shd w:val="clear" w:color="auto" w:fill="D4D4D4"/>
          </w:tcPr>
          <w:p>
            <w:pPr/>
          </w:p>
        </w:tc>
        <w:tc>
          <w:tcPr>
            <w:tcW w:w="120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6"/>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6"/>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6"/>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15" w:hRule="exact"/>
        </w:trPr>
        <w:tc>
          <w:tcPr>
            <w:tcW w:w="2359"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0"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2" w:type="dxa"/>
            <w:vMerge/>
            <w:tcBorders>
              <w:left w:val="single" w:sz="4" w:space="0" w:color="000000"/>
              <w:bottom w:val="single" w:sz="4" w:space="0" w:color="000000"/>
              <w:right w:val="single" w:sz="4" w:space="0" w:color="000000"/>
            </w:tcBorders>
            <w:shd w:val="clear" w:color="auto" w:fill="D4D4D4"/>
          </w:tcPr>
          <w:p>
            <w:pPr/>
          </w:p>
        </w:tc>
        <w:tc>
          <w:tcPr>
            <w:tcW w:w="1200" w:type="dxa"/>
            <w:vMerge/>
            <w:tcBorders>
              <w:left w:val="single" w:sz="4" w:space="0" w:color="000000"/>
              <w:bottom w:val="single" w:sz="4" w:space="0" w:color="000000"/>
              <w:right w:val="single" w:sz="4" w:space="0" w:color="000000"/>
            </w:tcBorders>
            <w:shd w:val="clear" w:color="auto" w:fill="D4D4D4"/>
          </w:tcPr>
          <w:p>
            <w:pPr/>
          </w:p>
        </w:tc>
        <w:tc>
          <w:tcPr>
            <w:tcW w:w="1202" w:type="dxa"/>
            <w:vMerge/>
            <w:tcBorders>
              <w:left w:val="single" w:sz="4" w:space="0" w:color="000000"/>
              <w:bottom w:val="single" w:sz="4" w:space="0" w:color="000000"/>
              <w:right w:val="single" w:sz="4" w:space="0" w:color="000000"/>
            </w:tcBorders>
            <w:shd w:val="clear" w:color="auto" w:fill="D4D4D4"/>
          </w:tcPr>
          <w:p>
            <w:pPr/>
          </w:p>
        </w:tc>
        <w:tc>
          <w:tcPr>
            <w:tcW w:w="1200" w:type="dxa"/>
            <w:vMerge/>
            <w:tcBorders>
              <w:left w:val="single" w:sz="4" w:space="0" w:color="000000"/>
              <w:bottom w:val="single" w:sz="4" w:space="0" w:color="000000"/>
              <w:right w:val="single" w:sz="4" w:space="0" w:color="000000"/>
            </w:tcBorders>
            <w:shd w:val="clear" w:color="auto" w:fill="D4D4D4"/>
          </w:tcPr>
          <w:p>
            <w:pPr/>
          </w:p>
        </w:tc>
        <w:tc>
          <w:tcPr>
            <w:tcW w:w="1202"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2359" w:type="dxa"/>
            <w:tcBorders>
              <w:top w:val="single" w:sz="4" w:space="0" w:color="000000"/>
              <w:left w:val="single" w:sz="4" w:space="0" w:color="000000"/>
              <w:bottom w:val="nil" w:sz="6" w:space="0" w:color="auto"/>
              <w:right w:val="single" w:sz="4" w:space="0" w:color="000000"/>
            </w:tcBorders>
            <w:shd w:val="clear" w:color="auto" w:fill="D4D4D4"/>
          </w:tcPr>
          <w:p>
            <w:pPr/>
          </w:p>
        </w:tc>
        <w:tc>
          <w:tcPr>
            <w:tcW w:w="1200" w:type="dxa"/>
            <w:vMerge w:val="restart"/>
            <w:tcBorders>
              <w:top w:val="single" w:sz="4" w:space="0" w:color="000000"/>
              <w:left w:val="single" w:sz="10" w:space="0" w:color="D4D4D4"/>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7,955,305,718.</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8,165,400,053.</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8,140,736,347.</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43" w:right="0"/>
              <w:jc w:val="left"/>
              <w:rPr>
                <w:rFonts w:ascii="Times New Roman" w:hAnsi="Times New Roman" w:cs="Times New Roman" w:eastAsia="Times New Roman" w:hint="default"/>
                <w:sz w:val="18"/>
                <w:szCs w:val="18"/>
              </w:rPr>
            </w:pPr>
            <w:r>
              <w:rPr>
                <w:rFonts w:ascii="Times New Roman"/>
                <w:sz w:val="18"/>
              </w:rPr>
              <w:t>-2.28%</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144"/>
              <w:ind w:right="13"/>
              <w:jc w:val="right"/>
              <w:rPr>
                <w:rFonts w:ascii="Times New Roman" w:hAnsi="Times New Roman" w:cs="Times New Roman" w:eastAsia="Times New Roman" w:hint="default"/>
                <w:sz w:val="18"/>
                <w:szCs w:val="18"/>
              </w:rPr>
            </w:pPr>
            <w:r>
              <w:rPr>
                <w:rFonts w:ascii="Times New Roman"/>
                <w:spacing w:val="-1"/>
                <w:sz w:val="18"/>
              </w:rPr>
              <w:t>7,887,460,393.</w:t>
            </w:r>
            <w:r>
              <w:rPr>
                <w:rFonts w:ascii="Times New Roman"/>
                <w:sz w:val="18"/>
              </w:rPr>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30</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44"/>
              <w:ind w:right="13"/>
              <w:jc w:val="right"/>
              <w:rPr>
                <w:rFonts w:ascii="Times New Roman" w:hAnsi="Times New Roman" w:cs="Times New Roman" w:eastAsia="Times New Roman" w:hint="default"/>
                <w:sz w:val="18"/>
                <w:szCs w:val="18"/>
              </w:rPr>
            </w:pPr>
            <w:r>
              <w:rPr>
                <w:rFonts w:ascii="Times New Roman"/>
                <w:spacing w:val="-1"/>
                <w:sz w:val="18"/>
              </w:rPr>
              <w:t>7,934,517,130.</w:t>
            </w:r>
            <w:r>
              <w:rPr>
                <w:rFonts w:ascii="Times New Roman"/>
                <w:sz w:val="18"/>
              </w:rPr>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03</w:t>
            </w:r>
          </w:p>
        </w:tc>
      </w:tr>
      <w:tr>
        <w:trPr>
          <w:trHeight w:val="499" w:hRule="exact"/>
        </w:trPr>
        <w:tc>
          <w:tcPr>
            <w:tcW w:w="235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资产总额（元）</w:t>
            </w:r>
          </w:p>
        </w:tc>
        <w:tc>
          <w:tcPr>
            <w:tcW w:w="1200" w:type="dxa"/>
            <w:vMerge/>
            <w:tcBorders>
              <w:left w:val="single" w:sz="10" w:space="0" w:color="D4D4D4"/>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59"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0" w:type="dxa"/>
            <w:vMerge/>
            <w:tcBorders>
              <w:left w:val="single" w:sz="10" w:space="0" w:color="D4D4D4"/>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821" w:hRule="exact"/>
        </w:trPr>
        <w:tc>
          <w:tcPr>
            <w:tcW w:w="23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816" w:right="91" w:hanging="720"/>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5,250,136,296.</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4,913,251,654.</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4,888,029,748.</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3"/>
              <w:jc w:val="right"/>
              <w:rPr>
                <w:rFonts w:ascii="Times New Roman" w:hAnsi="Times New Roman" w:cs="Times New Roman" w:eastAsia="Times New Roman" w:hint="default"/>
                <w:sz w:val="18"/>
                <w:szCs w:val="18"/>
              </w:rPr>
            </w:pPr>
            <w:r>
              <w:rPr>
                <w:rFonts w:ascii="Times New Roman"/>
                <w:spacing w:val="-1"/>
                <w:sz w:val="18"/>
              </w:rPr>
              <w:t>5,203,626,190.</w:t>
            </w:r>
            <w:r>
              <w:rPr>
                <w:rFonts w:ascii="Times New Roman"/>
                <w:sz w:val="18"/>
              </w:rPr>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10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3"/>
              <w:jc w:val="right"/>
              <w:rPr>
                <w:rFonts w:ascii="Times New Roman" w:hAnsi="Times New Roman" w:cs="Times New Roman" w:eastAsia="Times New Roman" w:hint="default"/>
                <w:sz w:val="18"/>
                <w:szCs w:val="18"/>
              </w:rPr>
            </w:pPr>
            <w:r>
              <w:rPr>
                <w:rFonts w:ascii="Times New Roman"/>
                <w:spacing w:val="-1"/>
                <w:sz w:val="18"/>
              </w:rPr>
              <w:t>5,239,901,169.</w:t>
            </w:r>
            <w:r>
              <w:rPr>
                <w:rFonts w:ascii="Times New Roman"/>
                <w:sz w:val="18"/>
              </w:rPr>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13</w:t>
            </w:r>
          </w:p>
        </w:tc>
      </w:tr>
    </w:tbl>
    <w:p>
      <w:pPr>
        <w:spacing w:line="240" w:lineRule="auto" w:before="11"/>
        <w:rPr>
          <w:rFonts w:ascii="宋体" w:hAnsi="宋体" w:cs="宋体" w:eastAsia="宋体" w:hint="default"/>
          <w:sz w:val="9"/>
          <w:szCs w:val="9"/>
        </w:rPr>
      </w:pPr>
    </w:p>
    <w:p>
      <w:pPr>
        <w:pStyle w:val="BodyText"/>
        <w:spacing w:line="240" w:lineRule="auto" w:before="36"/>
        <w:ind w:right="1127"/>
        <w:jc w:val="left"/>
      </w:pPr>
      <w:r>
        <w:rPr/>
        <w:t>会计政策变更的原因及会计差错更正的情况</w:t>
      </w:r>
    </w:p>
    <w:p>
      <w:pPr>
        <w:spacing w:line="240" w:lineRule="auto" w:before="4"/>
        <w:rPr>
          <w:rFonts w:ascii="宋体" w:hAnsi="宋体" w:cs="宋体" w:eastAsia="宋体" w:hint="default"/>
          <w:sz w:val="22"/>
          <w:szCs w:val="22"/>
        </w:rPr>
      </w:pPr>
    </w:p>
    <w:p>
      <w:pPr>
        <w:pStyle w:val="BodyText"/>
        <w:spacing w:line="240" w:lineRule="auto"/>
        <w:ind w:left="678" w:right="1127"/>
        <w:jc w:val="left"/>
      </w:pPr>
      <w:r>
        <w:rPr>
          <w:w w:val="100"/>
        </w:rPr>
        <w:t>执</w:t>
      </w:r>
      <w:r>
        <w:rPr>
          <w:spacing w:val="-3"/>
          <w:w w:val="100"/>
        </w:rPr>
        <w:t>行</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号</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w:t>
      </w:r>
      <w:r>
        <w:rPr>
          <w:spacing w:val="-3"/>
          <w:w w:val="100"/>
        </w:rPr>
        <w:t>金</w:t>
      </w:r>
      <w:r>
        <w:rPr>
          <w:w w:val="100"/>
        </w:rPr>
        <w:t>融</w:t>
      </w:r>
      <w:r>
        <w:rPr>
          <w:spacing w:val="-3"/>
          <w:w w:val="100"/>
        </w:rPr>
        <w:t>工</w:t>
      </w:r>
      <w:r>
        <w:rPr>
          <w:w w:val="100"/>
        </w:rPr>
        <w:t>具</w:t>
      </w:r>
      <w:r>
        <w:rPr>
          <w:spacing w:val="-3"/>
          <w:w w:val="100"/>
        </w:rPr>
        <w:t>确</w:t>
      </w:r>
      <w:r>
        <w:rPr>
          <w:w w:val="100"/>
        </w:rPr>
        <w:t>认</w:t>
      </w:r>
      <w:r>
        <w:rPr>
          <w:spacing w:val="-3"/>
          <w:w w:val="100"/>
        </w:rPr>
        <w:t>和</w:t>
      </w:r>
      <w:r>
        <w:rPr>
          <w:w w:val="100"/>
        </w:rPr>
        <w:t>计量</w:t>
      </w:r>
      <w:r>
        <w:rPr>
          <w:spacing w:val="-106"/>
          <w:w w:val="100"/>
        </w:rPr>
        <w:t>》</w:t>
      </w:r>
      <w:r>
        <w:rPr>
          <w:spacing w:val="-108"/>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5"/>
        </w:rPr>
        <w:t> </w:t>
      </w:r>
      <w:r>
        <w:rPr>
          <w:rFonts w:ascii="Times New Roman" w:hAnsi="Times New Roman" w:cs="Times New Roman" w:eastAsia="Times New Roman" w:hint="default"/>
          <w:w w:val="100"/>
        </w:rPr>
        <w:t>23</w:t>
      </w:r>
      <w:r>
        <w:rPr>
          <w:rFonts w:ascii="Times New Roman" w:hAnsi="Times New Roman" w:cs="Times New Roman" w:eastAsia="Times New Roman" w:hint="default"/>
        </w:rPr>
        <w:t>  </w:t>
      </w:r>
      <w:r>
        <w:rPr>
          <w:spacing w:val="-3"/>
          <w:w w:val="100"/>
        </w:rPr>
        <w:t>号</w:t>
      </w:r>
      <w:r>
        <w:rPr>
          <w:rFonts w:ascii="Times New Roman" w:hAnsi="Times New Roman" w:cs="Times New Roman" w:eastAsia="Times New Roman" w:hint="default"/>
          <w:w w:val="100"/>
        </w:rPr>
        <w:t>—</w:t>
      </w:r>
      <w:r>
        <w:rPr>
          <w:rFonts w:ascii="Times New Roman" w:hAnsi="Times New Roman" w:cs="Times New Roman" w:eastAsia="Times New Roman" w:hint="default"/>
          <w:spacing w:val="-3"/>
          <w:w w:val="100"/>
        </w:rPr>
        <w:t>—</w:t>
      </w:r>
      <w:r>
        <w:rPr>
          <w:w w:val="100"/>
        </w:rPr>
        <w:t>金</w:t>
      </w:r>
      <w:r>
        <w:rPr>
          <w:spacing w:val="-3"/>
          <w:w w:val="100"/>
        </w:rPr>
        <w:t>融</w:t>
      </w:r>
      <w:r>
        <w:rPr>
          <w:w w:val="100"/>
        </w:rPr>
        <w:t>资</w:t>
      </w:r>
      <w:r>
        <w:rPr>
          <w:spacing w:val="-3"/>
          <w:w w:val="100"/>
        </w:rPr>
        <w:t>产转</w:t>
      </w:r>
      <w:r>
        <w:rPr>
          <w:w w:val="100"/>
        </w:rPr>
      </w:r>
    </w:p>
    <w:p>
      <w:pPr>
        <w:pStyle w:val="BodyText"/>
        <w:spacing w:line="386" w:lineRule="auto" w:before="177"/>
        <w:ind w:left="153" w:right="1022" w:hanging="1"/>
        <w:jc w:val="left"/>
      </w:pPr>
      <w:r>
        <w:rPr>
          <w:w w:val="100"/>
        </w:rPr>
        <w:t>移</w:t>
      </w:r>
      <w:r>
        <w:rPr>
          <w:spacing w:val="-106"/>
          <w:w w:val="100"/>
        </w:rPr>
        <w:t>》、</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号</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w:t>
      </w:r>
      <w:r>
        <w:rPr>
          <w:spacing w:val="-3"/>
          <w:w w:val="100"/>
        </w:rPr>
        <w:t>套</w:t>
      </w:r>
      <w:r>
        <w:rPr>
          <w:w w:val="100"/>
        </w:rPr>
        <w:t>期</w:t>
      </w:r>
      <w:r>
        <w:rPr>
          <w:spacing w:val="-3"/>
          <w:w w:val="100"/>
        </w:rPr>
        <w:t>会</w:t>
      </w:r>
      <w:r>
        <w:rPr>
          <w:w w:val="100"/>
        </w:rPr>
        <w:t>计</w:t>
      </w:r>
      <w:r>
        <w:rPr>
          <w:spacing w:val="-3"/>
          <w:w w:val="100"/>
        </w:rPr>
        <w:t>》</w:t>
      </w:r>
      <w:r>
        <w:rPr>
          <w:w w:val="100"/>
        </w:rPr>
        <w:t>和</w:t>
      </w:r>
      <w:r>
        <w:rPr>
          <w:spacing w:val="-3"/>
          <w:w w:val="100"/>
        </w:rPr>
        <w:t>《企</w:t>
      </w:r>
      <w:r>
        <w:rPr>
          <w:w w:val="100"/>
        </w:rPr>
        <w:t>业会</w:t>
      </w:r>
      <w:r>
        <w:rPr>
          <w:spacing w:val="-3"/>
          <w:w w:val="100"/>
        </w:rPr>
        <w:t>计</w:t>
      </w:r>
      <w:r>
        <w:rPr>
          <w:w w:val="100"/>
        </w:rPr>
        <w:t>准</w:t>
      </w:r>
      <w:r>
        <w:rPr>
          <w:spacing w:val="-3"/>
          <w:w w:val="100"/>
        </w:rPr>
        <w:t>则</w:t>
      </w:r>
      <w:r>
        <w:rPr>
          <w:w w:val="100"/>
        </w:rPr>
        <w:t>第</w:t>
      </w:r>
      <w:r>
        <w:rPr>
          <w:spacing w:val="-1"/>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spacing w:val="-3"/>
          <w:w w:val="100"/>
        </w:rPr>
        <w:t>号</w:t>
      </w:r>
      <w:r>
        <w:rPr>
          <w:rFonts w:ascii="Times New Roman" w:hAnsi="Times New Roman" w:cs="Times New Roman" w:eastAsia="Times New Roman" w:hint="default"/>
          <w:w w:val="100"/>
        </w:rPr>
        <w:t>—</w:t>
      </w:r>
      <w:r>
        <w:rPr>
          <w:rFonts w:ascii="Times New Roman" w:hAnsi="Times New Roman" w:cs="Times New Roman" w:eastAsia="Times New Roman" w:hint="default"/>
          <w:spacing w:val="-3"/>
          <w:w w:val="100"/>
        </w:rPr>
        <w:t>—</w:t>
      </w:r>
      <w:r>
        <w:rPr>
          <w:w w:val="100"/>
        </w:rPr>
        <w:t>金融</w:t>
      </w:r>
      <w:r>
        <w:rPr>
          <w:spacing w:val="-3"/>
          <w:w w:val="100"/>
        </w:rPr>
        <w:t>工</w:t>
      </w:r>
      <w:r>
        <w:rPr>
          <w:w w:val="100"/>
        </w:rPr>
        <w:t>具</w:t>
      </w:r>
      <w:r>
        <w:rPr>
          <w:spacing w:val="-3"/>
          <w:w w:val="100"/>
        </w:rPr>
        <w:t>列</w:t>
      </w:r>
      <w:r>
        <w:rPr>
          <w:w w:val="100"/>
        </w:rPr>
        <w:t>报</w:t>
      </w:r>
      <w:r>
        <w:rPr>
          <w:spacing w:val="-108"/>
          <w:w w:val="100"/>
        </w:rPr>
        <w:t>》</w:t>
      </w:r>
      <w:r>
        <w:rPr>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spacing w:val="-3"/>
          <w:w w:val="100"/>
        </w:rPr>
        <w:t>年</w:t>
      </w:r>
      <w:r>
        <w:rPr>
          <w:w w:val="100"/>
        </w:rPr>
        <w:t>修</w:t>
      </w:r>
      <w:r>
        <w:rPr>
          <w:w w:val="100"/>
        </w:rPr>
        <w:t> 订</w:t>
      </w:r>
      <w:r>
        <w:rPr>
          <w:spacing w:val="-106"/>
          <w:w w:val="100"/>
        </w:rPr>
        <w:t>）</w:t>
      </w:r>
      <w:r>
        <w:rPr>
          <w:spacing w:val="-46"/>
          <w:w w:val="100"/>
        </w:rPr>
        <w:t>。</w:t>
      </w:r>
      <w:r>
        <w:rPr>
          <w:rFonts w:ascii="Times New Roman" w:hAnsi="Times New Roman" w:cs="Times New Roman" w:eastAsia="Times New Roman" w:hint="default"/>
          <w:spacing w:val="-4"/>
          <w:w w:val="129"/>
        </w:rPr>
        <w:t>□</w:t>
      </w:r>
      <w:r>
        <w:rPr>
          <w:w w:val="100"/>
        </w:rPr>
        <w:t>会</w:t>
      </w:r>
      <w:r>
        <w:rPr>
          <w:spacing w:val="-3"/>
          <w:w w:val="100"/>
        </w:rPr>
        <w:t>计</w:t>
      </w:r>
      <w:r>
        <w:rPr>
          <w:w w:val="100"/>
        </w:rPr>
        <w:t>差</w:t>
      </w:r>
      <w:r>
        <w:rPr>
          <w:spacing w:val="-3"/>
          <w:w w:val="100"/>
        </w:rPr>
        <w:t>错</w:t>
      </w:r>
      <w:r>
        <w:rPr>
          <w:w w:val="100"/>
        </w:rPr>
        <w:t>更</w:t>
      </w:r>
      <w:r>
        <w:rPr>
          <w:spacing w:val="-3"/>
          <w:w w:val="100"/>
        </w:rPr>
        <w:t>正</w:t>
      </w:r>
      <w:r>
        <w:rPr>
          <w:w w:val="100"/>
        </w:rPr>
        <w:t>的</w:t>
      </w:r>
      <w:r>
        <w:rPr>
          <w:spacing w:val="-3"/>
          <w:w w:val="100"/>
        </w:rPr>
        <w:t>情</w:t>
      </w:r>
      <w:r>
        <w:rPr>
          <w:w w:val="100"/>
        </w:rPr>
        <w:t>况</w:t>
      </w:r>
      <w:r>
        <w:rPr>
          <w:spacing w:val="-46"/>
          <w:w w:val="100"/>
        </w:rPr>
        <w:t>：</w:t>
      </w:r>
      <w:r>
        <w:rPr>
          <w:rFonts w:ascii="Times New Roman" w:hAnsi="Times New Roman" w:cs="Times New Roman" w:eastAsia="Times New Roman" w:hint="default"/>
          <w:spacing w:val="-2"/>
          <w:w w:val="129"/>
        </w:rPr>
        <w:t>□</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3"/>
          <w:w w:val="100"/>
        </w:rPr>
        <w:t>月</w:t>
      </w:r>
      <w:r>
        <w:rPr>
          <w:w w:val="100"/>
        </w:rPr>
        <w:t>收</w:t>
      </w:r>
      <w:r>
        <w:rPr>
          <w:spacing w:val="-3"/>
          <w:w w:val="100"/>
        </w:rPr>
        <w:t>购联</w:t>
      </w:r>
      <w:r>
        <w:rPr>
          <w:w w:val="100"/>
        </w:rPr>
        <w:t>合信</w:t>
      </w:r>
      <w:r>
        <w:rPr>
          <w:spacing w:val="-3"/>
          <w:w w:val="100"/>
        </w:rPr>
        <w:t>标</w:t>
      </w:r>
      <w:r>
        <w:rPr>
          <w:w w:val="100"/>
        </w:rPr>
        <w:t>属</w:t>
      </w:r>
      <w:r>
        <w:rPr>
          <w:spacing w:val="-3"/>
          <w:w w:val="100"/>
        </w:rPr>
        <w:t>于</w:t>
      </w:r>
      <w:r>
        <w:rPr>
          <w:w w:val="100"/>
        </w:rPr>
        <w:t>同</w:t>
      </w:r>
      <w:r>
        <w:rPr>
          <w:spacing w:val="-3"/>
          <w:w w:val="100"/>
        </w:rPr>
        <w:t>一</w:t>
      </w:r>
      <w:r>
        <w:rPr>
          <w:w w:val="100"/>
        </w:rPr>
        <w:t>控</w:t>
      </w:r>
      <w:r>
        <w:rPr>
          <w:spacing w:val="-3"/>
          <w:w w:val="100"/>
        </w:rPr>
        <w:t>制</w:t>
      </w:r>
      <w:r>
        <w:rPr>
          <w:w w:val="100"/>
        </w:rPr>
        <w:t>下</w:t>
      </w:r>
      <w:r>
        <w:rPr>
          <w:spacing w:val="-3"/>
          <w:w w:val="100"/>
        </w:rPr>
        <w:t>企</w:t>
      </w:r>
      <w:r>
        <w:rPr>
          <w:w w:val="100"/>
        </w:rPr>
        <w:t>业合</w:t>
      </w:r>
      <w:r>
        <w:rPr>
          <w:spacing w:val="-3"/>
          <w:w w:val="100"/>
        </w:rPr>
        <w:t>并</w:t>
      </w:r>
      <w:r>
        <w:rPr>
          <w:spacing w:val="-48"/>
          <w:w w:val="100"/>
        </w:rPr>
        <w:t>，</w:t>
      </w:r>
      <w:r>
        <w:rPr>
          <w:w w:val="100"/>
        </w:rPr>
        <w:t>进</w:t>
      </w:r>
      <w:r>
        <w:rPr>
          <w:spacing w:val="-3"/>
          <w:w w:val="100"/>
        </w:rPr>
        <w:t>行</w:t>
      </w:r>
      <w:r>
        <w:rPr>
          <w:w w:val="100"/>
        </w:rPr>
        <w:t>会</w:t>
      </w:r>
      <w:r>
        <w:rPr>
          <w:spacing w:val="-3"/>
          <w:w w:val="100"/>
        </w:rPr>
        <w:t>计</w:t>
      </w:r>
      <w:r>
        <w:rPr>
          <w:w w:val="100"/>
        </w:rPr>
        <w:t>差</w:t>
      </w:r>
      <w:r>
        <w:rPr>
          <w:spacing w:val="-3"/>
          <w:w w:val="100"/>
        </w:rPr>
        <w:t>错更</w:t>
      </w:r>
      <w:r>
        <w:rPr>
          <w:w w:val="100"/>
        </w:rPr>
        <w:t>正；</w:t>
      </w:r>
    </w:p>
    <w:p>
      <w:pPr>
        <w:pStyle w:val="BodyText"/>
        <w:spacing w:line="386" w:lineRule="auto" w:before="35"/>
        <w:ind w:left="153" w:right="1127" w:hanging="1"/>
        <w:jc w:val="left"/>
        <w:rPr>
          <w:rFonts w:ascii="Times New Roman" w:hAnsi="Times New Roman" w:cs="Times New Roman" w:eastAsia="Times New Roman" w:hint="default"/>
        </w:rPr>
      </w:pPr>
      <w:r>
        <w:rPr>
          <w:rFonts w:ascii="Times New Roman" w:hAnsi="Times New Roman" w:cs="Times New Roman" w:eastAsia="Times New Roman" w:hint="default"/>
        </w:rPr>
        <w:t>□</w:t>
      </w:r>
      <w:r>
        <w:rPr>
          <w:rFonts w:ascii="Times New Roman" w:hAnsi="Times New Roman" w:cs="Times New Roman" w:eastAsia="Times New Roman" w:hint="default"/>
        </w:rPr>
        <w:t>2.2019</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月经公司自查发现存在大股东占用资金情况，出于谨慎性原则调整了相关报表项目，进行会</w:t>
      </w:r>
      <w:r>
        <w:rPr>
          <w:spacing w:val="-101"/>
        </w:rPr>
        <w:t> </w:t>
      </w:r>
      <w:r>
        <w:rPr>
          <w:spacing w:val="-101"/>
        </w:rPr>
      </w:r>
      <w:r>
        <w:rPr/>
        <w:t>计差错更正。</w:t>
      </w:r>
      <w:r>
        <w:rPr>
          <w:rFonts w:ascii="Times New Roman" w:hAnsi="Times New Roman" w:cs="Times New Roman" w:eastAsia="Times New Roman" w:hint="default"/>
        </w:rPr>
        <w:t>□</w:t>
      </w:r>
    </w:p>
    <w:p>
      <w:pPr>
        <w:pStyle w:val="BodyText"/>
        <w:spacing w:line="408" w:lineRule="auto" w:before="136"/>
        <w:ind w:left="153" w:right="1127" w:firstLine="420"/>
        <w:jc w:val="left"/>
      </w:pPr>
      <w:r>
        <w:rPr>
          <w:spacing w:val="-2"/>
        </w:rPr>
        <w:t>公司报告期末至年度报告披露日股本是否因发行新股、增发、配股、股权激励行权、回购等原因发生</w:t>
      </w:r>
      <w:r>
        <w:rPr>
          <w:w w:val="100"/>
        </w:rPr>
        <w:t> </w:t>
      </w:r>
      <w:r>
        <w:rPr/>
        <w:t>变化且影响所有者权益金额</w:t>
      </w:r>
    </w:p>
    <w:p>
      <w:pPr>
        <w:pStyle w:val="BodyText"/>
        <w:spacing w:line="240" w:lineRule="auto" w:before="144"/>
        <w:ind w:left="573" w:right="11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w:t>
      </w:r>
    </w:p>
    <w:p>
      <w:pPr>
        <w:spacing w:line="240" w:lineRule="auto" w:before="4"/>
        <w:rPr>
          <w:rFonts w:ascii="宋体" w:hAnsi="宋体" w:cs="宋体" w:eastAsia="宋体" w:hint="default"/>
          <w:sz w:val="16"/>
          <w:szCs w:val="16"/>
        </w:rPr>
      </w:pPr>
    </w:p>
    <w:tbl>
      <w:tblPr>
        <w:tblW w:w="0" w:type="auto"/>
        <w:jc w:val="left"/>
        <w:tblInd w:w="149" w:type="dxa"/>
        <w:tblLayout w:type="fixed"/>
        <w:tblCellMar>
          <w:top w:w="0" w:type="dxa"/>
          <w:left w:w="0" w:type="dxa"/>
          <w:bottom w:w="0" w:type="dxa"/>
          <w:right w:w="0" w:type="dxa"/>
        </w:tblCellMar>
        <w:tblLook w:val="01E0"/>
      </w:tblPr>
      <w:tblGrid>
        <w:gridCol w:w="4523"/>
        <w:gridCol w:w="5045"/>
      </w:tblGrid>
      <w:tr>
        <w:trPr>
          <w:trHeight w:val="509" w:hRule="exact"/>
        </w:trPr>
        <w:tc>
          <w:tcPr>
            <w:tcW w:w="4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支付的优先股股利</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0.00</w:t>
            </w:r>
          </w:p>
        </w:tc>
      </w:tr>
      <w:tr>
        <w:trPr>
          <w:trHeight w:val="509" w:hRule="exact"/>
        </w:trPr>
        <w:tc>
          <w:tcPr>
            <w:tcW w:w="4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0.1475</w:t>
            </w:r>
          </w:p>
        </w:tc>
      </w:tr>
    </w:tbl>
    <w:p>
      <w:pPr>
        <w:spacing w:line="240" w:lineRule="auto" w:before="1"/>
        <w:rPr>
          <w:rFonts w:ascii="宋体" w:hAnsi="宋体" w:cs="宋体" w:eastAsia="宋体" w:hint="default"/>
          <w:sz w:val="18"/>
          <w:szCs w:val="18"/>
        </w:rPr>
      </w:pPr>
    </w:p>
    <w:p>
      <w:pPr>
        <w:pStyle w:val="Heading2"/>
        <w:spacing w:line="240" w:lineRule="auto" w:before="26"/>
        <w:ind w:right="1127"/>
        <w:jc w:val="left"/>
        <w:rPr>
          <w:b w:val="0"/>
          <w:bCs w:val="0"/>
        </w:rPr>
      </w:pPr>
      <w:bookmarkStart w:name="六、分季度主要财务指标" w:id="12"/>
      <w:bookmarkEnd w:id="12"/>
      <w:r>
        <w:rPr>
          <w:b w:val="0"/>
          <w:bCs w:val="0"/>
        </w:rPr>
      </w:r>
      <w:r>
        <w:rPr/>
        <w:t>六、分季度主要财务指标</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6"/>
        <w:ind w:left="0" w:right="1130"/>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506"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509"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6"/>
              <w:ind w:right="16"/>
              <w:jc w:val="right"/>
              <w:rPr>
                <w:rFonts w:ascii="Times New Roman" w:hAnsi="Times New Roman" w:cs="Times New Roman" w:eastAsia="Times New Roman" w:hint="default"/>
                <w:sz w:val="18"/>
                <w:szCs w:val="18"/>
              </w:rPr>
            </w:pPr>
            <w:r>
              <w:rPr>
                <w:rFonts w:ascii="Times New Roman"/>
                <w:spacing w:val="-1"/>
                <w:sz w:val="18"/>
              </w:rPr>
              <w:t>684,133,779.40</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544,248,869.30</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1,001,545,644.70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1,099,465,534.96</w:t>
            </w:r>
          </w:p>
        </w:tc>
      </w:tr>
      <w:tr>
        <w:trPr>
          <w:trHeight w:val="509"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89,590,808.11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48,975,667.03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87,500,747.00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32,574,538.40</w:t>
            </w:r>
          </w:p>
        </w:tc>
      </w:tr>
      <w:tr>
        <w:trPr>
          <w:trHeight w:val="509"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归属于上市公司股东的扣除非经</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81,313,173.96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44,926,882.67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86,377,957.08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18,354,139.22</w:t>
            </w:r>
          </w:p>
        </w:tc>
      </w:tr>
    </w:tbl>
    <w:p>
      <w:pPr>
        <w:spacing w:after="0" w:line="240" w:lineRule="auto"/>
        <w:jc w:val="right"/>
        <w:rPr>
          <w:rFonts w:ascii="Times New Roman" w:hAnsi="Times New Roman" w:cs="Times New Roman" w:eastAsia="Times New Roman" w:hint="default"/>
          <w:sz w:val="18"/>
          <w:szCs w:val="18"/>
        </w:rPr>
        <w:sectPr>
          <w:footerReference w:type="default" r:id="rId20"/>
          <w:pgSz w:w="11910" w:h="16840"/>
          <w:pgMar w:footer="1134" w:header="882" w:top="1100" w:bottom="1320" w:left="980" w:right="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620"/>
        <w:gridCol w:w="1740"/>
        <w:gridCol w:w="1740"/>
        <w:gridCol w:w="1738"/>
        <w:gridCol w:w="1730"/>
      </w:tblGrid>
      <w:tr>
        <w:trPr>
          <w:trHeight w:val="415" w:hRule="exact"/>
        </w:trPr>
        <w:tc>
          <w:tcPr>
            <w:tcW w:w="2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23" w:right="0"/>
              <w:jc w:val="left"/>
              <w:rPr>
                <w:rFonts w:ascii="Times New Roman" w:hAnsi="Times New Roman" w:cs="Times New Roman" w:eastAsia="Times New Roman" w:hint="default"/>
                <w:sz w:val="18"/>
                <w:szCs w:val="18"/>
              </w:rPr>
            </w:pPr>
            <w:r>
              <w:rPr>
                <w:rFonts w:ascii="Times New Roman"/>
                <w:sz w:val="18"/>
              </w:rPr>
              <w:t>-237,522,570.20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80" w:right="0"/>
              <w:jc w:val="left"/>
              <w:rPr>
                <w:rFonts w:ascii="Times New Roman" w:hAnsi="Times New Roman" w:cs="Times New Roman" w:eastAsia="Times New Roman" w:hint="default"/>
                <w:sz w:val="18"/>
                <w:szCs w:val="18"/>
              </w:rPr>
            </w:pPr>
            <w:r>
              <w:rPr>
                <w:rFonts w:ascii="Times New Roman"/>
                <w:sz w:val="18"/>
              </w:rPr>
              <w:t>305,386,952.27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71" w:right="0"/>
              <w:jc w:val="left"/>
              <w:rPr>
                <w:rFonts w:ascii="Times New Roman" w:hAnsi="Times New Roman" w:cs="Times New Roman" w:eastAsia="Times New Roman" w:hint="default"/>
                <w:sz w:val="18"/>
                <w:szCs w:val="18"/>
              </w:rPr>
            </w:pPr>
            <w:r>
              <w:rPr>
                <w:rFonts w:ascii="Times New Roman"/>
                <w:sz w:val="18"/>
              </w:rPr>
              <w:t>39,776,672.89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71" w:right="0"/>
              <w:jc w:val="left"/>
              <w:rPr>
                <w:rFonts w:ascii="Times New Roman" w:hAnsi="Times New Roman" w:cs="Times New Roman" w:eastAsia="Times New Roman" w:hint="default"/>
                <w:sz w:val="18"/>
                <w:szCs w:val="18"/>
              </w:rPr>
            </w:pPr>
            <w:r>
              <w:rPr>
                <w:rFonts w:ascii="Times New Roman"/>
                <w:sz w:val="18"/>
              </w:rPr>
              <w:t>552,219,516.02</w:t>
            </w:r>
          </w:p>
        </w:tc>
      </w:tr>
    </w:tbl>
    <w:p>
      <w:pPr>
        <w:spacing w:line="240" w:lineRule="auto" w:before="11"/>
        <w:rPr>
          <w:rFonts w:ascii="宋体" w:hAnsi="宋体" w:cs="宋体" w:eastAsia="宋体" w:hint="default"/>
          <w:sz w:val="9"/>
          <w:szCs w:val="9"/>
        </w:rPr>
      </w:pPr>
    </w:p>
    <w:p>
      <w:pPr>
        <w:pStyle w:val="BodyText"/>
        <w:spacing w:line="240" w:lineRule="auto" w:before="36"/>
        <w:ind w:right="1127"/>
        <w:jc w:val="left"/>
      </w:pPr>
      <w:r>
        <w:rPr/>
        <w:t>上述财务指标或其加总数是否与公司已披露季度报告、半年度报告相关财务指标存在重大差异</w:t>
      </w:r>
    </w:p>
    <w:p>
      <w:pPr>
        <w:spacing w:line="240" w:lineRule="auto" w:before="4"/>
        <w:rPr>
          <w:rFonts w:ascii="宋体" w:hAnsi="宋体" w:cs="宋体" w:eastAsia="宋体" w:hint="default"/>
          <w:sz w:val="22"/>
          <w:szCs w:val="22"/>
        </w:rPr>
      </w:pPr>
    </w:p>
    <w:p>
      <w:pPr>
        <w:pStyle w:val="BodyText"/>
        <w:spacing w:line="240" w:lineRule="auto"/>
        <w:ind w:right="11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9"/>
        <w:rPr>
          <w:rFonts w:ascii="宋体" w:hAnsi="宋体" w:cs="宋体" w:eastAsia="宋体" w:hint="default"/>
          <w:sz w:val="28"/>
          <w:szCs w:val="28"/>
        </w:rPr>
      </w:pPr>
    </w:p>
    <w:p>
      <w:pPr>
        <w:pStyle w:val="Heading2"/>
        <w:spacing w:line="240" w:lineRule="auto"/>
        <w:ind w:right="1127"/>
        <w:jc w:val="left"/>
        <w:rPr>
          <w:b w:val="0"/>
          <w:bCs w:val="0"/>
        </w:rPr>
      </w:pPr>
      <w:bookmarkStart w:name="七、境内外会计准则下会计数据差异" w:id="13"/>
      <w:bookmarkEnd w:id="13"/>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7"/>
        <w:jc w:val="left"/>
        <w:rPr>
          <w:b w:val="0"/>
          <w:bCs w:val="0"/>
        </w:rPr>
      </w:pPr>
      <w:bookmarkStart w:name="1、同时按照国际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30"/>
          <w:szCs w:val="30"/>
        </w:rPr>
      </w:pPr>
    </w:p>
    <w:p>
      <w:pPr>
        <w:pStyle w:val="BodyText"/>
        <w:spacing w:line="47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公司报告期不存在按照国际会计准则与按照中国会计准则披露的财务报告中净利润和净资产差异情</w:t>
      </w:r>
    </w:p>
    <w:p>
      <w:pPr>
        <w:pStyle w:val="BodyText"/>
        <w:spacing w:line="266" w:lineRule="exact"/>
        <w:ind w:left="152" w:right="1127"/>
        <w:jc w:val="left"/>
      </w:pPr>
      <w:r>
        <w:rPr/>
        <w:t>况。</w:t>
      </w:r>
    </w:p>
    <w:p>
      <w:pPr>
        <w:spacing w:line="240" w:lineRule="auto" w:before="0"/>
        <w:rPr>
          <w:rFonts w:ascii="宋体" w:hAnsi="宋体" w:cs="宋体" w:eastAsia="宋体" w:hint="default"/>
          <w:sz w:val="20"/>
          <w:szCs w:val="20"/>
        </w:rPr>
      </w:pPr>
    </w:p>
    <w:p>
      <w:pPr>
        <w:pStyle w:val="Heading4"/>
        <w:spacing w:line="240" w:lineRule="auto" w:before="152"/>
        <w:ind w:right="1127"/>
        <w:jc w:val="left"/>
        <w:rPr>
          <w:b w:val="0"/>
          <w:bCs w:val="0"/>
        </w:rPr>
      </w:pPr>
      <w:bookmarkStart w:name="2、同时按照境外会计准则与按照中国会计准则披露的财务报告中净利润和净资产差异情况" w:id="15"/>
      <w:bookmarkEnd w:id="15"/>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30"/>
          <w:szCs w:val="30"/>
        </w:rPr>
      </w:pPr>
    </w:p>
    <w:p>
      <w:pPr>
        <w:pStyle w:val="BodyText"/>
        <w:spacing w:line="47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公司报告期不存在按照境外会计准则与按照中国会计准则披露的财务报告中净利润和净资产差异情</w:t>
      </w:r>
    </w:p>
    <w:p>
      <w:pPr>
        <w:pStyle w:val="BodyText"/>
        <w:spacing w:line="266" w:lineRule="exact"/>
        <w:ind w:left="152" w:right="1127"/>
        <w:jc w:val="left"/>
      </w:pPr>
      <w:r>
        <w:rPr/>
        <w:t>况。</w:t>
      </w:r>
    </w:p>
    <w:p>
      <w:pPr>
        <w:spacing w:line="240" w:lineRule="auto" w:before="11"/>
        <w:rPr>
          <w:rFonts w:ascii="宋体" w:hAnsi="宋体" w:cs="宋体" w:eastAsia="宋体" w:hint="default"/>
          <w:sz w:val="29"/>
          <w:szCs w:val="29"/>
        </w:rPr>
      </w:pPr>
    </w:p>
    <w:p>
      <w:pPr>
        <w:pStyle w:val="Heading2"/>
        <w:spacing w:line="240" w:lineRule="auto"/>
        <w:ind w:right="1127"/>
        <w:jc w:val="left"/>
        <w:rPr>
          <w:b w:val="0"/>
          <w:bCs w:val="0"/>
        </w:rPr>
      </w:pPr>
      <w:bookmarkStart w:name="八、非经常性损益项目及金额" w:id="16"/>
      <w:bookmarkEnd w:id="16"/>
      <w:r>
        <w:rPr>
          <w:b w:val="0"/>
          <w:bCs w:val="0"/>
        </w:rPr>
      </w:r>
      <w:r>
        <w:rPr/>
        <w:t>八、非经常性损益项目及金额</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BodyText"/>
        <w:spacing w:line="240" w:lineRule="auto"/>
        <w:ind w:left="0" w:right="1130"/>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295"/>
        <w:gridCol w:w="1522"/>
        <w:gridCol w:w="1519"/>
        <w:gridCol w:w="1522"/>
        <w:gridCol w:w="1711"/>
      </w:tblGrid>
      <w:tr>
        <w:trPr>
          <w:trHeight w:val="509"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17" w:hRule="exact"/>
        </w:trPr>
        <w:tc>
          <w:tcPr>
            <w:tcW w:w="3295" w:type="dxa"/>
            <w:tcBorders>
              <w:top w:val="single" w:sz="4" w:space="0" w:color="000000"/>
              <w:left w:val="single" w:sz="4" w:space="0" w:color="000000"/>
              <w:bottom w:val="nil" w:sz="6" w:space="0" w:color="auto"/>
              <w:right w:val="single" w:sz="4" w:space="0" w:color="000000"/>
            </w:tcBorders>
            <w:shd w:val="clear" w:color="auto" w:fill="D4D4D4"/>
          </w:tcPr>
          <w:p>
            <w:pPr/>
          </w:p>
        </w:tc>
        <w:tc>
          <w:tcPr>
            <w:tcW w:w="1522"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451" w:right="0"/>
              <w:jc w:val="left"/>
              <w:rPr>
                <w:rFonts w:ascii="Times New Roman" w:hAnsi="Times New Roman" w:cs="Times New Roman" w:eastAsia="Times New Roman" w:hint="default"/>
                <w:sz w:val="18"/>
                <w:szCs w:val="18"/>
              </w:rPr>
            </w:pPr>
            <w:r>
              <w:rPr>
                <w:rFonts w:ascii="Times New Roman"/>
                <w:sz w:val="18"/>
              </w:rPr>
              <w:t>15,732,115.29</w:t>
            </w: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393" w:right="0"/>
              <w:jc w:val="left"/>
              <w:rPr>
                <w:rFonts w:ascii="Times New Roman" w:hAnsi="Times New Roman" w:cs="Times New Roman" w:eastAsia="Times New Roman" w:hint="default"/>
                <w:sz w:val="18"/>
                <w:szCs w:val="18"/>
              </w:rPr>
            </w:pPr>
            <w:r>
              <w:rPr>
                <w:rFonts w:ascii="Times New Roman"/>
                <w:sz w:val="18"/>
              </w:rPr>
              <w:t>-14,106,635.39</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456" w:right="0"/>
              <w:jc w:val="left"/>
              <w:rPr>
                <w:rFonts w:ascii="Times New Roman" w:hAnsi="Times New Roman" w:cs="Times New Roman" w:eastAsia="Times New Roman" w:hint="default"/>
                <w:sz w:val="18"/>
                <w:szCs w:val="18"/>
              </w:rPr>
            </w:pPr>
            <w:r>
              <w:rPr>
                <w:rFonts w:ascii="Times New Roman"/>
                <w:sz w:val="18"/>
              </w:rPr>
              <w:t>12,582,672.51</w:t>
            </w:r>
          </w:p>
        </w:tc>
        <w:tc>
          <w:tcPr>
            <w:tcW w:w="1711" w:type="dxa"/>
            <w:vMerge w:val="restart"/>
            <w:tcBorders>
              <w:top w:val="single" w:sz="4" w:space="0" w:color="000000"/>
              <w:left w:val="single" w:sz="4" w:space="0" w:color="000000"/>
              <w:right w:val="single" w:sz="4" w:space="0" w:color="000000"/>
            </w:tcBorders>
          </w:tcPr>
          <w:p>
            <w:pPr>
              <w:pStyle w:val="TableParagraph"/>
              <w:spacing w:line="316" w:lineRule="auto" w:before="101"/>
              <w:ind w:left="40" w:right="38"/>
              <w:jc w:val="center"/>
              <w:rPr>
                <w:rFonts w:ascii="宋体" w:hAnsi="宋体" w:cs="宋体" w:eastAsia="宋体" w:hint="default"/>
                <w:sz w:val="18"/>
                <w:szCs w:val="18"/>
              </w:rPr>
            </w:pPr>
            <w:r>
              <w:rPr>
                <w:rFonts w:ascii="宋体" w:hAnsi="宋体" w:cs="宋体" w:eastAsia="宋体" w:hint="default"/>
                <w:sz w:val="18"/>
                <w:szCs w:val="18"/>
              </w:rPr>
              <w:t>主要是本报告期旋极 伏羲处置子公司郑州 众合景轩信息技术有 限公司所致</w:t>
            </w:r>
          </w:p>
        </w:tc>
      </w:tr>
      <w:tr>
        <w:trPr>
          <w:trHeight w:val="809" w:hRule="exact"/>
        </w:trPr>
        <w:tc>
          <w:tcPr>
            <w:tcW w:w="32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4" w:lineRule="auto" w:before="101"/>
              <w:ind w:left="832" w:right="19" w:hanging="80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vMerge/>
            <w:tcBorders>
              <w:left w:val="single" w:sz="10" w:space="0" w:color="D4D4D4"/>
              <w:right w:val="single" w:sz="4" w:space="0" w:color="000000"/>
            </w:tcBorders>
          </w:tcPr>
          <w:p>
            <w:pPr/>
          </w:p>
        </w:tc>
        <w:tc>
          <w:tcPr>
            <w:tcW w:w="1519"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317" w:hRule="exact"/>
        </w:trPr>
        <w:tc>
          <w:tcPr>
            <w:tcW w:w="32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522" w:type="dxa"/>
            <w:vMerge/>
            <w:tcBorders>
              <w:left w:val="single" w:sz="10" w:space="0" w:color="D4D4D4"/>
              <w:bottom w:val="single" w:sz="4" w:space="0" w:color="000000"/>
              <w:right w:val="single" w:sz="4" w:space="0" w:color="000000"/>
            </w:tcBorders>
          </w:tcPr>
          <w:p>
            <w:pPr/>
          </w:p>
        </w:tc>
        <w:tc>
          <w:tcPr>
            <w:tcW w:w="1519"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1133"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23" w:right="19"/>
              <w:jc w:val="center"/>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11,159,190.76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27,403,503.18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56" w:right="0"/>
              <w:jc w:val="left"/>
              <w:rPr>
                <w:rFonts w:ascii="Times New Roman" w:hAnsi="Times New Roman" w:cs="Times New Roman" w:eastAsia="Times New Roman" w:hint="default"/>
                <w:sz w:val="18"/>
                <w:szCs w:val="18"/>
              </w:rPr>
            </w:pPr>
            <w:r>
              <w:rPr>
                <w:rFonts w:ascii="Times New Roman"/>
                <w:sz w:val="18"/>
              </w:rPr>
              <w:t>17,640,564.97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300" w:lineRule="auto"/>
              <w:ind w:left="631" w:right="89"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明细详见附注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政府 补助</w:t>
            </w:r>
            <w:r>
              <w:rPr>
                <w:rFonts w:ascii="Times New Roman" w:hAnsi="Times New Roman" w:cs="Times New Roman" w:eastAsia="Times New Roman" w:hint="default"/>
                <w:sz w:val="18"/>
                <w:szCs w:val="18"/>
              </w:rPr>
              <w:t>”</w:t>
            </w:r>
          </w:p>
        </w:tc>
      </w:tr>
      <w:tr>
        <w:trPr>
          <w:trHeight w:val="821"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832" w:right="19" w:hanging="80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2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1,302,908.55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1"/>
          <w:footerReference w:type="default" r:id="rId22"/>
          <w:pgSz w:w="11910" w:h="16840"/>
          <w:pgMar w:header="882" w:footer="1134" w:top="1280" w:bottom="1320" w:left="980" w:right="0"/>
          <w:pgNumType w:start="11"/>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283"/>
        <w:gridCol w:w="1532"/>
        <w:gridCol w:w="1519"/>
        <w:gridCol w:w="1522"/>
        <w:gridCol w:w="1711"/>
      </w:tblGrid>
      <w:tr>
        <w:trPr>
          <w:trHeight w:val="2381"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22" w:right="8"/>
              <w:jc w:val="center"/>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9"/>
              <w:jc w:val="right"/>
              <w:rPr>
                <w:rFonts w:ascii="Times New Roman" w:hAnsi="Times New Roman" w:cs="Times New Roman" w:eastAsia="Times New Roman" w:hint="default"/>
                <w:sz w:val="18"/>
                <w:szCs w:val="18"/>
              </w:rPr>
            </w:pPr>
            <w:r>
              <w:rPr>
                <w:rFonts w:ascii="Times New Roman"/>
                <w:spacing w:val="-1"/>
                <w:sz w:val="18"/>
              </w:rPr>
              <w:t>4,267,173.59</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6"/>
              <w:jc w:val="right"/>
              <w:rPr>
                <w:rFonts w:ascii="Times New Roman" w:hAnsi="Times New Roman" w:cs="Times New Roman" w:eastAsia="Times New Roman" w:hint="default"/>
                <w:sz w:val="18"/>
                <w:szCs w:val="18"/>
              </w:rPr>
            </w:pPr>
            <w:r>
              <w:rPr>
                <w:rFonts w:ascii="Times New Roman"/>
                <w:spacing w:val="-1"/>
                <w:sz w:val="18"/>
              </w:rPr>
              <w:t>1,663,780.90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9"/>
              <w:jc w:val="right"/>
              <w:rPr>
                <w:rFonts w:ascii="Times New Roman" w:hAnsi="Times New Roman" w:cs="Times New Roman" w:eastAsia="Times New Roman" w:hint="default"/>
                <w:sz w:val="18"/>
                <w:szCs w:val="18"/>
              </w:rPr>
            </w:pPr>
            <w:r>
              <w:rPr>
                <w:rFonts w:ascii="Times New Roman"/>
                <w:spacing w:val="-1"/>
                <w:sz w:val="18"/>
              </w:rPr>
              <w:t>16,775,039.30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580" w:right="38" w:hanging="540"/>
              <w:jc w:val="left"/>
              <w:rPr>
                <w:rFonts w:ascii="宋体" w:hAnsi="宋体" w:cs="宋体" w:eastAsia="宋体" w:hint="default"/>
                <w:sz w:val="18"/>
                <w:szCs w:val="18"/>
              </w:rPr>
            </w:pPr>
            <w:r>
              <w:rPr>
                <w:rFonts w:ascii="宋体" w:hAnsi="宋体" w:cs="宋体" w:eastAsia="宋体" w:hint="default"/>
                <w:sz w:val="18"/>
                <w:szCs w:val="18"/>
              </w:rPr>
              <w:t>主要系中关村银行评 估增值</w:t>
            </w:r>
          </w:p>
        </w:tc>
      </w:tr>
      <w:tr>
        <w:trPr>
          <w:trHeight w:val="506"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1,064,964.45</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-8,175,443.39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-10,827,010.70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9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2,610,673.81</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-500,698.72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5,915,189.30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65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1,943,162.67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-5,681,166.17</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925,128.79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27,669,607.61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14,269,978.74</w:t>
            </w:r>
          </w:p>
        </w:tc>
        <w:tc>
          <w:tcPr>
            <w:tcW w:w="152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144"/>
              <w:ind w:right="6"/>
              <w:jc w:val="right"/>
              <w:rPr>
                <w:rFonts w:ascii="Times New Roman" w:hAnsi="Times New Roman" w:cs="Times New Roman" w:eastAsia="Times New Roman" w:hint="default"/>
                <w:sz w:val="18"/>
                <w:szCs w:val="18"/>
              </w:rPr>
            </w:pPr>
            <w:r>
              <w:rPr>
                <w:rFonts w:ascii="Times New Roman"/>
                <w:spacing w:val="-1"/>
                <w:sz w:val="18"/>
              </w:rPr>
              <w:t>29,330,947.99</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9"/>
          <w:szCs w:val="9"/>
        </w:rPr>
      </w:pPr>
    </w:p>
    <w:p>
      <w:pPr>
        <w:pStyle w:val="BodyText"/>
        <w:spacing w:line="240" w:lineRule="auto" w:before="36"/>
        <w:ind w:right="0"/>
        <w:jc w:val="left"/>
      </w:pPr>
      <w:r>
        <w:rPr>
          <w:spacing w:val="-2"/>
        </w:rPr>
        <w:t>对公司根据《公开发行证券的公司信息披露解释性公告第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2"/>
        </w:rPr>
        <w:t>号</w:t>
      </w:r>
      <w:r>
        <w:rPr>
          <w:rFonts w:ascii="Times New Roman" w:hAnsi="Times New Roman" w:cs="Times New Roman" w:eastAsia="Times New Roman" w:hint="default"/>
          <w:spacing w:val="-2"/>
        </w:rPr>
        <w:t>——</w:t>
      </w:r>
      <w:r>
        <w:rPr>
          <w:spacing w:val="-2"/>
        </w:rPr>
        <w:t>非经常性损益》定义界定的非经常</w:t>
      </w:r>
    </w:p>
    <w:p>
      <w:pPr>
        <w:pStyle w:val="BodyText"/>
        <w:spacing w:line="386" w:lineRule="auto" w:before="177"/>
        <w:ind w:left="153" w:right="0" w:hanging="1"/>
        <w:jc w:val="left"/>
      </w:pPr>
      <w:r>
        <w:rPr>
          <w:spacing w:val="-2"/>
        </w:rPr>
        <w:t>性损益项目，以及把《公开发行证券的公司信息披露解释性公告第</w:t>
      </w:r>
      <w:r>
        <w:rPr/>
        <w:t> </w:t>
      </w:r>
      <w:r>
        <w:rPr>
          <w:rFonts w:ascii="Times New Roman" w:hAnsi="Times New Roman" w:cs="Times New Roman" w:eastAsia="Times New Roman" w:hint="default"/>
        </w:rPr>
        <w:t>1 </w:t>
      </w:r>
      <w:r>
        <w:rPr>
          <w:spacing w:val="-2"/>
        </w:rPr>
        <w:t>号</w:t>
      </w:r>
      <w:r>
        <w:rPr>
          <w:rFonts w:ascii="Times New Roman" w:hAnsi="Times New Roman" w:cs="Times New Roman" w:eastAsia="Times New Roman" w:hint="default"/>
          <w:spacing w:val="-2"/>
        </w:rPr>
        <w:t>——</w:t>
      </w:r>
      <w:r>
        <w:rPr>
          <w:spacing w:val="-2"/>
        </w:rPr>
        <w:t>非经常性损益》中列举的非经</w:t>
      </w:r>
      <w:r>
        <w:rPr>
          <w:spacing w:val="-99"/>
        </w:rPr>
        <w:t> </w:t>
      </w:r>
      <w:r>
        <w:rPr>
          <w:spacing w:val="-99"/>
        </w:rPr>
      </w:r>
      <w:r>
        <w:rPr/>
        <w:t>常性损益项目界定为经常性损益的项目，应说明原因</w:t>
      </w:r>
    </w:p>
    <w:p>
      <w:pPr>
        <w:pStyle w:val="BodyText"/>
        <w:spacing w:line="240" w:lineRule="auto" w:before="166"/>
        <w:ind w:left="573"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BodyText"/>
        <w:spacing w:line="386" w:lineRule="auto"/>
        <w:ind w:left="153" w:right="0" w:firstLine="419"/>
        <w:jc w:val="left"/>
      </w:pPr>
      <w:r>
        <w:rPr>
          <w:spacing w:val="-4"/>
        </w:rPr>
        <w:t>公司报告期不存在将根据《公开发行证券的公司信息披露解释性公告第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spacing w:val="-7"/>
        </w:rPr>
        <w:t>号</w:t>
      </w:r>
      <w:r>
        <w:rPr>
          <w:rFonts w:ascii="Times New Roman" w:hAnsi="Times New Roman" w:cs="Times New Roman" w:eastAsia="Times New Roman" w:hint="default"/>
          <w:spacing w:val="-7"/>
        </w:rPr>
        <w:t>——</w:t>
      </w:r>
      <w:r>
        <w:rPr>
          <w:spacing w:val="-7"/>
        </w:rPr>
        <w:t>非经常性损益》定义、</w:t>
      </w:r>
      <w:r>
        <w:rPr>
          <w:w w:val="100"/>
        </w:rPr>
        <w:t> </w:t>
      </w:r>
      <w:r>
        <w:rPr/>
        <w:t>列举的非经常性损益项目界定为经常性损益的项目的情形。</w:t>
      </w:r>
    </w:p>
    <w:p>
      <w:pPr>
        <w:spacing w:after="0" w:line="386" w:lineRule="auto"/>
        <w:jc w:val="left"/>
        <w:sectPr>
          <w:pgSz w:w="11910" w:h="16840"/>
          <w:pgMar w:header="882" w:footer="1134" w:top="1280" w:bottom="132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1"/>
        <w:spacing w:line="240" w:lineRule="auto"/>
        <w:ind w:left="3450" w:right="1127"/>
        <w:jc w:val="left"/>
      </w:pPr>
      <w:bookmarkStart w:name="_TOC_250010" w:id="17"/>
      <w:bookmarkStart w:name="第三节 公司业务概要" w:id="18"/>
      <w:r>
        <w:rPr/>
      </w:r>
      <w:r>
        <w:rPr/>
        <w:t>第三节</w:t>
      </w:r>
      <w:r>
        <w:rPr>
          <w:spacing w:val="-2"/>
        </w:rPr>
        <w:t> </w:t>
      </w:r>
      <w:bookmarkEnd w:id="17"/>
      <w:r>
        <w:rPr/>
        <w:t>公司业务概要</w:t>
      </w:r>
    </w:p>
    <w:p>
      <w:pPr>
        <w:spacing w:line="240" w:lineRule="auto" w:before="2"/>
        <w:rPr>
          <w:rFonts w:ascii="黑体" w:hAnsi="黑体" w:cs="黑体" w:eastAsia="黑体" w:hint="default"/>
          <w:sz w:val="39"/>
          <w:szCs w:val="39"/>
        </w:rPr>
      </w:pPr>
    </w:p>
    <w:p>
      <w:pPr>
        <w:pStyle w:val="Heading2"/>
        <w:spacing w:line="240" w:lineRule="auto"/>
        <w:ind w:right="1127"/>
        <w:jc w:val="left"/>
        <w:rPr>
          <w:b w:val="0"/>
          <w:bCs w:val="0"/>
        </w:rPr>
      </w:pPr>
      <w:bookmarkStart w:name="一、报告期内公司从事的主要业务" w:id="19"/>
      <w:bookmarkEnd w:id="19"/>
      <w:r>
        <w:rPr>
          <w:b w:val="0"/>
          <w:bCs w:val="0"/>
        </w:rPr>
      </w:r>
      <w:r>
        <w:rPr/>
        <w:t>一、报告期内公司从事的主要业务</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left="152" w:right="1027" w:firstLine="419"/>
        <w:jc w:val="both"/>
      </w:pPr>
      <w:r>
        <w:rPr>
          <w:spacing w:val="-3"/>
        </w:rPr>
        <w:t>公司需遵守《深圳证券交易所行业信息披露指引第 </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上市公司从事软件与信息技术服务业务》</w:t>
      </w:r>
      <w:r>
        <w:rPr>
          <w:w w:val="100"/>
        </w:rPr>
        <w:t> </w:t>
      </w:r>
      <w:r>
        <w:rPr/>
        <w:t>的披露要求</w:t>
      </w:r>
    </w:p>
    <w:p>
      <w:pPr>
        <w:spacing w:line="240" w:lineRule="auto" w:before="2"/>
        <w:rPr>
          <w:rFonts w:ascii="宋体" w:hAnsi="宋体" w:cs="宋体" w:eastAsia="宋体" w:hint="default"/>
          <w:sz w:val="15"/>
          <w:szCs w:val="15"/>
        </w:rPr>
      </w:pPr>
    </w:p>
    <w:p>
      <w:pPr>
        <w:pStyle w:val="Heading3"/>
        <w:spacing w:line="240" w:lineRule="auto"/>
        <w:ind w:right="1127"/>
        <w:jc w:val="left"/>
      </w:pPr>
      <w:bookmarkStart w:name="（一）公司业务概述" w:id="20"/>
      <w:bookmarkEnd w:id="20"/>
      <w:r>
        <w:rPr/>
      </w:r>
      <w:r>
        <w:rPr/>
        <w:t>（一）公司业务概述</w:t>
      </w:r>
    </w:p>
    <w:p>
      <w:pPr>
        <w:spacing w:line="240" w:lineRule="auto" w:before="6"/>
        <w:rPr>
          <w:rFonts w:ascii="黑体" w:hAnsi="黑体" w:cs="黑体" w:eastAsia="黑体" w:hint="default"/>
          <w:sz w:val="25"/>
          <w:szCs w:val="25"/>
        </w:rPr>
      </w:pPr>
    </w:p>
    <w:p>
      <w:pPr>
        <w:pStyle w:val="BodyText"/>
        <w:spacing w:line="408" w:lineRule="auto"/>
        <w:ind w:left="152" w:right="1106" w:firstLine="420"/>
        <w:jc w:val="both"/>
      </w:pPr>
      <w:r>
        <w:rPr>
          <w:spacing w:val="-2"/>
        </w:rPr>
        <w:t>报告期内，公司继续保持和扩大在军民信息化领域的领先地位，公司管理层深入贯彻执行董事会的战</w:t>
      </w:r>
      <w:r>
        <w:rPr>
          <w:w w:val="100"/>
        </w:rPr>
        <w:t> </w:t>
      </w:r>
      <w:r>
        <w:rPr>
          <w:spacing w:val="-2"/>
        </w:rPr>
        <w:t>略部署，在智慧防务、税务信息化、智慧城市、时空大数据应用等关键业务方向进行整体规划并实施，主</w:t>
      </w:r>
      <w:r>
        <w:rPr>
          <w:spacing w:val="-43"/>
        </w:rPr>
        <w:t> </w:t>
      </w:r>
      <w:r>
        <w:rPr>
          <w:spacing w:val="-43"/>
        </w:rPr>
      </w:r>
      <w:r>
        <w:rPr>
          <w:spacing w:val="-2"/>
        </w:rPr>
        <w:t>要业务为面向国防军工的嵌入式系统测试产品及服务，电子元器件测试、筛选及可靠性保证服务，装备健</w:t>
      </w:r>
      <w:r>
        <w:rPr>
          <w:spacing w:val="-43"/>
        </w:rPr>
        <w:t> </w:t>
      </w:r>
      <w:r>
        <w:rPr>
          <w:spacing w:val="-43"/>
        </w:rPr>
      </w:r>
      <w:r>
        <w:rPr>
          <w:spacing w:val="-2"/>
        </w:rPr>
        <w:t>康管理产品体系，无线宽带自组网通信产品；面向税务和金融等行业的信息安全和信息服务产品及平台；</w:t>
      </w:r>
      <w:r>
        <w:rPr>
          <w:spacing w:val="-21"/>
        </w:rPr>
        <w:t> </w:t>
      </w:r>
      <w:r>
        <w:rPr>
          <w:spacing w:val="-21"/>
        </w:rPr>
      </w:r>
      <w:r>
        <w:rPr>
          <w:spacing w:val="-2"/>
        </w:rPr>
        <w:t>新型智慧城市建设的顶层设计、实施以及配套的智能设备与信息服务平台；面向油气行业信息化产品和服</w:t>
      </w:r>
      <w:r>
        <w:rPr>
          <w:spacing w:val="-42"/>
        </w:rPr>
        <w:t> </w:t>
      </w:r>
      <w:r>
        <w:rPr>
          <w:spacing w:val="-42"/>
        </w:rPr>
      </w:r>
      <w:r>
        <w:rPr/>
        <w:t>务；基于时空网格剖分和编码的时空大数据行业应用产品和服务。</w:t>
      </w:r>
    </w:p>
    <w:p>
      <w:pPr>
        <w:pStyle w:val="BodyText"/>
        <w:spacing w:line="484" w:lineRule="auto" w:before="166"/>
        <w:ind w:right="1127" w:firstLine="2"/>
        <w:jc w:val="left"/>
      </w:pPr>
      <w:bookmarkStart w:name="1、智慧防务业务" w:id="21"/>
      <w:bookmarkEnd w:id="21"/>
      <w:r>
        <w:rPr/>
      </w:r>
      <w:r>
        <w:rPr>
          <w:rFonts w:ascii="Times New Roman" w:hAnsi="Times New Roman" w:cs="Times New Roman" w:eastAsia="Times New Roman" w:hint="default"/>
          <w:b/>
          <w:bCs/>
        </w:rPr>
        <w:t>1</w:t>
      </w:r>
      <w:r>
        <w:rPr>
          <w:rFonts w:ascii="宋体" w:hAnsi="宋体" w:cs="宋体" w:eastAsia="宋体" w:hint="default"/>
          <w:b/>
          <w:bCs/>
        </w:rPr>
        <w:t>、智慧防务业务</w:t>
      </w:r>
      <w:r>
        <w:rPr>
          <w:rFonts w:ascii="宋体" w:hAnsi="宋体" w:cs="宋体" w:eastAsia="宋体" w:hint="default"/>
          <w:b/>
          <w:bCs/>
          <w:w w:val="100"/>
        </w:rPr>
        <w:t> </w:t>
      </w:r>
      <w:r>
        <w:rPr>
          <w:spacing w:val="-3"/>
        </w:rPr>
        <w:t>报告期内，按照业务发展规划和未来市场需求，完善规划体系，严格目标管理，持续加强型研产品质</w:t>
      </w:r>
      <w:r>
        <w:rPr/>
      </w:r>
    </w:p>
    <w:p>
      <w:pPr>
        <w:pStyle w:val="BodyText"/>
        <w:spacing w:line="254" w:lineRule="exact"/>
        <w:ind w:left="152" w:right="0"/>
        <w:jc w:val="left"/>
      </w:pPr>
      <w:r>
        <w:rPr/>
        <w:t>量管控、核心技术研发投入、人才引进培养、市场领域拓展，圆满保证了国庆阅兵等重大型号专项任务，</w:t>
      </w:r>
    </w:p>
    <w:p>
      <w:pPr>
        <w:spacing w:line="240" w:lineRule="auto" w:before="10"/>
        <w:rPr>
          <w:rFonts w:ascii="宋体" w:hAnsi="宋体" w:cs="宋体" w:eastAsia="宋体" w:hint="default"/>
          <w:sz w:val="14"/>
          <w:szCs w:val="14"/>
        </w:rPr>
      </w:pPr>
    </w:p>
    <w:p>
      <w:pPr>
        <w:pStyle w:val="BodyText"/>
        <w:spacing w:line="408" w:lineRule="auto"/>
        <w:ind w:right="1127" w:hanging="421"/>
        <w:jc w:val="left"/>
      </w:pPr>
      <w:r>
        <w:rPr/>
        <w:t>取得了多项重要突破性研制成果，为公司后续的发展，奠定了坚实的基础。</w:t>
      </w:r>
      <w:r>
        <w:rPr>
          <w:w w:val="100"/>
        </w:rPr>
        <w:t> </w:t>
      </w:r>
      <w:r>
        <w:rPr>
          <w:spacing w:val="-2"/>
        </w:rPr>
        <w:t>在嵌入式系统测试方面，形成了软件测试、总线测试和系统测试为主的全系列产品线，其中软件测试</w:t>
      </w:r>
    </w:p>
    <w:p>
      <w:pPr>
        <w:pStyle w:val="BodyText"/>
        <w:spacing w:line="403" w:lineRule="auto" w:before="46"/>
        <w:ind w:left="152" w:right="1024"/>
        <w:jc w:val="left"/>
      </w:pPr>
      <w:r>
        <w:rPr>
          <w:spacing w:val="-2"/>
        </w:rPr>
        <w:t>产品继续在军工国防市场保持较高市场占有率，同时不断拓展汽车电子、轨道交通等民用市场；在总线产</w:t>
      </w:r>
      <w:r>
        <w:rPr>
          <w:spacing w:val="-44"/>
        </w:rPr>
        <w:t> </w:t>
      </w:r>
      <w:r>
        <w:rPr>
          <w:spacing w:val="-44"/>
        </w:rPr>
      </w:r>
      <w:r>
        <w:rPr>
          <w:spacing w:val="-2"/>
        </w:rPr>
        <w:t>品方向上，已经形成了包括</w:t>
      </w:r>
      <w:r>
        <w:rPr>
          <w:rFonts w:ascii="Times New Roman" w:hAnsi="Times New Roman" w:cs="Times New Roman" w:eastAsia="Times New Roman" w:hint="default"/>
          <w:spacing w:val="-2"/>
        </w:rPr>
        <w:t>1553B</w:t>
      </w:r>
      <w:r>
        <w:rPr>
          <w:spacing w:val="-2"/>
        </w:rPr>
        <w:t>、</w:t>
      </w:r>
      <w:r>
        <w:rPr>
          <w:rFonts w:ascii="Times New Roman" w:hAnsi="Times New Roman" w:cs="Times New Roman" w:eastAsia="Times New Roman" w:hint="default"/>
          <w:spacing w:val="-2"/>
        </w:rPr>
        <w:t>ARINC429</w:t>
      </w:r>
      <w:r>
        <w:rPr>
          <w:spacing w:val="-2"/>
        </w:rPr>
        <w:t>、</w:t>
      </w:r>
      <w:r>
        <w:rPr>
          <w:rFonts w:ascii="Times New Roman" w:hAnsi="Times New Roman" w:cs="Times New Roman" w:eastAsia="Times New Roman" w:hint="default"/>
          <w:spacing w:val="-2"/>
        </w:rPr>
        <w:t>AFDX</w:t>
      </w:r>
      <w:r>
        <w:rPr>
          <w:spacing w:val="-2"/>
        </w:rPr>
        <w:t>、</w:t>
      </w:r>
      <w:r>
        <w:rPr>
          <w:rFonts w:ascii="Times New Roman" w:hAnsi="Times New Roman" w:cs="Times New Roman" w:eastAsia="Times New Roman" w:hint="default"/>
          <w:spacing w:val="-2"/>
        </w:rPr>
        <w:t>1394b</w:t>
      </w:r>
      <w:r>
        <w:rPr>
          <w:spacing w:val="-2"/>
        </w:rPr>
        <w:t>、</w:t>
      </w:r>
      <w:r>
        <w:rPr>
          <w:rFonts w:ascii="Times New Roman" w:hAnsi="Times New Roman" w:cs="Times New Roman" w:eastAsia="Times New Roman" w:hint="default"/>
          <w:spacing w:val="-2"/>
        </w:rPr>
        <w:t>FC-AE</w:t>
      </w:r>
      <w:r>
        <w:rPr>
          <w:spacing w:val="-2"/>
        </w:rPr>
        <w:t>、</w:t>
      </w:r>
      <w:r>
        <w:rPr>
          <w:rFonts w:ascii="Times New Roman" w:hAnsi="Times New Roman" w:cs="Times New Roman" w:eastAsia="Times New Roman" w:hint="default"/>
          <w:spacing w:val="-2"/>
        </w:rPr>
        <w:t>Rapid/IO</w:t>
      </w:r>
      <w:r>
        <w:rPr>
          <w:spacing w:val="-2"/>
        </w:rPr>
        <w:t>等涵盖主要军工型号应</w:t>
      </w:r>
      <w:r>
        <w:rPr>
          <w:spacing w:val="-50"/>
        </w:rPr>
        <w:t> </w:t>
      </w:r>
      <w:r>
        <w:rPr>
          <w:spacing w:val="-50"/>
        </w:rPr>
      </w:r>
      <w:r>
        <w:rPr>
          <w:spacing w:val="-2"/>
        </w:rPr>
        <w:t>用的总线接口类型的产品线，且已经在很多装备型号上得到应用和验证，随着公司在核心器件国产化领域</w:t>
      </w:r>
      <w:r>
        <w:rPr>
          <w:spacing w:val="-42"/>
        </w:rPr>
        <w:t> </w:t>
      </w:r>
      <w:r>
        <w:rPr>
          <w:spacing w:val="-42"/>
        </w:rPr>
      </w:r>
      <w:r>
        <w:rPr>
          <w:spacing w:val="-2"/>
        </w:rPr>
        <w:t>的持续投入，自主可控程度也在逐步提高。公司自主开发的各类系统级测试产品在卫星地面测试、装备通</w:t>
      </w:r>
      <w:r>
        <w:rPr>
          <w:spacing w:val="-44"/>
        </w:rPr>
        <w:t> </w:t>
      </w:r>
      <w:r>
        <w:rPr>
          <w:spacing w:val="-44"/>
        </w:rPr>
      </w:r>
      <w:r>
        <w:rPr>
          <w:spacing w:val="-2"/>
        </w:rPr>
        <w:t>信接口测试和测试验证领域广泛应用，取得了良好的市场效益。除标准化产品外，还为客户量身定制了多</w:t>
      </w:r>
      <w:r>
        <w:rPr>
          <w:spacing w:val="-43"/>
        </w:rPr>
        <w:t> </w:t>
      </w:r>
      <w:r>
        <w:rPr>
          <w:spacing w:val="-43"/>
        </w:rPr>
      </w:r>
      <w:r>
        <w:rPr>
          <w:spacing w:val="-2"/>
        </w:rPr>
        <w:t>型装备配套产品，包括中央处理模块、</w:t>
      </w:r>
      <w:r>
        <w:rPr>
          <w:rFonts w:ascii="Times New Roman" w:hAnsi="Times New Roman" w:cs="Times New Roman" w:eastAsia="Times New Roman" w:hint="default"/>
          <w:spacing w:val="-2"/>
        </w:rPr>
        <w:t>ASAAC</w:t>
      </w:r>
      <w:r>
        <w:rPr>
          <w:spacing w:val="-2"/>
        </w:rPr>
        <w:t>高速通信模块、高速图像处理模块、地面任务管理设备等。</w:t>
      </w:r>
      <w:r>
        <w:rPr>
          <w:spacing w:val="-19"/>
        </w:rPr>
        <w:t> </w:t>
      </w:r>
      <w:r>
        <w:rPr>
          <w:spacing w:val="-19"/>
        </w:rPr>
      </w:r>
      <w:r>
        <w:rPr>
          <w:spacing w:val="-2"/>
        </w:rPr>
        <w:t>同时公司也在测试实验领域开展新的探索，例如作战效能评估、测试设备仪器云平台、测试性验证实验室</w:t>
      </w:r>
      <w:r>
        <w:rPr>
          <w:spacing w:val="-47"/>
        </w:rPr>
        <w:t> </w:t>
      </w:r>
      <w:r>
        <w:rPr>
          <w:spacing w:val="-47"/>
        </w:rPr>
      </w:r>
      <w:r>
        <w:rPr>
          <w:spacing w:val="-2"/>
        </w:rPr>
        <w:t>等领域都取得了良好的效果。公司不断发挥自身技术优势，紧贴客户需求，确保全方位为用户提供符合需</w:t>
      </w:r>
      <w:r>
        <w:rPr>
          <w:spacing w:val="-42"/>
        </w:rPr>
        <w:t> </w:t>
      </w:r>
      <w:r>
        <w:rPr>
          <w:spacing w:val="-42"/>
        </w:rPr>
      </w:r>
      <w:r>
        <w:rPr/>
        <w:t>求的产品和服务，不断巩固了公司在嵌入式系统测试领域的市场地位。</w:t>
      </w:r>
    </w:p>
    <w:p>
      <w:pPr>
        <w:pStyle w:val="BodyText"/>
        <w:spacing w:line="240" w:lineRule="auto" w:before="50"/>
        <w:ind w:left="573" w:right="0"/>
        <w:jc w:val="left"/>
      </w:pPr>
      <w:r>
        <w:rPr/>
        <w:t>在电子元器件测试领域方面，作为国内领先的专业从事军用电子元器件可靠性保证的独立第三方检测</w:t>
      </w:r>
    </w:p>
    <w:p>
      <w:pPr>
        <w:spacing w:after="0" w:line="240" w:lineRule="auto"/>
        <w:jc w:val="left"/>
        <w:sectPr>
          <w:pgSz w:w="11910" w:h="16840"/>
          <w:pgMar w:header="882" w:footer="1134" w:top="1280" w:bottom="1320" w:left="980" w:right="0"/>
        </w:sectPr>
      </w:pPr>
    </w:p>
    <w:p>
      <w:pPr>
        <w:spacing w:line="240" w:lineRule="auto" w:before="4"/>
        <w:rPr>
          <w:rFonts w:ascii="宋体" w:hAnsi="宋体" w:cs="宋体" w:eastAsia="宋体" w:hint="default"/>
          <w:sz w:val="13"/>
          <w:szCs w:val="13"/>
        </w:rPr>
      </w:pPr>
    </w:p>
    <w:p>
      <w:pPr>
        <w:pStyle w:val="BodyText"/>
        <w:spacing w:line="403" w:lineRule="auto" w:before="36"/>
        <w:ind w:left="152" w:right="1128"/>
        <w:jc w:val="both"/>
      </w:pPr>
      <w:r>
        <w:rPr>
          <w:spacing w:val="-2"/>
        </w:rPr>
        <w:t>机构，公司全资子公司西安西谷是我国军工电子元器件检测项目最齐全的检测机构之一，主要从事电子元</w:t>
      </w:r>
      <w:r>
        <w:rPr>
          <w:spacing w:val="-42"/>
        </w:rPr>
        <w:t> </w:t>
      </w:r>
      <w:r>
        <w:rPr>
          <w:spacing w:val="-42"/>
        </w:rPr>
      </w:r>
      <w:r>
        <w:rPr>
          <w:spacing w:val="-2"/>
        </w:rPr>
        <w:t>器件测试、筛选及可靠性保证相关服务业务。该业务面向国防军工客户，检测服务对象为航空、航天、兵</w:t>
      </w:r>
      <w:r>
        <w:rPr>
          <w:spacing w:val="-43"/>
        </w:rPr>
        <w:t> </w:t>
      </w:r>
      <w:r>
        <w:rPr>
          <w:spacing w:val="-43"/>
        </w:rPr>
      </w:r>
      <w:r>
        <w:rPr>
          <w:spacing w:val="-3"/>
        </w:rPr>
        <w:t>器、电子、船舶等行业的军工企业，按照</w:t>
      </w:r>
      <w:r>
        <w:rPr>
          <w:rFonts w:ascii="Times New Roman" w:hAnsi="Times New Roman" w:cs="Times New Roman" w:eastAsia="Times New Roman" w:hint="default"/>
          <w:spacing w:val="-3"/>
        </w:rPr>
        <w:t>GJB</w:t>
      </w:r>
      <w:r>
        <w:rPr>
          <w:spacing w:val="-3"/>
        </w:rPr>
        <w:t>、</w:t>
      </w:r>
      <w:r>
        <w:rPr>
          <w:rFonts w:ascii="Times New Roman" w:hAnsi="Times New Roman" w:cs="Times New Roman" w:eastAsia="Times New Roman" w:hint="default"/>
          <w:spacing w:val="-3"/>
        </w:rPr>
        <w:t>GB</w:t>
      </w:r>
      <w:r>
        <w:rPr>
          <w:spacing w:val="-3"/>
        </w:rPr>
        <w:t>、行业标准、企业标准以及客户的要求来开展军用元器</w:t>
      </w:r>
      <w:r>
        <w:rPr>
          <w:spacing w:val="-28"/>
        </w:rPr>
        <w:t> </w:t>
      </w:r>
      <w:r>
        <w:rPr>
          <w:spacing w:val="-28"/>
        </w:rPr>
      </w:r>
      <w:r>
        <w:rPr>
          <w:spacing w:val="-2"/>
        </w:rPr>
        <w:t>件的测试筛选工作，可根据不同用户的要求，提供集成电路测试、分析、验证、老化筛选等完整的测试解</w:t>
      </w:r>
      <w:r>
        <w:rPr>
          <w:spacing w:val="-43"/>
        </w:rPr>
        <w:t> </w:t>
      </w:r>
      <w:r>
        <w:rPr>
          <w:spacing w:val="-43"/>
        </w:rPr>
      </w:r>
      <w:r>
        <w:rPr/>
        <w:t>决方案。</w:t>
      </w:r>
    </w:p>
    <w:p>
      <w:pPr>
        <w:pStyle w:val="BodyText"/>
        <w:spacing w:line="405" w:lineRule="auto" w:before="50"/>
        <w:ind w:left="152" w:right="1109" w:firstLine="420"/>
        <w:jc w:val="both"/>
      </w:pPr>
      <w:r>
        <w:rPr>
          <w:spacing w:val="-3"/>
        </w:rPr>
        <w:t>在装备综合保障方面，通过积极探索前沿先进技术，广泛调研市场需求，加大研发攻关力度，专业体</w:t>
      </w:r>
      <w:r>
        <w:rPr>
          <w:spacing w:val="-3"/>
          <w:w w:val="100"/>
        </w:rPr>
        <w:t> </w:t>
      </w:r>
      <w:r>
        <w:rPr>
          <w:spacing w:val="-2"/>
        </w:rPr>
        <w:t>系日趋完善，配套产品逐步完备，产品技术成熟度稳步提升，市场影响力日益扩大。多款型号产品按照合</w:t>
      </w:r>
      <w:r>
        <w:rPr>
          <w:spacing w:val="-50"/>
        </w:rPr>
        <w:t> </w:t>
      </w:r>
      <w:r>
        <w:rPr>
          <w:spacing w:val="-50"/>
        </w:rPr>
      </w:r>
      <w:r>
        <w:rPr>
          <w:spacing w:val="-2"/>
        </w:rPr>
        <w:t>同要求，高质量完成阶段研制任务，得到了客户的高度好评，实现了新的多个行业领域成功推广。技术基</w:t>
      </w:r>
      <w:r>
        <w:rPr>
          <w:spacing w:val="-50"/>
        </w:rPr>
        <w:t> </w:t>
      </w:r>
      <w:r>
        <w:rPr>
          <w:spacing w:val="-50"/>
        </w:rPr>
      </w:r>
      <w:r>
        <w:rPr>
          <w:spacing w:val="-2"/>
        </w:rPr>
        <w:t>础储备的大力投入，有效的保障了研发平台的先进性和完备性，主要技术人员通过近几年的培养和锻炼，</w:t>
      </w:r>
      <w:r>
        <w:rPr>
          <w:spacing w:val="-24"/>
        </w:rPr>
        <w:t> </w:t>
      </w:r>
      <w:r>
        <w:rPr>
          <w:spacing w:val="-24"/>
        </w:rPr>
      </w:r>
      <w:r>
        <w:rPr>
          <w:spacing w:val="-2"/>
        </w:rPr>
        <w:t>有些已成为具有行业影响力的专家，报告期内完成了多项产品升级换代的关键技术攻关，积累了大量的宝</w:t>
      </w:r>
      <w:r>
        <w:rPr>
          <w:spacing w:val="-42"/>
        </w:rPr>
        <w:t> </w:t>
      </w:r>
      <w:r>
        <w:rPr>
          <w:spacing w:val="-42"/>
        </w:rPr>
      </w:r>
      <w:r>
        <w:rPr>
          <w:spacing w:val="-2"/>
        </w:rPr>
        <w:t>贵试验数据，通过</w:t>
      </w:r>
      <w:r>
        <w:rPr>
          <w:rFonts w:ascii="Times New Roman" w:hAnsi="Times New Roman" w:cs="Times New Roman" w:eastAsia="Times New Roman" w:hint="default"/>
          <w:spacing w:val="-2"/>
        </w:rPr>
        <w:t>“</w:t>
      </w:r>
      <w:r>
        <w:rPr>
          <w:spacing w:val="-2"/>
        </w:rPr>
        <w:t>预研一代、研制一代、生产一代</w:t>
      </w:r>
      <w:r>
        <w:rPr>
          <w:rFonts w:ascii="Times New Roman" w:hAnsi="Times New Roman" w:cs="Times New Roman" w:eastAsia="Times New Roman" w:hint="default"/>
          <w:spacing w:val="-2"/>
        </w:rPr>
        <w:t>”</w:t>
      </w:r>
      <w:r>
        <w:rPr>
          <w:spacing w:val="-2"/>
        </w:rPr>
        <w:t>的统筹规划和科学迭代，为早日实现规模收益建立了</w:t>
      </w:r>
      <w:r>
        <w:rPr>
          <w:spacing w:val="-22"/>
        </w:rPr>
        <w:t> </w:t>
      </w:r>
      <w:r>
        <w:rPr>
          <w:spacing w:val="-22"/>
        </w:rPr>
      </w:r>
      <w:r>
        <w:rPr/>
        <w:t>坚实的根基。</w:t>
      </w:r>
    </w:p>
    <w:p>
      <w:pPr>
        <w:pStyle w:val="BodyText"/>
        <w:spacing w:line="403" w:lineRule="auto" w:before="48"/>
        <w:ind w:left="152" w:right="0" w:firstLine="420"/>
        <w:jc w:val="left"/>
      </w:pPr>
      <w:r>
        <w:rPr>
          <w:spacing w:val="-2"/>
        </w:rPr>
        <w:t>在通信指挥方面，多型通信产品顺利通过了定型前的各项鉴定试验，实现了单独定型，转入批产列装</w:t>
      </w:r>
      <w:r>
        <w:rPr>
          <w:spacing w:val="-3"/>
          <w:w w:val="100"/>
        </w:rPr>
        <w:t> </w:t>
      </w:r>
      <w:r>
        <w:rPr>
          <w:spacing w:val="-5"/>
        </w:rPr>
        <w:t>阶段，保证了后续几年的收入预期。通过统筹规划产品线，完善无线宽带自组网、末端自组网、噪声防护、</w:t>
      </w:r>
      <w:r>
        <w:rPr>
          <w:spacing w:val="-6"/>
        </w:rPr>
        <w:t> </w:t>
      </w:r>
      <w:r>
        <w:rPr>
          <w:spacing w:val="-6"/>
        </w:rPr>
      </w:r>
      <w:r>
        <w:rPr>
          <w:spacing w:val="-5"/>
        </w:rPr>
        <w:t>时空编码大数据、软件无线电、通信协议仿真等产品技术形态，努力实现技术先进、自主可控。报告期内，</w:t>
      </w:r>
      <w:r>
        <w:rPr>
          <w:spacing w:val="-8"/>
        </w:rPr>
        <w:t> </w:t>
      </w:r>
      <w:r>
        <w:rPr>
          <w:spacing w:val="-8"/>
        </w:rPr>
      </w:r>
      <w:r>
        <w:rPr>
          <w:spacing w:val="-5"/>
        </w:rPr>
        <w:t>新型</w:t>
      </w:r>
      <w:r>
        <w:rPr>
          <w:rFonts w:ascii="Times New Roman" w:hAnsi="Times New Roman" w:cs="Times New Roman" w:eastAsia="Times New Roman" w:hint="default"/>
          <w:spacing w:val="-5"/>
        </w:rPr>
        <w:t>4G</w:t>
      </w:r>
      <w:r>
        <w:rPr>
          <w:spacing w:val="-5"/>
        </w:rPr>
        <w:t>小型基站、双模手持式安全终端机、以太网数据交换机得到了推广应用。进一步升级了自组网模块，</w:t>
      </w:r>
      <w:r>
        <w:rPr>
          <w:spacing w:val="-49"/>
        </w:rPr>
        <w:t> </w:t>
      </w:r>
      <w:r>
        <w:rPr>
          <w:spacing w:val="-49"/>
        </w:rPr>
      </w:r>
      <w:r>
        <w:rPr/>
        <w:t>在行业内充分验证了先进性和未来市场拓展的可行性。目前公司正致力于自主创新的高速信息传输技术、</w:t>
      </w:r>
      <w:r>
        <w:rPr>
          <w:w w:val="100"/>
        </w:rPr>
        <w:t> </w:t>
      </w:r>
      <w:r>
        <w:rPr/>
        <w:t>装备</w:t>
      </w:r>
      <w:r>
        <w:rPr>
          <w:rFonts w:ascii="Times New Roman" w:hAnsi="Times New Roman" w:cs="Times New Roman" w:eastAsia="Times New Roman" w:hint="default"/>
        </w:rPr>
        <w:t>5G</w:t>
      </w:r>
      <w:r>
        <w:rPr/>
        <w:t>技术应用等具有巨大市场潜力价值的研究领域，力争早日实现成果应用，形成新的业务增长点。</w:t>
      </w:r>
    </w:p>
    <w:p>
      <w:pPr>
        <w:pStyle w:val="Heading4"/>
        <w:spacing w:line="240" w:lineRule="auto" w:before="139"/>
        <w:ind w:left="575" w:right="1127"/>
        <w:jc w:val="left"/>
        <w:rPr>
          <w:b w:val="0"/>
          <w:bCs w:val="0"/>
        </w:rPr>
      </w:pPr>
      <w:bookmarkStart w:name="2、税务信息化业务" w:id="22"/>
      <w:bookmarkEnd w:id="22"/>
      <w:r>
        <w:rPr>
          <w:b w:val="0"/>
          <w:bCs w:val="0"/>
        </w:rPr>
      </w:r>
      <w:r>
        <w:rPr>
          <w:rFonts w:ascii="Times New Roman" w:hAnsi="Times New Roman" w:cs="Times New Roman" w:eastAsia="Times New Roman" w:hint="default"/>
        </w:rPr>
        <w:t>2</w:t>
      </w:r>
      <w:r>
        <w:rPr/>
        <w:t>、税务信息化业务</w:t>
      </w:r>
      <w:r>
        <w:rPr>
          <w:b w:val="0"/>
          <w:bCs w:val="0"/>
        </w:rPr>
      </w:r>
    </w:p>
    <w:p>
      <w:pPr>
        <w:spacing w:line="240" w:lineRule="auto" w:before="9"/>
        <w:rPr>
          <w:rFonts w:ascii="宋体" w:hAnsi="宋体" w:cs="宋体" w:eastAsia="宋体" w:hint="default"/>
          <w:b/>
          <w:bCs/>
          <w:sz w:val="22"/>
          <w:szCs w:val="22"/>
        </w:rPr>
      </w:pPr>
    </w:p>
    <w:p>
      <w:pPr>
        <w:pStyle w:val="BodyText"/>
        <w:spacing w:line="403" w:lineRule="auto"/>
        <w:ind w:left="152" w:right="1128" w:firstLine="420"/>
        <w:jc w:val="both"/>
      </w:pPr>
      <w:r>
        <w:rPr>
          <w:spacing w:val="-2"/>
        </w:rPr>
        <w:t>报告期内，税控业务遇到两个方面政策变化，一方面是</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9</w:t>
      </w:r>
      <w:r>
        <w:rPr>
          <w:spacing w:val="-2"/>
        </w:rPr>
        <w:t>日国务院常务会议决定，将增值税</w:t>
      </w:r>
      <w:r>
        <w:rPr>
          <w:spacing w:val="-3"/>
          <w:w w:val="100"/>
        </w:rPr>
        <w:t> </w:t>
      </w:r>
      <w:r>
        <w:rPr>
          <w:spacing w:val="-2"/>
        </w:rPr>
        <w:t>起征点由月销售额三万元提高到十万元，导致税控业务服务的三十多万纳税户由小规模纳税人变为起征点</w:t>
      </w:r>
      <w:r>
        <w:rPr>
          <w:spacing w:val="-43"/>
        </w:rPr>
        <w:t> </w:t>
      </w:r>
      <w:r>
        <w:rPr>
          <w:spacing w:val="-43"/>
        </w:rPr>
      </w:r>
      <w:r>
        <w:rPr>
          <w:spacing w:val="-2"/>
        </w:rPr>
        <w:t>以下户，不再需要缴纳服务费，需要购买税控系统专用设备和缴纳服务费的新增户也随之减少，导致税控</w:t>
      </w:r>
      <w:r>
        <w:rPr>
          <w:spacing w:val="-46"/>
        </w:rPr>
        <w:t> </w:t>
      </w:r>
      <w:r>
        <w:rPr>
          <w:spacing w:val="-46"/>
        </w:rPr>
      </w:r>
      <w:r>
        <w:rPr>
          <w:spacing w:val="-2"/>
        </w:rPr>
        <w:t>业务收入下降；另一方面是国家税务总局印发《关于坚决查处第三方借减税降费服务巧立名目乱收费行为</w:t>
      </w:r>
      <w:r>
        <w:rPr>
          <w:spacing w:val="-42"/>
        </w:rPr>
        <w:t> </w:t>
      </w:r>
      <w:r>
        <w:rPr>
          <w:spacing w:val="-42"/>
        </w:rPr>
      </w:r>
      <w:r>
        <w:rPr>
          <w:spacing w:val="-2"/>
        </w:rPr>
        <w:t>的通知》，在全国税务系统开展第三方借减税降费服务巧立名目乱收费行为专项排查整治，导致税控业务</w:t>
      </w:r>
      <w:r>
        <w:rPr>
          <w:spacing w:val="-44"/>
        </w:rPr>
        <w:t> </w:t>
      </w:r>
      <w:r>
        <w:rPr>
          <w:spacing w:val="-44"/>
        </w:rPr>
      </w:r>
      <w:r>
        <w:rPr/>
        <w:t>增值产品暂时受到限制，税控业务收入受到一定影响。</w:t>
      </w:r>
    </w:p>
    <w:p>
      <w:pPr>
        <w:pStyle w:val="BodyText"/>
        <w:spacing w:line="393" w:lineRule="auto" w:before="50"/>
        <w:ind w:left="152" w:right="1020" w:firstLine="420"/>
        <w:jc w:val="both"/>
      </w:pPr>
      <w:r>
        <w:rPr/>
        <w:t>为了应对政策变化，公司通过推出多项创新性的产品和服务，积极开拓市场，增加业务收入：第一，</w:t>
      </w:r>
      <w:r>
        <w:rPr>
          <w:w w:val="100"/>
        </w:rPr>
        <w:t> </w:t>
      </w:r>
      <w:r>
        <w:rPr/>
        <w:t>公司作为主要起草方参与制定了国家税务总局《税务</w:t>
      </w:r>
      <w:r>
        <w:rPr>
          <w:rFonts w:ascii="Times New Roman" w:hAnsi="Times New Roman" w:cs="Times New Roman" w:eastAsia="Times New Roman" w:hint="default"/>
        </w:rPr>
        <w:t>UKey</w:t>
      </w:r>
      <w:r>
        <w:rPr/>
        <w:t>技术规范》，研发税务</w:t>
      </w:r>
      <w:r>
        <w:rPr>
          <w:rFonts w:ascii="Times New Roman" w:hAnsi="Times New Roman" w:cs="Times New Roman" w:eastAsia="Times New Roman" w:hint="default"/>
        </w:rPr>
        <w:t>UKey</w:t>
      </w:r>
      <w:r>
        <w:rPr/>
        <w:t>产品，并取得了商</w:t>
      </w:r>
      <w:r>
        <w:rPr>
          <w:w w:val="100"/>
        </w:rPr>
        <w:t> </w:t>
      </w:r>
      <w:r>
        <w:rPr>
          <w:spacing w:val="-4"/>
        </w:rPr>
        <w:t>用密码产品型号证书，首家完成税务</w:t>
      </w:r>
      <w:r>
        <w:rPr>
          <w:rFonts w:ascii="Times New Roman" w:hAnsi="Times New Roman" w:cs="Times New Roman" w:eastAsia="Times New Roman" w:hint="default"/>
          <w:spacing w:val="-4"/>
        </w:rPr>
        <w:t>UKey</w:t>
      </w:r>
      <w:r>
        <w:rPr>
          <w:spacing w:val="-4"/>
        </w:rPr>
        <w:t>应用全流程测试，可为几千万起征点以下户提供低成本税控系统</w:t>
      </w:r>
      <w:r>
        <w:rPr>
          <w:spacing w:val="-24"/>
        </w:rPr>
        <w:t> </w:t>
      </w:r>
      <w:r>
        <w:rPr>
          <w:spacing w:val="-24"/>
        </w:rPr>
      </w:r>
      <w:r>
        <w:rPr>
          <w:spacing w:val="-5"/>
        </w:rPr>
        <w:t>专用设备。第二，推出了既能方便单个纳税户托管开票需求又适合代理记账公司管理操作的云票托管系统，</w:t>
      </w:r>
    </w:p>
    <w:p>
      <w:pPr>
        <w:spacing w:after="0" w:line="393" w:lineRule="auto"/>
        <w:jc w:val="both"/>
        <w:sectPr>
          <w:pgSz w:w="11910" w:h="16840"/>
          <w:pgMar w:header="882" w:footer="1134" w:top="1280" w:bottom="1320" w:left="980" w:right="0"/>
        </w:sectPr>
      </w:pPr>
    </w:p>
    <w:p>
      <w:pPr>
        <w:spacing w:line="240" w:lineRule="auto" w:before="4"/>
        <w:rPr>
          <w:rFonts w:ascii="宋体" w:hAnsi="宋体" w:cs="宋体" w:eastAsia="宋体" w:hint="default"/>
          <w:sz w:val="13"/>
          <w:szCs w:val="13"/>
        </w:rPr>
      </w:pPr>
    </w:p>
    <w:p>
      <w:pPr>
        <w:pStyle w:val="BodyText"/>
        <w:spacing w:line="405" w:lineRule="auto" w:before="36"/>
        <w:ind w:left="152" w:right="1128"/>
        <w:jc w:val="both"/>
      </w:pPr>
      <w:r>
        <w:rPr>
          <w:spacing w:val="-2"/>
        </w:rPr>
        <w:t>深入拓展市场增加用户量，同时集中管理税控专用设备，降低服务成本。第三，大力推广云票助手，云票</w:t>
      </w:r>
      <w:r>
        <w:rPr>
          <w:spacing w:val="-43"/>
        </w:rPr>
        <w:t> </w:t>
      </w:r>
      <w:r>
        <w:rPr>
          <w:spacing w:val="-43"/>
        </w:rPr>
      </w:r>
      <w:r>
        <w:rPr>
          <w:spacing w:val="-2"/>
        </w:rPr>
        <w:t>助手客户端功能日臻完善，新增云客服、云备份、清单发票开具等一系列满足纳税户需求的功能模块，并</w:t>
      </w:r>
      <w:r>
        <w:rPr>
          <w:spacing w:val="-44"/>
        </w:rPr>
        <w:t> </w:t>
      </w:r>
      <w:r>
        <w:rPr>
          <w:spacing w:val="-44"/>
        </w:rPr>
      </w:r>
      <w:r>
        <w:rPr>
          <w:spacing w:val="-2"/>
        </w:rPr>
        <w:t>且上线了云票助手安卓版和苹果版</w:t>
      </w:r>
      <w:r>
        <w:rPr>
          <w:rFonts w:ascii="Times New Roman" w:hAnsi="Times New Roman" w:cs="Times New Roman" w:eastAsia="Times New Roman" w:hint="default"/>
          <w:spacing w:val="-2"/>
        </w:rPr>
        <w:t>APP</w:t>
      </w:r>
      <w:r>
        <w:rPr>
          <w:spacing w:val="-2"/>
        </w:rPr>
        <w:t>，满足纳税户更方便快捷的移动开票需求，目前已服务用户近四十</w:t>
      </w:r>
      <w:r>
        <w:rPr>
          <w:spacing w:val="-18"/>
        </w:rPr>
        <w:t> </w:t>
      </w:r>
      <w:r>
        <w:rPr>
          <w:spacing w:val="-18"/>
        </w:rPr>
      </w:r>
      <w:r>
        <w:rPr>
          <w:spacing w:val="-2"/>
        </w:rPr>
        <w:t>万户，将成为增收的利器，联系用户的抓手，远程互联网化服务的有力工具。第四，针对中大型客户推出</w:t>
      </w:r>
      <w:r>
        <w:rPr>
          <w:spacing w:val="-43"/>
        </w:rPr>
        <w:t> </w:t>
      </w:r>
      <w:r>
        <w:rPr>
          <w:spacing w:val="-43"/>
        </w:rPr>
      </w:r>
      <w:r>
        <w:rPr>
          <w:spacing w:val="-2"/>
        </w:rPr>
        <w:t>了百旺通产品，提供丰富的销项、进项发票能力接口和电子发票平台支持，可以私有云方式部署，已在多</w:t>
      </w:r>
      <w:r>
        <w:rPr>
          <w:spacing w:val="-50"/>
        </w:rPr>
        <w:t> </w:t>
      </w:r>
      <w:r>
        <w:rPr>
          <w:spacing w:val="-50"/>
        </w:rPr>
      </w:r>
      <w:r>
        <w:rPr>
          <w:spacing w:val="-2"/>
        </w:rPr>
        <w:t>个省份成功实施上线，将成为新的收入增长点。第五，为配合国税总局深化征管体制改革和切实优化税收</w:t>
      </w:r>
      <w:r>
        <w:rPr>
          <w:spacing w:val="-44"/>
        </w:rPr>
        <w:t> </w:t>
      </w:r>
      <w:r>
        <w:rPr>
          <w:spacing w:val="-44"/>
        </w:rPr>
      </w:r>
      <w:r>
        <w:rPr>
          <w:spacing w:val="-2"/>
        </w:rPr>
        <w:t>营商环境，公司推出了集成人脸识别、人工智能等技术的多功能智能办税终端，可放置于纳税人比较集中</w:t>
      </w:r>
      <w:r>
        <w:rPr>
          <w:spacing w:val="-43"/>
        </w:rPr>
        <w:t> </w:t>
      </w:r>
      <w:r>
        <w:rPr>
          <w:spacing w:val="-43"/>
        </w:rPr>
      </w:r>
      <w:r>
        <w:rPr>
          <w:spacing w:val="-2"/>
        </w:rPr>
        <w:t>的银行、商场、社区及办税服务大厅，极大地方便了纳税人日常办理涉税业务。公司将通过不断降低产品</w:t>
      </w:r>
      <w:r>
        <w:rPr>
          <w:spacing w:val="-47"/>
        </w:rPr>
        <w:t> </w:t>
      </w:r>
      <w:r>
        <w:rPr>
          <w:spacing w:val="-47"/>
        </w:rPr>
      </w:r>
      <w:r>
        <w:rPr/>
        <w:t>成本和服务成本，持续进行技术、产品和服务的创新，稳定市场，努力保持利润收入的稳定。</w:t>
      </w:r>
    </w:p>
    <w:p>
      <w:pPr>
        <w:pStyle w:val="BodyText"/>
        <w:spacing w:line="484" w:lineRule="auto" w:before="168"/>
        <w:ind w:right="1127" w:firstLine="2"/>
        <w:jc w:val="left"/>
      </w:pPr>
      <w:bookmarkStart w:name="3、智慧城市业务" w:id="23"/>
      <w:bookmarkEnd w:id="23"/>
      <w:r>
        <w:rPr/>
      </w:r>
      <w:r>
        <w:rPr>
          <w:rFonts w:ascii="Times New Roman" w:hAnsi="Times New Roman" w:cs="Times New Roman" w:eastAsia="Times New Roman" w:hint="default"/>
          <w:b/>
          <w:bCs/>
        </w:rPr>
        <w:t>3</w:t>
      </w:r>
      <w:r>
        <w:rPr>
          <w:rFonts w:ascii="宋体" w:hAnsi="宋体" w:cs="宋体" w:eastAsia="宋体" w:hint="default"/>
          <w:b/>
          <w:bCs/>
        </w:rPr>
        <w:t>、智慧城市业务</w:t>
      </w:r>
      <w:r>
        <w:rPr>
          <w:rFonts w:ascii="宋体" w:hAnsi="宋体" w:cs="宋体" w:eastAsia="宋体" w:hint="default"/>
          <w:b/>
          <w:bCs/>
          <w:w w:val="100"/>
        </w:rPr>
        <w:t> </w:t>
      </w:r>
      <w:r>
        <w:rPr>
          <w:spacing w:val="-2"/>
        </w:rPr>
        <w:t>报告期内，公司围绕新型智慧城市建设开展业务布局，业务主要覆盖智慧城市顶层规划、智慧物业、</w:t>
      </w:r>
      <w:r>
        <w:rPr/>
      </w:r>
    </w:p>
    <w:p>
      <w:pPr>
        <w:pStyle w:val="BodyText"/>
        <w:spacing w:line="254" w:lineRule="exact"/>
        <w:ind w:left="152" w:right="0"/>
        <w:jc w:val="both"/>
      </w:pPr>
      <w:r>
        <w:rPr/>
        <w:t>智慧能源、智慧交通、智慧建筑、油气领域信息化产品和服务。公司全资子公司泰豪智能作为智慧城市顶</w:t>
      </w:r>
    </w:p>
    <w:p>
      <w:pPr>
        <w:spacing w:line="240" w:lineRule="auto" w:before="10"/>
        <w:rPr>
          <w:rFonts w:ascii="宋体" w:hAnsi="宋体" w:cs="宋体" w:eastAsia="宋体" w:hint="default"/>
          <w:sz w:val="14"/>
          <w:szCs w:val="14"/>
        </w:rPr>
      </w:pPr>
    </w:p>
    <w:p>
      <w:pPr>
        <w:pStyle w:val="BodyText"/>
        <w:spacing w:line="405" w:lineRule="auto"/>
        <w:ind w:left="152" w:right="1107"/>
        <w:jc w:val="both"/>
      </w:pPr>
      <w:r>
        <w:rPr>
          <w:spacing w:val="-2"/>
        </w:rPr>
        <w:t>层设计、投资、建设和运营服务商，以物联网、云计算、大数据、人工智能等新一代信息技术为依托，结</w:t>
      </w:r>
      <w:r>
        <w:rPr>
          <w:spacing w:val="-48"/>
        </w:rPr>
        <w:t> </w:t>
      </w:r>
      <w:r>
        <w:rPr>
          <w:spacing w:val="-48"/>
        </w:rPr>
      </w:r>
      <w:r>
        <w:rPr>
          <w:spacing w:val="-2"/>
        </w:rPr>
        <w:t>合公司在智慧城市建设领域的丰富工程实践经验，承接智慧城市相关智能化、智慧交通、大数据平台、系</w:t>
      </w:r>
      <w:r>
        <w:rPr>
          <w:spacing w:val="-44"/>
        </w:rPr>
        <w:t> </w:t>
      </w:r>
      <w:r>
        <w:rPr>
          <w:spacing w:val="-44"/>
        </w:rPr>
      </w:r>
      <w:r>
        <w:rPr>
          <w:spacing w:val="-2"/>
        </w:rPr>
        <w:t>统开发维护服务等领域的重大项目，通过打造独具特色的</w:t>
      </w:r>
      <w:r>
        <w:rPr>
          <w:rFonts w:ascii="Times New Roman" w:hAnsi="Times New Roman" w:cs="Times New Roman" w:eastAsia="Times New Roman" w:hint="default"/>
          <w:spacing w:val="-2"/>
        </w:rPr>
        <w:t>“</w:t>
      </w:r>
      <w:r>
        <w:rPr>
          <w:spacing w:val="-2"/>
        </w:rPr>
        <w:t>城市大脑</w:t>
      </w:r>
      <w:r>
        <w:rPr>
          <w:rFonts w:ascii="Times New Roman" w:hAnsi="Times New Roman" w:cs="Times New Roman" w:eastAsia="Times New Roman" w:hint="default"/>
          <w:spacing w:val="-2"/>
        </w:rPr>
        <w:t>”</w:t>
      </w:r>
      <w:r>
        <w:rPr>
          <w:spacing w:val="-2"/>
        </w:rPr>
        <w:t>，为城市提供基于数据的动态决策支</w:t>
      </w:r>
      <w:r>
        <w:rPr>
          <w:spacing w:val="-19"/>
        </w:rPr>
        <w:t> </w:t>
      </w:r>
      <w:r>
        <w:rPr>
          <w:spacing w:val="-19"/>
        </w:rPr>
      </w:r>
      <w:r>
        <w:rPr>
          <w:spacing w:val="-2"/>
        </w:rPr>
        <w:t>持和精细化管理服务。公司全资子公司中软金卡在石油、天然气领域提供专业信息化产品和服务，主要产</w:t>
      </w:r>
      <w:r>
        <w:rPr>
          <w:spacing w:val="-48"/>
        </w:rPr>
        <w:t> </w:t>
      </w:r>
      <w:r>
        <w:rPr>
          <w:spacing w:val="-48"/>
        </w:rPr>
      </w:r>
      <w:r>
        <w:rPr>
          <w:spacing w:val="-2"/>
        </w:rPr>
        <w:t>品包括加油站前庭控制器、自助发卡圈存机、自助充值终端和自助支付终端等嵌入式产品以及面向石油、</w:t>
      </w:r>
      <w:r>
        <w:rPr>
          <w:spacing w:val="-21"/>
        </w:rPr>
        <w:t> </w:t>
      </w:r>
      <w:r>
        <w:rPr>
          <w:spacing w:val="-21"/>
        </w:rPr>
      </w:r>
      <w:r>
        <w:rPr>
          <w:spacing w:val="-2"/>
        </w:rPr>
        <w:t>天然气客户的加油加气业务管理系统、智慧加油站系统、油品直销业务系统和加油站监控与管理系统等软</w:t>
      </w:r>
      <w:r>
        <w:rPr>
          <w:spacing w:val="-42"/>
        </w:rPr>
        <w:t> </w:t>
      </w:r>
      <w:r>
        <w:rPr>
          <w:spacing w:val="-42"/>
        </w:rPr>
      </w:r>
      <w:r>
        <w:rPr/>
        <w:t>件产品和相关的运营维护服务等。在报告期内智慧城市业务保持稳定的发展。</w:t>
      </w:r>
    </w:p>
    <w:p>
      <w:pPr>
        <w:pStyle w:val="BodyText"/>
        <w:spacing w:line="484" w:lineRule="auto" w:before="168"/>
        <w:ind w:right="1127" w:firstLine="2"/>
        <w:jc w:val="left"/>
      </w:pPr>
      <w:bookmarkStart w:name="4、时空大数据业务" w:id="24"/>
      <w:bookmarkEnd w:id="24"/>
      <w:r>
        <w:rPr/>
      </w:r>
      <w:r>
        <w:rPr>
          <w:rFonts w:ascii="Times New Roman" w:hAnsi="Times New Roman" w:cs="Times New Roman" w:eastAsia="Times New Roman" w:hint="default"/>
          <w:b/>
          <w:bCs/>
        </w:rPr>
        <w:t>4</w:t>
      </w:r>
      <w:r>
        <w:rPr>
          <w:rFonts w:ascii="宋体" w:hAnsi="宋体" w:cs="宋体" w:eastAsia="宋体" w:hint="default"/>
          <w:b/>
          <w:bCs/>
        </w:rPr>
        <w:t>、时空大数据业务</w:t>
      </w:r>
      <w:r>
        <w:rPr>
          <w:rFonts w:ascii="宋体" w:hAnsi="宋体" w:cs="宋体" w:eastAsia="宋体" w:hint="default"/>
          <w:b/>
          <w:bCs/>
          <w:w w:val="100"/>
        </w:rPr>
        <w:t> </w:t>
      </w:r>
      <w:r>
        <w:rPr>
          <w:spacing w:val="-2"/>
        </w:rPr>
        <w:t>报告期内，公司积极推进时空大数据相关业务，开展时空大数据应用系列硬件、软件和服务平台的研</w:t>
      </w:r>
    </w:p>
    <w:p>
      <w:pPr>
        <w:pStyle w:val="BodyText"/>
        <w:spacing w:line="254" w:lineRule="exact"/>
        <w:ind w:left="152" w:right="0"/>
        <w:jc w:val="both"/>
      </w:pPr>
      <w:r>
        <w:rPr/>
        <w:t>发工作，建设大数据技术实验室，以及建立相应的服务体系。与合作院校在福州市仓山区成立智能空间创</w:t>
      </w:r>
    </w:p>
    <w:p>
      <w:pPr>
        <w:spacing w:line="240" w:lineRule="auto" w:before="10"/>
        <w:rPr>
          <w:rFonts w:ascii="宋体" w:hAnsi="宋体" w:cs="宋体" w:eastAsia="宋体" w:hint="default"/>
          <w:sz w:val="14"/>
          <w:szCs w:val="14"/>
        </w:rPr>
      </w:pPr>
    </w:p>
    <w:p>
      <w:pPr>
        <w:pStyle w:val="BodyText"/>
        <w:spacing w:line="400" w:lineRule="auto"/>
        <w:ind w:left="152" w:right="0"/>
        <w:jc w:val="left"/>
      </w:pPr>
      <w:r>
        <w:rPr/>
        <w:t>新实验室，发布了新型城市网格数据平台、三维立体网格数据图、网格视频</w:t>
      </w:r>
      <w:r>
        <w:rPr>
          <w:rFonts w:ascii="Times New Roman" w:hAnsi="Times New Roman" w:cs="Times New Roman" w:eastAsia="Times New Roman" w:hint="default"/>
        </w:rPr>
        <w:t>GIS</w:t>
      </w:r>
      <w:r>
        <w:rPr/>
        <w:t>相关产品，实现多源数据</w:t>
      </w:r>
      <w:r>
        <w:rPr>
          <w:spacing w:val="-3"/>
          <w:w w:val="100"/>
        </w:rPr>
        <w:t> </w:t>
      </w:r>
      <w:r>
        <w:rPr>
          <w:spacing w:val="-5"/>
        </w:rPr>
        <w:t>整合、时空大数据分析、服务、数据可视化表达、视频大数据分析与管理，有望在金融、国防、电子政务、</w:t>
      </w:r>
      <w:r>
        <w:rPr>
          <w:spacing w:val="-9"/>
        </w:rPr>
        <w:t> </w:t>
      </w:r>
      <w:r>
        <w:rPr>
          <w:spacing w:val="-9"/>
        </w:rPr>
      </w:r>
      <w:r>
        <w:rPr>
          <w:spacing w:val="-5"/>
        </w:rPr>
        <w:t>智慧城市、北斗精准服务等场景获得广泛应用。未来，公司将促进时空大数据与更多行业领域的深度融合， </w:t>
      </w:r>
      <w:r>
        <w:rPr>
          <w:spacing w:val="-5"/>
        </w:rPr>
      </w:r>
      <w:r>
        <w:rPr/>
        <w:t>为各业务板块提供支撑作用。</w:t>
      </w:r>
    </w:p>
    <w:p>
      <w:pPr>
        <w:spacing w:line="240" w:lineRule="auto" w:before="13"/>
        <w:rPr>
          <w:rFonts w:ascii="宋体" w:hAnsi="宋体" w:cs="宋体" w:eastAsia="宋体" w:hint="default"/>
          <w:sz w:val="13"/>
          <w:szCs w:val="13"/>
        </w:rPr>
      </w:pPr>
    </w:p>
    <w:p>
      <w:pPr>
        <w:pStyle w:val="Heading3"/>
        <w:spacing w:line="240" w:lineRule="auto"/>
        <w:ind w:right="1127"/>
        <w:jc w:val="left"/>
      </w:pPr>
      <w:bookmarkStart w:name="（二）公司行业市场地位" w:id="25"/>
      <w:bookmarkEnd w:id="25"/>
      <w:r>
        <w:rPr/>
      </w:r>
      <w:r>
        <w:rPr/>
        <w:t>（二）公司行业市场地位</w:t>
      </w:r>
    </w:p>
    <w:p>
      <w:pPr>
        <w:spacing w:line="240" w:lineRule="auto" w:before="8"/>
        <w:rPr>
          <w:rFonts w:ascii="黑体" w:hAnsi="黑体" w:cs="黑体" w:eastAsia="黑体" w:hint="default"/>
          <w:sz w:val="25"/>
          <w:szCs w:val="25"/>
        </w:rPr>
      </w:pPr>
    </w:p>
    <w:p>
      <w:pPr>
        <w:pStyle w:val="BodyText"/>
        <w:spacing w:line="240" w:lineRule="auto"/>
        <w:ind w:right="0"/>
        <w:jc w:val="left"/>
      </w:pPr>
      <w:r>
        <w:rPr/>
        <w:t>公司经过不断发展积累，产品和服务横跨国防、航空航天、税务信息化、智慧城市、时空大数据应用</w:t>
      </w:r>
    </w:p>
    <w:p>
      <w:pPr>
        <w:spacing w:after="0" w:line="240" w:lineRule="auto"/>
        <w:jc w:val="left"/>
        <w:sectPr>
          <w:pgSz w:w="11910" w:h="16840"/>
          <w:pgMar w:header="882" w:footer="1134" w:top="1280" w:bottom="1320" w:left="980" w:right="0"/>
        </w:sectPr>
      </w:pPr>
    </w:p>
    <w:p>
      <w:pPr>
        <w:spacing w:line="240" w:lineRule="auto" w:before="4"/>
        <w:rPr>
          <w:rFonts w:ascii="宋体" w:hAnsi="宋体" w:cs="宋体" w:eastAsia="宋体" w:hint="default"/>
          <w:sz w:val="13"/>
          <w:szCs w:val="13"/>
        </w:rPr>
      </w:pPr>
    </w:p>
    <w:p>
      <w:pPr>
        <w:pStyle w:val="BodyText"/>
        <w:spacing w:line="408" w:lineRule="auto" w:before="36"/>
        <w:ind w:left="152" w:right="0"/>
        <w:jc w:val="left"/>
      </w:pPr>
      <w:r>
        <w:rPr>
          <w:spacing w:val="-5"/>
        </w:rPr>
        <w:t>等关系国计民生的重要领域。凭借着领先的技术优势、全面完整的解决方案和对用户需求的深刻理解能力，</w:t>
      </w:r>
      <w:r>
        <w:rPr>
          <w:spacing w:val="-4"/>
        </w:rPr>
        <w:t> </w:t>
      </w:r>
      <w:r>
        <w:rPr>
          <w:spacing w:val="-4"/>
        </w:rPr>
      </w:r>
      <w:r>
        <w:rPr/>
        <w:t>公司在国防信息化和行业信息化领域具有较强的竞争优势以及较高的市场地位。</w:t>
      </w:r>
    </w:p>
    <w:p>
      <w:pPr>
        <w:pStyle w:val="BodyText"/>
        <w:spacing w:line="484" w:lineRule="auto" w:before="166"/>
        <w:ind w:right="1127" w:firstLine="2"/>
        <w:jc w:val="left"/>
      </w:pPr>
      <w:bookmarkStart w:name="1、智慧防务领域" w:id="26"/>
      <w:bookmarkEnd w:id="26"/>
      <w:r>
        <w:rPr/>
      </w:r>
      <w:r>
        <w:rPr>
          <w:rFonts w:ascii="Times New Roman" w:hAnsi="Times New Roman" w:cs="Times New Roman" w:eastAsia="Times New Roman" w:hint="default"/>
          <w:b/>
          <w:bCs/>
        </w:rPr>
        <w:t>1</w:t>
      </w:r>
      <w:r>
        <w:rPr>
          <w:rFonts w:ascii="宋体" w:hAnsi="宋体" w:cs="宋体" w:eastAsia="宋体" w:hint="default"/>
          <w:b/>
          <w:bCs/>
        </w:rPr>
        <w:t>、智慧防务领域</w:t>
      </w:r>
      <w:r>
        <w:rPr>
          <w:rFonts w:ascii="宋体" w:hAnsi="宋体" w:cs="宋体" w:eastAsia="宋体" w:hint="default"/>
          <w:b/>
          <w:bCs/>
          <w:w w:val="100"/>
        </w:rPr>
        <w:t> </w:t>
      </w:r>
      <w:r>
        <w:rPr>
          <w:spacing w:val="-2"/>
        </w:rPr>
        <w:t>在智慧防务领域，公司是国内少数几个可以提供全系列嵌入式开发、测试、仿真、验证、以及工程能</w:t>
      </w:r>
    </w:p>
    <w:p>
      <w:pPr>
        <w:pStyle w:val="BodyText"/>
        <w:spacing w:line="254" w:lineRule="exact"/>
        <w:ind w:left="152" w:right="0"/>
        <w:jc w:val="left"/>
      </w:pPr>
      <w:r>
        <w:rPr/>
        <w:t>力的公司，也是少数几家具有自主创新能力、能与国际先进嵌入式系统测试厂商相抗衡的本土厂商之一。</w:t>
      </w:r>
    </w:p>
    <w:p>
      <w:pPr>
        <w:spacing w:line="240" w:lineRule="auto" w:before="10"/>
        <w:rPr>
          <w:rFonts w:ascii="宋体" w:hAnsi="宋体" w:cs="宋体" w:eastAsia="宋体" w:hint="default"/>
          <w:sz w:val="14"/>
          <w:szCs w:val="14"/>
        </w:rPr>
      </w:pPr>
    </w:p>
    <w:p>
      <w:pPr>
        <w:pStyle w:val="BodyText"/>
        <w:spacing w:line="405" w:lineRule="auto"/>
        <w:ind w:left="152" w:right="1128"/>
        <w:jc w:val="left"/>
      </w:pPr>
      <w:r>
        <w:rPr>
          <w:spacing w:val="-2"/>
        </w:rPr>
        <w:t>目前公司是我国嵌入式系统测试领域的龙头企业，公司在系统级测试技术、系统级的故障注入技术、高速</w:t>
      </w:r>
      <w:r>
        <w:rPr>
          <w:spacing w:val="-42"/>
        </w:rPr>
        <w:t> </w:t>
      </w:r>
      <w:r>
        <w:rPr>
          <w:spacing w:val="-42"/>
        </w:rPr>
      </w:r>
      <w:r>
        <w:rPr>
          <w:spacing w:val="-2"/>
        </w:rPr>
        <w:t>航空总线等领域均已达到国际先进水平，整体实力在国内嵌入式系统测试尤其在国防军工领域的嵌入式系</w:t>
      </w:r>
      <w:r>
        <w:rPr>
          <w:spacing w:val="-43"/>
        </w:rPr>
        <w:t> </w:t>
      </w:r>
      <w:r>
        <w:rPr>
          <w:spacing w:val="-43"/>
        </w:rPr>
      </w:r>
      <w:r>
        <w:rPr>
          <w:spacing w:val="-2"/>
        </w:rPr>
        <w:t>统测试领域处于领先地位。公司一直致力于国防信息化的建设，依托在嵌入式系统开发、测试、应用全产</w:t>
      </w:r>
      <w:r>
        <w:rPr>
          <w:spacing w:val="-47"/>
        </w:rPr>
        <w:t> </w:t>
      </w:r>
      <w:r>
        <w:rPr>
          <w:spacing w:val="-47"/>
        </w:rPr>
      </w:r>
      <w:r>
        <w:rPr>
          <w:spacing w:val="-2"/>
        </w:rPr>
        <w:t>业链的的领先优势，近年来不断加大通信和健康管理专业的研发投入力度，强化技术基础储备，取得了一</w:t>
      </w:r>
      <w:r>
        <w:rPr>
          <w:spacing w:val="-42"/>
        </w:rPr>
        <w:t> </w:t>
      </w:r>
      <w:r>
        <w:rPr>
          <w:spacing w:val="-42"/>
        </w:rPr>
      </w:r>
      <w:r>
        <w:rPr/>
        <w:t>系列重大科研成果。其中</w:t>
      </w:r>
      <w:r>
        <w:rPr>
          <w:rFonts w:ascii="Times New Roman" w:hAnsi="Times New Roman" w:cs="Times New Roman" w:eastAsia="Times New Roman" w:hint="default"/>
        </w:rPr>
        <w:t>TD-LTE</w:t>
      </w:r>
      <w:r>
        <w:rPr/>
        <w:t>、宽带自组网、末端自组网、软件无线电、个体噪声防护等产品技术在</w:t>
      </w:r>
      <w:r>
        <w:rPr>
          <w:w w:val="100"/>
        </w:rPr>
        <w:t> </w:t>
      </w:r>
      <w:r>
        <w:rPr>
          <w:spacing w:val="-2"/>
        </w:rPr>
        <w:t>军工行业具有较为明显的领先优势。装备健康管理通过深入的技术体系研究，科学的系统性规划，有力保</w:t>
      </w:r>
      <w:r>
        <w:rPr>
          <w:spacing w:val="-44"/>
        </w:rPr>
        <w:t> </w:t>
      </w:r>
      <w:r>
        <w:rPr>
          <w:spacing w:val="-44"/>
        </w:rPr>
      </w:r>
      <w:r>
        <w:rPr/>
        <w:t>证了产品的先进性、可靠性和成熟度，具有很强的市场竞争力，孕育了创造巨大价值的潜力。</w:t>
      </w:r>
    </w:p>
    <w:p>
      <w:pPr>
        <w:pStyle w:val="BodyText"/>
        <w:spacing w:line="484" w:lineRule="auto" w:before="168"/>
        <w:ind w:right="1127" w:firstLine="2"/>
        <w:jc w:val="left"/>
      </w:pPr>
      <w:bookmarkStart w:name="2、税务信息化领域" w:id="27"/>
      <w:bookmarkEnd w:id="27"/>
      <w:r>
        <w:rPr/>
      </w:r>
      <w:r>
        <w:rPr>
          <w:rFonts w:ascii="Times New Roman" w:hAnsi="Times New Roman" w:cs="Times New Roman" w:eastAsia="Times New Roman" w:hint="default"/>
          <w:b/>
          <w:bCs/>
        </w:rPr>
        <w:t>2</w:t>
      </w:r>
      <w:r>
        <w:rPr>
          <w:rFonts w:ascii="宋体" w:hAnsi="宋体" w:cs="宋体" w:eastAsia="宋体" w:hint="default"/>
          <w:b/>
          <w:bCs/>
        </w:rPr>
        <w:t>、税务信息化领域</w:t>
      </w:r>
      <w:r>
        <w:rPr>
          <w:rFonts w:ascii="宋体" w:hAnsi="宋体" w:cs="宋体" w:eastAsia="宋体" w:hint="default"/>
          <w:b/>
          <w:bCs/>
          <w:w w:val="100"/>
        </w:rPr>
        <w:t> </w:t>
      </w:r>
      <w:r>
        <w:rPr>
          <w:spacing w:val="-2"/>
        </w:rPr>
        <w:t>在税务信息化领域，公司作为国内主要的税务信息化产品和服务提供商，主要从事税控器具在全国范</w:t>
      </w:r>
    </w:p>
    <w:p>
      <w:pPr>
        <w:pStyle w:val="BodyText"/>
        <w:spacing w:line="270" w:lineRule="exact"/>
        <w:ind w:left="152" w:right="0"/>
        <w:jc w:val="left"/>
      </w:pPr>
      <w:r>
        <w:rPr/>
        <w:t>围内的销售、技术支持和服务等相关工作。公司积极布局涉税硬件、软件及衍生增值业务，夯实</w:t>
      </w:r>
      <w:r>
        <w:rPr>
          <w:rFonts w:ascii="Times New Roman" w:hAnsi="Times New Roman" w:cs="Times New Roman" w:eastAsia="Times New Roman" w:hint="default"/>
        </w:rPr>
        <w:t>“</w:t>
      </w:r>
      <w:r>
        <w:rPr/>
        <w:t>产品</w:t>
      </w:r>
      <w:r>
        <w:rPr>
          <w:rFonts w:ascii="Times New Roman" w:hAnsi="Times New Roman" w:cs="Times New Roman" w:eastAsia="Times New Roman" w:hint="default"/>
        </w:rPr>
        <w:t>+</w:t>
      </w:r>
      <w:r>
        <w:rPr/>
        <w:t>基</w:t>
      </w:r>
    </w:p>
    <w:p>
      <w:pPr>
        <w:pStyle w:val="BodyText"/>
        <w:spacing w:line="403" w:lineRule="auto" w:before="177"/>
        <w:ind w:left="152" w:right="0"/>
        <w:jc w:val="left"/>
      </w:pPr>
      <w:r>
        <w:rPr>
          <w:spacing w:val="-3"/>
        </w:rPr>
        <w:t>础服务</w:t>
      </w:r>
      <w:r>
        <w:rPr>
          <w:rFonts w:ascii="Times New Roman" w:hAnsi="Times New Roman" w:cs="Times New Roman" w:eastAsia="Times New Roman" w:hint="default"/>
          <w:spacing w:val="-3"/>
        </w:rPr>
        <w:t>+</w:t>
      </w:r>
      <w:r>
        <w:rPr>
          <w:spacing w:val="-3"/>
        </w:rPr>
        <w:t>增值服务</w:t>
      </w:r>
      <w:r>
        <w:rPr>
          <w:rFonts w:ascii="Times New Roman" w:hAnsi="Times New Roman" w:cs="Times New Roman" w:eastAsia="Times New Roman" w:hint="default"/>
          <w:spacing w:val="-3"/>
        </w:rPr>
        <w:t>”</w:t>
      </w:r>
      <w:r>
        <w:rPr>
          <w:spacing w:val="-3"/>
        </w:rPr>
        <w:t>的运营模式，开发税控器具系列产品，提供税控整体解决方案，并积极探索多形式开票</w:t>
      </w:r>
      <w:r>
        <w:rPr>
          <w:spacing w:val="-4"/>
        </w:rPr>
        <w:t> </w:t>
      </w:r>
      <w:r>
        <w:rPr>
          <w:spacing w:val="-4"/>
        </w:rPr>
      </w:r>
      <w:r>
        <w:rPr>
          <w:spacing w:val="-5"/>
        </w:rPr>
        <w:t>场景、互联网税务服务、线上线下一体企业服务等其他涉税产业链的业务拓展。公司以涉税服务为切入点， </w:t>
      </w:r>
      <w:r>
        <w:rPr>
          <w:spacing w:val="-5"/>
        </w:rPr>
      </w:r>
      <w:r>
        <w:rPr>
          <w:spacing w:val="-2"/>
        </w:rPr>
        <w:t>为企业、个人及政府机构提供服务，同时通过大数据技术对数据进行开发，提供基于数据的增值服务，应</w:t>
      </w:r>
      <w:r>
        <w:rPr>
          <w:spacing w:val="-47"/>
        </w:rPr>
        <w:t> </w:t>
      </w:r>
      <w:r>
        <w:rPr>
          <w:spacing w:val="-47"/>
        </w:rPr>
      </w:r>
      <w:r>
        <w:rPr>
          <w:spacing w:val="-2"/>
        </w:rPr>
        <w:t>用于诸如征信、精准营销、税收征管等领域，保障公司在互联网税务时代的可持续发展，巩固公司在税控</w:t>
      </w:r>
      <w:r>
        <w:rPr>
          <w:spacing w:val="-47"/>
        </w:rPr>
        <w:t> </w:t>
      </w:r>
      <w:r>
        <w:rPr>
          <w:spacing w:val="-47"/>
        </w:rPr>
      </w:r>
      <w:r>
        <w:rPr/>
        <w:t>市场中的稳定地位。</w:t>
      </w:r>
    </w:p>
    <w:p>
      <w:pPr>
        <w:pStyle w:val="BodyText"/>
        <w:spacing w:line="484" w:lineRule="auto" w:before="170"/>
        <w:ind w:right="1127" w:firstLine="2"/>
        <w:jc w:val="left"/>
      </w:pPr>
      <w:bookmarkStart w:name="3、智慧城市领域" w:id="28"/>
      <w:bookmarkEnd w:id="28"/>
      <w:r>
        <w:rPr/>
      </w:r>
      <w:r>
        <w:rPr>
          <w:rFonts w:ascii="Times New Roman" w:hAnsi="Times New Roman" w:cs="Times New Roman" w:eastAsia="Times New Roman" w:hint="default"/>
          <w:b/>
          <w:bCs/>
        </w:rPr>
        <w:t>3</w:t>
      </w:r>
      <w:r>
        <w:rPr>
          <w:rFonts w:ascii="宋体" w:hAnsi="宋体" w:cs="宋体" w:eastAsia="宋体" w:hint="default"/>
          <w:b/>
          <w:bCs/>
        </w:rPr>
        <w:t>、智慧城市领域</w:t>
      </w:r>
      <w:r>
        <w:rPr>
          <w:rFonts w:ascii="宋体" w:hAnsi="宋体" w:cs="宋体" w:eastAsia="宋体" w:hint="default"/>
          <w:b/>
          <w:bCs/>
          <w:w w:val="100"/>
        </w:rPr>
        <w:t> </w:t>
      </w:r>
      <w:r>
        <w:rPr>
          <w:spacing w:val="-2"/>
        </w:rPr>
        <w:t>在智慧城市领域，公司以新一代信息技术为依托，挖掘数据在城市规划、建设和运营过程中的价值，</w:t>
      </w:r>
      <w:r>
        <w:rPr/>
      </w:r>
    </w:p>
    <w:p>
      <w:pPr>
        <w:pStyle w:val="BodyText"/>
        <w:spacing w:line="254" w:lineRule="exact"/>
        <w:ind w:left="152" w:right="0"/>
        <w:jc w:val="left"/>
      </w:pPr>
      <w:r>
        <w:rPr/>
        <w:t>并结合在智慧城市建设领域的丰富工程实践经验，打造新型智慧城市智能设备与信息服务平台系列产品，</w:t>
      </w:r>
    </w:p>
    <w:p>
      <w:pPr>
        <w:spacing w:line="240" w:lineRule="auto" w:before="10"/>
        <w:rPr>
          <w:rFonts w:ascii="宋体" w:hAnsi="宋体" w:cs="宋体" w:eastAsia="宋体" w:hint="default"/>
          <w:sz w:val="14"/>
          <w:szCs w:val="14"/>
        </w:rPr>
      </w:pPr>
    </w:p>
    <w:p>
      <w:pPr>
        <w:pStyle w:val="BodyText"/>
        <w:spacing w:line="408" w:lineRule="auto"/>
        <w:ind w:left="152" w:right="1128"/>
        <w:jc w:val="both"/>
      </w:pPr>
      <w:r>
        <w:rPr>
          <w:spacing w:val="-2"/>
        </w:rPr>
        <w:t>实现智慧城市业务持续快速增长。在油气行业信息化方面，公司在自助发卡充值设备、智慧油站系统等石</w:t>
      </w:r>
      <w:r>
        <w:rPr>
          <w:spacing w:val="-43"/>
        </w:rPr>
        <w:t> </w:t>
      </w:r>
      <w:r>
        <w:rPr>
          <w:spacing w:val="-43"/>
        </w:rPr>
      </w:r>
      <w:r>
        <w:rPr>
          <w:spacing w:val="-2"/>
        </w:rPr>
        <w:t>油和天然气系统技术领域和客户应用方面处于全国领先水平。目前，公司可在安全应急、智慧能源、智慧</w:t>
      </w:r>
      <w:r>
        <w:rPr>
          <w:spacing w:val="-44"/>
        </w:rPr>
        <w:t> </w:t>
      </w:r>
      <w:r>
        <w:rPr>
          <w:spacing w:val="-44"/>
        </w:rPr>
      </w:r>
      <w:r>
        <w:rPr>
          <w:spacing w:val="-2"/>
        </w:rPr>
        <w:t>建筑、智慧停车、智慧机场、智慧园区、城市信息安全、油气站信息化等领域提供从设计到实施的整体解</w:t>
      </w:r>
      <w:r>
        <w:rPr>
          <w:spacing w:val="-43"/>
        </w:rPr>
        <w:t> </w:t>
      </w:r>
      <w:r>
        <w:rPr>
          <w:spacing w:val="-43"/>
        </w:rPr>
      </w:r>
      <w:r>
        <w:rPr/>
        <w:t>决方案，在智慧城市行业占据领先地位。</w:t>
      </w:r>
    </w:p>
    <w:p>
      <w:pPr>
        <w:pStyle w:val="Heading4"/>
        <w:spacing w:line="240" w:lineRule="auto" w:before="166"/>
        <w:ind w:left="575" w:right="1127"/>
        <w:jc w:val="left"/>
        <w:rPr>
          <w:b w:val="0"/>
          <w:bCs w:val="0"/>
        </w:rPr>
      </w:pPr>
      <w:bookmarkStart w:name="4、时空大数据应用领域" w:id="29"/>
      <w:bookmarkEnd w:id="29"/>
      <w:r>
        <w:rPr>
          <w:b w:val="0"/>
          <w:bCs w:val="0"/>
        </w:rPr>
      </w:r>
      <w:r>
        <w:rPr>
          <w:rFonts w:ascii="Times New Roman" w:hAnsi="Times New Roman" w:cs="Times New Roman" w:eastAsia="Times New Roman" w:hint="default"/>
        </w:rPr>
        <w:t>4</w:t>
      </w:r>
      <w:r>
        <w:rPr/>
        <w:t>、时空大数据应用领域</w:t>
      </w:r>
      <w:r>
        <w:rPr>
          <w:b w:val="0"/>
          <w:bCs w:val="0"/>
        </w:rPr>
      </w:r>
    </w:p>
    <w:p>
      <w:pPr>
        <w:spacing w:after="0" w:line="240" w:lineRule="auto"/>
        <w:jc w:val="left"/>
        <w:sectPr>
          <w:pgSz w:w="11910" w:h="16840"/>
          <w:pgMar w:header="882" w:footer="1134" w:top="1280" w:bottom="1320" w:left="980" w:right="0"/>
        </w:sectPr>
      </w:pPr>
    </w:p>
    <w:p>
      <w:pPr>
        <w:spacing w:line="240" w:lineRule="auto" w:before="4"/>
        <w:rPr>
          <w:rFonts w:ascii="宋体" w:hAnsi="宋体" w:cs="宋体" w:eastAsia="宋体" w:hint="default"/>
          <w:b/>
          <w:bCs/>
          <w:sz w:val="13"/>
          <w:szCs w:val="13"/>
        </w:rPr>
      </w:pPr>
    </w:p>
    <w:p>
      <w:pPr>
        <w:pStyle w:val="BodyText"/>
        <w:spacing w:line="408" w:lineRule="auto" w:before="36"/>
        <w:ind w:left="152" w:right="1128" w:firstLine="420"/>
        <w:jc w:val="both"/>
      </w:pPr>
      <w:r>
        <w:rPr>
          <w:spacing w:val="-2"/>
        </w:rPr>
        <w:t>在时空大数据应用领域，公司拥有全球领先的时空网格编码等核心技术，可对陆、海、空、天等地球</w:t>
      </w:r>
      <w:r>
        <w:rPr>
          <w:w w:val="100"/>
        </w:rPr>
        <w:t> </w:t>
      </w:r>
      <w:r>
        <w:rPr>
          <w:spacing w:val="-2"/>
        </w:rPr>
        <w:t>空间多域数据进行高效的编码、管理和应用，为测绘、导航、气象、遥感、减灾、公安等不同行业提供大</w:t>
      </w:r>
      <w:r>
        <w:rPr>
          <w:spacing w:val="-47"/>
        </w:rPr>
        <w:t> </w:t>
      </w:r>
      <w:r>
        <w:rPr>
          <w:spacing w:val="-47"/>
        </w:rPr>
      </w:r>
      <w:r>
        <w:rPr>
          <w:spacing w:val="-2"/>
        </w:rPr>
        <w:t>数据服务和管理平台。公司在时空大数据管理、融合、分析、挖掘等方面具有独特优势，已形成特有的大</w:t>
      </w:r>
      <w:r>
        <w:rPr>
          <w:spacing w:val="-43"/>
        </w:rPr>
        <w:t> </w:t>
      </w:r>
      <w:r>
        <w:rPr>
          <w:spacing w:val="-43"/>
        </w:rPr>
      </w:r>
      <w:r>
        <w:rPr>
          <w:spacing w:val="-2"/>
        </w:rPr>
        <w:t>数据技术和产品体系，该体系具有低成本、高效率的特点，可以为数据密集型产业带来了巨大的变革和想</w:t>
      </w:r>
      <w:r>
        <w:rPr>
          <w:spacing w:val="-44"/>
        </w:rPr>
        <w:t> </w:t>
      </w:r>
      <w:r>
        <w:rPr>
          <w:spacing w:val="-44"/>
        </w:rPr>
      </w:r>
      <w:r>
        <w:rPr/>
        <w:t>象空间。目前，公司已全面开展大数据业务布局，重点服务于安全防务、智慧城市、大数据等领域。</w:t>
      </w:r>
    </w:p>
    <w:p>
      <w:pPr>
        <w:pStyle w:val="Heading3"/>
        <w:spacing w:line="240" w:lineRule="auto" w:before="176"/>
        <w:ind w:right="1127"/>
        <w:jc w:val="left"/>
      </w:pPr>
      <w:bookmarkStart w:name="（三）影响公司业务外部因素分析" w:id="30"/>
      <w:bookmarkEnd w:id="30"/>
      <w:r>
        <w:rPr/>
      </w:r>
      <w:r>
        <w:rPr/>
        <w:t>（三）影响公司业务外部因素分析</w:t>
      </w:r>
    </w:p>
    <w:p>
      <w:pPr>
        <w:spacing w:line="240" w:lineRule="auto" w:before="8"/>
        <w:rPr>
          <w:rFonts w:ascii="黑体" w:hAnsi="黑体" w:cs="黑体" w:eastAsia="黑体" w:hint="default"/>
          <w:sz w:val="25"/>
          <w:szCs w:val="25"/>
        </w:rPr>
      </w:pPr>
    </w:p>
    <w:p>
      <w:pPr>
        <w:pStyle w:val="BodyText"/>
        <w:spacing w:line="408" w:lineRule="auto"/>
        <w:ind w:left="152" w:right="0" w:firstLine="420"/>
        <w:jc w:val="left"/>
      </w:pPr>
      <w:r>
        <w:rPr/>
        <w:t>报告期内，公司主营业务主要围绕国防信息化和行业信息化领域开展，国防信息化领域主要客户为军</w:t>
      </w:r>
      <w:r>
        <w:rPr>
          <w:w w:val="100"/>
        </w:rPr>
        <w:t> </w:t>
      </w:r>
      <w:r>
        <w:rPr>
          <w:spacing w:val="-2"/>
        </w:rPr>
        <w:t>工科研院所、部队、装备维修保障部门等，军品型号研制必须严格按照国军标及质量管理体系的要求进行</w:t>
      </w:r>
      <w:r>
        <w:rPr>
          <w:spacing w:val="-44"/>
        </w:rPr>
        <w:t> </w:t>
      </w:r>
      <w:r>
        <w:rPr>
          <w:spacing w:val="-44"/>
        </w:rPr>
      </w:r>
      <w:r>
        <w:rPr>
          <w:spacing w:val="-2"/>
        </w:rPr>
        <w:t>全过程管控，并且需满足项目定制化、军用及专业用户的个性化需求，当前国家国防实力的不断提高，对</w:t>
      </w:r>
      <w:r>
        <w:rPr>
          <w:spacing w:val="-47"/>
        </w:rPr>
        <w:t> </w:t>
      </w:r>
      <w:r>
        <w:rPr>
          <w:spacing w:val="-47"/>
        </w:rPr>
      </w:r>
      <w:r>
        <w:rPr/>
        <w:t>国防领域重要的装备型号研制单位的配套层级及技术服务也提出了更高的要求。公司基于多年的技术积</w:t>
      </w:r>
      <w:r>
        <w:rPr>
          <w:w w:val="100"/>
        </w:rPr>
        <w:t> </w:t>
      </w:r>
      <w:r>
        <w:rPr>
          <w:spacing w:val="-2"/>
        </w:rPr>
        <w:t>累，具有军工业务全系列的产品线，可为客户提供咨询、定制开发、系统集成等服务，公司的营销和技术</w:t>
      </w:r>
      <w:r>
        <w:rPr>
          <w:spacing w:val="-43"/>
        </w:rPr>
        <w:t> </w:t>
      </w:r>
      <w:r>
        <w:rPr>
          <w:spacing w:val="-43"/>
        </w:rPr>
      </w:r>
      <w:r>
        <w:rPr>
          <w:spacing w:val="-2"/>
        </w:rPr>
        <w:t>服务团队按照梯队化培养发展，长期从事国防领域客户，具备吃苦耐劳，客户至上，努力为客户解决问题</w:t>
      </w:r>
      <w:r>
        <w:rPr>
          <w:spacing w:val="-47"/>
        </w:rPr>
        <w:t> </w:t>
      </w:r>
      <w:r>
        <w:rPr>
          <w:spacing w:val="-47"/>
        </w:rPr>
      </w:r>
      <w:r>
        <w:rPr>
          <w:spacing w:val="-5"/>
        </w:rPr>
        <w:t>的品质，技术服务网络涵盖全国军工区域。随着国家军民融合战略的推进，公司未来也将提高配套的层级， </w:t>
      </w:r>
      <w:r>
        <w:rPr>
          <w:spacing w:val="-5"/>
        </w:rPr>
      </w:r>
      <w:r>
        <w:rPr/>
        <w:t>加大在核心技术和重点产品的投入，扩大在国防军工领域的市场份额及总体地位。</w:t>
      </w:r>
    </w:p>
    <w:p>
      <w:pPr>
        <w:pStyle w:val="BodyText"/>
        <w:spacing w:line="408" w:lineRule="auto" w:before="46"/>
        <w:ind w:left="152" w:right="0" w:firstLine="420"/>
        <w:jc w:val="left"/>
      </w:pPr>
      <w:r>
        <w:rPr/>
        <w:t>在行业信息化领域，公司智慧城市业务与国家宏观经济运行状况密切，主要客户为政府有关部门、企</w:t>
      </w:r>
      <w:r>
        <w:rPr>
          <w:w w:val="100"/>
        </w:rPr>
        <w:t> </w:t>
      </w:r>
      <w:r>
        <w:rPr>
          <w:spacing w:val="-2"/>
        </w:rPr>
        <w:t>事业单位及行业用户，业务的发展与国民经济运行状况呈正相关性，所以国家宏观调控政策、经济复苏振</w:t>
      </w:r>
      <w:r>
        <w:rPr>
          <w:spacing w:val="-48"/>
        </w:rPr>
        <w:t> </w:t>
      </w:r>
      <w:r>
        <w:rPr>
          <w:spacing w:val="-48"/>
        </w:rPr>
      </w:r>
      <w:r>
        <w:rPr>
          <w:spacing w:val="-2"/>
        </w:rPr>
        <w:t>兴政策、惠及民生信息化建设政策等方面都直接和间接影响公司业务和客户。公司会持续密切关注国家政</w:t>
      </w:r>
      <w:r>
        <w:rPr>
          <w:spacing w:val="-42"/>
        </w:rPr>
        <w:t> </w:t>
      </w:r>
      <w:r>
        <w:rPr>
          <w:spacing w:val="-42"/>
        </w:rPr>
      </w:r>
      <w:r>
        <w:rPr>
          <w:spacing w:val="-2"/>
        </w:rPr>
        <w:t>策和相关法律法规规章制度在智慧城市建设方面的变化，选择地方财政和信誉情况较好的地区开拓业务市</w:t>
      </w:r>
      <w:r>
        <w:rPr>
          <w:spacing w:val="-43"/>
        </w:rPr>
        <w:t> </w:t>
      </w:r>
      <w:r>
        <w:rPr>
          <w:spacing w:val="-43"/>
        </w:rPr>
      </w:r>
      <w:r>
        <w:rPr>
          <w:spacing w:val="-2"/>
        </w:rPr>
        <w:t>场，积极增加各相关细分行业的投入，筛选优质客户，加强与客户合作的全面性，规避客户风险。税控业</w:t>
      </w:r>
      <w:r>
        <w:rPr>
          <w:spacing w:val="-44"/>
        </w:rPr>
        <w:t> </w:t>
      </w:r>
      <w:r>
        <w:rPr>
          <w:spacing w:val="-44"/>
        </w:rPr>
      </w:r>
      <w:r>
        <w:rPr>
          <w:spacing w:val="-5"/>
        </w:rPr>
        <w:t>务的主要客户为广大纳税户企业，公司向纳税户企业提供税控产品及服务，并围绕客户提供相关增值服务。</w:t>
      </w:r>
      <w:r>
        <w:rPr>
          <w:spacing w:val="-4"/>
        </w:rPr>
        <w:t> </w:t>
      </w:r>
      <w:r>
        <w:rPr>
          <w:spacing w:val="-4"/>
        </w:rPr>
      </w:r>
      <w:r>
        <w:rPr>
          <w:spacing w:val="-2"/>
        </w:rPr>
        <w:t>税控产品销售价格由国家发改委确定，所以税控产品的主要收益为产品销量和成本控制，服务相关的主要</w:t>
      </w:r>
      <w:r>
        <w:rPr>
          <w:spacing w:val="-42"/>
        </w:rPr>
        <w:t> </w:t>
      </w:r>
      <w:r>
        <w:rPr>
          <w:spacing w:val="-42"/>
        </w:rPr>
      </w:r>
      <w:r>
        <w:rPr>
          <w:spacing w:val="-2"/>
        </w:rPr>
        <w:t>收益为服务的纳税户企业数量。公司在保持良好信誉，提供产品质量保证的同时，也将提供客户优质的税</w:t>
      </w:r>
      <w:r>
        <w:rPr>
          <w:spacing w:val="-44"/>
        </w:rPr>
        <w:t> </w:t>
      </w:r>
      <w:r>
        <w:rPr>
          <w:spacing w:val="-44"/>
        </w:rPr>
      </w:r>
      <w:r>
        <w:rPr>
          <w:spacing w:val="-2"/>
        </w:rPr>
        <w:t>务信息化服务，公司将与财务信息化联动，形成整体的财税服务生态体系，提高国家财税管理效率和财税</w:t>
      </w:r>
      <w:r>
        <w:rPr>
          <w:spacing w:val="-44"/>
        </w:rPr>
        <w:t> </w:t>
      </w:r>
      <w:r>
        <w:rPr>
          <w:spacing w:val="-44"/>
        </w:rPr>
      </w:r>
      <w:r>
        <w:rPr/>
        <w:t>服务效率，优化企业财税业务实施、税收筹划等体验，提高企业的竞争力。</w:t>
      </w:r>
    </w:p>
    <w:p>
      <w:pPr>
        <w:spacing w:line="240" w:lineRule="auto" w:before="8"/>
        <w:rPr>
          <w:rFonts w:ascii="宋体" w:hAnsi="宋体" w:cs="宋体" w:eastAsia="宋体" w:hint="default"/>
          <w:sz w:val="18"/>
          <w:szCs w:val="18"/>
        </w:rPr>
      </w:pPr>
    </w:p>
    <w:p>
      <w:pPr>
        <w:pStyle w:val="Heading2"/>
        <w:spacing w:line="240" w:lineRule="auto"/>
        <w:ind w:right="1127"/>
        <w:jc w:val="left"/>
        <w:rPr>
          <w:b w:val="0"/>
          <w:bCs w:val="0"/>
        </w:rPr>
      </w:pPr>
      <w:bookmarkStart w:name="二、主要资产重大变化情况" w:id="31"/>
      <w:bookmarkEnd w:id="31"/>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7"/>
        <w:jc w:val="left"/>
        <w:rPr>
          <w:b w:val="0"/>
          <w:bCs w:val="0"/>
        </w:rPr>
      </w:pPr>
      <w:bookmarkStart w:name="1、主要资产重大变化情况" w:id="32"/>
      <w:bookmarkEnd w:id="32"/>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49"/>
        <w:gridCol w:w="6518"/>
      </w:tblGrid>
      <w:tr>
        <w:trPr>
          <w:trHeight w:val="578" w:hRule="exact"/>
        </w:trPr>
        <w:tc>
          <w:tcPr>
            <w:tcW w:w="30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049"/>
        <w:gridCol w:w="6518"/>
      </w:tblGrid>
      <w:tr>
        <w:trPr>
          <w:trHeight w:val="677" w:hRule="exact"/>
        </w:trPr>
        <w:tc>
          <w:tcPr>
            <w:tcW w:w="304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51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163" w:hRule="exact"/>
        </w:trPr>
        <w:tc>
          <w:tcPr>
            <w:tcW w:w="3049" w:type="dxa"/>
            <w:tcBorders>
              <w:top w:val="single" w:sz="4" w:space="0" w:color="000000"/>
              <w:left w:val="single" w:sz="4" w:space="0" w:color="000000"/>
              <w:bottom w:val="nil" w:sz="6" w:space="0" w:color="auto"/>
              <w:right w:val="single" w:sz="4" w:space="0" w:color="000000"/>
            </w:tcBorders>
            <w:shd w:val="clear" w:color="auto" w:fill="D4D4D4"/>
          </w:tcPr>
          <w:p>
            <w:pPr/>
          </w:p>
        </w:tc>
        <w:tc>
          <w:tcPr>
            <w:tcW w:w="6518" w:type="dxa"/>
            <w:vMerge w:val="restart"/>
            <w:tcBorders>
              <w:top w:val="single" w:sz="4" w:space="0" w:color="000000"/>
              <w:left w:val="single" w:sz="10" w:space="0" w:color="D4D4D4"/>
              <w:right w:val="single" w:sz="4" w:space="0" w:color="000000"/>
            </w:tcBorders>
          </w:tcPr>
          <w:p>
            <w:pPr>
              <w:pStyle w:val="TableParagraph"/>
              <w:spacing w:line="297" w:lineRule="auto" w:before="104"/>
              <w:ind w:left="16" w:right="23"/>
              <w:jc w:val="left"/>
              <w:rPr>
                <w:rFonts w:ascii="宋体" w:hAnsi="宋体" w:cs="宋体" w:eastAsia="宋体" w:hint="default"/>
                <w:sz w:val="18"/>
                <w:szCs w:val="18"/>
              </w:rPr>
            </w:pPr>
            <w:r>
              <w:rPr>
                <w:rFonts w:ascii="宋体" w:hAnsi="宋体" w:cs="宋体" w:eastAsia="宋体" w:hint="default"/>
                <w:sz w:val="18"/>
                <w:szCs w:val="18"/>
              </w:rPr>
              <w:t>报告期末较期初增加</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17.26%</w:t>
            </w:r>
            <w:r>
              <w:rPr>
                <w:rFonts w:ascii="宋体" w:hAnsi="宋体" w:cs="宋体" w:eastAsia="宋体" w:hint="default"/>
                <w:spacing w:val="-3"/>
                <w:sz w:val="18"/>
                <w:szCs w:val="18"/>
              </w:rPr>
              <w:t>，主要系本报告期增加权益投资以及少数股东增资增加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权益变动所致</w:t>
            </w:r>
          </w:p>
        </w:tc>
      </w:tr>
      <w:tr>
        <w:trPr>
          <w:trHeight w:val="497" w:hRule="exact"/>
        </w:trPr>
        <w:tc>
          <w:tcPr>
            <w:tcW w:w="304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股权资产</w:t>
            </w:r>
          </w:p>
        </w:tc>
        <w:tc>
          <w:tcPr>
            <w:tcW w:w="6518" w:type="dxa"/>
            <w:vMerge/>
            <w:tcBorders>
              <w:left w:val="single" w:sz="10" w:space="0" w:color="D4D4D4"/>
              <w:right w:val="single" w:sz="4" w:space="0" w:color="000000"/>
            </w:tcBorders>
          </w:tcPr>
          <w:p>
            <w:pPr/>
          </w:p>
        </w:tc>
      </w:tr>
      <w:tr>
        <w:trPr>
          <w:trHeight w:val="161" w:hRule="exact"/>
        </w:trPr>
        <w:tc>
          <w:tcPr>
            <w:tcW w:w="3049" w:type="dxa"/>
            <w:tcBorders>
              <w:top w:val="nil" w:sz="6" w:space="0" w:color="auto"/>
              <w:left w:val="single" w:sz="4" w:space="0" w:color="000000"/>
              <w:bottom w:val="single" w:sz="4" w:space="0" w:color="000000"/>
              <w:right w:val="single" w:sz="4" w:space="0" w:color="000000"/>
            </w:tcBorders>
            <w:shd w:val="clear" w:color="auto" w:fill="D4D4D4"/>
          </w:tcPr>
          <w:p>
            <w:pPr/>
          </w:p>
        </w:tc>
        <w:tc>
          <w:tcPr>
            <w:tcW w:w="6518" w:type="dxa"/>
            <w:vMerge/>
            <w:tcBorders>
              <w:left w:val="single" w:sz="10" w:space="0" w:color="D4D4D4"/>
              <w:bottom w:val="single" w:sz="4" w:space="0" w:color="000000"/>
              <w:right w:val="single" w:sz="4" w:space="0" w:color="000000"/>
            </w:tcBorders>
          </w:tcPr>
          <w:p>
            <w:pPr/>
          </w:p>
        </w:tc>
      </w:tr>
      <w:tr>
        <w:trPr>
          <w:trHeight w:val="509" w:hRule="exact"/>
        </w:trPr>
        <w:tc>
          <w:tcPr>
            <w:tcW w:w="304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报告期末较期初增加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17.29%</w:t>
            </w:r>
            <w:r>
              <w:rPr>
                <w:rFonts w:ascii="宋体" w:hAnsi="宋体" w:cs="宋体" w:eastAsia="宋体" w:hint="default"/>
                <w:sz w:val="18"/>
                <w:szCs w:val="18"/>
              </w:rPr>
              <w:t>，主要系新增固定资产导致</w:t>
            </w:r>
          </w:p>
        </w:tc>
      </w:tr>
      <w:tr>
        <w:trPr>
          <w:trHeight w:val="506" w:hRule="exact"/>
        </w:trPr>
        <w:tc>
          <w:tcPr>
            <w:tcW w:w="304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报告期末较期初减少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7.41%</w:t>
            </w:r>
            <w:r>
              <w:rPr>
                <w:rFonts w:ascii="宋体" w:hAnsi="宋体" w:cs="宋体" w:eastAsia="宋体" w:hint="default"/>
                <w:sz w:val="18"/>
                <w:szCs w:val="18"/>
              </w:rPr>
              <w:t>，主要系无形资产摊销导致</w:t>
            </w:r>
          </w:p>
        </w:tc>
      </w:tr>
      <w:tr>
        <w:trPr>
          <w:trHeight w:val="509" w:hRule="exact"/>
        </w:trPr>
        <w:tc>
          <w:tcPr>
            <w:tcW w:w="304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04"/>
              <w:ind w:left="1"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报告期末较期初增加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181.21%</w:t>
            </w:r>
            <w:r>
              <w:rPr>
                <w:rFonts w:ascii="宋体" w:hAnsi="宋体" w:cs="宋体" w:eastAsia="宋体" w:hint="default"/>
                <w:sz w:val="18"/>
                <w:szCs w:val="18"/>
              </w:rPr>
              <w:t>，主要系泰豪智能新增在建项目导致</w:t>
            </w:r>
          </w:p>
        </w:tc>
      </w:tr>
      <w:tr>
        <w:trPr>
          <w:trHeight w:val="821" w:hRule="exact"/>
        </w:trPr>
        <w:tc>
          <w:tcPr>
            <w:tcW w:w="304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1"/>
              <w:ind w:left="23" w:right="31"/>
              <w:jc w:val="left"/>
              <w:rPr>
                <w:rFonts w:ascii="宋体" w:hAnsi="宋体" w:cs="宋体" w:eastAsia="宋体" w:hint="default"/>
                <w:sz w:val="18"/>
                <w:szCs w:val="18"/>
              </w:rPr>
            </w:pPr>
            <w:r>
              <w:rPr>
                <w:rFonts w:ascii="宋体" w:hAnsi="宋体" w:cs="宋体" w:eastAsia="宋体" w:hint="default"/>
                <w:sz w:val="18"/>
                <w:szCs w:val="18"/>
              </w:rPr>
              <w:t>报告期末较期初增加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18726.60%</w:t>
            </w:r>
            <w:r>
              <w:rPr>
                <w:rFonts w:ascii="宋体" w:hAnsi="宋体" w:cs="宋体" w:eastAsia="宋体" w:hint="default"/>
                <w:sz w:val="18"/>
                <w:szCs w:val="18"/>
              </w:rPr>
              <w:t>，主要系泰豪智能收购子公司泰豪智能科技导致投 资性房地产增加</w:t>
            </w:r>
          </w:p>
        </w:tc>
      </w:tr>
    </w:tbl>
    <w:p>
      <w:pPr>
        <w:spacing w:line="240" w:lineRule="auto" w:before="3"/>
        <w:rPr>
          <w:rFonts w:ascii="宋体" w:hAnsi="宋体" w:cs="宋体" w:eastAsia="宋体" w:hint="default"/>
          <w:b/>
          <w:bCs/>
          <w:sz w:val="19"/>
          <w:szCs w:val="19"/>
        </w:rPr>
      </w:pPr>
    </w:p>
    <w:p>
      <w:pPr>
        <w:pStyle w:val="Heading4"/>
        <w:spacing w:line="240" w:lineRule="auto" w:before="36"/>
        <w:ind w:right="1127"/>
        <w:jc w:val="left"/>
        <w:rPr>
          <w:b w:val="0"/>
          <w:bCs w:val="0"/>
        </w:rPr>
      </w:pPr>
      <w:bookmarkStart w:name="2、主要境外资产情况" w:id="33"/>
      <w:bookmarkEnd w:id="33"/>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30"/>
          <w:szCs w:val="30"/>
        </w:rPr>
      </w:pPr>
    </w:p>
    <w:p>
      <w:pPr>
        <w:tabs>
          <w:tab w:pos="572" w:val="left" w:leader="none"/>
        </w:tabs>
        <w:spacing w:line="547" w:lineRule="auto" w:before="0"/>
        <w:ind w:left="152" w:right="8602"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三、核心竞争力分析" w:id="34"/>
      <w:bookmarkEnd w:id="34"/>
      <w:r>
        <w:rPr>
          <w:rFonts w:ascii="宋体" w:hAnsi="宋体" w:cs="宋体" w:eastAsia="宋体" w:hint="default"/>
          <w:w w:val="100"/>
          <w:sz w:val="21"/>
          <w:szCs w:val="21"/>
        </w:rPr>
      </w:r>
      <w:r>
        <w:rPr>
          <w:rFonts w:ascii="宋体" w:hAnsi="宋体" w:cs="宋体" w:eastAsia="宋体" w:hint="default"/>
          <w:b/>
          <w:bCs/>
          <w:sz w:val="24"/>
          <w:szCs w:val="24"/>
        </w:rPr>
        <w:t>三、核心竞争力分析</w:t>
      </w:r>
      <w:r>
        <w:rPr>
          <w:rFonts w:ascii="宋体" w:hAnsi="宋体" w:cs="宋体" w:eastAsia="宋体" w:hint="default"/>
          <w:b/>
          <w:bCs/>
          <w:w w:val="99"/>
          <w:sz w:val="24"/>
          <w:szCs w:val="24"/>
        </w:rPr>
        <w:t> </w:t>
      </w:r>
      <w:bookmarkStart w:name="1. 业务综合优势" w:id="35"/>
      <w:bookmarkEnd w:id="3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tab/>
      </w:r>
      <w:r>
        <w:rPr>
          <w:rFonts w:ascii="宋体" w:hAnsi="宋体" w:cs="宋体" w:eastAsia="宋体" w:hint="default"/>
          <w:b/>
          <w:bCs/>
          <w:sz w:val="21"/>
          <w:szCs w:val="21"/>
        </w:rPr>
        <w:t>业务综合优势</w:t>
      </w:r>
      <w:r>
        <w:rPr>
          <w:rFonts w:ascii="宋体" w:hAnsi="宋体" w:cs="宋体" w:eastAsia="宋体" w:hint="default"/>
          <w:sz w:val="21"/>
          <w:szCs w:val="21"/>
        </w:rPr>
      </w:r>
    </w:p>
    <w:p>
      <w:pPr>
        <w:pStyle w:val="BodyText"/>
        <w:spacing w:line="408" w:lineRule="auto"/>
        <w:ind w:left="152" w:right="1128" w:firstLine="420"/>
        <w:jc w:val="both"/>
      </w:pPr>
      <w:r>
        <w:rPr>
          <w:spacing w:val="-2"/>
        </w:rPr>
        <w:t>公司依托嵌入式系统开发测试、时空信息网格大数据融合处理和信息安全三大核心技术，持续推出系</w:t>
      </w:r>
      <w:r>
        <w:rPr>
          <w:w w:val="100"/>
        </w:rPr>
        <w:t> </w:t>
      </w:r>
      <w:r>
        <w:rPr>
          <w:spacing w:val="-2"/>
        </w:rPr>
        <w:t>统测试、通信、装备健康管理、税控装置及服务、智慧能源、智能设备等产品和服务，为智慧防务、税务</w:t>
      </w:r>
      <w:r>
        <w:rPr>
          <w:spacing w:val="-47"/>
        </w:rPr>
        <w:t> </w:t>
      </w:r>
      <w:r>
        <w:rPr>
          <w:spacing w:val="-47"/>
        </w:rPr>
      </w:r>
      <w:r>
        <w:rPr/>
        <w:t>信息化、智慧城市等行业提供先进、可控、高效、安全的数字化、智能化整体解决方案。</w:t>
      </w:r>
    </w:p>
    <w:p>
      <w:pPr>
        <w:pStyle w:val="BodyText"/>
        <w:tabs>
          <w:tab w:pos="572" w:val="left" w:leader="none"/>
        </w:tabs>
        <w:spacing w:line="482" w:lineRule="auto" w:before="168"/>
        <w:ind w:right="1128" w:hanging="420"/>
        <w:jc w:val="left"/>
      </w:pPr>
      <w:bookmarkStart w:name="2. 技术研发优势" w:id="36"/>
      <w:bookmarkEnd w:id="36"/>
      <w:r>
        <w:rPr/>
      </w:r>
      <w:r>
        <w:rPr>
          <w:rFonts w:ascii="Times New Roman" w:hAnsi="Times New Roman" w:cs="Times New Roman" w:eastAsia="Times New Roman" w:hint="default"/>
          <w:b/>
          <w:bCs/>
        </w:rPr>
        <w:t>2.</w:t>
        <w:tab/>
      </w:r>
      <w:r>
        <w:rPr>
          <w:rFonts w:ascii="宋体" w:hAnsi="宋体" w:cs="宋体" w:eastAsia="宋体" w:hint="default"/>
          <w:b/>
          <w:bCs/>
        </w:rPr>
        <w:t>技术研发优势</w:t>
      </w:r>
      <w:r>
        <w:rPr>
          <w:rFonts w:ascii="宋体" w:hAnsi="宋体" w:cs="宋体" w:eastAsia="宋体" w:hint="default"/>
          <w:b/>
          <w:bCs/>
          <w:spacing w:val="-104"/>
        </w:rPr>
        <w:t> </w:t>
      </w:r>
      <w:r>
        <w:rPr>
          <w:spacing w:val="-2"/>
        </w:rPr>
        <w:t>公司是国内较早自主开发面向国防军工领域嵌入式系统相关的系列化测试软件和工具的企业，在嵌入</w:t>
      </w:r>
    </w:p>
    <w:p>
      <w:pPr>
        <w:pStyle w:val="BodyText"/>
        <w:spacing w:line="256" w:lineRule="exact"/>
        <w:ind w:left="152" w:right="0"/>
        <w:jc w:val="left"/>
      </w:pPr>
      <w:r>
        <w:rPr/>
        <w:t>式系统故障注入，装备系统建模、故障诊断与健康评估，高速航电总线，高密度机载处理和记录单元、发</w:t>
      </w:r>
    </w:p>
    <w:p>
      <w:pPr>
        <w:spacing w:line="240" w:lineRule="auto" w:before="10"/>
        <w:rPr>
          <w:rFonts w:ascii="宋体" w:hAnsi="宋体" w:cs="宋体" w:eastAsia="宋体" w:hint="default"/>
          <w:sz w:val="14"/>
          <w:szCs w:val="14"/>
        </w:rPr>
      </w:pPr>
    </w:p>
    <w:p>
      <w:pPr>
        <w:pStyle w:val="BodyText"/>
        <w:spacing w:line="408" w:lineRule="auto"/>
        <w:ind w:left="152" w:right="1128"/>
        <w:jc w:val="both"/>
      </w:pPr>
      <w:r>
        <w:rPr>
          <w:spacing w:val="-2"/>
        </w:rPr>
        <w:t>控、复杂环境高可靠无线自组网通信协议等领域拥有长期技术积累，并且在电子元器件检测，核心通信网</w:t>
      </w:r>
      <w:r>
        <w:rPr>
          <w:spacing w:val="-44"/>
        </w:rPr>
        <w:t> </w:t>
      </w:r>
      <w:r>
        <w:rPr>
          <w:spacing w:val="-44"/>
        </w:rPr>
      </w:r>
      <w:r>
        <w:rPr>
          <w:spacing w:val="-2"/>
        </w:rPr>
        <w:t>接入平台，智能网平台资源接入与管理开发，行业信息化应用等方面具有雄厚实力，在国内同类产品中处</w:t>
      </w:r>
      <w:r>
        <w:rPr>
          <w:spacing w:val="-43"/>
        </w:rPr>
        <w:t> </w:t>
      </w:r>
      <w:r>
        <w:rPr>
          <w:spacing w:val="-43"/>
        </w:rPr>
      </w:r>
      <w:r>
        <w:rPr/>
        <w:t>于领先地位。</w:t>
      </w:r>
    </w:p>
    <w:p>
      <w:pPr>
        <w:pStyle w:val="BodyText"/>
        <w:tabs>
          <w:tab w:pos="572" w:val="left" w:leader="none"/>
        </w:tabs>
        <w:spacing w:line="482" w:lineRule="auto" w:before="168"/>
        <w:ind w:right="1133" w:hanging="420"/>
        <w:jc w:val="left"/>
      </w:pPr>
      <w:bookmarkStart w:name="3. 人才团队优势" w:id="37"/>
      <w:bookmarkEnd w:id="37"/>
      <w:r>
        <w:rPr/>
      </w:r>
      <w:r>
        <w:rPr>
          <w:rFonts w:ascii="Times New Roman" w:hAnsi="Times New Roman" w:cs="Times New Roman" w:eastAsia="Times New Roman" w:hint="default"/>
          <w:b/>
          <w:bCs/>
        </w:rPr>
        <w:t>3.</w:t>
        <w:tab/>
      </w:r>
      <w:r>
        <w:rPr>
          <w:rFonts w:ascii="宋体" w:hAnsi="宋体" w:cs="宋体" w:eastAsia="宋体" w:hint="default"/>
          <w:b/>
          <w:bCs/>
        </w:rPr>
        <w:t>人才团队优势</w:t>
      </w:r>
      <w:r>
        <w:rPr>
          <w:rFonts w:ascii="宋体" w:hAnsi="宋体" w:cs="宋体" w:eastAsia="宋体" w:hint="default"/>
          <w:b/>
          <w:bCs/>
          <w:spacing w:val="-104"/>
        </w:rPr>
        <w:t> </w:t>
      </w:r>
      <w:r>
        <w:rPr>
          <w:spacing w:val="2"/>
        </w:rPr>
        <w:t>公司的管理团队和核心技术团队由高学历人员组成，具有在国防信息化和信息化行业丰富的从业经</w:t>
      </w:r>
    </w:p>
    <w:p>
      <w:pPr>
        <w:pStyle w:val="BodyText"/>
        <w:spacing w:line="256" w:lineRule="exact"/>
        <w:ind w:left="152" w:right="0"/>
        <w:jc w:val="left"/>
      </w:pPr>
      <w:r>
        <w:rPr/>
        <w:t>历。公司不仅拥有专业研发团队，而且还拥有行业领域的成熟市场团队，管理人员、技术研发人员、市场</w:t>
      </w:r>
    </w:p>
    <w:p>
      <w:pPr>
        <w:spacing w:line="240" w:lineRule="auto" w:before="10"/>
        <w:rPr>
          <w:rFonts w:ascii="宋体" w:hAnsi="宋体" w:cs="宋体" w:eastAsia="宋体" w:hint="default"/>
          <w:sz w:val="14"/>
          <w:szCs w:val="14"/>
        </w:rPr>
      </w:pPr>
    </w:p>
    <w:p>
      <w:pPr>
        <w:pStyle w:val="BodyText"/>
        <w:spacing w:line="408" w:lineRule="auto"/>
        <w:ind w:left="152" w:right="1128"/>
        <w:jc w:val="both"/>
      </w:pPr>
      <w:r>
        <w:rPr>
          <w:spacing w:val="-2"/>
        </w:rPr>
        <w:t>人员都具有很强的执行力以及市场动向的把握能力。公司采用集团化管理、目标计划管理、绩效考核管理</w:t>
      </w:r>
      <w:r>
        <w:rPr>
          <w:spacing w:val="-44"/>
        </w:rPr>
        <w:t> </w:t>
      </w:r>
      <w:r>
        <w:rPr>
          <w:spacing w:val="-44"/>
        </w:rPr>
      </w:r>
      <w:r>
        <w:rPr>
          <w:spacing w:val="-2"/>
        </w:rPr>
        <w:t>等系列经营管理模式，通过激励制度，使团队保持稳定，为公司自主研发、市场开拓、快速发展奠定了坚</w:t>
      </w:r>
    </w:p>
    <w:p>
      <w:pPr>
        <w:spacing w:after="0" w:line="408" w:lineRule="auto"/>
        <w:jc w:val="both"/>
        <w:sectPr>
          <w:pgSz w:w="11910" w:h="16840"/>
          <w:pgMar w:header="882" w:footer="1134" w:top="1280" w:bottom="1320" w:left="980" w:right="0"/>
        </w:sectPr>
      </w:pPr>
    </w:p>
    <w:p>
      <w:pPr>
        <w:spacing w:line="240" w:lineRule="auto" w:before="4"/>
        <w:rPr>
          <w:rFonts w:ascii="宋体" w:hAnsi="宋体" w:cs="宋体" w:eastAsia="宋体" w:hint="default"/>
          <w:sz w:val="13"/>
          <w:szCs w:val="13"/>
        </w:rPr>
      </w:pPr>
    </w:p>
    <w:p>
      <w:pPr>
        <w:pStyle w:val="BodyText"/>
        <w:spacing w:line="240" w:lineRule="auto" w:before="36"/>
        <w:ind w:left="152" w:right="1127"/>
        <w:jc w:val="left"/>
      </w:pPr>
      <w:r>
        <w:rPr/>
        <w:t>实基础。</w:t>
      </w:r>
    </w:p>
    <w:p>
      <w:pPr>
        <w:spacing w:line="240" w:lineRule="auto" w:before="2"/>
        <w:rPr>
          <w:rFonts w:ascii="宋体" w:hAnsi="宋体" w:cs="宋体" w:eastAsia="宋体" w:hint="default"/>
          <w:sz w:val="24"/>
          <w:szCs w:val="24"/>
        </w:rPr>
      </w:pPr>
    </w:p>
    <w:p>
      <w:pPr>
        <w:pStyle w:val="BodyText"/>
        <w:tabs>
          <w:tab w:pos="572" w:val="left" w:leader="none"/>
        </w:tabs>
        <w:spacing w:line="482" w:lineRule="auto"/>
        <w:ind w:right="1127" w:hanging="420"/>
        <w:jc w:val="left"/>
      </w:pPr>
      <w:bookmarkStart w:name="4. 品牌资质优势" w:id="38"/>
      <w:bookmarkEnd w:id="38"/>
      <w:r>
        <w:rPr/>
      </w:r>
      <w:r>
        <w:rPr>
          <w:rFonts w:ascii="Times New Roman" w:hAnsi="Times New Roman" w:cs="Times New Roman" w:eastAsia="Times New Roman" w:hint="default"/>
          <w:b/>
          <w:bCs/>
        </w:rPr>
        <w:t>4.</w:t>
        <w:tab/>
      </w:r>
      <w:r>
        <w:rPr>
          <w:rFonts w:ascii="宋体" w:hAnsi="宋体" w:cs="宋体" w:eastAsia="宋体" w:hint="default"/>
          <w:b/>
          <w:bCs/>
        </w:rPr>
        <w:t>品牌资质优势</w:t>
      </w:r>
      <w:r>
        <w:rPr>
          <w:rFonts w:ascii="宋体" w:hAnsi="宋体" w:cs="宋体" w:eastAsia="宋体" w:hint="default"/>
          <w:b/>
          <w:bCs/>
          <w:spacing w:val="-104"/>
        </w:rPr>
        <w:t> </w:t>
      </w:r>
      <w:r>
        <w:rPr>
          <w:spacing w:val="-2"/>
        </w:rPr>
        <w:t>公司经过二十多年的发展，通过不懈努力及艰苦奋斗，公司的产品不仅在市场中占据了重要的地位，</w:t>
      </w:r>
    </w:p>
    <w:p>
      <w:pPr>
        <w:pStyle w:val="BodyText"/>
        <w:spacing w:line="256" w:lineRule="exact"/>
        <w:ind w:left="152" w:right="0"/>
        <w:jc w:val="left"/>
      </w:pPr>
      <w:r>
        <w:rPr/>
        <w:t>在客户心中赢得了良好的口碑，而且得到了行业及社会的肯定，建立了公司自主品牌。历年来，公司获得</w:t>
      </w:r>
    </w:p>
    <w:p>
      <w:pPr>
        <w:spacing w:line="240" w:lineRule="auto" w:before="10"/>
        <w:rPr>
          <w:rFonts w:ascii="宋体" w:hAnsi="宋体" w:cs="宋体" w:eastAsia="宋体" w:hint="default"/>
          <w:sz w:val="14"/>
          <w:szCs w:val="14"/>
        </w:rPr>
      </w:pPr>
    </w:p>
    <w:p>
      <w:pPr>
        <w:pStyle w:val="BodyText"/>
        <w:spacing w:line="400" w:lineRule="auto"/>
        <w:ind w:left="152" w:right="1128"/>
        <w:jc w:val="both"/>
      </w:pPr>
      <w:r>
        <w:rPr>
          <w:spacing w:val="-2"/>
        </w:rPr>
        <w:t>了很多的资质及荣誉，拥有国家级高新技术认定企业等的行业地位，拥有涉密计算机信息系统集成双甲级</w:t>
      </w:r>
      <w:r>
        <w:rPr>
          <w:spacing w:val="-42"/>
        </w:rPr>
        <w:t> </w:t>
      </w:r>
      <w:r>
        <w:rPr>
          <w:spacing w:val="-42"/>
        </w:rPr>
      </w:r>
      <w:r>
        <w:rPr>
          <w:spacing w:val="-2"/>
        </w:rPr>
        <w:t>资质，建筑智能化壹级资质、建筑智能化系统设计专项甲级资质，建筑机电安装工程专业承包壹级等的工</w:t>
      </w:r>
      <w:r>
        <w:rPr>
          <w:spacing w:val="-48"/>
        </w:rPr>
        <w:t> </w:t>
      </w:r>
      <w:r>
        <w:rPr>
          <w:spacing w:val="-48"/>
        </w:rPr>
      </w:r>
      <w:r>
        <w:rPr>
          <w:spacing w:val="-4"/>
        </w:rPr>
        <w:t>程资质，拥有完整的军工准入资质，拥有 </w:t>
      </w:r>
      <w:r>
        <w:rPr>
          <w:rFonts w:ascii="Times New Roman" w:hAnsi="Times New Roman" w:cs="Times New Roman" w:eastAsia="Times New Roman" w:hint="default"/>
        </w:rPr>
        <w:t>CNAS </w:t>
      </w:r>
      <w:r>
        <w:rPr>
          <w:spacing w:val="-3"/>
        </w:rPr>
        <w:t>及可靠性试验检测中心等的实验室资质，公司行业资质齐</w:t>
      </w:r>
      <w:r>
        <w:rPr>
          <w:spacing w:val="-74"/>
        </w:rPr>
        <w:t> </w:t>
      </w:r>
      <w:r>
        <w:rPr>
          <w:spacing w:val="-74"/>
        </w:rPr>
      </w:r>
      <w:r>
        <w:rPr/>
        <w:t>全，具有较强的市场竞争优势。</w:t>
      </w:r>
    </w:p>
    <w:p>
      <w:pPr>
        <w:pStyle w:val="BodyText"/>
        <w:tabs>
          <w:tab w:pos="572" w:val="left" w:leader="none"/>
        </w:tabs>
        <w:spacing w:line="482" w:lineRule="auto" w:before="174"/>
        <w:ind w:right="1128" w:hanging="420"/>
        <w:jc w:val="left"/>
      </w:pPr>
      <w:bookmarkStart w:name="5. 行业客户优势" w:id="39"/>
      <w:bookmarkEnd w:id="39"/>
      <w:r>
        <w:rPr/>
      </w:r>
      <w:r>
        <w:rPr>
          <w:rFonts w:ascii="Times New Roman" w:hAnsi="Times New Roman" w:cs="Times New Roman" w:eastAsia="Times New Roman" w:hint="default"/>
          <w:b/>
          <w:bCs/>
        </w:rPr>
        <w:t>5.</w:t>
        <w:tab/>
      </w:r>
      <w:r>
        <w:rPr>
          <w:rFonts w:ascii="宋体" w:hAnsi="宋体" w:cs="宋体" w:eastAsia="宋体" w:hint="default"/>
          <w:b/>
          <w:bCs/>
        </w:rPr>
        <w:t>行业客户优势</w:t>
      </w:r>
      <w:r>
        <w:rPr>
          <w:rFonts w:ascii="宋体" w:hAnsi="宋体" w:cs="宋体" w:eastAsia="宋体" w:hint="default"/>
          <w:b/>
          <w:bCs/>
          <w:spacing w:val="-104"/>
        </w:rPr>
        <w:t> </w:t>
      </w:r>
      <w:r>
        <w:rPr>
          <w:spacing w:val="-2"/>
        </w:rPr>
        <w:t>公司主营业务主要围绕国防信息化和行业信息化领域开展，公司主导并参与了一系列重大国防及民生</w:t>
      </w:r>
    </w:p>
    <w:p>
      <w:pPr>
        <w:pStyle w:val="BodyText"/>
        <w:spacing w:line="256" w:lineRule="exact"/>
        <w:ind w:left="152" w:right="0"/>
        <w:jc w:val="left"/>
      </w:pPr>
      <w:r>
        <w:rPr/>
        <w:t>项目，积累了丰富的行业经验和优质客户资源，满足客户定制化及专业用户的个性化需求，可为客户提供</w:t>
      </w:r>
    </w:p>
    <w:p>
      <w:pPr>
        <w:spacing w:line="240" w:lineRule="auto" w:before="10"/>
        <w:rPr>
          <w:rFonts w:ascii="宋体" w:hAnsi="宋体" w:cs="宋体" w:eastAsia="宋体" w:hint="default"/>
          <w:sz w:val="14"/>
          <w:szCs w:val="14"/>
        </w:rPr>
      </w:pPr>
    </w:p>
    <w:p>
      <w:pPr>
        <w:pStyle w:val="BodyText"/>
        <w:spacing w:line="408" w:lineRule="auto"/>
        <w:ind w:left="152" w:right="1127"/>
        <w:jc w:val="left"/>
      </w:pPr>
      <w:r>
        <w:rPr>
          <w:spacing w:val="-2"/>
        </w:rPr>
        <w:t>技术方案咨询、定制开发、系统集成等内容，公司在保持良好信誉，提供产品质量保证的同时，必将秉承</w:t>
      </w:r>
      <w:r>
        <w:rPr>
          <w:spacing w:val="-43"/>
        </w:rPr>
        <w:t> </w:t>
      </w:r>
      <w:r>
        <w:rPr>
          <w:spacing w:val="-43"/>
        </w:rPr>
      </w:r>
      <w:r>
        <w:rPr/>
        <w:t>客户至上，提供客户优质全面服务，提高企业的核心竞争力。</w:t>
      </w:r>
    </w:p>
    <w:p>
      <w:pPr>
        <w:pStyle w:val="BodyText"/>
        <w:tabs>
          <w:tab w:pos="572" w:val="left" w:leader="none"/>
        </w:tabs>
        <w:spacing w:line="482" w:lineRule="auto" w:before="168"/>
        <w:ind w:right="1133" w:hanging="420"/>
        <w:jc w:val="left"/>
      </w:pPr>
      <w:bookmarkStart w:name="6. 机制灵活优势" w:id="40"/>
      <w:bookmarkEnd w:id="40"/>
      <w:r>
        <w:rPr/>
      </w:r>
      <w:r>
        <w:rPr>
          <w:rFonts w:ascii="Times New Roman" w:hAnsi="Times New Roman" w:cs="Times New Roman" w:eastAsia="Times New Roman" w:hint="default"/>
          <w:b/>
          <w:bCs/>
        </w:rPr>
        <w:t>6.</w:t>
        <w:tab/>
      </w:r>
      <w:r>
        <w:rPr>
          <w:rFonts w:ascii="宋体" w:hAnsi="宋体" w:cs="宋体" w:eastAsia="宋体" w:hint="default"/>
          <w:b/>
          <w:bCs/>
        </w:rPr>
        <w:t>机制灵活优势</w:t>
      </w:r>
      <w:r>
        <w:rPr>
          <w:rFonts w:ascii="宋体" w:hAnsi="宋体" w:cs="宋体" w:eastAsia="宋体" w:hint="default"/>
          <w:b/>
          <w:bCs/>
          <w:spacing w:val="-104"/>
        </w:rPr>
        <w:t> </w:t>
      </w:r>
      <w:r>
        <w:rPr>
          <w:spacing w:val="-2"/>
        </w:rPr>
        <w:t>公司作为军民融合领域的高科技民营企业，市场化机制灵活，对市场比较敏感，能够快速适应多变的</w:t>
      </w:r>
      <w:r>
        <w:rPr/>
      </w:r>
    </w:p>
    <w:p>
      <w:pPr>
        <w:pStyle w:val="BodyText"/>
        <w:spacing w:line="256" w:lineRule="exact"/>
        <w:ind w:left="152" w:right="0"/>
        <w:jc w:val="left"/>
      </w:pPr>
      <w:r>
        <w:rPr/>
        <w:t>市场环境，满足客户需求，在产品组合、创新融合、团队建设、架构调整、市场运作模式等方面具有一定</w:t>
      </w:r>
    </w:p>
    <w:p>
      <w:pPr>
        <w:spacing w:line="240" w:lineRule="auto" w:before="10"/>
        <w:rPr>
          <w:rFonts w:ascii="宋体" w:hAnsi="宋体" w:cs="宋体" w:eastAsia="宋体" w:hint="default"/>
          <w:sz w:val="14"/>
          <w:szCs w:val="14"/>
        </w:rPr>
      </w:pPr>
    </w:p>
    <w:p>
      <w:pPr>
        <w:pStyle w:val="BodyText"/>
        <w:spacing w:line="240" w:lineRule="auto"/>
        <w:ind w:left="152" w:right="1127"/>
        <w:jc w:val="left"/>
      </w:pPr>
      <w:r>
        <w:rPr/>
        <w:t>的灵活优势。</w:t>
      </w:r>
    </w:p>
    <w:p>
      <w:pPr>
        <w:spacing w:line="240" w:lineRule="auto" w:before="1"/>
        <w:rPr>
          <w:rFonts w:ascii="宋体" w:hAnsi="宋体" w:cs="宋体" w:eastAsia="宋体" w:hint="default"/>
          <w:sz w:val="24"/>
          <w:szCs w:val="24"/>
        </w:rPr>
      </w:pPr>
    </w:p>
    <w:p>
      <w:pPr>
        <w:pStyle w:val="BodyText"/>
        <w:tabs>
          <w:tab w:pos="572" w:val="left" w:leader="none"/>
        </w:tabs>
        <w:spacing w:line="482" w:lineRule="auto"/>
        <w:ind w:right="1127" w:hanging="420"/>
        <w:jc w:val="left"/>
      </w:pPr>
      <w:bookmarkStart w:name="7. 成本价格优势" w:id="41"/>
      <w:bookmarkEnd w:id="41"/>
      <w:r>
        <w:rPr/>
      </w:r>
      <w:r>
        <w:rPr>
          <w:rFonts w:ascii="Times New Roman" w:hAnsi="Times New Roman" w:cs="Times New Roman" w:eastAsia="Times New Roman" w:hint="default"/>
          <w:b/>
          <w:bCs/>
        </w:rPr>
        <w:t>7.</w:t>
        <w:tab/>
      </w:r>
      <w:r>
        <w:rPr>
          <w:rFonts w:ascii="宋体" w:hAnsi="宋体" w:cs="宋体" w:eastAsia="宋体" w:hint="default"/>
          <w:b/>
          <w:bCs/>
        </w:rPr>
        <w:t>成本价格优势</w:t>
      </w:r>
      <w:r>
        <w:rPr>
          <w:rFonts w:ascii="宋体" w:hAnsi="宋体" w:cs="宋体" w:eastAsia="宋体" w:hint="default"/>
          <w:b/>
          <w:bCs/>
          <w:spacing w:val="-104"/>
        </w:rPr>
        <w:t> </w:t>
      </w:r>
      <w:r>
        <w:rPr>
          <w:spacing w:val="-2"/>
        </w:rPr>
        <w:t>公司组建了专业的采购及商务团队，并通过积累多年的合作伙伴关系，与上游供应商议价能力较强。</w:t>
      </w:r>
      <w:r>
        <w:rPr/>
      </w:r>
    </w:p>
    <w:p>
      <w:pPr>
        <w:pStyle w:val="BodyText"/>
        <w:spacing w:line="256" w:lineRule="exact"/>
        <w:ind w:left="152" w:right="0"/>
        <w:jc w:val="left"/>
      </w:pPr>
      <w:r>
        <w:rPr/>
        <w:t>同时上游市场开放，产品供应充足，厂商间竞争充分，产品替代性强，并且行业的技术进步、新产品推陈</w:t>
      </w:r>
    </w:p>
    <w:p>
      <w:pPr>
        <w:spacing w:line="240" w:lineRule="auto" w:before="10"/>
        <w:rPr>
          <w:rFonts w:ascii="宋体" w:hAnsi="宋体" w:cs="宋体" w:eastAsia="宋体" w:hint="default"/>
          <w:sz w:val="14"/>
          <w:szCs w:val="14"/>
        </w:rPr>
      </w:pPr>
    </w:p>
    <w:p>
      <w:pPr>
        <w:pStyle w:val="BodyText"/>
        <w:spacing w:line="240" w:lineRule="auto"/>
        <w:ind w:left="152" w:right="1127"/>
        <w:jc w:val="left"/>
      </w:pPr>
      <w:r>
        <w:rPr/>
        <w:t>出新均对公司的商务活动产生一定优势。</w:t>
      </w:r>
    </w:p>
    <w:p>
      <w:pPr>
        <w:spacing w:line="240" w:lineRule="auto" w:before="1"/>
        <w:rPr>
          <w:rFonts w:ascii="宋体" w:hAnsi="宋体" w:cs="宋体" w:eastAsia="宋体" w:hint="default"/>
          <w:sz w:val="24"/>
          <w:szCs w:val="24"/>
        </w:rPr>
      </w:pPr>
    </w:p>
    <w:p>
      <w:pPr>
        <w:pStyle w:val="BodyText"/>
        <w:tabs>
          <w:tab w:pos="572" w:val="left" w:leader="none"/>
        </w:tabs>
        <w:spacing w:line="482" w:lineRule="auto"/>
        <w:ind w:right="1128" w:hanging="420"/>
        <w:jc w:val="left"/>
      </w:pPr>
      <w:bookmarkStart w:name="8. 市场服务优势" w:id="42"/>
      <w:bookmarkEnd w:id="42"/>
      <w:r>
        <w:rPr/>
      </w:r>
      <w:r>
        <w:rPr>
          <w:rFonts w:ascii="Times New Roman" w:hAnsi="Times New Roman" w:cs="Times New Roman" w:eastAsia="Times New Roman" w:hint="default"/>
          <w:b/>
          <w:bCs/>
        </w:rPr>
        <w:t>8.</w:t>
        <w:tab/>
      </w:r>
      <w:r>
        <w:rPr>
          <w:rFonts w:ascii="宋体" w:hAnsi="宋体" w:cs="宋体" w:eastAsia="宋体" w:hint="default"/>
          <w:b/>
          <w:bCs/>
        </w:rPr>
        <w:t>市场服务优势</w:t>
      </w:r>
      <w:r>
        <w:rPr>
          <w:rFonts w:ascii="宋体" w:hAnsi="宋体" w:cs="宋体" w:eastAsia="宋体" w:hint="default"/>
          <w:b/>
          <w:bCs/>
          <w:spacing w:val="-104"/>
        </w:rPr>
        <w:t> </w:t>
      </w:r>
      <w:r>
        <w:rPr>
          <w:spacing w:val="-2"/>
        </w:rPr>
        <w:t>公司的市场范围遍布全国多个省市地区，业务领域从国防军工到民用行业信息化，通过不断的技术创</w:t>
      </w:r>
    </w:p>
    <w:p>
      <w:pPr>
        <w:pStyle w:val="BodyText"/>
        <w:spacing w:line="256" w:lineRule="exact"/>
        <w:ind w:left="152" w:right="0"/>
        <w:jc w:val="left"/>
      </w:pPr>
      <w:r>
        <w:rPr/>
        <w:t>新和持续优质的服务，与客户建立了良好的合作关系，客户粘合度较高，具有较高的市场地位。并且公司</w:t>
      </w:r>
    </w:p>
    <w:p>
      <w:pPr>
        <w:spacing w:line="240" w:lineRule="auto" w:before="10"/>
        <w:rPr>
          <w:rFonts w:ascii="宋体" w:hAnsi="宋体" w:cs="宋体" w:eastAsia="宋体" w:hint="default"/>
          <w:sz w:val="14"/>
          <w:szCs w:val="14"/>
        </w:rPr>
      </w:pPr>
    </w:p>
    <w:p>
      <w:pPr>
        <w:pStyle w:val="BodyText"/>
        <w:spacing w:line="408" w:lineRule="auto"/>
        <w:ind w:left="152" w:right="0"/>
        <w:jc w:val="left"/>
      </w:pPr>
      <w:r>
        <w:rPr>
          <w:spacing w:val="-5"/>
        </w:rPr>
        <w:t>在全国主要业务区域设立分子公司和服务机构，服务网点覆盖面广而全，能够快速高效地为用户提供细致、</w:t>
      </w:r>
      <w:r>
        <w:rPr>
          <w:spacing w:val="-4"/>
        </w:rPr>
        <w:t> </w:t>
      </w:r>
      <w:r>
        <w:rPr>
          <w:spacing w:val="-4"/>
        </w:rPr>
      </w:r>
      <w:r>
        <w:rPr/>
        <w:t>贴切、周到、及时、专业的服务。</w:t>
      </w:r>
    </w:p>
    <w:p>
      <w:pPr>
        <w:pStyle w:val="Heading4"/>
        <w:tabs>
          <w:tab w:pos="572" w:val="left" w:leader="none"/>
        </w:tabs>
        <w:spacing w:line="240" w:lineRule="auto" w:before="168"/>
        <w:ind w:right="1127"/>
        <w:jc w:val="left"/>
        <w:rPr>
          <w:b w:val="0"/>
          <w:bCs w:val="0"/>
        </w:rPr>
      </w:pPr>
      <w:bookmarkStart w:name="9. 企业文化优势" w:id="43"/>
      <w:bookmarkEnd w:id="43"/>
      <w:r>
        <w:rPr>
          <w:b w:val="0"/>
          <w:bCs w:val="0"/>
        </w:rPr>
      </w:r>
      <w:r>
        <w:rPr>
          <w:rFonts w:ascii="Times New Roman" w:hAnsi="Times New Roman" w:cs="Times New Roman" w:eastAsia="Times New Roman" w:hint="default"/>
        </w:rPr>
        <w:t>9.</w:t>
        <w:tab/>
      </w:r>
      <w:r>
        <w:rPr/>
        <w:t>企业文化优势</w:t>
      </w:r>
      <w:r>
        <w:rPr>
          <w:b w:val="0"/>
          <w:bCs w:val="0"/>
        </w:rPr>
      </w:r>
    </w:p>
    <w:p>
      <w:pPr>
        <w:spacing w:after="0" w:line="240" w:lineRule="auto"/>
        <w:jc w:val="left"/>
        <w:sectPr>
          <w:pgSz w:w="11910" w:h="16840"/>
          <w:pgMar w:header="882" w:footer="1134" w:top="1280" w:bottom="1320" w:left="980" w:right="0"/>
        </w:sectPr>
      </w:pPr>
    </w:p>
    <w:p>
      <w:pPr>
        <w:spacing w:line="240" w:lineRule="auto" w:before="4"/>
        <w:rPr>
          <w:rFonts w:ascii="宋体" w:hAnsi="宋体" w:cs="宋体" w:eastAsia="宋体" w:hint="default"/>
          <w:b/>
          <w:bCs/>
          <w:sz w:val="13"/>
          <w:szCs w:val="13"/>
        </w:rPr>
      </w:pPr>
    </w:p>
    <w:p>
      <w:pPr>
        <w:pStyle w:val="BodyText"/>
        <w:spacing w:line="386" w:lineRule="auto" w:before="36"/>
        <w:ind w:left="152" w:right="1127" w:firstLine="419"/>
        <w:jc w:val="left"/>
      </w:pPr>
      <w:r>
        <w:rPr>
          <w:spacing w:val="-2"/>
        </w:rPr>
        <w:t>公司自成立以来一直秉承</w:t>
      </w:r>
      <w:r>
        <w:rPr>
          <w:rFonts w:ascii="Times New Roman" w:hAnsi="Times New Roman" w:cs="Times New Roman" w:eastAsia="Times New Roman" w:hint="default"/>
          <w:spacing w:val="-2"/>
        </w:rPr>
        <w:t>“</w:t>
      </w:r>
      <w:r>
        <w:rPr>
          <w:spacing w:val="-2"/>
        </w:rPr>
        <w:t>以人为本、创新先行</w:t>
      </w:r>
      <w:r>
        <w:rPr>
          <w:rFonts w:ascii="Times New Roman" w:hAnsi="Times New Roman" w:cs="Times New Roman" w:eastAsia="Times New Roman" w:hint="default"/>
          <w:spacing w:val="-2"/>
        </w:rPr>
        <w:t>”</w:t>
      </w:r>
      <w:r>
        <w:rPr>
          <w:spacing w:val="-2"/>
        </w:rPr>
        <w:t>的原则，通过“</w:t>
      </w:r>
      <w:r>
        <w:rPr>
          <w:color w:val="303030"/>
          <w:spacing w:val="-2"/>
        </w:rPr>
        <w:t>上善若水、海纳百川、滋润万物</w:t>
      </w:r>
      <w:r>
        <w:rPr>
          <w:spacing w:val="-2"/>
        </w:rPr>
        <w:t>”的</w:t>
      </w:r>
      <w:r>
        <w:rPr>
          <w:spacing w:val="-3"/>
          <w:w w:val="100"/>
        </w:rPr>
        <w:t> </w:t>
      </w:r>
      <w:r>
        <w:rPr/>
        <w:t>水文化，按照</w:t>
      </w:r>
      <w:r>
        <w:rPr>
          <w:rFonts w:ascii="Times New Roman" w:hAnsi="Times New Roman" w:cs="Times New Roman" w:eastAsia="Times New Roman" w:hint="default"/>
        </w:rPr>
        <w:t>“</w:t>
      </w:r>
      <w:r>
        <w:rPr/>
        <w:t>信、善、利</w:t>
      </w:r>
      <w:r>
        <w:rPr>
          <w:rFonts w:ascii="Times New Roman" w:hAnsi="Times New Roman" w:cs="Times New Roman" w:eastAsia="Times New Roman" w:hint="default"/>
        </w:rPr>
        <w:t>”</w:t>
      </w:r>
      <w:r>
        <w:rPr/>
        <w:t>的核心价值观，建立了独特的、具有强大凝聚力和生命力的旋极文化。</w:t>
      </w:r>
    </w:p>
    <w:p>
      <w:pPr>
        <w:spacing w:after="0" w:line="386" w:lineRule="auto"/>
        <w:jc w:val="left"/>
        <w:sectPr>
          <w:footerReference w:type="default" r:id="rId23"/>
          <w:pgSz w:w="11910" w:h="16840"/>
          <w:pgMar w:footer="1134" w:header="882" w:top="1280" w:bottom="132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ind w:left="2970" w:right="1127"/>
        <w:jc w:val="left"/>
      </w:pPr>
      <w:bookmarkStart w:name="_TOC_250009" w:id="44"/>
      <w:bookmarkStart w:name="第四节 经营情况讨论与分析" w:id="45"/>
      <w:r>
        <w:rPr/>
      </w:r>
      <w:r>
        <w:rPr/>
        <w:t>第四节</w:t>
      </w:r>
      <w:r>
        <w:rPr>
          <w:spacing w:val="-2"/>
        </w:rPr>
        <w:t> </w:t>
      </w:r>
      <w:bookmarkEnd w:id="44"/>
      <w:r>
        <w:rPr/>
        <w:t>经营情况讨论与分析</w:t>
      </w: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6"/>
          <w:szCs w:val="16"/>
        </w:rPr>
      </w:pPr>
    </w:p>
    <w:p>
      <w:pPr>
        <w:pStyle w:val="Heading2"/>
        <w:spacing w:line="240" w:lineRule="auto" w:before="26"/>
        <w:ind w:right="0"/>
        <w:jc w:val="both"/>
        <w:rPr>
          <w:b w:val="0"/>
          <w:bCs w:val="0"/>
        </w:rPr>
      </w:pPr>
      <w:bookmarkStart w:name="一、概述" w:id="46"/>
      <w:bookmarkEnd w:id="46"/>
      <w:r>
        <w:rPr>
          <w:b w:val="0"/>
          <w:bCs w:val="0"/>
        </w:rPr>
      </w:r>
      <w:r>
        <w:rPr/>
        <w:t>一、概述</w:t>
      </w:r>
      <w:r>
        <w:rPr>
          <w:b w:val="0"/>
          <w:bCs w:val="0"/>
        </w:rPr>
      </w:r>
    </w:p>
    <w:p>
      <w:pPr>
        <w:spacing w:line="240" w:lineRule="auto" w:before="10"/>
        <w:rPr>
          <w:rFonts w:ascii="宋体" w:hAnsi="宋体" w:cs="宋体" w:eastAsia="宋体" w:hint="default"/>
          <w:b/>
          <w:bCs/>
          <w:sz w:val="30"/>
          <w:szCs w:val="30"/>
        </w:rPr>
      </w:pPr>
    </w:p>
    <w:p>
      <w:pPr>
        <w:pStyle w:val="BodyText"/>
        <w:spacing w:line="403" w:lineRule="auto"/>
        <w:ind w:left="152" w:right="0" w:firstLine="420"/>
        <w:jc w:val="left"/>
      </w:pPr>
      <w:r>
        <w:rPr>
          <w:rFonts w:ascii="Times New Roman" w:hAnsi="Times New Roman" w:cs="Times New Roman" w:eastAsia="Times New Roman" w:hint="default"/>
        </w:rPr>
        <w:t>2019</w:t>
      </w:r>
      <w:r>
        <w:rPr/>
        <w:t>年，面对复杂的国内外经济形势，公司紧紧围绕嵌入式系统开发测试、时空信息网格大数据融合</w:t>
      </w:r>
      <w:r>
        <w:rPr>
          <w:w w:val="100"/>
        </w:rPr>
        <w:t> </w:t>
      </w:r>
      <w:r>
        <w:rPr>
          <w:spacing w:val="-5"/>
        </w:rPr>
        <w:t>处理和信息安全三大核心技术，在智慧防务、税务信息化、智慧城市等行业不断深耕，积极推进军技民用，</w:t>
      </w:r>
      <w:r>
        <w:rPr>
          <w:spacing w:val="-10"/>
        </w:rPr>
        <w:t> </w:t>
      </w:r>
      <w:r>
        <w:rPr>
          <w:spacing w:val="-10"/>
        </w:rPr>
      </w:r>
      <w:r>
        <w:rPr>
          <w:spacing w:val="-2"/>
        </w:rPr>
        <w:t>逐步扩大核心技术在民用市场的应用，不断优化并拓展核心技术和产品，通过战略优化、业务拓展、市场</w:t>
      </w:r>
      <w:r>
        <w:rPr>
          <w:spacing w:val="-47"/>
        </w:rPr>
        <w:t> </w:t>
      </w:r>
      <w:r>
        <w:rPr>
          <w:spacing w:val="-47"/>
        </w:rPr>
      </w:r>
      <w:r>
        <w:rPr>
          <w:spacing w:val="-2"/>
        </w:rPr>
        <w:t>提升、科技创新等措施，提升公司核心竞争力，努力实现成为国际知名的、自主可控的、领先的智能服务</w:t>
      </w:r>
      <w:r>
        <w:rPr>
          <w:spacing w:val="-43"/>
        </w:rPr>
        <w:t> </w:t>
      </w:r>
      <w:r>
        <w:rPr>
          <w:spacing w:val="-43"/>
        </w:rPr>
      </w:r>
      <w:r>
        <w:rPr/>
        <w:t>构建者的目标。</w:t>
      </w:r>
    </w:p>
    <w:p>
      <w:pPr>
        <w:pStyle w:val="BodyText"/>
        <w:spacing w:line="408" w:lineRule="auto" w:before="50"/>
        <w:ind w:left="152" w:right="1127" w:firstLine="420"/>
        <w:jc w:val="left"/>
      </w:pPr>
      <w:r>
        <w:rPr>
          <w:spacing w:val="-2"/>
        </w:rPr>
        <w:t>报告期内，公司管理层紧密围绕着年初制定的年度工作计划，贯彻执行董事会的战略部署，积极开展</w:t>
      </w:r>
      <w:r>
        <w:rPr>
          <w:spacing w:val="-3"/>
          <w:w w:val="100"/>
        </w:rPr>
        <w:t> </w:t>
      </w:r>
      <w:r>
        <w:rPr/>
        <w:t>各项工作。重点工作如下：</w:t>
      </w:r>
    </w:p>
    <w:p>
      <w:pPr>
        <w:pStyle w:val="Heading3"/>
        <w:spacing w:line="240" w:lineRule="auto" w:before="176"/>
        <w:ind w:right="1127"/>
        <w:jc w:val="left"/>
      </w:pPr>
      <w:bookmarkStart w:name="（一） 全局战略不断推进" w:id="47"/>
      <w:bookmarkEnd w:id="47"/>
      <w:r>
        <w:rPr/>
      </w:r>
      <w:r>
        <w:rPr/>
        <w:t>（一）</w:t>
      </w:r>
      <w:r>
        <w:rPr>
          <w:spacing w:val="-60"/>
        </w:rPr>
        <w:t> </w:t>
      </w:r>
      <w:r>
        <w:rPr/>
        <w:t>全局战略不断推进</w:t>
      </w:r>
    </w:p>
    <w:p>
      <w:pPr>
        <w:spacing w:line="240" w:lineRule="auto" w:before="8"/>
        <w:rPr>
          <w:rFonts w:ascii="黑体" w:hAnsi="黑体" w:cs="黑体" w:eastAsia="黑体" w:hint="default"/>
          <w:sz w:val="25"/>
          <w:szCs w:val="25"/>
        </w:rPr>
      </w:pPr>
    </w:p>
    <w:p>
      <w:pPr>
        <w:pStyle w:val="BodyText"/>
        <w:spacing w:line="405" w:lineRule="auto"/>
        <w:ind w:left="152" w:right="0" w:firstLine="420"/>
        <w:jc w:val="left"/>
      </w:pPr>
      <w:r>
        <w:rPr/>
        <w:t>报告期内，公司利用在采集探测、泛在连接、融合呈现、分析应用、信息安全等新一代信息技术领域</w:t>
      </w:r>
      <w:r>
        <w:rPr>
          <w:w w:val="100"/>
        </w:rPr>
        <w:t> </w:t>
      </w:r>
      <w:r>
        <w:rPr>
          <w:spacing w:val="-5"/>
        </w:rPr>
        <w:t>积累的技术优势，推动物理世界和数字世界的融合。公司通过全局视角，以战略研讨、经营分析会等方式，</w:t>
      </w:r>
      <w:r>
        <w:rPr>
          <w:spacing w:val="-9"/>
        </w:rPr>
        <w:t> </w:t>
      </w:r>
      <w:r>
        <w:rPr>
          <w:spacing w:val="-9"/>
        </w:rPr>
      </w:r>
      <w:r>
        <w:rPr>
          <w:spacing w:val="-2"/>
        </w:rPr>
        <w:t>不断优化各业务板块布局，统筹各业务板块融合协同，组织参展第四届中国国际智能建筑展览会、第五届</w:t>
      </w:r>
      <w:r>
        <w:rPr>
          <w:spacing w:val="-44"/>
        </w:rPr>
        <w:t> </w:t>
      </w:r>
      <w:r>
        <w:rPr>
          <w:spacing w:val="-44"/>
        </w:rPr>
      </w:r>
      <w:r>
        <w:rPr>
          <w:spacing w:val="-3"/>
        </w:rPr>
        <w:t>中国智慧城市国际博览会、世界物联网博览会、世界</w:t>
      </w:r>
      <w:r>
        <w:rPr>
          <w:rFonts w:ascii="Times New Roman" w:hAnsi="Times New Roman" w:cs="Times New Roman" w:eastAsia="Times New Roman" w:hint="default"/>
          <w:spacing w:val="-3"/>
        </w:rPr>
        <w:t>5G</w:t>
      </w:r>
      <w:r>
        <w:rPr>
          <w:spacing w:val="-3"/>
        </w:rPr>
        <w:t>大会、亮相第五届中国（北京）军博会。公司通过</w:t>
      </w:r>
      <w:r>
        <w:rPr>
          <w:spacing w:val="-43"/>
        </w:rPr>
        <w:t> </w:t>
      </w:r>
      <w:r>
        <w:rPr>
          <w:spacing w:val="-43"/>
        </w:rPr>
      </w:r>
      <w:r>
        <w:rPr>
          <w:spacing w:val="-2"/>
        </w:rPr>
        <w:t>多措并举，致力于提升公司各业务产品及服务质量，以客户为中心，培育新的利润增长点，增强对外部环</w:t>
      </w:r>
      <w:r>
        <w:rPr>
          <w:spacing w:val="-47"/>
        </w:rPr>
        <w:t> </w:t>
      </w:r>
      <w:r>
        <w:rPr>
          <w:spacing w:val="-47"/>
        </w:rPr>
      </w:r>
      <w:r>
        <w:rPr>
          <w:spacing w:val="-2"/>
        </w:rPr>
        <w:t>境的适应能力和抗风险能力。并且公司形成国防信息化、城市智慧化、税务智能化的服务产业体系，积极</w:t>
      </w:r>
      <w:r>
        <w:rPr>
          <w:spacing w:val="-47"/>
        </w:rPr>
        <w:t> </w:t>
      </w:r>
      <w:r>
        <w:rPr>
          <w:spacing w:val="-47"/>
        </w:rPr>
      </w:r>
      <w:r>
        <w:rPr/>
        <w:t>推进战略规划落地，把握时代发展机遇。</w:t>
      </w:r>
    </w:p>
    <w:p>
      <w:pPr>
        <w:pStyle w:val="Heading3"/>
        <w:spacing w:line="240" w:lineRule="auto" w:before="178"/>
        <w:ind w:right="1127"/>
        <w:jc w:val="left"/>
      </w:pPr>
      <w:bookmarkStart w:name="（二） 业务规模不断发展" w:id="48"/>
      <w:bookmarkEnd w:id="48"/>
      <w:r>
        <w:rPr/>
      </w:r>
      <w:r>
        <w:rPr/>
        <w:t>（二）</w:t>
      </w:r>
      <w:r>
        <w:rPr>
          <w:spacing w:val="-60"/>
        </w:rPr>
        <w:t> </w:t>
      </w:r>
      <w:r>
        <w:rPr/>
        <w:t>业务规模不断发展</w:t>
      </w:r>
    </w:p>
    <w:p>
      <w:pPr>
        <w:spacing w:line="240" w:lineRule="auto" w:before="6"/>
        <w:rPr>
          <w:rFonts w:ascii="黑体" w:hAnsi="黑体" w:cs="黑体" w:eastAsia="黑体" w:hint="default"/>
          <w:sz w:val="25"/>
          <w:szCs w:val="25"/>
        </w:rPr>
      </w:pPr>
    </w:p>
    <w:p>
      <w:pPr>
        <w:pStyle w:val="BodyText"/>
        <w:spacing w:line="408" w:lineRule="auto"/>
        <w:ind w:left="152" w:right="1128" w:firstLine="419"/>
        <w:jc w:val="both"/>
      </w:pPr>
      <w:r>
        <w:rPr>
          <w:spacing w:val="-2"/>
        </w:rPr>
        <w:t>报告期内，公司围绕核心技术，在军工领域规划和发展了测控、装备健康管理、通信导航、国防大数</w:t>
      </w:r>
      <w:r>
        <w:rPr>
          <w:w w:val="100"/>
        </w:rPr>
        <w:t> </w:t>
      </w:r>
      <w:r>
        <w:rPr>
          <w:spacing w:val="-2"/>
        </w:rPr>
        <w:t>据、无人智能平台等产品，在民用行业重点发展智慧城市整体解决方案、税务信息化和创新金融。报告期</w:t>
      </w:r>
      <w:r>
        <w:rPr>
          <w:spacing w:val="-50"/>
        </w:rPr>
        <w:t> </w:t>
      </w:r>
      <w:r>
        <w:rPr>
          <w:spacing w:val="-50"/>
        </w:rPr>
      </w:r>
      <w:r>
        <w:rPr>
          <w:spacing w:val="-2"/>
        </w:rPr>
        <w:t>内，公司投资设立四川旋极，将成为辐射西南区域军工、智慧城市、大数据应用和射频芯片业务的重要平</w:t>
      </w:r>
      <w:r>
        <w:rPr>
          <w:spacing w:val="-47"/>
        </w:rPr>
        <w:t> </w:t>
      </w:r>
      <w:r>
        <w:rPr>
          <w:spacing w:val="-47"/>
        </w:rPr>
      </w:r>
      <w:r>
        <w:rPr>
          <w:spacing w:val="-7"/>
        </w:rPr>
        <w:t>台。公司积极推进时空大数据行业标准与应用落地，控股公司北京旋极伏羲大数据技术有限公司起草的《北</w:t>
      </w:r>
      <w:r>
        <w:rPr>
          <w:spacing w:val="-17"/>
        </w:rPr>
        <w:t> </w:t>
      </w:r>
      <w:r>
        <w:rPr>
          <w:spacing w:val="-17"/>
        </w:rPr>
      </w:r>
      <w:r>
        <w:rPr>
          <w:spacing w:val="-2"/>
        </w:rPr>
        <w:t>斗网格位置码》国家标准已经审查通过，进入批准发布阶段，参股公司北京旋极伏羲科技有限公司起草的</w:t>
      </w:r>
      <w:r>
        <w:rPr/>
      </w:r>
    </w:p>
    <w:p>
      <w:pPr>
        <w:pStyle w:val="BodyText"/>
        <w:spacing w:line="408" w:lineRule="auto" w:before="46"/>
        <w:ind w:left="152" w:right="1128"/>
        <w:jc w:val="both"/>
      </w:pPr>
      <w:r>
        <w:rPr>
          <w:spacing w:val="-3"/>
        </w:rPr>
        <w:t>《地理位置网格编码规则》国家标准已经通过审查，时空大数据与智慧城市、智慧防务业务板块的协同发</w:t>
      </w:r>
      <w:r>
        <w:rPr>
          <w:spacing w:val="-5"/>
        </w:rPr>
        <w:t> </w:t>
      </w:r>
      <w:r>
        <w:rPr>
          <w:spacing w:val="-5"/>
        </w:rPr>
      </w:r>
      <w:r>
        <w:rPr>
          <w:spacing w:val="-2"/>
        </w:rPr>
        <w:t>展已初见成效，相关标准、核心技术、核心产品将推进大数据时代全球数据融合，实现全球空间信息高效</w:t>
      </w:r>
      <w:r>
        <w:rPr>
          <w:spacing w:val="-47"/>
        </w:rPr>
        <w:t> </w:t>
      </w:r>
      <w:r>
        <w:rPr>
          <w:spacing w:val="-47"/>
        </w:rPr>
      </w:r>
      <w:r>
        <w:rPr>
          <w:spacing w:val="-2"/>
        </w:rPr>
        <w:t>计算、检索与应用，推动地球系统科学的发展，未来在行业内将发挥重要的作用。税务信息化领域通过开</w:t>
      </w:r>
    </w:p>
    <w:p>
      <w:pPr>
        <w:spacing w:after="0" w:line="408" w:lineRule="auto"/>
        <w:jc w:val="both"/>
        <w:sectPr>
          <w:footerReference w:type="default" r:id="rId24"/>
          <w:pgSz w:w="11910" w:h="16840"/>
          <w:pgMar w:footer="1134" w:header="882" w:top="1280" w:bottom="1320" w:left="980" w:right="0"/>
          <w:pgNumType w:start="21"/>
        </w:sectPr>
      </w:pPr>
    </w:p>
    <w:p>
      <w:pPr>
        <w:spacing w:line="240" w:lineRule="auto" w:before="4"/>
        <w:rPr>
          <w:rFonts w:ascii="宋体" w:hAnsi="宋体" w:cs="宋体" w:eastAsia="宋体" w:hint="default"/>
          <w:sz w:val="13"/>
          <w:szCs w:val="13"/>
        </w:rPr>
      </w:pPr>
    </w:p>
    <w:p>
      <w:pPr>
        <w:pStyle w:val="BodyText"/>
        <w:spacing w:line="398" w:lineRule="auto" w:before="36"/>
        <w:ind w:left="152" w:right="1128"/>
        <w:jc w:val="both"/>
      </w:pPr>
      <w:r>
        <w:rPr>
          <w:spacing w:val="-2"/>
        </w:rPr>
        <w:t>发云票助手、百旺通等税控专用设备系列产品，提供智慧税控全方位整体解决方案。智慧城市领域通过打</w:t>
      </w:r>
      <w:r>
        <w:rPr>
          <w:spacing w:val="-43"/>
        </w:rPr>
        <w:t> </w:t>
      </w:r>
      <w:r>
        <w:rPr>
          <w:spacing w:val="-43"/>
        </w:rPr>
      </w:r>
      <w:r>
        <w:rPr>
          <w:spacing w:val="-2"/>
        </w:rPr>
        <w:t>造</w:t>
      </w:r>
      <w:r>
        <w:rPr>
          <w:rFonts w:ascii="Times New Roman" w:hAnsi="Times New Roman" w:cs="Times New Roman" w:eastAsia="Times New Roman" w:hint="default"/>
          <w:spacing w:val="-2"/>
        </w:rPr>
        <w:t>“</w:t>
      </w:r>
      <w:r>
        <w:rPr>
          <w:spacing w:val="-2"/>
        </w:rPr>
        <w:t>城市大脑</w:t>
      </w:r>
      <w:r>
        <w:rPr>
          <w:rFonts w:ascii="Times New Roman" w:hAnsi="Times New Roman" w:cs="Times New Roman" w:eastAsia="Times New Roman" w:hint="default"/>
          <w:spacing w:val="-2"/>
        </w:rPr>
        <w:t>”</w:t>
      </w:r>
      <w:r>
        <w:rPr>
          <w:spacing w:val="-2"/>
        </w:rPr>
        <w:t>、建设数据中心，为城市提供基于数据的动态决策支持和精细化管理服务。公司利用自身在</w:t>
      </w:r>
      <w:r>
        <w:rPr>
          <w:spacing w:val="-19"/>
        </w:rPr>
        <w:t> </w:t>
      </w:r>
      <w:r>
        <w:rPr>
          <w:spacing w:val="-19"/>
        </w:rPr>
      </w:r>
      <w:r>
        <w:rPr/>
        <w:t>军民行业多年的积累，产业布局不断延伸、业务规模不断发展。</w:t>
      </w:r>
    </w:p>
    <w:p>
      <w:pPr>
        <w:spacing w:line="240" w:lineRule="auto" w:before="2"/>
        <w:rPr>
          <w:rFonts w:ascii="宋体" w:hAnsi="宋体" w:cs="宋体" w:eastAsia="宋体" w:hint="default"/>
          <w:sz w:val="14"/>
          <w:szCs w:val="14"/>
        </w:rPr>
      </w:pPr>
    </w:p>
    <w:p>
      <w:pPr>
        <w:pStyle w:val="Heading3"/>
        <w:spacing w:line="240" w:lineRule="auto"/>
        <w:ind w:right="1127"/>
        <w:jc w:val="left"/>
      </w:pPr>
      <w:bookmarkStart w:name="（三） 市场地位不断提高" w:id="49"/>
      <w:bookmarkEnd w:id="49"/>
      <w:r>
        <w:rPr/>
      </w:r>
      <w:r>
        <w:rPr/>
        <w:t>（三）</w:t>
      </w:r>
      <w:r>
        <w:rPr>
          <w:spacing w:val="-60"/>
        </w:rPr>
        <w:t> </w:t>
      </w:r>
      <w:r>
        <w:rPr/>
        <w:t>市场地位不断提高</w:t>
      </w:r>
    </w:p>
    <w:p>
      <w:pPr>
        <w:spacing w:line="240" w:lineRule="auto" w:before="8"/>
        <w:rPr>
          <w:rFonts w:ascii="黑体" w:hAnsi="黑体" w:cs="黑体" w:eastAsia="黑体" w:hint="default"/>
          <w:sz w:val="25"/>
          <w:szCs w:val="25"/>
        </w:rPr>
      </w:pPr>
    </w:p>
    <w:p>
      <w:pPr>
        <w:pStyle w:val="BodyText"/>
        <w:spacing w:line="398" w:lineRule="auto"/>
        <w:ind w:left="152" w:right="1023" w:firstLine="420"/>
        <w:jc w:val="left"/>
      </w:pPr>
      <w:r>
        <w:rPr>
          <w:spacing w:val="-2"/>
        </w:rPr>
        <w:t>报告期内，公司再度入围</w:t>
      </w:r>
      <w:r>
        <w:rPr>
          <w:rFonts w:ascii="Times New Roman" w:hAnsi="Times New Roman" w:cs="Times New Roman" w:eastAsia="Times New Roman" w:hint="default"/>
          <w:spacing w:val="-2"/>
        </w:rPr>
        <w:t>2019</w:t>
      </w:r>
      <w:r>
        <w:rPr>
          <w:spacing w:val="-2"/>
        </w:rPr>
        <w:t>软件和信息技术服务综合竞争力百强企业，入围百强，是对公司在引领</w:t>
      </w:r>
      <w:r>
        <w:rPr>
          <w:spacing w:val="-3"/>
          <w:w w:val="100"/>
        </w:rPr>
        <w:t> </w:t>
      </w:r>
      <w:r>
        <w:rPr>
          <w:spacing w:val="-2"/>
        </w:rPr>
        <w:t>产业经济转型中发挥的重要作用的充分肯定与鼓励。公司荣获</w:t>
      </w:r>
      <w:r>
        <w:rPr>
          <w:rFonts w:ascii="Times New Roman" w:hAnsi="Times New Roman" w:cs="Times New Roman" w:eastAsia="Times New Roman" w:hint="default"/>
          <w:spacing w:val="-2"/>
        </w:rPr>
        <w:t>2019</w:t>
      </w:r>
      <w:r>
        <w:rPr>
          <w:spacing w:val="-2"/>
        </w:rPr>
        <w:t>年度全联科技装备业商会履行社会责任</w:t>
      </w:r>
      <w:r>
        <w:rPr>
          <w:spacing w:val="-39"/>
        </w:rPr>
        <w:t> </w:t>
      </w:r>
      <w:r>
        <w:rPr>
          <w:spacing w:val="-39"/>
        </w:rPr>
      </w:r>
      <w:r>
        <w:rPr/>
        <w:t>优秀企业，公司全资子公司西安西谷荣获</w:t>
      </w:r>
      <w:r>
        <w:rPr>
          <w:rFonts w:ascii="Times New Roman" w:hAnsi="Times New Roman" w:cs="Times New Roman" w:eastAsia="Times New Roman" w:hint="default"/>
        </w:rPr>
        <w:t>2019</w:t>
      </w:r>
      <w:r>
        <w:rPr/>
        <w:t>年度全联科技装备业商会十佳企业，并且与陕西省军融委、</w:t>
      </w:r>
      <w:r>
        <w:rPr>
          <w:w w:val="100"/>
        </w:rPr>
        <w:t> </w:t>
      </w:r>
      <w:r>
        <w:rPr>
          <w:spacing w:val="-4"/>
        </w:rPr>
        <w:t>省军区、空军军代局共同签署</w:t>
      </w:r>
      <w:r>
        <w:rPr>
          <w:rFonts w:ascii="Times New Roman" w:hAnsi="Times New Roman" w:cs="Times New Roman" w:eastAsia="Times New Roman" w:hint="default"/>
          <w:spacing w:val="-4"/>
        </w:rPr>
        <w:t>“</w:t>
      </w:r>
      <w:r>
        <w:rPr>
          <w:spacing w:val="-4"/>
        </w:rPr>
        <w:t>推动军民标准化发展的行动方案</w:t>
      </w:r>
      <w:r>
        <w:rPr>
          <w:rFonts w:ascii="Times New Roman" w:hAnsi="Times New Roman" w:cs="Times New Roman" w:eastAsia="Times New Roman" w:hint="default"/>
          <w:spacing w:val="-4"/>
        </w:rPr>
        <w:t>”</w:t>
      </w:r>
      <w:r>
        <w:rPr>
          <w:spacing w:val="-4"/>
        </w:rPr>
        <w:t>，成立</w:t>
      </w:r>
      <w:r>
        <w:rPr>
          <w:rFonts w:ascii="Times New Roman" w:hAnsi="Times New Roman" w:cs="Times New Roman" w:eastAsia="Times New Roman" w:hint="default"/>
          <w:spacing w:val="-4"/>
        </w:rPr>
        <w:t>“</w:t>
      </w:r>
      <w:r>
        <w:rPr>
          <w:spacing w:val="-4"/>
        </w:rPr>
        <w:t>陕西军民标准通用化及检测试验专</w:t>
      </w:r>
      <w:r>
        <w:rPr>
          <w:spacing w:val="-21"/>
        </w:rPr>
        <w:t> </w:t>
      </w:r>
      <w:r>
        <w:rPr>
          <w:spacing w:val="-21"/>
        </w:rPr>
      </w:r>
      <w:r>
        <w:rPr/>
        <w:t>业委员会</w:t>
      </w:r>
      <w:r>
        <w:rPr>
          <w:rFonts w:ascii="Times New Roman" w:hAnsi="Times New Roman" w:cs="Times New Roman" w:eastAsia="Times New Roman" w:hint="default"/>
        </w:rPr>
        <w:t>”</w:t>
      </w:r>
      <w:r>
        <w:rPr/>
        <w:t>。公司控股子公司旋极百旺经过信用评价机构严格、公正的审核，被评定为</w:t>
      </w:r>
      <w:r>
        <w:rPr>
          <w:rFonts w:ascii="Times New Roman" w:hAnsi="Times New Roman" w:cs="Times New Roman" w:eastAsia="Times New Roman" w:hint="default"/>
        </w:rPr>
        <w:t>AAA</w:t>
      </w:r>
      <w:r>
        <w:rPr/>
        <w:t>级信用企业，</w:t>
      </w:r>
      <w:r>
        <w:rPr>
          <w:spacing w:val="-3"/>
          <w:w w:val="100"/>
        </w:rPr>
        <w:t> </w:t>
      </w:r>
      <w:r>
        <w:rPr/>
        <w:t>并授予颁发《企业信用等级证书》，该证书的获得是广大纳税人用户对公司诚信经营，用心服务的肯定。</w:t>
      </w:r>
      <w:r>
        <w:rPr>
          <w:spacing w:val="-3"/>
          <w:w w:val="100"/>
        </w:rPr>
        <w:t> </w:t>
      </w:r>
      <w:r>
        <w:rPr>
          <w:spacing w:val="-2"/>
        </w:rPr>
        <w:t>报告期内，公司与保利科技达成《合作框架协议》，为公司的军品业务、智慧城市业务借由保利科技的渠</w:t>
      </w:r>
      <w:r>
        <w:rPr>
          <w:spacing w:val="-43"/>
        </w:rPr>
        <w:t> </w:t>
      </w:r>
      <w:r>
        <w:rPr>
          <w:spacing w:val="-43"/>
        </w:rPr>
      </w:r>
      <w:r>
        <w:rPr>
          <w:spacing w:val="-2"/>
        </w:rPr>
        <w:t>道进入一带一路国家带来机会，符合国家鼓励民营企业与国有特大型央企充分发挥两者优势共同出海的政</w:t>
      </w:r>
      <w:r>
        <w:rPr>
          <w:spacing w:val="-43"/>
        </w:rPr>
        <w:t> </w:t>
      </w:r>
      <w:r>
        <w:rPr>
          <w:spacing w:val="-43"/>
        </w:rPr>
      </w:r>
      <w:r>
        <w:rPr>
          <w:spacing w:val="-2"/>
        </w:rPr>
        <w:t>策导向。后续双方将继续加强在军事装备元器件检验检测、装备健康管理、平安城市及智慧城市等方面的</w:t>
      </w:r>
      <w:r>
        <w:rPr>
          <w:spacing w:val="-42"/>
        </w:rPr>
        <w:t> </w:t>
      </w:r>
      <w:r>
        <w:rPr>
          <w:spacing w:val="-42"/>
        </w:rPr>
      </w:r>
      <w:r>
        <w:rPr>
          <w:spacing w:val="-2"/>
        </w:rPr>
        <w:t>合作，在国际市场开拓方面发挥协同优势。公司与我国北斗卫星导航产业的领先型企业振芯科技达成战略</w:t>
      </w:r>
      <w:r>
        <w:rPr>
          <w:spacing w:val="-42"/>
        </w:rPr>
        <w:t> </w:t>
      </w:r>
      <w:r>
        <w:rPr>
          <w:spacing w:val="-42"/>
        </w:rPr>
      </w:r>
      <w:r>
        <w:rPr>
          <w:spacing w:val="-5"/>
        </w:rPr>
        <w:t>合作，双方将在技术方面增强技术研发互补和双方核心产品的市场竞争力，在市场方面开放彼此市场资源， </w:t>
      </w:r>
      <w:r>
        <w:rPr>
          <w:spacing w:val="-5"/>
        </w:rPr>
      </w:r>
      <w:r>
        <w:rPr>
          <w:spacing w:val="-2"/>
        </w:rPr>
        <w:t>有助于共同挖掘更大需求，扩大业务市场。公司全资子公司泰豪智能与腾讯、华为、百度建立战略合作关</w:t>
      </w:r>
      <w:r>
        <w:rPr>
          <w:spacing w:val="-44"/>
        </w:rPr>
        <w:t> </w:t>
      </w:r>
      <w:r>
        <w:rPr>
          <w:spacing w:val="-44"/>
        </w:rPr>
      </w:r>
      <w:r>
        <w:rPr/>
        <w:t>系，通过发挥在各自领域的优势，共同拓展智慧城市和智慧园区市场，并且参与国家</w:t>
      </w:r>
      <w:r>
        <w:rPr>
          <w:rFonts w:ascii="Times New Roman" w:hAnsi="Times New Roman" w:cs="Times New Roman" w:eastAsia="Times New Roman" w:hint="default"/>
        </w:rPr>
        <w:t>2019“</w:t>
      </w:r>
      <w:r>
        <w:rPr/>
        <w:t>物联网和智慧</w:t>
      </w:r>
      <w:r>
        <w:rPr>
          <w:spacing w:val="-3"/>
          <w:w w:val="100"/>
        </w:rPr>
        <w:t> </w:t>
      </w:r>
      <w:r>
        <w:rPr/>
        <w:t>城市</w:t>
      </w:r>
      <w:r>
        <w:rPr>
          <w:rFonts w:ascii="Times New Roman" w:hAnsi="Times New Roman" w:cs="Times New Roman" w:eastAsia="Times New Roman" w:hint="default"/>
        </w:rPr>
        <w:t>”</w:t>
      </w:r>
      <w:r>
        <w:rPr/>
        <w:t>两项重点研发计划，荣获德勤</w:t>
      </w:r>
      <w:r>
        <w:rPr>
          <w:rFonts w:ascii="Times New Roman" w:hAnsi="Times New Roman" w:cs="Times New Roman" w:eastAsia="Times New Roman" w:hint="default"/>
        </w:rPr>
        <w:t>-</w:t>
      </w:r>
      <w:r>
        <w:rPr/>
        <w:t>亦庄高科技高成长二十强、中国智能建筑行业最具影响力品牌、中国</w:t>
      </w:r>
      <w:r>
        <w:rPr>
          <w:w w:val="100"/>
        </w:rPr>
        <w:t> </w:t>
      </w:r>
      <w:r>
        <w:rPr>
          <w:spacing w:val="-2"/>
        </w:rPr>
        <w:t>智能建筑行业十大领军企业、星河奖</w:t>
      </w:r>
      <w:r>
        <w:rPr>
          <w:rFonts w:ascii="Times New Roman" w:hAnsi="Times New Roman" w:cs="Times New Roman" w:eastAsia="Times New Roman" w:hint="default"/>
          <w:spacing w:val="-2"/>
        </w:rPr>
        <w:t>—</w:t>
      </w:r>
      <w:r>
        <w:rPr>
          <w:spacing w:val="-2"/>
        </w:rPr>
        <w:t>优秀行业大数据应用奖、中国数据中心工程企业</w:t>
      </w:r>
      <w:r>
        <w:rPr>
          <w:rFonts w:ascii="Times New Roman" w:hAnsi="Times New Roman" w:cs="Times New Roman" w:eastAsia="Times New Roman" w:hint="default"/>
          <w:spacing w:val="-2"/>
        </w:rPr>
        <w:t>30</w:t>
      </w:r>
      <w:r>
        <w:rPr>
          <w:spacing w:val="-2"/>
        </w:rPr>
        <w:t>强、数据中心优</w:t>
      </w:r>
      <w:r>
        <w:rPr>
          <w:spacing w:val="-44"/>
        </w:rPr>
        <w:t> </w:t>
      </w:r>
      <w:r>
        <w:rPr>
          <w:spacing w:val="-44"/>
        </w:rPr>
      </w:r>
      <w:r>
        <w:rPr>
          <w:spacing w:val="-2"/>
        </w:rPr>
        <w:t>秀建设单位等荣誉奖项。公司在资质获取、品牌树立、市场开发、项目拓展上突出重点、统筹兼顾，市场</w:t>
      </w:r>
      <w:r>
        <w:rPr>
          <w:spacing w:val="-42"/>
        </w:rPr>
        <w:t> </w:t>
      </w:r>
      <w:r>
        <w:rPr>
          <w:spacing w:val="-42"/>
        </w:rPr>
      </w:r>
      <w:r>
        <w:rPr/>
        <w:t>地位不断提高。</w:t>
      </w:r>
    </w:p>
    <w:p>
      <w:pPr>
        <w:spacing w:line="240" w:lineRule="auto" w:before="2"/>
        <w:rPr>
          <w:rFonts w:ascii="宋体" w:hAnsi="宋体" w:cs="宋体" w:eastAsia="宋体" w:hint="default"/>
          <w:sz w:val="14"/>
          <w:szCs w:val="14"/>
        </w:rPr>
      </w:pPr>
    </w:p>
    <w:p>
      <w:pPr>
        <w:pStyle w:val="Heading3"/>
        <w:spacing w:line="240" w:lineRule="auto"/>
        <w:ind w:right="1127"/>
        <w:jc w:val="left"/>
      </w:pPr>
      <w:bookmarkStart w:name="（四） 科技创新不断进步" w:id="50"/>
      <w:bookmarkEnd w:id="50"/>
      <w:r>
        <w:rPr/>
      </w:r>
      <w:r>
        <w:rPr/>
        <w:t>（四）</w:t>
      </w:r>
      <w:r>
        <w:rPr>
          <w:spacing w:val="-60"/>
        </w:rPr>
        <w:t> </w:t>
      </w:r>
      <w:r>
        <w:rPr/>
        <w:t>科技创新不断进步</w:t>
      </w:r>
    </w:p>
    <w:p>
      <w:pPr>
        <w:spacing w:line="240" w:lineRule="auto" w:before="8"/>
        <w:rPr>
          <w:rFonts w:ascii="黑体" w:hAnsi="黑体" w:cs="黑体" w:eastAsia="黑体" w:hint="default"/>
          <w:sz w:val="25"/>
          <w:szCs w:val="25"/>
        </w:rPr>
      </w:pPr>
    </w:p>
    <w:p>
      <w:pPr>
        <w:pStyle w:val="BodyText"/>
        <w:spacing w:line="408" w:lineRule="auto"/>
        <w:ind w:left="152" w:right="0" w:firstLine="420"/>
        <w:jc w:val="left"/>
      </w:pPr>
      <w:r>
        <w:rPr>
          <w:spacing w:val="-5"/>
        </w:rPr>
        <w:t>报告期内，公司持续研发投入，进一步加强基础研究与应用研究，加大技术攻关和科研成果转化力度，</w:t>
      </w:r>
      <w:r>
        <w:rPr>
          <w:w w:val="100"/>
        </w:rPr>
        <w:t> </w:t>
      </w:r>
      <w:r>
        <w:rPr>
          <w:spacing w:val="-2"/>
        </w:rPr>
        <w:t>形成了具备体系性的装备保障和健康管理的工具链及完整解决方案，嵌入式系统测试、无线宽带集群通信</w:t>
      </w:r>
      <w:r>
        <w:rPr>
          <w:spacing w:val="-42"/>
        </w:rPr>
        <w:t> </w:t>
      </w:r>
      <w:r>
        <w:rPr>
          <w:spacing w:val="-42"/>
        </w:rPr>
      </w:r>
      <w:r>
        <w:rPr>
          <w:spacing w:val="-2"/>
        </w:rPr>
        <w:t>产品研制有序推进。西安西谷建立了力学实验、理化分析平台，智能化检测领域进行尝试与研究。旋极百</w:t>
      </w:r>
      <w:r>
        <w:rPr>
          <w:spacing w:val="-50"/>
        </w:rPr>
        <w:t> </w:t>
      </w:r>
      <w:r>
        <w:rPr>
          <w:spacing w:val="-50"/>
        </w:rPr>
      </w:r>
      <w:r>
        <w:rPr>
          <w:spacing w:val="-2"/>
        </w:rPr>
        <w:t>旺研发并上线了多款新的产品，包括移动开票产品，扫码开票产品，云票助手产品和金融相关产品等。中</w:t>
      </w:r>
      <w:r>
        <w:rPr>
          <w:spacing w:val="-44"/>
        </w:rPr>
        <w:t> </w:t>
      </w:r>
      <w:r>
        <w:rPr>
          <w:spacing w:val="-44"/>
        </w:rPr>
      </w:r>
      <w:r>
        <w:rPr>
          <w:spacing w:val="-2"/>
        </w:rPr>
        <w:t>软金卡的自助充值终端、自助支付终端、智慧加油站系统相关硬件和软件产品、面向石油、天然气客户的</w:t>
      </w:r>
      <w:r>
        <w:rPr>
          <w:spacing w:val="-47"/>
        </w:rPr>
        <w:t> </w:t>
      </w:r>
      <w:r>
        <w:rPr>
          <w:spacing w:val="-47"/>
        </w:rPr>
      </w:r>
      <w:r>
        <w:rPr>
          <w:spacing w:val="-2"/>
        </w:rPr>
        <w:t>加油加气业务管理系统等多项油气系统创新产品完成研发，并上线投入运行。泰豪智能成功参与国家重点</w:t>
      </w:r>
    </w:p>
    <w:p>
      <w:pPr>
        <w:spacing w:after="0" w:line="408" w:lineRule="auto"/>
        <w:jc w:val="left"/>
        <w:sectPr>
          <w:pgSz w:w="11910" w:h="16840"/>
          <w:pgMar w:header="882" w:footer="1134" w:top="1280" w:bottom="1320" w:left="980" w:right="0"/>
        </w:sectPr>
      </w:pPr>
    </w:p>
    <w:p>
      <w:pPr>
        <w:spacing w:line="240" w:lineRule="auto" w:before="4"/>
        <w:rPr>
          <w:rFonts w:ascii="宋体" w:hAnsi="宋体" w:cs="宋体" w:eastAsia="宋体" w:hint="default"/>
          <w:sz w:val="13"/>
          <w:szCs w:val="13"/>
        </w:rPr>
      </w:pPr>
    </w:p>
    <w:p>
      <w:pPr>
        <w:pStyle w:val="BodyText"/>
        <w:spacing w:line="398" w:lineRule="auto" w:before="36"/>
        <w:ind w:left="152" w:right="1128"/>
        <w:jc w:val="both"/>
      </w:pPr>
      <w:r>
        <w:rPr>
          <w:spacing w:val="-2"/>
        </w:rPr>
        <w:t>研发计划</w:t>
      </w:r>
      <w:r>
        <w:rPr>
          <w:rFonts w:ascii="Times New Roman" w:hAnsi="Times New Roman" w:cs="Times New Roman" w:eastAsia="Times New Roman" w:hint="default"/>
          <w:spacing w:val="-2"/>
        </w:rPr>
        <w:t>“</w:t>
      </w:r>
      <w:r>
        <w:rPr>
          <w:spacing w:val="-2"/>
        </w:rPr>
        <w:t>物联网与智慧城市关键技术及示范</w:t>
      </w:r>
      <w:r>
        <w:rPr>
          <w:rFonts w:ascii="Times New Roman" w:hAnsi="Times New Roman" w:cs="Times New Roman" w:eastAsia="Times New Roman" w:hint="default"/>
          <w:spacing w:val="-2"/>
        </w:rPr>
        <w:t>”</w:t>
      </w:r>
      <w:r>
        <w:rPr>
          <w:spacing w:val="-2"/>
        </w:rPr>
        <w:t>重点专项项目，推动</w:t>
      </w:r>
      <w:r>
        <w:rPr>
          <w:rFonts w:ascii="Times New Roman" w:hAnsi="Times New Roman" w:cs="Times New Roman" w:eastAsia="Times New Roman" w:hint="default"/>
          <w:spacing w:val="-2"/>
        </w:rPr>
        <w:t>“</w:t>
      </w:r>
      <w:r>
        <w:rPr>
          <w:spacing w:val="-2"/>
        </w:rPr>
        <w:t>网络空间安全</w:t>
      </w:r>
      <w:r>
        <w:rPr>
          <w:rFonts w:ascii="Times New Roman" w:hAnsi="Times New Roman" w:cs="Times New Roman" w:eastAsia="Times New Roman" w:hint="default"/>
          <w:spacing w:val="-2"/>
        </w:rPr>
        <w:t>”</w:t>
      </w:r>
      <w:r>
        <w:rPr>
          <w:spacing w:val="-2"/>
        </w:rPr>
        <w:t>重点专项研发工作，研</w:t>
      </w:r>
      <w:r>
        <w:rPr>
          <w:spacing w:val="-31"/>
        </w:rPr>
        <w:t> </w:t>
      </w:r>
      <w:r>
        <w:rPr>
          <w:spacing w:val="-31"/>
        </w:rPr>
      </w:r>
      <w:r>
        <w:rPr>
          <w:spacing w:val="-2"/>
        </w:rPr>
        <w:t>发立项基于时空大数据的立体安防系统项目，完成领导驾驶舱展示平台和数据中台基础功能。技术的不断</w:t>
      </w:r>
      <w:r>
        <w:rPr>
          <w:spacing w:val="-42"/>
        </w:rPr>
        <w:t> </w:t>
      </w:r>
      <w:r>
        <w:rPr>
          <w:spacing w:val="-42"/>
        </w:rPr>
      </w:r>
      <w:r>
        <w:rPr/>
        <w:t>创新，新产品的不断研发，有力带动了公司科技水平的整体进步。</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二、主营业务分析" w:id="51"/>
      <w:bookmarkEnd w:id="51"/>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bookmarkStart w:name="1、概述" w:id="52"/>
      <w:bookmarkEnd w:id="52"/>
      <w:r>
        <w:rPr>
          <w:b w:val="0"/>
          <w:bCs w:val="0"/>
        </w:rPr>
      </w:r>
      <w:r>
        <w:rPr>
          <w:rFonts w:ascii="Times New Roman" w:hAnsi="Times New Roman" w:cs="Times New Roman" w:eastAsia="Times New Roman" w:hint="default"/>
        </w:rPr>
        <w:t>1</w:t>
      </w:r>
      <w:r>
        <w:rPr/>
        <w:t>、概述</w:t>
      </w:r>
      <w:r>
        <w:rPr>
          <w:b w:val="0"/>
          <w:bCs w:val="0"/>
        </w:rPr>
      </w:r>
    </w:p>
    <w:p>
      <w:pPr>
        <w:spacing w:line="240" w:lineRule="auto" w:before="5"/>
        <w:rPr>
          <w:rFonts w:ascii="宋体" w:hAnsi="宋体" w:cs="宋体" w:eastAsia="宋体" w:hint="default"/>
          <w:b/>
          <w:bCs/>
          <w:sz w:val="30"/>
          <w:szCs w:val="30"/>
        </w:rPr>
      </w:pPr>
    </w:p>
    <w:p>
      <w:pPr>
        <w:pStyle w:val="BodyText"/>
        <w:spacing w:line="408" w:lineRule="auto"/>
        <w:ind w:left="152" w:right="1128" w:firstLine="420"/>
        <w:jc w:val="both"/>
      </w:pPr>
      <w:r>
        <w:rPr>
          <w:spacing w:val="-2"/>
        </w:rPr>
        <w:t>公司的主要业务为面向国防军工的嵌入式系统测试产品及服务、电子元器件测试、筛选及可靠性保证</w:t>
      </w:r>
      <w:r>
        <w:rPr>
          <w:w w:val="100"/>
        </w:rPr>
        <w:t> </w:t>
      </w:r>
      <w:r>
        <w:rPr>
          <w:spacing w:val="-2"/>
        </w:rPr>
        <w:t>服务、末端自组网无线通信产品；面向税务和金融等行业的信息安全产品和服务；基于时空信息网格的大</w:t>
      </w:r>
      <w:r>
        <w:rPr>
          <w:spacing w:val="-44"/>
        </w:rPr>
        <w:t> </w:t>
      </w:r>
      <w:r>
        <w:rPr>
          <w:spacing w:val="-44"/>
        </w:rPr>
      </w:r>
      <w:r>
        <w:rPr/>
        <w:t>数据行业应用产品和服务；打造新型智慧城市智能设备与信息服务平台。</w:t>
      </w:r>
    </w:p>
    <w:p>
      <w:pPr>
        <w:pStyle w:val="BodyText"/>
        <w:spacing w:line="386" w:lineRule="auto" w:before="46"/>
        <w:ind w:left="152" w:right="0" w:firstLine="420"/>
        <w:jc w:val="left"/>
      </w:pPr>
      <w:r>
        <w:rPr/>
        <w:t>报告期内，公司实现营业收入</w:t>
      </w:r>
      <w:r>
        <w:rPr>
          <w:rFonts w:ascii="Times New Roman" w:hAnsi="Times New Roman" w:cs="Times New Roman" w:eastAsia="Times New Roman" w:hint="default"/>
        </w:rPr>
        <w:t>332,939.38</w:t>
      </w:r>
      <w:r>
        <w:rPr/>
        <w:t>万元，比上年同期的</w:t>
      </w:r>
      <w:r>
        <w:rPr>
          <w:rFonts w:ascii="Times New Roman" w:hAnsi="Times New Roman" w:cs="Times New Roman" w:eastAsia="Times New Roman" w:hint="default"/>
        </w:rPr>
        <w:t>385,995.79</w:t>
      </w:r>
      <w:r>
        <w:rPr/>
        <w:t>万元减少</w:t>
      </w:r>
      <w:r>
        <w:rPr>
          <w:rFonts w:ascii="Times New Roman" w:hAnsi="Times New Roman" w:cs="Times New Roman" w:eastAsia="Times New Roman" w:hint="default"/>
        </w:rPr>
        <w:t>13.75%</w:t>
      </w:r>
      <w:r>
        <w:rPr/>
        <w:t>；利润总额</w:t>
      </w:r>
      <w:r>
        <w:rPr>
          <w:w w:val="100"/>
        </w:rPr>
        <w:t> </w:t>
      </w:r>
      <w:r>
        <w:rPr>
          <w:rFonts w:ascii="Times New Roman" w:hAnsi="Times New Roman" w:cs="Times New Roman" w:eastAsia="Times New Roman" w:hint="default"/>
          <w:spacing w:val="-2"/>
        </w:rPr>
        <w:t>32,158.69</w:t>
      </w:r>
      <w:r>
        <w:rPr>
          <w:spacing w:val="-2"/>
        </w:rPr>
        <w:t>万元，比上年同期</w:t>
      </w:r>
      <w:r>
        <w:rPr>
          <w:rFonts w:ascii="Times New Roman" w:hAnsi="Times New Roman" w:cs="Times New Roman" w:eastAsia="Times New Roman" w:hint="default"/>
          <w:spacing w:val="-2"/>
        </w:rPr>
        <w:t>14,911.09</w:t>
      </w:r>
      <w:r>
        <w:rPr>
          <w:spacing w:val="-2"/>
        </w:rPr>
        <w:t>万元增加</w:t>
      </w:r>
      <w:r>
        <w:rPr>
          <w:rFonts w:ascii="Times New Roman" w:hAnsi="Times New Roman" w:cs="Times New Roman" w:eastAsia="Times New Roman" w:hint="default"/>
          <w:spacing w:val="-2"/>
        </w:rPr>
        <w:t>115.67%</w:t>
      </w:r>
      <w:r>
        <w:rPr>
          <w:spacing w:val="-2"/>
        </w:rPr>
        <w:t>，实现归属于上市公司股东的净利润</w:t>
      </w:r>
      <w:r>
        <w:rPr>
          <w:rFonts w:ascii="Times New Roman" w:hAnsi="Times New Roman" w:cs="Times New Roman" w:eastAsia="Times New Roman" w:hint="default"/>
          <w:spacing w:val="-2"/>
        </w:rPr>
        <w:t>25,864.18</w:t>
      </w:r>
      <w:r>
        <w:rPr>
          <w:spacing w:val="-2"/>
        </w:rPr>
        <w:t>万元，</w:t>
      </w:r>
      <w:r>
        <w:rPr>
          <w:spacing w:val="-30"/>
        </w:rPr>
        <w:t> </w:t>
      </w:r>
      <w:r>
        <w:rPr>
          <w:spacing w:val="-30"/>
        </w:rPr>
      </w:r>
      <w:r>
        <w:rPr/>
        <w:t>比上年同期</w:t>
      </w:r>
      <w:r>
        <w:rPr>
          <w:rFonts w:ascii="Times New Roman" w:hAnsi="Times New Roman" w:cs="Times New Roman" w:eastAsia="Times New Roman" w:hint="default"/>
        </w:rPr>
        <w:t>4,412.06</w:t>
      </w:r>
      <w:r>
        <w:rPr/>
        <w:t>万元增加</w:t>
      </w:r>
      <w:r>
        <w:rPr>
          <w:rFonts w:ascii="Times New Roman" w:hAnsi="Times New Roman" w:cs="Times New Roman" w:eastAsia="Times New Roman" w:hint="default"/>
        </w:rPr>
        <w:t>486.22%</w:t>
      </w:r>
      <w:r>
        <w:rPr/>
        <w:t>。</w:t>
      </w:r>
    </w:p>
    <w:p>
      <w:pPr>
        <w:pStyle w:val="BodyText"/>
        <w:spacing w:line="386" w:lineRule="auto" w:before="35"/>
        <w:ind w:left="152" w:right="1127" w:firstLine="420"/>
        <w:jc w:val="left"/>
      </w:pPr>
      <w:r>
        <w:rPr>
          <w:spacing w:val="-2"/>
        </w:rPr>
        <w:t>报告期内，公司业绩较上年同期增长的主要原因为：公司</w:t>
      </w:r>
      <w:r>
        <w:rPr>
          <w:rFonts w:ascii="Times New Roman" w:hAnsi="Times New Roman" w:cs="Times New Roman" w:eastAsia="Times New Roman" w:hint="default"/>
          <w:spacing w:val="-2"/>
        </w:rPr>
        <w:t>2018</w:t>
      </w:r>
      <w:r>
        <w:rPr>
          <w:spacing w:val="-2"/>
        </w:rPr>
        <w:t>年计提商誉减值准备</w:t>
      </w:r>
      <w:r>
        <w:rPr>
          <w:rFonts w:ascii="Times New Roman" w:hAnsi="Times New Roman" w:cs="Times New Roman" w:eastAsia="Times New Roman" w:hint="default"/>
          <w:spacing w:val="-2"/>
        </w:rPr>
        <w:t>32,109.33</w:t>
      </w:r>
      <w:r>
        <w:rPr>
          <w:spacing w:val="-2"/>
        </w:rPr>
        <w:t>万元，导</w:t>
      </w:r>
      <w:r>
        <w:rPr>
          <w:spacing w:val="-10"/>
          <w:w w:val="100"/>
        </w:rPr>
        <w:t> </w:t>
      </w:r>
      <w:r>
        <w:rPr/>
        <w:t>致本期营业利润、利润总额、净利润、归属于上市公司股东的净利润增长超过</w:t>
      </w:r>
      <w:r>
        <w:rPr>
          <w:rFonts w:ascii="Times New Roman" w:hAnsi="Times New Roman" w:cs="Times New Roman" w:eastAsia="Times New Roman" w:hint="default"/>
        </w:rPr>
        <w:t>30%</w:t>
      </w:r>
      <w:r>
        <w:rPr/>
        <w:t>；</w:t>
      </w:r>
    </w:p>
    <w:p>
      <w:pPr>
        <w:pStyle w:val="BodyText"/>
        <w:spacing w:line="386" w:lineRule="auto" w:before="35"/>
        <w:ind w:left="152" w:right="1127" w:firstLine="419"/>
        <w:jc w:val="left"/>
      </w:pPr>
      <w:r>
        <w:rPr>
          <w:rFonts w:ascii="Times New Roman" w:hAnsi="Times New Roman" w:cs="Times New Roman" w:eastAsia="Times New Roman" w:hint="default"/>
          <w:spacing w:val="-2"/>
        </w:rPr>
        <w:t>2019</w:t>
      </w:r>
      <w:r>
        <w:rPr>
          <w:spacing w:val="-2"/>
        </w:rPr>
        <w:t>年由于公司对</w:t>
      </w:r>
      <w:r>
        <w:rPr>
          <w:rFonts w:ascii="Times New Roman" w:hAnsi="Times New Roman" w:cs="Times New Roman" w:eastAsia="Times New Roman" w:hint="default"/>
          <w:spacing w:val="-2"/>
        </w:rPr>
        <w:t>2018</w:t>
      </w:r>
      <w:r>
        <w:rPr>
          <w:spacing w:val="-2"/>
        </w:rPr>
        <w:t>年年报问询问题进行了充分的澄清及整改，经营环境持续改善，整体业务保持</w:t>
      </w:r>
      <w:r>
        <w:rPr>
          <w:w w:val="100"/>
        </w:rPr>
        <w:t> </w:t>
      </w:r>
      <w:r>
        <w:rPr/>
        <w:t>基本稳定，各版块具体表现如下：</w:t>
      </w:r>
    </w:p>
    <w:p>
      <w:pPr>
        <w:pStyle w:val="BodyText"/>
        <w:spacing w:line="408" w:lineRule="auto" w:before="65"/>
        <w:ind w:left="152" w:right="1127" w:firstLine="420"/>
        <w:jc w:val="left"/>
      </w:pPr>
      <w:r>
        <w:rPr>
          <w:spacing w:val="-2"/>
        </w:rPr>
        <w:t>①信息安全业务由于受板块整合及宏观政策影响，销售收入有所下降，公司通过不断降低产品成本和</w:t>
      </w:r>
      <w:r>
        <w:rPr>
          <w:w w:val="100"/>
        </w:rPr>
        <w:t> </w:t>
      </w:r>
      <w:r>
        <w:rPr/>
        <w:t>服务成本，持续进行技术、产品和服务的创新，稳定市场，导致归属于上市公司净利润有小幅提升。</w:t>
      </w:r>
    </w:p>
    <w:p>
      <w:pPr>
        <w:pStyle w:val="BodyText"/>
        <w:spacing w:line="240" w:lineRule="auto" w:before="46"/>
        <w:ind w:right="1127"/>
        <w:jc w:val="left"/>
      </w:pPr>
      <w:r>
        <w:rPr/>
        <w:t>②智慧城市业务受行业客户制定计划、订单执行周期的延期影响，业绩有小幅下降；</w:t>
      </w:r>
    </w:p>
    <w:p>
      <w:pPr>
        <w:spacing w:line="240" w:lineRule="auto" w:before="10"/>
        <w:rPr>
          <w:rFonts w:ascii="宋体" w:hAnsi="宋体" w:cs="宋体" w:eastAsia="宋体" w:hint="default"/>
          <w:sz w:val="14"/>
          <w:szCs w:val="14"/>
        </w:rPr>
      </w:pPr>
    </w:p>
    <w:p>
      <w:pPr>
        <w:pStyle w:val="BodyText"/>
        <w:spacing w:line="240" w:lineRule="auto"/>
        <w:ind w:right="1127"/>
        <w:jc w:val="left"/>
      </w:pPr>
      <w:r>
        <w:rPr/>
        <w:t>③公司智慧防务业务，通过积极开拓市场，回补延期合同，经营业绩有小幅提升。</w:t>
      </w:r>
    </w:p>
    <w:p>
      <w:pPr>
        <w:spacing w:line="240" w:lineRule="auto" w:before="0"/>
        <w:rPr>
          <w:rFonts w:ascii="宋体" w:hAnsi="宋体" w:cs="宋体" w:eastAsia="宋体" w:hint="default"/>
          <w:sz w:val="20"/>
          <w:szCs w:val="20"/>
        </w:rPr>
      </w:pPr>
    </w:p>
    <w:p>
      <w:pPr>
        <w:pStyle w:val="Heading4"/>
        <w:spacing w:line="240" w:lineRule="auto" w:before="154"/>
        <w:ind w:right="0"/>
        <w:jc w:val="both"/>
        <w:rPr>
          <w:b w:val="0"/>
          <w:bCs w:val="0"/>
        </w:rPr>
      </w:pPr>
      <w:bookmarkStart w:name="2、收入与成本" w:id="53"/>
      <w:bookmarkEnd w:id="53"/>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9"/>
        <w:rPr>
          <w:rFonts w:ascii="宋体" w:hAnsi="宋体" w:cs="宋体" w:eastAsia="宋体" w:hint="default"/>
          <w:b/>
          <w:bCs/>
          <w:sz w:val="24"/>
          <w:szCs w:val="24"/>
        </w:rPr>
      </w:pPr>
    </w:p>
    <w:p>
      <w:pPr>
        <w:spacing w:line="568" w:lineRule="auto" w:before="0"/>
        <w:ind w:left="572" w:right="8602" w:hanging="420"/>
        <w:jc w:val="left"/>
        <w:rPr>
          <w:rFonts w:ascii="宋体" w:hAnsi="宋体" w:cs="宋体" w:eastAsia="宋体" w:hint="default"/>
          <w:sz w:val="21"/>
          <w:szCs w:val="21"/>
        </w:rPr>
      </w:pPr>
      <w:bookmarkStart w:name="（1）营业收入构成" w:id="54"/>
      <w:bookmarkEnd w:id="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b/>
          <w:bCs/>
          <w:spacing w:val="-104"/>
          <w:sz w:val="21"/>
          <w:szCs w:val="21"/>
        </w:rPr>
        <w:t> </w:t>
      </w:r>
      <w:r>
        <w:rPr>
          <w:rFonts w:ascii="宋体" w:hAnsi="宋体" w:cs="宋体" w:eastAsia="宋体" w:hint="default"/>
          <w:spacing w:val="-2"/>
          <w:sz w:val="21"/>
          <w:szCs w:val="21"/>
        </w:rPr>
        <w:t>营业收入整体情况</w:t>
      </w:r>
    </w:p>
    <w:p>
      <w:pPr>
        <w:pStyle w:val="BodyText"/>
        <w:spacing w:line="240" w:lineRule="auto" w:before="6"/>
        <w:ind w:left="0" w:right="1130"/>
        <w:jc w:val="right"/>
      </w:pPr>
      <w:r>
        <w:rPr>
          <w:spacing w:val="-1"/>
        </w:rPr>
        <w:t>单位：元</w:t>
      </w:r>
    </w:p>
    <w:p>
      <w:pPr>
        <w:spacing w:line="240" w:lineRule="auto" w:before="5"/>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596"/>
        <w:gridCol w:w="1594"/>
        <w:gridCol w:w="1583"/>
        <w:gridCol w:w="1607"/>
        <w:gridCol w:w="1570"/>
        <w:gridCol w:w="1606"/>
      </w:tblGrid>
      <w:tr>
        <w:trPr>
          <w:trHeight w:val="259" w:hRule="exact"/>
        </w:trPr>
        <w:tc>
          <w:tcPr>
            <w:tcW w:w="1596" w:type="dxa"/>
            <w:tcBorders>
              <w:top w:val="single" w:sz="4" w:space="0" w:color="000000"/>
              <w:left w:val="single" w:sz="4" w:space="0" w:color="000000"/>
              <w:bottom w:val="nil" w:sz="6" w:space="0" w:color="auto"/>
              <w:right w:val="single" w:sz="4" w:space="0" w:color="000000"/>
            </w:tcBorders>
            <w:shd w:val="clear" w:color="auto" w:fill="D4D4D4"/>
          </w:tcPr>
          <w:p>
            <w:pPr/>
          </w:p>
        </w:tc>
        <w:tc>
          <w:tcPr>
            <w:tcW w:w="317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4"/>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7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4"/>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45" w:hRule="exact"/>
        </w:trPr>
        <w:tc>
          <w:tcPr>
            <w:tcW w:w="1596" w:type="dxa"/>
            <w:vMerge w:val="restart"/>
            <w:tcBorders>
              <w:top w:val="nil" w:sz="6" w:space="0" w:color="auto"/>
              <w:left w:val="single" w:sz="4" w:space="0" w:color="000000"/>
              <w:right w:val="single" w:sz="4" w:space="0" w:color="000000"/>
            </w:tcBorders>
            <w:shd w:val="clear" w:color="auto" w:fill="D4D4D4"/>
          </w:tcPr>
          <w:p>
            <w:pPr/>
          </w:p>
        </w:tc>
        <w:tc>
          <w:tcPr>
            <w:tcW w:w="3176" w:type="dxa"/>
            <w:gridSpan w:val="2"/>
            <w:vMerge/>
            <w:tcBorders>
              <w:left w:val="single" w:sz="4" w:space="0" w:color="000000"/>
              <w:bottom w:val="single" w:sz="4" w:space="0" w:color="000000"/>
              <w:right w:val="single" w:sz="4" w:space="0" w:color="000000"/>
            </w:tcBorders>
            <w:shd w:val="clear" w:color="auto" w:fill="D4D4D4"/>
          </w:tcPr>
          <w:p>
            <w:pPr/>
          </w:p>
        </w:tc>
        <w:tc>
          <w:tcPr>
            <w:tcW w:w="3176" w:type="dxa"/>
            <w:gridSpan w:val="2"/>
            <w:vMerge/>
            <w:tcBorders>
              <w:left w:val="single" w:sz="4" w:space="0" w:color="000000"/>
              <w:bottom w:val="single" w:sz="4" w:space="0" w:color="000000"/>
              <w:right w:val="single" w:sz="4" w:space="0" w:color="000000"/>
            </w:tcBorders>
            <w:shd w:val="clear" w:color="auto" w:fill="D4D4D4"/>
          </w:tcPr>
          <w:p>
            <w:pPr/>
          </w:p>
        </w:tc>
        <w:tc>
          <w:tcPr>
            <w:tcW w:w="160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1"/>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54" w:hRule="exact"/>
        </w:trPr>
        <w:tc>
          <w:tcPr>
            <w:tcW w:w="1596" w:type="dxa"/>
            <w:vMerge/>
            <w:tcBorders>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6"/>
              <w:ind w:right="22"/>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6"/>
              <w:ind w:left="15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6"/>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5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6"/>
              <w:ind w:left="15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tcBorders>
              <w:left w:val="single" w:sz="4" w:space="0" w:color="000000"/>
              <w:bottom w:val="nil" w:sz="6" w:space="0" w:color="auto"/>
              <w:right w:val="single" w:sz="4" w:space="0" w:color="000000"/>
            </w:tcBorders>
            <w:shd w:val="clear" w:color="auto" w:fill="D4D4D4"/>
          </w:tcPr>
          <w:p>
            <w:pPr/>
          </w:p>
        </w:tc>
      </w:tr>
      <w:tr>
        <w:trPr>
          <w:trHeight w:val="259" w:hRule="exact"/>
        </w:trPr>
        <w:tc>
          <w:tcPr>
            <w:tcW w:w="15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83" w:type="dxa"/>
            <w:vMerge/>
            <w:tcBorders>
              <w:left w:val="single" w:sz="4" w:space="0" w:color="000000"/>
              <w:bottom w:val="single" w:sz="4" w:space="0" w:color="000000"/>
              <w:right w:val="single" w:sz="4" w:space="0" w:color="000000"/>
            </w:tcBorders>
            <w:shd w:val="clear" w:color="auto" w:fill="D4D4D4"/>
          </w:tcPr>
          <w:p>
            <w:pPr/>
          </w:p>
        </w:tc>
        <w:tc>
          <w:tcPr>
            <w:tcW w:w="1607" w:type="dxa"/>
            <w:vMerge/>
            <w:tcBorders>
              <w:left w:val="single" w:sz="4" w:space="0" w:color="000000"/>
              <w:bottom w:val="single" w:sz="4" w:space="0" w:color="000000"/>
              <w:right w:val="single" w:sz="4" w:space="0" w:color="000000"/>
            </w:tcBorders>
            <w:shd w:val="clear" w:color="auto" w:fill="D4D4D4"/>
          </w:tcPr>
          <w:p>
            <w:pPr/>
          </w:p>
        </w:tc>
        <w:tc>
          <w:tcPr>
            <w:tcW w:w="1570" w:type="dxa"/>
            <w:vMerge/>
            <w:tcBorders>
              <w:left w:val="single" w:sz="4" w:space="0" w:color="000000"/>
              <w:bottom w:val="single" w:sz="4" w:space="0" w:color="000000"/>
              <w:right w:val="single" w:sz="4" w:space="0" w:color="000000"/>
            </w:tcBorders>
            <w:shd w:val="clear" w:color="auto" w:fill="D4D4D4"/>
          </w:tcPr>
          <w:p>
            <w:pPr/>
          </w:p>
        </w:tc>
        <w:tc>
          <w:tcPr>
            <w:tcW w:w="1606"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509"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4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144"/>
              <w:ind w:left="284" w:right="0"/>
              <w:jc w:val="left"/>
              <w:rPr>
                <w:rFonts w:ascii="Times New Roman" w:hAnsi="Times New Roman" w:cs="Times New Roman" w:eastAsia="Times New Roman" w:hint="default"/>
                <w:sz w:val="18"/>
                <w:szCs w:val="18"/>
              </w:rPr>
            </w:pPr>
            <w:r>
              <w:rPr>
                <w:rFonts w:ascii="Times New Roman"/>
                <w:sz w:val="18"/>
              </w:rPr>
              <w:t>3,329,393,828.36</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4"/>
              <w:ind w:right="3"/>
              <w:jc w:val="center"/>
              <w:rPr>
                <w:rFonts w:ascii="Times New Roman" w:hAnsi="Times New Roman" w:cs="Times New Roman" w:eastAsia="Times New Roman" w:hint="default"/>
                <w:sz w:val="18"/>
                <w:szCs w:val="18"/>
              </w:rPr>
            </w:pPr>
            <w:r>
              <w:rPr>
                <w:rFonts w:ascii="Times New Roman"/>
                <w:sz w:val="18"/>
              </w:rPr>
              <w:t>100%</w:t>
            </w:r>
          </w:p>
        </w:tc>
        <w:tc>
          <w:tcPr>
            <w:tcW w:w="1607"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144"/>
              <w:ind w:left="293" w:right="0"/>
              <w:jc w:val="left"/>
              <w:rPr>
                <w:rFonts w:ascii="Times New Roman" w:hAnsi="Times New Roman" w:cs="Times New Roman" w:eastAsia="Times New Roman" w:hint="default"/>
                <w:sz w:val="18"/>
                <w:szCs w:val="18"/>
              </w:rPr>
            </w:pPr>
            <w:r>
              <w:rPr>
                <w:rFonts w:ascii="Times New Roman"/>
                <w:sz w:val="18"/>
              </w:rPr>
              <w:t>3,859,957,922.70</w:t>
            </w:r>
          </w:p>
        </w:tc>
        <w:tc>
          <w:tcPr>
            <w:tcW w:w="15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4"/>
              <w:ind w:left="7" w:right="0"/>
              <w:jc w:val="center"/>
              <w:rPr>
                <w:rFonts w:ascii="Times New Roman" w:hAnsi="Times New Roman" w:cs="Times New Roman" w:eastAsia="Times New Roman" w:hint="default"/>
                <w:sz w:val="18"/>
                <w:szCs w:val="18"/>
              </w:rPr>
            </w:pPr>
            <w:r>
              <w:rPr>
                <w:rFonts w:ascii="Times New Roman"/>
                <w:sz w:val="18"/>
              </w:rPr>
              <w:t>100%</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44"/>
              <w:ind w:left="948" w:right="0"/>
              <w:jc w:val="left"/>
              <w:rPr>
                <w:rFonts w:ascii="Times New Roman" w:hAnsi="Times New Roman" w:cs="Times New Roman" w:eastAsia="Times New Roman" w:hint="default"/>
                <w:sz w:val="18"/>
                <w:szCs w:val="18"/>
              </w:rPr>
            </w:pPr>
            <w:r>
              <w:rPr>
                <w:rFonts w:ascii="Times New Roman"/>
                <w:sz w:val="18"/>
              </w:rPr>
              <w:t>-13.75%</w:t>
            </w:r>
          </w:p>
        </w:tc>
      </w:tr>
    </w:tbl>
    <w:p>
      <w:pPr>
        <w:spacing w:after="0" w:line="240" w:lineRule="auto"/>
        <w:jc w:val="lef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355"/>
        <w:gridCol w:w="1238"/>
        <w:gridCol w:w="1596"/>
        <w:gridCol w:w="425"/>
        <w:gridCol w:w="1169"/>
        <w:gridCol w:w="1594"/>
      </w:tblGrid>
      <w:tr>
        <w:trPr>
          <w:trHeight w:val="509" w:hRule="exact"/>
        </w:trPr>
        <w:tc>
          <w:tcPr>
            <w:tcW w:w="9566"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分行业</w:t>
            </w:r>
          </w:p>
        </w:tc>
      </w:tr>
      <w:tr>
        <w:trPr>
          <w:trHeight w:val="50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智慧防务业务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576,876,259.60</w:t>
            </w:r>
            <w:r>
              <w:rPr>
                <w:rFonts w:ascii="Times New Roman"/>
                <w:sz w:val="18"/>
              </w:rPr>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7" w:right="0"/>
              <w:jc w:val="left"/>
              <w:rPr>
                <w:rFonts w:ascii="Times New Roman" w:hAnsi="Times New Roman" w:cs="Times New Roman" w:eastAsia="Times New Roman" w:hint="default"/>
                <w:sz w:val="18"/>
                <w:szCs w:val="18"/>
              </w:rPr>
            </w:pPr>
            <w:r>
              <w:rPr>
                <w:rFonts w:ascii="Times New Roman"/>
                <w:sz w:val="18"/>
              </w:rPr>
              <w:t>17.33%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536,676,257.96</w:t>
            </w:r>
            <w:r>
              <w:rPr>
                <w:rFonts w:ascii="Times New Roman"/>
                <w:sz w:val="18"/>
              </w:rPr>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7" w:right="0"/>
              <w:jc w:val="left"/>
              <w:rPr>
                <w:rFonts w:ascii="Times New Roman" w:hAnsi="Times New Roman" w:cs="Times New Roman" w:eastAsia="Times New Roman" w:hint="default"/>
                <w:sz w:val="18"/>
                <w:szCs w:val="18"/>
              </w:rPr>
            </w:pPr>
            <w:r>
              <w:rPr>
                <w:rFonts w:ascii="Times New Roman"/>
                <w:sz w:val="18"/>
              </w:rPr>
              <w:t>13.90%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7.49%</w:t>
            </w:r>
          </w:p>
        </w:tc>
      </w:tr>
      <w:tr>
        <w:trPr>
          <w:trHeight w:val="5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智慧城市业务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2,185,823,440.57</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7" w:right="0"/>
              <w:jc w:val="left"/>
              <w:rPr>
                <w:rFonts w:ascii="Times New Roman" w:hAnsi="Times New Roman" w:cs="Times New Roman" w:eastAsia="Times New Roman" w:hint="default"/>
                <w:sz w:val="18"/>
                <w:szCs w:val="18"/>
              </w:rPr>
            </w:pPr>
            <w:r>
              <w:rPr>
                <w:rFonts w:ascii="Times New Roman"/>
                <w:sz w:val="18"/>
              </w:rPr>
              <w:t>65.65%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2,479,668,509.79</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7" w:right="0"/>
              <w:jc w:val="left"/>
              <w:rPr>
                <w:rFonts w:ascii="Times New Roman" w:hAnsi="Times New Roman" w:cs="Times New Roman" w:eastAsia="Times New Roman" w:hint="default"/>
                <w:sz w:val="18"/>
                <w:szCs w:val="18"/>
              </w:rPr>
            </w:pPr>
            <w:r>
              <w:rPr>
                <w:rFonts w:ascii="Times New Roman"/>
                <w:sz w:val="18"/>
              </w:rPr>
              <w:t>64.24%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pacing w:val="-1"/>
                <w:sz w:val="18"/>
              </w:rPr>
              <w:t>-11.85%</w:t>
            </w:r>
            <w:r>
              <w:rPr>
                <w:rFonts w:ascii="Times New Roman"/>
                <w:sz w:val="18"/>
              </w:rPr>
            </w:r>
          </w:p>
        </w:tc>
      </w:tr>
      <w:tr>
        <w:trPr>
          <w:trHeight w:val="5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信息安全业务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566,694,128.19</w:t>
            </w:r>
            <w:r>
              <w:rPr>
                <w:rFonts w:ascii="Times New Roman"/>
                <w:sz w:val="18"/>
              </w:rPr>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7" w:right="0"/>
              <w:jc w:val="left"/>
              <w:rPr>
                <w:rFonts w:ascii="Times New Roman" w:hAnsi="Times New Roman" w:cs="Times New Roman" w:eastAsia="Times New Roman" w:hint="default"/>
                <w:sz w:val="18"/>
                <w:szCs w:val="18"/>
              </w:rPr>
            </w:pPr>
            <w:r>
              <w:rPr>
                <w:rFonts w:ascii="Times New Roman"/>
                <w:sz w:val="18"/>
              </w:rPr>
              <w:t>17.02%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843,613,154.95</w:t>
            </w:r>
            <w:r>
              <w:rPr>
                <w:rFonts w:ascii="Times New Roman"/>
                <w:sz w:val="18"/>
              </w:rPr>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7" w:right="0"/>
              <w:jc w:val="left"/>
              <w:rPr>
                <w:rFonts w:ascii="Times New Roman" w:hAnsi="Times New Roman" w:cs="Times New Roman" w:eastAsia="Times New Roman" w:hint="default"/>
                <w:sz w:val="18"/>
                <w:szCs w:val="18"/>
              </w:rPr>
            </w:pPr>
            <w:r>
              <w:rPr>
                <w:rFonts w:ascii="Times New Roman"/>
                <w:sz w:val="18"/>
              </w:rPr>
              <w:t>21.86%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z w:val="18"/>
              </w:rPr>
              <w:t>-32.83%</w:t>
            </w:r>
          </w:p>
        </w:tc>
      </w:tr>
      <w:tr>
        <w:trPr>
          <w:trHeight w:val="506" w:hRule="exact"/>
        </w:trPr>
        <w:tc>
          <w:tcPr>
            <w:tcW w:w="9566"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82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703" w:right="71" w:hanging="629"/>
              <w:jc w:val="left"/>
              <w:rPr>
                <w:rFonts w:ascii="宋体" w:hAnsi="宋体" w:cs="宋体" w:eastAsia="宋体" w:hint="default"/>
                <w:sz w:val="18"/>
                <w:szCs w:val="18"/>
              </w:rPr>
            </w:pPr>
            <w:r>
              <w:rPr>
                <w:rFonts w:ascii="宋体" w:hAnsi="宋体" w:cs="宋体" w:eastAsia="宋体" w:hint="default"/>
                <w:sz w:val="18"/>
                <w:szCs w:val="18"/>
              </w:rPr>
              <w:t>嵌入式系统测试产 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308,183,621.34</w:t>
            </w:r>
            <w:r>
              <w:rPr>
                <w:rFonts w:ascii="Times New Roman"/>
                <w:sz w:val="18"/>
              </w:rPr>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262,542,602.78</w:t>
            </w:r>
            <w:r>
              <w:rPr>
                <w:rFonts w:ascii="Times New Roman"/>
                <w:sz w:val="18"/>
              </w:rPr>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17.38%</w:t>
            </w:r>
          </w:p>
        </w:tc>
      </w:tr>
      <w:tr>
        <w:trPr>
          <w:trHeight w:val="82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703" w:right="71" w:hanging="629"/>
              <w:jc w:val="left"/>
              <w:rPr>
                <w:rFonts w:ascii="宋体" w:hAnsi="宋体" w:cs="宋体" w:eastAsia="宋体" w:hint="default"/>
                <w:sz w:val="18"/>
                <w:szCs w:val="18"/>
              </w:rPr>
            </w:pPr>
            <w:r>
              <w:rPr>
                <w:rFonts w:ascii="宋体" w:hAnsi="宋体" w:cs="宋体" w:eastAsia="宋体" w:hint="default"/>
                <w:sz w:val="18"/>
                <w:szCs w:val="18"/>
              </w:rPr>
              <w:t>嵌入式系统测试服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105,723,857.43</w:t>
            </w:r>
            <w:r>
              <w:rPr>
                <w:rFonts w:ascii="Times New Roman"/>
                <w:sz w:val="18"/>
              </w:rPr>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143,454,881.26</w:t>
            </w:r>
            <w:r>
              <w:rPr>
                <w:rFonts w:ascii="Times New Roman"/>
                <w:sz w:val="18"/>
              </w:rPr>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-26.30%</w:t>
            </w:r>
          </w:p>
        </w:tc>
      </w:tr>
      <w:tr>
        <w:trPr>
          <w:trHeight w:val="81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523" w:right="71" w:hanging="449"/>
              <w:jc w:val="left"/>
              <w:rPr>
                <w:rFonts w:ascii="宋体" w:hAnsi="宋体" w:cs="宋体" w:eastAsia="宋体" w:hint="default"/>
                <w:sz w:val="18"/>
                <w:szCs w:val="18"/>
              </w:rPr>
            </w:pPr>
            <w:r>
              <w:rPr>
                <w:rFonts w:ascii="宋体" w:hAnsi="宋体" w:cs="宋体" w:eastAsia="宋体" w:hint="default"/>
                <w:sz w:val="18"/>
                <w:szCs w:val="18"/>
              </w:rPr>
              <w:t>电子元器件测试筛 选服务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166,992,342.07</w:t>
            </w:r>
            <w:r>
              <w:rPr>
                <w:rFonts w:ascii="Times New Roman"/>
                <w:sz w:val="18"/>
              </w:rPr>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130,678,773.92</w:t>
            </w:r>
            <w:r>
              <w:rPr>
                <w:rFonts w:ascii="Times New Roman"/>
                <w:sz w:val="18"/>
              </w:rPr>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27.79%</w:t>
            </w:r>
          </w:p>
        </w:tc>
      </w:tr>
      <w:tr>
        <w:trPr>
          <w:trHeight w:val="9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412" w:lineRule="auto" w:before="101"/>
              <w:ind w:left="614" w:right="71" w:hanging="540"/>
              <w:jc w:val="left"/>
              <w:rPr>
                <w:rFonts w:ascii="宋体" w:hAnsi="宋体" w:cs="宋体" w:eastAsia="宋体" w:hint="default"/>
                <w:sz w:val="18"/>
                <w:szCs w:val="18"/>
              </w:rPr>
            </w:pPr>
            <w:r>
              <w:rPr>
                <w:rFonts w:ascii="宋体" w:hAnsi="宋体" w:cs="宋体" w:eastAsia="宋体" w:hint="default"/>
                <w:sz w:val="18"/>
                <w:szCs w:val="18"/>
              </w:rPr>
              <w:t>税务信息化产品及 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6"/>
              <w:jc w:val="right"/>
              <w:rPr>
                <w:rFonts w:ascii="Times New Roman" w:hAnsi="Times New Roman" w:cs="Times New Roman" w:eastAsia="Times New Roman" w:hint="default"/>
                <w:sz w:val="18"/>
                <w:szCs w:val="18"/>
              </w:rPr>
            </w:pPr>
            <w:r>
              <w:rPr>
                <w:rFonts w:ascii="Times New Roman"/>
                <w:spacing w:val="-1"/>
                <w:sz w:val="18"/>
              </w:rPr>
              <w:t>545,429,261.54</w:t>
            </w:r>
            <w:r>
              <w:rPr>
                <w:rFonts w:ascii="Times New Roman"/>
                <w:sz w:val="18"/>
              </w:rPr>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1007" w:right="0"/>
              <w:jc w:val="left"/>
              <w:rPr>
                <w:rFonts w:ascii="Times New Roman" w:hAnsi="Times New Roman" w:cs="Times New Roman" w:eastAsia="Times New Roman" w:hint="default"/>
                <w:sz w:val="18"/>
                <w:szCs w:val="18"/>
              </w:rPr>
            </w:pPr>
            <w:r>
              <w:rPr>
                <w:rFonts w:ascii="Times New Roman"/>
                <w:sz w:val="18"/>
              </w:rPr>
              <w:t>16.38%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9"/>
              <w:jc w:val="right"/>
              <w:rPr>
                <w:rFonts w:ascii="Times New Roman" w:hAnsi="Times New Roman" w:cs="Times New Roman" w:eastAsia="Times New Roman" w:hint="default"/>
                <w:sz w:val="18"/>
                <w:szCs w:val="18"/>
              </w:rPr>
            </w:pPr>
            <w:r>
              <w:rPr>
                <w:rFonts w:ascii="Times New Roman"/>
                <w:spacing w:val="-1"/>
                <w:sz w:val="18"/>
              </w:rPr>
              <w:t>836,454,354.52</w:t>
            </w:r>
            <w:r>
              <w:rPr>
                <w:rFonts w:ascii="Times New Roman"/>
                <w:sz w:val="18"/>
              </w:rPr>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1007" w:right="0"/>
              <w:jc w:val="left"/>
              <w:rPr>
                <w:rFonts w:ascii="Times New Roman" w:hAnsi="Times New Roman" w:cs="Times New Roman" w:eastAsia="Times New Roman" w:hint="default"/>
                <w:sz w:val="18"/>
                <w:szCs w:val="18"/>
              </w:rPr>
            </w:pPr>
            <w:r>
              <w:rPr>
                <w:rFonts w:ascii="Times New Roman"/>
                <w:sz w:val="18"/>
              </w:rPr>
              <w:t>21.67%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4"/>
              <w:jc w:val="right"/>
              <w:rPr>
                <w:rFonts w:ascii="Times New Roman" w:hAnsi="Times New Roman" w:cs="Times New Roman" w:eastAsia="Times New Roman" w:hint="default"/>
                <w:sz w:val="18"/>
                <w:szCs w:val="18"/>
              </w:rPr>
            </w:pPr>
            <w:r>
              <w:rPr>
                <w:rFonts w:ascii="Times New Roman"/>
                <w:sz w:val="18"/>
              </w:rPr>
              <w:t>-34.79%</w:t>
            </w:r>
          </w:p>
        </w:tc>
      </w:tr>
      <w:tr>
        <w:trPr>
          <w:trHeight w:val="81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523" w:right="71" w:hanging="449"/>
              <w:jc w:val="left"/>
              <w:rPr>
                <w:rFonts w:ascii="宋体" w:hAnsi="宋体" w:cs="宋体" w:eastAsia="宋体" w:hint="default"/>
                <w:sz w:val="18"/>
                <w:szCs w:val="18"/>
              </w:rPr>
            </w:pPr>
            <w:r>
              <w:rPr>
                <w:rFonts w:ascii="宋体" w:hAnsi="宋体" w:cs="宋体" w:eastAsia="宋体" w:hint="default"/>
                <w:sz w:val="18"/>
                <w:szCs w:val="18"/>
              </w:rPr>
              <w:t>其他信息安全产品 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17,241,305.41</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7,158,800.43</w:t>
            </w:r>
            <w:r>
              <w:rPr>
                <w:rFonts w:ascii="Times New Roman"/>
                <w:sz w:val="18"/>
              </w:rPr>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140.84%</w:t>
            </w:r>
          </w:p>
        </w:tc>
      </w:tr>
      <w:tr>
        <w:trPr>
          <w:trHeight w:val="5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能源信息化业务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6"/>
              <w:jc w:val="right"/>
              <w:rPr>
                <w:rFonts w:ascii="Times New Roman" w:hAnsi="Times New Roman" w:cs="Times New Roman" w:eastAsia="Times New Roman" w:hint="default"/>
                <w:sz w:val="18"/>
                <w:szCs w:val="18"/>
              </w:rPr>
            </w:pPr>
            <w:r>
              <w:rPr>
                <w:rFonts w:ascii="Times New Roman"/>
                <w:spacing w:val="-1"/>
                <w:sz w:val="18"/>
              </w:rPr>
              <w:t>129,796,319.56</w:t>
            </w:r>
            <w:r>
              <w:rPr>
                <w:rFonts w:ascii="Times New Roman"/>
                <w:sz w:val="18"/>
              </w:rPr>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Times New Roman" w:hAnsi="Times New Roman" w:cs="Times New Roman" w:eastAsia="Times New Roman" w:hint="default"/>
                <w:sz w:val="18"/>
                <w:szCs w:val="18"/>
              </w:rPr>
            </w:pPr>
            <w:r>
              <w:rPr>
                <w:rFonts w:ascii="Times New Roman"/>
                <w:sz w:val="18"/>
              </w:rPr>
              <w:t>3.90%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300,050,968.71</w:t>
            </w:r>
            <w:r>
              <w:rPr>
                <w:rFonts w:ascii="Times New Roman"/>
                <w:sz w:val="18"/>
              </w:rPr>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Times New Roman" w:hAnsi="Times New Roman" w:cs="Times New Roman" w:eastAsia="Times New Roman" w:hint="default"/>
                <w:sz w:val="18"/>
                <w:szCs w:val="18"/>
              </w:rPr>
            </w:pPr>
            <w:r>
              <w:rPr>
                <w:rFonts w:ascii="Times New Roman"/>
                <w:sz w:val="18"/>
              </w:rPr>
              <w:t>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4"/>
              <w:jc w:val="right"/>
              <w:rPr>
                <w:rFonts w:ascii="Times New Roman" w:hAnsi="Times New Roman" w:cs="Times New Roman" w:eastAsia="Times New Roman" w:hint="default"/>
                <w:sz w:val="18"/>
                <w:szCs w:val="18"/>
              </w:rPr>
            </w:pPr>
            <w:r>
              <w:rPr>
                <w:rFonts w:ascii="Times New Roman"/>
                <w:sz w:val="18"/>
              </w:rPr>
              <w:t>-56.74%</w:t>
            </w:r>
          </w:p>
        </w:tc>
      </w:tr>
      <w:tr>
        <w:trPr>
          <w:trHeight w:val="5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智慧建筑业务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1,581,358,437.77</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7" w:right="0"/>
              <w:jc w:val="left"/>
              <w:rPr>
                <w:rFonts w:ascii="Times New Roman" w:hAnsi="Times New Roman" w:cs="Times New Roman" w:eastAsia="Times New Roman" w:hint="default"/>
                <w:sz w:val="18"/>
                <w:szCs w:val="18"/>
              </w:rPr>
            </w:pPr>
            <w:r>
              <w:rPr>
                <w:rFonts w:ascii="Times New Roman"/>
                <w:sz w:val="18"/>
              </w:rPr>
              <w:t>47.50%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1,880,181,578.89</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7" w:right="0"/>
              <w:jc w:val="left"/>
              <w:rPr>
                <w:rFonts w:ascii="Times New Roman" w:hAnsi="Times New Roman" w:cs="Times New Roman" w:eastAsia="Times New Roman" w:hint="default"/>
                <w:sz w:val="18"/>
                <w:szCs w:val="18"/>
              </w:rPr>
            </w:pPr>
            <w:r>
              <w:rPr>
                <w:rFonts w:ascii="Times New Roman"/>
                <w:sz w:val="18"/>
              </w:rPr>
              <w:t>48.71%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z w:val="18"/>
              </w:rPr>
              <w:t>-15.89%</w:t>
            </w:r>
          </w:p>
        </w:tc>
      </w:tr>
      <w:tr>
        <w:trPr>
          <w:trHeight w:val="50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智慧交通业务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88,061,347.94</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2.64%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131,862,286.73</w:t>
            </w:r>
            <w:r>
              <w:rPr>
                <w:rFonts w:ascii="Times New Roman"/>
                <w:sz w:val="18"/>
              </w:rPr>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z w:val="18"/>
              </w:rPr>
              <w:t>-33.22%</w:t>
            </w:r>
          </w:p>
        </w:tc>
      </w:tr>
      <w:tr>
        <w:trPr>
          <w:trHeight w:val="5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其他产品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6"/>
              <w:jc w:val="right"/>
              <w:rPr>
                <w:rFonts w:ascii="Times New Roman" w:hAnsi="Times New Roman" w:cs="Times New Roman" w:eastAsia="Times New Roman" w:hint="default"/>
                <w:sz w:val="18"/>
                <w:szCs w:val="18"/>
              </w:rPr>
            </w:pPr>
            <w:r>
              <w:rPr>
                <w:rFonts w:ascii="Times New Roman"/>
                <w:spacing w:val="-1"/>
                <w:sz w:val="18"/>
              </w:rPr>
              <w:t>386,607,335.30</w:t>
            </w:r>
            <w:r>
              <w:rPr>
                <w:rFonts w:ascii="Times New Roman"/>
                <w:sz w:val="18"/>
              </w:rPr>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15" w:right="0"/>
              <w:jc w:val="left"/>
              <w:rPr>
                <w:rFonts w:ascii="Times New Roman" w:hAnsi="Times New Roman" w:cs="Times New Roman" w:eastAsia="Times New Roman" w:hint="default"/>
                <w:sz w:val="18"/>
                <w:szCs w:val="18"/>
              </w:rPr>
            </w:pPr>
            <w:r>
              <w:rPr>
                <w:rFonts w:ascii="Times New Roman"/>
                <w:sz w:val="18"/>
              </w:rPr>
              <w:t>11.61%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167,573,675.46</w:t>
            </w:r>
            <w:r>
              <w:rPr>
                <w:rFonts w:ascii="Times New Roman"/>
                <w:sz w:val="18"/>
              </w:rPr>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Times New Roman" w:hAnsi="Times New Roman" w:cs="Times New Roman" w:eastAsia="Times New Roman" w:hint="default"/>
                <w:sz w:val="18"/>
                <w:szCs w:val="18"/>
              </w:rPr>
            </w:pPr>
            <w:r>
              <w:rPr>
                <w:rFonts w:ascii="Times New Roman"/>
                <w:sz w:val="18"/>
              </w:rPr>
              <w:t>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Times New Roman" w:hAnsi="Times New Roman" w:cs="Times New Roman" w:eastAsia="Times New Roman" w:hint="default"/>
                <w:sz w:val="18"/>
                <w:szCs w:val="18"/>
              </w:rPr>
            </w:pPr>
            <w:r>
              <w:rPr>
                <w:rFonts w:ascii="Times New Roman"/>
                <w:sz w:val="18"/>
              </w:rPr>
              <w:t>130.71%</w:t>
            </w:r>
          </w:p>
        </w:tc>
      </w:tr>
      <w:tr>
        <w:trPr>
          <w:trHeight w:val="509" w:hRule="exact"/>
        </w:trPr>
        <w:tc>
          <w:tcPr>
            <w:tcW w:w="9566"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67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19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655" w:right="0"/>
              <w:jc w:val="left"/>
              <w:rPr>
                <w:rFonts w:ascii="Times New Roman" w:hAnsi="Times New Roman" w:cs="Times New Roman" w:eastAsia="Times New Roman" w:hint="default"/>
                <w:sz w:val="18"/>
                <w:szCs w:val="18"/>
              </w:rPr>
            </w:pPr>
            <w:r>
              <w:rPr>
                <w:rFonts w:ascii="Times New Roman"/>
                <w:sz w:val="18"/>
              </w:rPr>
              <w:t>1,613,740,260.22</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48.47%</w:t>
            </w:r>
          </w:p>
        </w:tc>
        <w:tc>
          <w:tcPr>
            <w:tcW w:w="2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727" w:right="0"/>
              <w:jc w:val="left"/>
              <w:rPr>
                <w:rFonts w:ascii="Times New Roman" w:hAnsi="Times New Roman" w:cs="Times New Roman" w:eastAsia="Times New Roman" w:hint="default"/>
                <w:sz w:val="18"/>
                <w:szCs w:val="18"/>
              </w:rPr>
            </w:pPr>
            <w:r>
              <w:rPr>
                <w:rFonts w:ascii="Times New Roman"/>
                <w:sz w:val="18"/>
              </w:rPr>
              <w:t>1,900,597,766.96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-15.09%</w:t>
            </w:r>
          </w:p>
        </w:tc>
      </w:tr>
      <w:tr>
        <w:trPr>
          <w:trHeight w:val="67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19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833,705,448.96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25.04%</w:t>
            </w:r>
          </w:p>
        </w:tc>
        <w:tc>
          <w:tcPr>
            <w:tcW w:w="2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727" w:right="0"/>
              <w:jc w:val="left"/>
              <w:rPr>
                <w:rFonts w:ascii="Times New Roman" w:hAnsi="Times New Roman" w:cs="Times New Roman" w:eastAsia="Times New Roman" w:hint="default"/>
                <w:sz w:val="18"/>
                <w:szCs w:val="18"/>
              </w:rPr>
            </w:pPr>
            <w:r>
              <w:rPr>
                <w:rFonts w:ascii="Times New Roman"/>
                <w:sz w:val="18"/>
              </w:rPr>
              <w:t>1,076,318,245.40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-22.54%</w:t>
            </w:r>
          </w:p>
        </w:tc>
      </w:tr>
      <w:tr>
        <w:trPr>
          <w:trHeight w:val="67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华南地区</w:t>
            </w:r>
          </w:p>
        </w:tc>
        <w:tc>
          <w:tcPr>
            <w:tcW w:w="19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173,144,084.97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5.20%</w:t>
            </w:r>
          </w:p>
        </w:tc>
        <w:tc>
          <w:tcPr>
            <w:tcW w:w="2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861" w:right="0"/>
              <w:jc w:val="left"/>
              <w:rPr>
                <w:rFonts w:ascii="Times New Roman" w:hAnsi="Times New Roman" w:cs="Times New Roman" w:eastAsia="Times New Roman" w:hint="default"/>
                <w:sz w:val="18"/>
                <w:szCs w:val="18"/>
              </w:rPr>
            </w:pPr>
            <w:r>
              <w:rPr>
                <w:rFonts w:ascii="Times New Roman"/>
                <w:sz w:val="18"/>
              </w:rPr>
              <w:t>305,695,587.83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-43.36%</w:t>
            </w:r>
          </w:p>
        </w:tc>
      </w:tr>
      <w:tr>
        <w:trPr>
          <w:trHeight w:val="67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西南地区</w:t>
            </w:r>
          </w:p>
        </w:tc>
        <w:tc>
          <w:tcPr>
            <w:tcW w:w="19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135,472,454.24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4.07%</w:t>
            </w:r>
          </w:p>
        </w:tc>
        <w:tc>
          <w:tcPr>
            <w:tcW w:w="2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861" w:right="0"/>
              <w:jc w:val="left"/>
              <w:rPr>
                <w:rFonts w:ascii="Times New Roman" w:hAnsi="Times New Roman" w:cs="Times New Roman" w:eastAsia="Times New Roman" w:hint="default"/>
                <w:sz w:val="18"/>
                <w:szCs w:val="18"/>
              </w:rPr>
            </w:pPr>
            <w:r>
              <w:rPr>
                <w:rFonts w:ascii="Times New Roman"/>
                <w:sz w:val="18"/>
              </w:rPr>
              <w:t>140,929,826.93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-3.87%</w:t>
            </w:r>
          </w:p>
        </w:tc>
      </w:tr>
      <w:tr>
        <w:trPr>
          <w:trHeight w:val="67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西北地区</w:t>
            </w:r>
          </w:p>
        </w:tc>
        <w:tc>
          <w:tcPr>
            <w:tcW w:w="19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282,753,489.46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8.49%</w:t>
            </w:r>
          </w:p>
        </w:tc>
        <w:tc>
          <w:tcPr>
            <w:tcW w:w="2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861" w:right="0"/>
              <w:jc w:val="left"/>
              <w:rPr>
                <w:rFonts w:ascii="Times New Roman" w:hAnsi="Times New Roman" w:cs="Times New Roman" w:eastAsia="Times New Roman" w:hint="default"/>
                <w:sz w:val="18"/>
                <w:szCs w:val="18"/>
              </w:rPr>
            </w:pPr>
            <w:r>
              <w:rPr>
                <w:rFonts w:ascii="Times New Roman"/>
                <w:sz w:val="18"/>
              </w:rPr>
              <w:t>221,373,156.67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27.73%</w:t>
            </w:r>
          </w:p>
        </w:tc>
      </w:tr>
      <w:tr>
        <w:trPr>
          <w:trHeight w:val="67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东北地区</w:t>
            </w:r>
          </w:p>
        </w:tc>
        <w:tc>
          <w:tcPr>
            <w:tcW w:w="19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803" w:right="0"/>
              <w:jc w:val="left"/>
              <w:rPr>
                <w:rFonts w:ascii="Times New Roman" w:hAnsi="Times New Roman" w:cs="Times New Roman" w:eastAsia="Times New Roman" w:hint="default"/>
                <w:sz w:val="18"/>
                <w:szCs w:val="18"/>
              </w:rPr>
            </w:pPr>
            <w:r>
              <w:rPr>
                <w:rFonts w:ascii="Times New Roman"/>
                <w:sz w:val="18"/>
              </w:rPr>
              <w:t>111,998,963.76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3.36%</w:t>
            </w:r>
          </w:p>
        </w:tc>
        <w:tc>
          <w:tcPr>
            <w:tcW w:w="2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861" w:right="0"/>
              <w:jc w:val="left"/>
              <w:rPr>
                <w:rFonts w:ascii="Times New Roman" w:hAnsi="Times New Roman" w:cs="Times New Roman" w:eastAsia="Times New Roman" w:hint="default"/>
                <w:sz w:val="18"/>
                <w:szCs w:val="18"/>
              </w:rPr>
            </w:pPr>
            <w:r>
              <w:rPr>
                <w:rFonts w:ascii="Times New Roman"/>
                <w:sz w:val="18"/>
              </w:rPr>
              <w:t>131,336,898.57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-14.72%</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949"/>
        <w:gridCol w:w="1238"/>
        <w:gridCol w:w="2021"/>
        <w:gridCol w:w="1169"/>
        <w:gridCol w:w="1594"/>
      </w:tblGrid>
      <w:tr>
        <w:trPr>
          <w:trHeight w:val="67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178,579,126.75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741" w:right="0"/>
              <w:jc w:val="left"/>
              <w:rPr>
                <w:rFonts w:ascii="Times New Roman" w:hAnsi="Times New Roman" w:cs="Times New Roman" w:eastAsia="Times New Roman" w:hint="default"/>
                <w:sz w:val="18"/>
                <w:szCs w:val="18"/>
              </w:rPr>
            </w:pPr>
            <w:r>
              <w:rPr>
                <w:rFonts w:ascii="Times New Roman"/>
                <w:sz w:val="18"/>
              </w:rPr>
              <w:t>5.36%</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952" w:right="0"/>
              <w:jc w:val="left"/>
              <w:rPr>
                <w:rFonts w:ascii="Times New Roman" w:hAnsi="Times New Roman" w:cs="Times New Roman" w:eastAsia="Times New Roman" w:hint="default"/>
                <w:sz w:val="18"/>
                <w:szCs w:val="18"/>
              </w:rPr>
            </w:pPr>
            <w:r>
              <w:rPr>
                <w:rFonts w:ascii="Times New Roman"/>
                <w:sz w:val="18"/>
              </w:rPr>
              <w:t>83,706,440.34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923" w:right="0"/>
              <w:jc w:val="left"/>
              <w:rPr>
                <w:rFonts w:ascii="Times New Roman" w:hAnsi="Times New Roman" w:cs="Times New Roman" w:eastAsia="Times New Roman" w:hint="default"/>
                <w:sz w:val="18"/>
                <w:szCs w:val="18"/>
              </w:rPr>
            </w:pPr>
            <w:r>
              <w:rPr>
                <w:rFonts w:ascii="Times New Roman"/>
                <w:sz w:val="18"/>
              </w:rPr>
              <w:t>113.34%</w:t>
            </w:r>
          </w:p>
        </w:tc>
      </w:tr>
    </w:tbl>
    <w:p>
      <w:pPr>
        <w:spacing w:line="240" w:lineRule="auto" w:before="2"/>
        <w:rPr>
          <w:rFonts w:ascii="Times New Roman" w:hAnsi="Times New Roman" w:cs="Times New Roman" w:eastAsia="Times New Roman" w:hint="default"/>
          <w:sz w:val="11"/>
          <w:szCs w:val="11"/>
        </w:rPr>
      </w:pPr>
    </w:p>
    <w:p>
      <w:pPr>
        <w:pStyle w:val="BodyText"/>
        <w:spacing w:line="384" w:lineRule="auto" w:before="36"/>
        <w:ind w:left="152" w:right="1022" w:firstLine="420"/>
        <w:jc w:val="left"/>
      </w:pPr>
      <w:r>
        <w:rPr>
          <w:spacing w:val="-3"/>
        </w:rPr>
        <w:t>公司需遵守《深圳证券交易所行业信息披露指引第 </w:t>
      </w:r>
      <w:r>
        <w:rPr>
          <w:rFonts w:ascii="Times New Roman" w:hAnsi="Times New Roman" w:cs="Times New Roman" w:eastAsia="Times New Roman" w:hint="default"/>
        </w:rPr>
        <w:t>12</w:t>
      </w:r>
      <w:r>
        <w:rPr>
          <w:rFonts w:ascii="Times New Roman" w:hAnsi="Times New Roman" w:cs="Times New Roman" w:eastAsia="Times New Roman" w:hint="default"/>
          <w:spacing w:val="-25"/>
        </w:rPr>
        <w:t> </w:t>
      </w:r>
      <w:r>
        <w:rPr/>
        <w:t>号</w:t>
      </w:r>
      <w:r>
        <w:rPr>
          <w:rFonts w:ascii="Times New Roman" w:hAnsi="Times New Roman" w:cs="Times New Roman" w:eastAsia="Times New Roman" w:hint="default"/>
        </w:rPr>
        <w:t>——</w:t>
      </w:r>
      <w:r>
        <w:rPr/>
        <w:t>上市公司从事软件与信息技术服务业务》</w:t>
      </w:r>
      <w:r>
        <w:rPr>
          <w:w w:val="100"/>
        </w:rPr>
        <w:t> </w:t>
      </w:r>
      <w:r>
        <w:rPr/>
        <w:t>的披露要求</w:t>
      </w:r>
    </w:p>
    <w:p>
      <w:pPr>
        <w:pStyle w:val="BodyText"/>
        <w:spacing w:line="240" w:lineRule="auto" w:before="168"/>
        <w:ind w:left="0" w:right="1130"/>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507"/>
        <w:gridCol w:w="1008"/>
        <w:gridCol w:w="1008"/>
        <w:gridCol w:w="1013"/>
        <w:gridCol w:w="1010"/>
        <w:gridCol w:w="1003"/>
        <w:gridCol w:w="1006"/>
        <w:gridCol w:w="1001"/>
        <w:gridCol w:w="1003"/>
      </w:tblGrid>
      <w:tr>
        <w:trPr>
          <w:trHeight w:val="259" w:hRule="exact"/>
        </w:trPr>
        <w:tc>
          <w:tcPr>
            <w:tcW w:w="1507" w:type="dxa"/>
            <w:tcBorders>
              <w:top w:val="single" w:sz="4" w:space="0" w:color="000000"/>
              <w:left w:val="single" w:sz="4" w:space="0" w:color="000000"/>
              <w:bottom w:val="nil" w:sz="6" w:space="0" w:color="auto"/>
              <w:right w:val="single" w:sz="4" w:space="0" w:color="000000"/>
            </w:tcBorders>
            <w:shd w:val="clear" w:color="auto" w:fill="D4D4D4"/>
          </w:tcPr>
          <w:p>
            <w:pPr/>
          </w:p>
        </w:tc>
        <w:tc>
          <w:tcPr>
            <w:tcW w:w="4039" w:type="dxa"/>
            <w:gridSpan w:val="4"/>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3" w:type="dxa"/>
            <w:gridSpan w:val="4"/>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42" w:hRule="exact"/>
        </w:trPr>
        <w:tc>
          <w:tcPr>
            <w:tcW w:w="1507" w:type="dxa"/>
            <w:vMerge w:val="restart"/>
            <w:tcBorders>
              <w:top w:val="nil" w:sz="6" w:space="0" w:color="auto"/>
              <w:left w:val="single" w:sz="4" w:space="0" w:color="000000"/>
              <w:right w:val="single" w:sz="4" w:space="0" w:color="000000"/>
            </w:tcBorders>
            <w:shd w:val="clear" w:color="auto" w:fill="D4D4D4"/>
          </w:tcPr>
          <w:p>
            <w:pPr/>
          </w:p>
        </w:tc>
        <w:tc>
          <w:tcPr>
            <w:tcW w:w="4039" w:type="dxa"/>
            <w:gridSpan w:val="4"/>
            <w:vMerge/>
            <w:tcBorders>
              <w:left w:val="single" w:sz="4" w:space="0" w:color="000000"/>
              <w:bottom w:val="single" w:sz="4" w:space="0" w:color="000000"/>
              <w:right w:val="single" w:sz="4" w:space="0" w:color="000000"/>
            </w:tcBorders>
            <w:shd w:val="clear" w:color="auto" w:fill="D4D4D4"/>
          </w:tcPr>
          <w:p>
            <w:pPr/>
          </w:p>
        </w:tc>
        <w:tc>
          <w:tcPr>
            <w:tcW w:w="4013" w:type="dxa"/>
            <w:gridSpan w:val="4"/>
            <w:vMerge/>
            <w:tcBorders>
              <w:left w:val="single" w:sz="4" w:space="0" w:color="000000"/>
              <w:bottom w:val="single" w:sz="4" w:space="0" w:color="000000"/>
              <w:right w:val="single" w:sz="4" w:space="0" w:color="000000"/>
            </w:tcBorders>
            <w:shd w:val="clear" w:color="auto" w:fill="D4D4D4"/>
          </w:tcPr>
          <w:p>
            <w:pPr/>
          </w:p>
        </w:tc>
      </w:tr>
      <w:tr>
        <w:trPr>
          <w:trHeight w:val="254" w:hRule="exact"/>
        </w:trPr>
        <w:tc>
          <w:tcPr>
            <w:tcW w:w="1507" w:type="dxa"/>
            <w:vMerge/>
            <w:tcBorders>
              <w:left w:val="single" w:sz="4" w:space="0" w:color="000000"/>
              <w:bottom w:val="nil" w:sz="6" w:space="0" w:color="auto"/>
              <w:right w:val="single" w:sz="4" w:space="0" w:color="000000"/>
            </w:tcBorders>
            <w:shd w:val="clear" w:color="auto" w:fill="D4D4D4"/>
          </w:tcPr>
          <w:p>
            <w:pPr/>
          </w:p>
        </w:tc>
        <w:tc>
          <w:tcPr>
            <w:tcW w:w="100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6"/>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6"/>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6"/>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6"/>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6"/>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6"/>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6"/>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6"/>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59" w:hRule="exact"/>
        </w:trPr>
        <w:tc>
          <w:tcPr>
            <w:tcW w:w="1507" w:type="dxa"/>
            <w:tcBorders>
              <w:top w:val="nil" w:sz="6" w:space="0" w:color="auto"/>
              <w:left w:val="single" w:sz="4" w:space="0" w:color="000000"/>
              <w:bottom w:val="single" w:sz="4" w:space="0" w:color="000000"/>
              <w:right w:val="single" w:sz="4" w:space="0" w:color="000000"/>
            </w:tcBorders>
            <w:shd w:val="clear" w:color="auto" w:fill="D4D4D4"/>
          </w:tcPr>
          <w:p>
            <w:pPr/>
          </w:p>
        </w:tc>
        <w:tc>
          <w:tcPr>
            <w:tcW w:w="1008" w:type="dxa"/>
            <w:vMerge/>
            <w:tcBorders>
              <w:left w:val="single" w:sz="4" w:space="0" w:color="000000"/>
              <w:bottom w:val="single" w:sz="4" w:space="0" w:color="000000"/>
              <w:right w:val="single" w:sz="4" w:space="0" w:color="000000"/>
            </w:tcBorders>
            <w:shd w:val="clear" w:color="auto" w:fill="D4D4D4"/>
          </w:tcPr>
          <w:p>
            <w:pPr/>
          </w:p>
        </w:tc>
        <w:tc>
          <w:tcPr>
            <w:tcW w:w="1008" w:type="dxa"/>
            <w:vMerge/>
            <w:tcBorders>
              <w:left w:val="single" w:sz="4" w:space="0" w:color="000000"/>
              <w:bottom w:val="single" w:sz="4" w:space="0" w:color="000000"/>
              <w:right w:val="single" w:sz="4" w:space="0" w:color="000000"/>
            </w:tcBorders>
            <w:shd w:val="clear" w:color="auto" w:fill="D4D4D4"/>
          </w:tcPr>
          <w:p>
            <w:pPr/>
          </w:p>
        </w:tc>
        <w:tc>
          <w:tcPr>
            <w:tcW w:w="1013" w:type="dxa"/>
            <w:vMerge/>
            <w:tcBorders>
              <w:left w:val="single" w:sz="4" w:space="0" w:color="000000"/>
              <w:bottom w:val="single" w:sz="4" w:space="0" w:color="000000"/>
              <w:right w:val="single" w:sz="4" w:space="0" w:color="000000"/>
            </w:tcBorders>
            <w:shd w:val="clear" w:color="auto" w:fill="D4D4D4"/>
          </w:tcPr>
          <w:p>
            <w:pPr/>
          </w:p>
        </w:tc>
        <w:tc>
          <w:tcPr>
            <w:tcW w:w="1010" w:type="dxa"/>
            <w:vMerge/>
            <w:tcBorders>
              <w:left w:val="single" w:sz="4" w:space="0" w:color="000000"/>
              <w:bottom w:val="single" w:sz="4" w:space="0" w:color="000000"/>
              <w:right w:val="single" w:sz="4" w:space="0" w:color="000000"/>
            </w:tcBorders>
            <w:shd w:val="clear" w:color="auto" w:fill="D4D4D4"/>
          </w:tcPr>
          <w:p>
            <w:pPr/>
          </w:p>
        </w:tc>
        <w:tc>
          <w:tcPr>
            <w:tcW w:w="1003" w:type="dxa"/>
            <w:vMerge/>
            <w:tcBorders>
              <w:left w:val="single" w:sz="4" w:space="0" w:color="000000"/>
              <w:bottom w:val="single" w:sz="4" w:space="0" w:color="000000"/>
              <w:right w:val="single" w:sz="4" w:space="0" w:color="000000"/>
            </w:tcBorders>
            <w:shd w:val="clear" w:color="auto" w:fill="D4D4D4"/>
          </w:tcPr>
          <w:p>
            <w:pPr/>
          </w:p>
        </w:tc>
        <w:tc>
          <w:tcPr>
            <w:tcW w:w="1006" w:type="dxa"/>
            <w:vMerge/>
            <w:tcBorders>
              <w:left w:val="single" w:sz="4" w:space="0" w:color="000000"/>
              <w:bottom w:val="single" w:sz="4" w:space="0" w:color="000000"/>
              <w:right w:val="single" w:sz="4" w:space="0" w:color="000000"/>
            </w:tcBorders>
            <w:shd w:val="clear" w:color="auto" w:fill="D4D4D4"/>
          </w:tcPr>
          <w:p>
            <w:pPr/>
          </w:p>
        </w:tc>
        <w:tc>
          <w:tcPr>
            <w:tcW w:w="1001" w:type="dxa"/>
            <w:vMerge/>
            <w:tcBorders>
              <w:left w:val="single" w:sz="4" w:space="0" w:color="000000"/>
              <w:bottom w:val="single" w:sz="4" w:space="0" w:color="000000"/>
              <w:right w:val="single" w:sz="4" w:space="0" w:color="000000"/>
            </w:tcBorders>
            <w:shd w:val="clear" w:color="auto" w:fill="D4D4D4"/>
          </w:tcPr>
          <w:p>
            <w:pPr/>
          </w:p>
        </w:tc>
        <w:tc>
          <w:tcPr>
            <w:tcW w:w="1003"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507" w:type="dxa"/>
            <w:tcBorders>
              <w:top w:val="single" w:sz="4" w:space="0" w:color="000000"/>
              <w:left w:val="single" w:sz="4" w:space="0" w:color="000000"/>
              <w:bottom w:val="nil" w:sz="6" w:space="0" w:color="auto"/>
              <w:right w:val="single" w:sz="4" w:space="0" w:color="000000"/>
            </w:tcBorders>
            <w:shd w:val="clear" w:color="auto" w:fill="D4D4D4"/>
          </w:tcPr>
          <w:p>
            <w:pPr/>
          </w:p>
        </w:tc>
        <w:tc>
          <w:tcPr>
            <w:tcW w:w="1008" w:type="dxa"/>
            <w:vMerge w:val="restart"/>
            <w:tcBorders>
              <w:top w:val="single" w:sz="4" w:space="0" w:color="000000"/>
              <w:left w:val="single" w:sz="10" w:space="0" w:color="D4D4D4"/>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684,133,779.</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544,248,869.</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144"/>
              <w:ind w:left="33" w:right="0"/>
              <w:jc w:val="left"/>
              <w:rPr>
                <w:rFonts w:ascii="Times New Roman" w:hAnsi="Times New Roman" w:cs="Times New Roman" w:eastAsia="Times New Roman" w:hint="default"/>
                <w:sz w:val="18"/>
                <w:szCs w:val="18"/>
              </w:rPr>
            </w:pPr>
            <w:r>
              <w:rPr>
                <w:rFonts w:ascii="Times New Roman"/>
                <w:sz w:val="18"/>
              </w:rPr>
              <w:t>1,001,545,64</w:t>
            </w:r>
          </w:p>
          <w:p>
            <w:pPr>
              <w:pStyle w:val="TableParagraph"/>
              <w:spacing w:line="240" w:lineRule="auto" w:before="105"/>
              <w:ind w:left="664" w:right="0"/>
              <w:jc w:val="left"/>
              <w:rPr>
                <w:rFonts w:ascii="Times New Roman" w:hAnsi="Times New Roman" w:cs="Times New Roman" w:eastAsia="Times New Roman" w:hint="default"/>
                <w:sz w:val="18"/>
                <w:szCs w:val="18"/>
              </w:rPr>
            </w:pPr>
            <w:r>
              <w:rPr>
                <w:rFonts w:ascii="Times New Roman"/>
                <w:sz w:val="18"/>
              </w:rPr>
              <w:t>4.70</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144"/>
              <w:ind w:left="33" w:right="0"/>
              <w:jc w:val="left"/>
              <w:rPr>
                <w:rFonts w:ascii="Times New Roman" w:hAnsi="Times New Roman" w:cs="Times New Roman" w:eastAsia="Times New Roman" w:hint="default"/>
                <w:sz w:val="18"/>
                <w:szCs w:val="18"/>
              </w:rPr>
            </w:pPr>
            <w:r>
              <w:rPr>
                <w:rFonts w:ascii="Times New Roman"/>
                <w:sz w:val="18"/>
              </w:rPr>
              <w:t>1,099,465,53</w:t>
            </w:r>
          </w:p>
          <w:p>
            <w:pPr>
              <w:pStyle w:val="TableParagraph"/>
              <w:spacing w:line="240" w:lineRule="auto" w:before="105"/>
              <w:ind w:left="664" w:right="0"/>
              <w:jc w:val="left"/>
              <w:rPr>
                <w:rFonts w:ascii="Times New Roman" w:hAnsi="Times New Roman" w:cs="Times New Roman" w:eastAsia="Times New Roman" w:hint="default"/>
                <w:sz w:val="18"/>
                <w:szCs w:val="18"/>
              </w:rPr>
            </w:pPr>
            <w:r>
              <w:rPr>
                <w:rFonts w:ascii="Times New Roman"/>
                <w:sz w:val="18"/>
              </w:rPr>
              <w:t>4.96</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769,319,902.</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918,224,792.</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849,458,903.</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1,322,954,32</w:t>
            </w:r>
          </w:p>
          <w:p>
            <w:pPr>
              <w:pStyle w:val="TableParagraph"/>
              <w:spacing w:line="240" w:lineRule="auto" w:before="105"/>
              <w:ind w:left="655" w:right="0"/>
              <w:jc w:val="left"/>
              <w:rPr>
                <w:rFonts w:ascii="Times New Roman" w:hAnsi="Times New Roman" w:cs="Times New Roman" w:eastAsia="Times New Roman" w:hint="default"/>
                <w:sz w:val="18"/>
                <w:szCs w:val="18"/>
              </w:rPr>
            </w:pPr>
            <w:r>
              <w:rPr>
                <w:rFonts w:ascii="Times New Roman"/>
                <w:sz w:val="18"/>
              </w:rPr>
              <w:t>4.72</w:t>
            </w:r>
          </w:p>
        </w:tc>
      </w:tr>
      <w:tr>
        <w:trPr>
          <w:trHeight w:val="499" w:hRule="exact"/>
        </w:trPr>
        <w:tc>
          <w:tcPr>
            <w:tcW w:w="150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1"/>
              <w:ind w:left="3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10" w:space="0" w:color="D4D4D4"/>
              <w:right w:val="single" w:sz="4" w:space="0" w:color="000000"/>
            </w:tcBorders>
          </w:tcPr>
          <w:p>
            <w:pPr/>
          </w:p>
        </w:tc>
        <w:tc>
          <w:tcPr>
            <w:tcW w:w="1008"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61" w:hRule="exact"/>
        </w:trPr>
        <w:tc>
          <w:tcPr>
            <w:tcW w:w="1507" w:type="dxa"/>
            <w:tcBorders>
              <w:top w:val="nil" w:sz="6" w:space="0" w:color="auto"/>
              <w:left w:val="single" w:sz="4" w:space="0" w:color="000000"/>
              <w:bottom w:val="single" w:sz="4" w:space="0" w:color="000000"/>
              <w:right w:val="single" w:sz="4" w:space="0" w:color="000000"/>
            </w:tcBorders>
            <w:shd w:val="clear" w:color="auto" w:fill="D4D4D4"/>
          </w:tcPr>
          <w:p>
            <w:pPr/>
          </w:p>
        </w:tc>
        <w:tc>
          <w:tcPr>
            <w:tcW w:w="1008" w:type="dxa"/>
            <w:vMerge/>
            <w:tcBorders>
              <w:left w:val="single" w:sz="10" w:space="0" w:color="D4D4D4"/>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818" w:hRule="exact"/>
        </w:trPr>
        <w:tc>
          <w:tcPr>
            <w:tcW w:w="15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292" w:right="35" w:hanging="272"/>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44"/>
              <w:ind w:right="10"/>
              <w:jc w:val="right"/>
              <w:rPr>
                <w:rFonts w:ascii="Times New Roman" w:hAnsi="Times New Roman" w:cs="Times New Roman" w:eastAsia="Times New Roman" w:hint="default"/>
                <w:sz w:val="18"/>
                <w:szCs w:val="18"/>
              </w:rPr>
            </w:pPr>
            <w:r>
              <w:rPr>
                <w:rFonts w:ascii="Times New Roman"/>
                <w:spacing w:val="-1"/>
                <w:sz w:val="18"/>
              </w:rPr>
              <w:t>89,590,808.1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48,975,667.0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87,500,747.0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32,574,538.4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142,301,339.</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101,867,918.</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102,875,464.</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8" w:right="0"/>
              <w:jc w:val="left"/>
              <w:rPr>
                <w:rFonts w:ascii="Times New Roman" w:hAnsi="Times New Roman" w:cs="Times New Roman" w:eastAsia="Times New Roman" w:hint="default"/>
                <w:sz w:val="18"/>
                <w:szCs w:val="18"/>
              </w:rPr>
            </w:pPr>
            <w:r>
              <w:rPr>
                <w:rFonts w:ascii="Times New Roman"/>
                <w:sz w:val="18"/>
              </w:rPr>
              <w:t>-302,924,10</w:t>
            </w:r>
          </w:p>
          <w:p>
            <w:pPr>
              <w:pStyle w:val="TableParagraph"/>
              <w:spacing w:line="240" w:lineRule="auto" w:before="105"/>
              <w:ind w:left="655" w:right="0"/>
              <w:jc w:val="left"/>
              <w:rPr>
                <w:rFonts w:ascii="Times New Roman" w:hAnsi="Times New Roman" w:cs="Times New Roman" w:eastAsia="Times New Roman" w:hint="default"/>
                <w:sz w:val="18"/>
                <w:szCs w:val="18"/>
              </w:rPr>
            </w:pPr>
            <w:r>
              <w:rPr>
                <w:rFonts w:ascii="Times New Roman"/>
                <w:sz w:val="18"/>
              </w:rPr>
              <w:t>4.54</w:t>
            </w:r>
          </w:p>
        </w:tc>
      </w:tr>
    </w:tbl>
    <w:p>
      <w:pPr>
        <w:spacing w:line="240" w:lineRule="auto" w:before="11"/>
        <w:rPr>
          <w:rFonts w:ascii="宋体" w:hAnsi="宋体" w:cs="宋体" w:eastAsia="宋体" w:hint="default"/>
          <w:sz w:val="9"/>
          <w:szCs w:val="9"/>
        </w:rPr>
      </w:pPr>
    </w:p>
    <w:p>
      <w:pPr>
        <w:pStyle w:val="BodyText"/>
        <w:spacing w:line="240" w:lineRule="auto" w:before="36"/>
        <w:ind w:right="1127"/>
        <w:jc w:val="left"/>
      </w:pPr>
      <w:r>
        <w:rPr/>
        <w:t>说明经营季节性（或周期性）发生的原因及波动风险</w:t>
      </w:r>
    </w:p>
    <w:p>
      <w:pPr>
        <w:spacing w:line="240" w:lineRule="auto" w:before="6"/>
        <w:rPr>
          <w:rFonts w:ascii="宋体" w:hAnsi="宋体" w:cs="宋体" w:eastAsia="宋体" w:hint="default"/>
          <w:sz w:val="22"/>
          <w:szCs w:val="22"/>
        </w:rPr>
      </w:pPr>
    </w:p>
    <w:p>
      <w:pPr>
        <w:pStyle w:val="BodyText"/>
        <w:spacing w:line="398" w:lineRule="auto"/>
        <w:ind w:left="152" w:right="0" w:firstLine="419"/>
        <w:jc w:val="left"/>
      </w:pPr>
      <w:r>
        <w:rPr/>
        <w:t>公司于</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年通过某特殊用户的合格供应商审核，但由于不能独立完成特殊用户专网保密通信设备</w:t>
      </w:r>
      <w:r>
        <w:rPr>
          <w:w w:val="100"/>
        </w:rPr>
        <w:t> </w:t>
      </w:r>
      <w:r>
        <w:rPr>
          <w:spacing w:val="-2"/>
        </w:rPr>
        <w:t>的生产及制造，只能通过向用户指定的供应商进行采购的方式先行参与到专网保密通信系统项目中，对于</w:t>
      </w:r>
      <w:r>
        <w:rPr>
          <w:spacing w:val="-42"/>
        </w:rPr>
        <w:t> </w:t>
      </w:r>
      <w:r>
        <w:rPr>
          <w:spacing w:val="-42"/>
        </w:rPr>
      </w:r>
      <w:r>
        <w:rPr/>
        <w:t>此项业务，旋极信息于</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月与</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月按总额法确认收入与成本，会计处理存在错误，数据已更正。</w:t>
      </w:r>
    </w:p>
    <w:p>
      <w:pPr>
        <w:spacing w:line="240" w:lineRule="auto" w:before="9"/>
        <w:rPr>
          <w:rFonts w:ascii="宋体" w:hAnsi="宋体" w:cs="宋体" w:eastAsia="宋体" w:hint="default"/>
          <w:sz w:val="18"/>
          <w:szCs w:val="18"/>
        </w:rPr>
      </w:pPr>
    </w:p>
    <w:p>
      <w:pPr>
        <w:pStyle w:val="Heading4"/>
        <w:spacing w:line="240" w:lineRule="auto"/>
        <w:ind w:right="1127"/>
        <w:jc w:val="left"/>
        <w:rPr>
          <w:b w:val="0"/>
          <w:bCs w:val="0"/>
        </w:rPr>
      </w:pPr>
      <w:bookmarkStart w:name="（2）占公司营业收入或营业利润10%以上的行业、产品或地区情况" w:id="55"/>
      <w:bookmarkEnd w:id="55"/>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1"/>
          <w:szCs w:val="21"/>
        </w:rPr>
      </w:pPr>
    </w:p>
    <w:p>
      <w:pPr>
        <w:pStyle w:val="BodyText"/>
        <w:spacing w:line="386" w:lineRule="auto"/>
        <w:ind w:left="152" w:right="1022" w:firstLine="419"/>
        <w:jc w:val="left"/>
      </w:pPr>
      <w:r>
        <w:rPr>
          <w:spacing w:val="-3"/>
        </w:rPr>
        <w:t>公司需遵守《深圳证券交易所行业信息披露指引第 </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上市公司从事软件与信息技术服务业务》</w:t>
      </w:r>
      <w:r>
        <w:rPr>
          <w:w w:val="100"/>
        </w:rPr>
        <w:t> </w:t>
      </w:r>
      <w:r>
        <w:rPr/>
        <w:t>的披露要求</w:t>
      </w:r>
    </w:p>
    <w:p>
      <w:pPr>
        <w:pStyle w:val="BodyText"/>
        <w:spacing w:line="240" w:lineRule="auto" w:before="166"/>
        <w:ind w:left="0" w:right="1130"/>
        <w:jc w:val="right"/>
      </w:pPr>
      <w:r>
        <w:rPr>
          <w:spacing w:val="-1"/>
        </w:rPr>
        <w:t>单位：元</w:t>
      </w:r>
    </w:p>
    <w:p>
      <w:pPr>
        <w:spacing w:line="240" w:lineRule="auto" w:before="5"/>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82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509"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50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智慧防务业务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576,876,259.60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248,376,479.35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56.94%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7.49%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7.04%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0.18%</w:t>
            </w: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智慧城市业务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2,185,823,440.57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1,803,266,785.89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17.50%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pacing w:val="-1"/>
                <w:sz w:val="18"/>
              </w:rPr>
              <w:t>-11.85%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-9.36%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-2.27%</w:t>
            </w: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信息安全业务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566,694,128.19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144,796,489.44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74.45%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z w:val="18"/>
              </w:rPr>
              <w:t>-32.83%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-54.44%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12.13%</w:t>
            </w:r>
          </w:p>
        </w:tc>
      </w:tr>
      <w:tr>
        <w:trPr>
          <w:trHeight w:val="506"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center"/>
        <w:rPr>
          <w:rFonts w:ascii="宋体" w:hAnsi="宋体" w:cs="宋体" w:eastAsia="宋体"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82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408" w:right="48" w:hanging="360"/>
              <w:jc w:val="left"/>
              <w:rPr>
                <w:rFonts w:ascii="宋体" w:hAnsi="宋体" w:cs="宋体" w:eastAsia="宋体" w:hint="default"/>
                <w:sz w:val="18"/>
                <w:szCs w:val="18"/>
              </w:rPr>
            </w:pPr>
            <w:r>
              <w:rPr>
                <w:rFonts w:ascii="宋体" w:hAnsi="宋体" w:cs="宋体" w:eastAsia="宋体" w:hint="default"/>
                <w:sz w:val="18"/>
                <w:szCs w:val="18"/>
              </w:rPr>
              <w:t>税务信息化产品 及服务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545,429,261.54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130,757,676.63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76.03%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z w:val="18"/>
              </w:rPr>
              <w:t>-34.79%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-57.57%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z w:val="18"/>
              </w:rPr>
              <w:t>12.87%</w:t>
            </w:r>
          </w:p>
        </w:tc>
      </w:tr>
      <w:tr>
        <w:trPr>
          <w:trHeight w:val="50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智慧建筑业务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1,581,358,437.77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1,316,338,882.88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16.76%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z w:val="18"/>
              </w:rPr>
              <w:t>-15.89%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-14.88%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-0.99%</w:t>
            </w: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其他产品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386,607,335.30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327,567,680.53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15.27%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130.71%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93.20%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z w:val="18"/>
              </w:rPr>
              <w:t>16.45%</w:t>
            </w:r>
          </w:p>
        </w:tc>
      </w:tr>
      <w:tr>
        <w:trPr>
          <w:trHeight w:val="509"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67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1,613,740,260.22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1,033,845,986.48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-2.07%</w:t>
            </w:r>
          </w:p>
        </w:tc>
      </w:tr>
      <w:tr>
        <w:trPr>
          <w:trHeight w:val="67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833,705,448.96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565,594,941.07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7.18%</w:t>
            </w:r>
          </w:p>
        </w:tc>
      </w:tr>
    </w:tbl>
    <w:p>
      <w:pPr>
        <w:spacing w:line="240" w:lineRule="auto" w:before="11"/>
        <w:rPr>
          <w:rFonts w:ascii="宋体" w:hAnsi="宋体" w:cs="宋体" w:eastAsia="宋体" w:hint="default"/>
          <w:sz w:val="9"/>
          <w:szCs w:val="9"/>
        </w:rPr>
      </w:pPr>
    </w:p>
    <w:p>
      <w:pPr>
        <w:pStyle w:val="BodyText"/>
        <w:spacing w:line="384" w:lineRule="auto" w:before="36"/>
        <w:ind w:left="152" w:right="1127" w:firstLine="419"/>
        <w:jc w:val="left"/>
      </w:pPr>
      <w:r>
        <w:rPr>
          <w:spacing w:val="-3"/>
        </w:rPr>
        <w:t>公司主营业务数据统计口径在报告期发生调整的情况下，公司最近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年按报告期末口径调整后的主营</w:t>
      </w:r>
      <w:r>
        <w:rPr>
          <w:w w:val="100"/>
        </w:rPr>
        <w:t> </w:t>
      </w:r>
      <w:r>
        <w:rPr/>
        <w:t>业务数据</w:t>
      </w:r>
    </w:p>
    <w:p>
      <w:pPr>
        <w:pStyle w:val="BodyText"/>
        <w:spacing w:line="240" w:lineRule="auto" w:before="168"/>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0"/>
          <w:szCs w:val="30"/>
        </w:rPr>
      </w:pPr>
    </w:p>
    <w:p>
      <w:pPr>
        <w:pStyle w:val="Heading4"/>
        <w:spacing w:line="240" w:lineRule="auto"/>
        <w:ind w:right="1127"/>
        <w:jc w:val="left"/>
        <w:rPr>
          <w:b w:val="0"/>
          <w:bCs w:val="0"/>
        </w:rPr>
      </w:pPr>
      <w:bookmarkStart w:name="（3）公司实物销售收入是否大于劳务收入" w:id="56"/>
      <w:bookmarkEnd w:id="56"/>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5"/>
        <w:rPr>
          <w:rFonts w:ascii="宋体" w:hAnsi="宋体" w:cs="宋体" w:eastAsia="宋体" w:hint="default"/>
          <w:sz w:val="30"/>
          <w:szCs w:val="30"/>
        </w:rPr>
      </w:pPr>
    </w:p>
    <w:p>
      <w:pPr>
        <w:pStyle w:val="Heading4"/>
        <w:spacing w:line="240" w:lineRule="auto"/>
        <w:ind w:right="1127"/>
        <w:jc w:val="left"/>
        <w:rPr>
          <w:b w:val="0"/>
          <w:bCs w:val="0"/>
        </w:rPr>
      </w:pPr>
      <w:bookmarkStart w:name="（4）公司已签订的重大销售合同截至本报告期的履行情况" w:id="57"/>
      <w:bookmarkEnd w:id="57"/>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0"/>
          <w:szCs w:val="30"/>
        </w:rPr>
      </w:pPr>
    </w:p>
    <w:p>
      <w:pPr>
        <w:pStyle w:val="Heading4"/>
        <w:spacing w:line="240" w:lineRule="auto"/>
        <w:ind w:right="1127"/>
        <w:jc w:val="left"/>
        <w:rPr>
          <w:b w:val="0"/>
          <w:bCs w:val="0"/>
        </w:rPr>
      </w:pPr>
      <w:bookmarkStart w:name="（5）营业成本构成" w:id="58"/>
      <w:bookmarkEnd w:id="58"/>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8"/>
        <w:rPr>
          <w:rFonts w:ascii="宋体" w:hAnsi="宋体" w:cs="宋体" w:eastAsia="宋体" w:hint="default"/>
          <w:b/>
          <w:bCs/>
          <w:sz w:val="30"/>
          <w:szCs w:val="30"/>
        </w:rPr>
      </w:pPr>
    </w:p>
    <w:p>
      <w:pPr>
        <w:pStyle w:val="BodyText"/>
        <w:spacing w:line="494" w:lineRule="auto"/>
        <w:ind w:right="9494"/>
        <w:jc w:val="left"/>
      </w:pPr>
      <w:r>
        <w:rPr/>
        <w:t>产品分类</w:t>
      </w:r>
      <w:r>
        <w:rPr>
          <w:w w:val="100"/>
        </w:rPr>
        <w:t> </w:t>
      </w:r>
      <w:r>
        <w:rPr/>
        <w:t>产品分类</w:t>
      </w:r>
    </w:p>
    <w:p>
      <w:pPr>
        <w:pStyle w:val="BodyText"/>
        <w:spacing w:line="240" w:lineRule="auto" w:before="71"/>
        <w:ind w:left="0" w:right="1130"/>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508"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508"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3"/>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3"/>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82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499" w:right="47" w:hanging="449"/>
              <w:jc w:val="left"/>
              <w:rPr>
                <w:rFonts w:ascii="宋体" w:hAnsi="宋体" w:cs="宋体" w:eastAsia="宋体" w:hint="default"/>
                <w:sz w:val="18"/>
                <w:szCs w:val="18"/>
              </w:rPr>
            </w:pPr>
            <w:r>
              <w:rPr>
                <w:rFonts w:ascii="宋体" w:hAnsi="宋体" w:cs="宋体" w:eastAsia="宋体" w:hint="default"/>
                <w:sz w:val="18"/>
                <w:szCs w:val="18"/>
              </w:rPr>
              <w:t>嵌入式系统测试 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15,003,099.73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12,185,753.52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23.12%</w:t>
            </w:r>
          </w:p>
        </w:tc>
      </w:tr>
      <w:tr>
        <w:trPr>
          <w:trHeight w:val="81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499" w:right="47" w:hanging="449"/>
              <w:jc w:val="left"/>
              <w:rPr>
                <w:rFonts w:ascii="宋体" w:hAnsi="宋体" w:cs="宋体" w:eastAsia="宋体" w:hint="default"/>
                <w:sz w:val="18"/>
                <w:szCs w:val="18"/>
              </w:rPr>
            </w:pPr>
            <w:r>
              <w:rPr>
                <w:rFonts w:ascii="宋体" w:hAnsi="宋体" w:cs="宋体" w:eastAsia="宋体" w:hint="default"/>
                <w:sz w:val="18"/>
                <w:szCs w:val="18"/>
              </w:rPr>
              <w:t>嵌入式系统测试 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68,636,839.42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55,107,859.83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24.55%</w:t>
            </w: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0" w:right="0"/>
              <w:jc w:val="left"/>
              <w:rPr>
                <w:rFonts w:ascii="宋体" w:hAnsi="宋体" w:cs="宋体" w:eastAsia="宋体" w:hint="default"/>
                <w:sz w:val="18"/>
                <w:szCs w:val="18"/>
              </w:rPr>
            </w:pPr>
            <w:r>
              <w:rPr>
                <w:rFonts w:ascii="宋体" w:hAnsi="宋体" w:cs="宋体" w:eastAsia="宋体" w:hint="default"/>
                <w:sz w:val="18"/>
                <w:szCs w:val="18"/>
              </w:rPr>
              <w:t>电子元器件测试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30,410,439.12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Times New Roman" w:hAnsi="Times New Roman" w:cs="Times New Roman" w:eastAsia="Times New Roman" w:hint="default"/>
                <w:sz w:val="18"/>
                <w:szCs w:val="18"/>
              </w:rPr>
            </w:pPr>
            <w:r>
              <w:rPr>
                <w:rFonts w:ascii="Times New Roman"/>
                <w:sz w:val="18"/>
              </w:rPr>
              <w:t>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18,189,587.56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Times New Roman" w:hAnsi="Times New Roman" w:cs="Times New Roman" w:eastAsia="Times New Roman" w:hint="default"/>
                <w:sz w:val="18"/>
                <w:szCs w:val="18"/>
              </w:rPr>
            </w:pPr>
            <w:r>
              <w:rPr>
                <w:rFonts w:ascii="Times New Roman"/>
                <w:sz w:val="18"/>
              </w:rPr>
              <w:t>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6"/>
              <w:jc w:val="right"/>
              <w:rPr>
                <w:rFonts w:ascii="Times New Roman" w:hAnsi="Times New Roman" w:cs="Times New Roman" w:eastAsia="Times New Roman" w:hint="default"/>
                <w:sz w:val="18"/>
                <w:szCs w:val="18"/>
              </w:rPr>
            </w:pPr>
            <w:r>
              <w:rPr>
                <w:rFonts w:ascii="Times New Roman"/>
                <w:sz w:val="18"/>
              </w:rPr>
              <w:t>67.19%</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筛选服务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319" w:right="47" w:hanging="269"/>
              <w:jc w:val="left"/>
              <w:rPr>
                <w:rFonts w:ascii="宋体" w:hAnsi="宋体" w:cs="宋体" w:eastAsia="宋体" w:hint="default"/>
                <w:sz w:val="18"/>
                <w:szCs w:val="18"/>
              </w:rPr>
            </w:pPr>
            <w:r>
              <w:rPr>
                <w:rFonts w:ascii="宋体" w:hAnsi="宋体" w:cs="宋体" w:eastAsia="宋体" w:hint="default"/>
                <w:sz w:val="18"/>
                <w:szCs w:val="18"/>
              </w:rPr>
              <w:t>电子元器件测试 筛选服务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44,152,375.60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26,175,260.15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68.68%</w:t>
            </w:r>
          </w:p>
        </w:tc>
      </w:tr>
      <w:tr>
        <w:trPr>
          <w:trHeight w:val="50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税务信息化产品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119,281,296.93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252,381,941.00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9.95%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-52.74%</w:t>
            </w: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税务信息化产品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11,476,379.70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24,960,851.31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0.98%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-54.02%</w:t>
            </w: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能源信息化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83,476,309.87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186,612,661.48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7.36%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-55.27%</w:t>
            </w:r>
          </w:p>
        </w:tc>
      </w:tr>
      <w:tr>
        <w:trPr>
          <w:trHeight w:val="50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智慧建筑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1,316,338,882.88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z w:val="18"/>
              </w:rPr>
              <w:t>59.93%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1,546,447,695.03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z w:val="18"/>
              </w:rPr>
              <w:t>60.96%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-14.88%</w:t>
            </w: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智慧交通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75,883,912.61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99,846,995.06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3.94%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-24.00%</w:t>
            </w: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其他产品及服务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327,567,680.53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z w:val="18"/>
              </w:rPr>
              <w:t>14.91%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169,552,500.68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6.68%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93.20%</w:t>
            </w:r>
          </w:p>
        </w:tc>
      </w:tr>
    </w:tbl>
    <w:p>
      <w:pPr>
        <w:spacing w:line="240" w:lineRule="auto" w:before="11"/>
        <w:rPr>
          <w:rFonts w:ascii="宋体" w:hAnsi="宋体" w:cs="宋体" w:eastAsia="宋体" w:hint="default"/>
          <w:sz w:val="9"/>
          <w:szCs w:val="9"/>
        </w:rPr>
      </w:pPr>
    </w:p>
    <w:p>
      <w:pPr>
        <w:pStyle w:val="BodyText"/>
        <w:spacing w:line="240" w:lineRule="auto" w:before="36"/>
        <w:ind w:right="1127"/>
        <w:jc w:val="left"/>
      </w:pPr>
      <w:r>
        <w:rPr/>
        <w:t>说明</w:t>
      </w:r>
    </w:p>
    <w:p>
      <w:pPr>
        <w:spacing w:line="240" w:lineRule="auto" w:before="4"/>
        <w:rPr>
          <w:rFonts w:ascii="宋体" w:hAnsi="宋体" w:cs="宋体" w:eastAsia="宋体" w:hint="default"/>
          <w:sz w:val="22"/>
          <w:szCs w:val="22"/>
        </w:rPr>
      </w:pPr>
    </w:p>
    <w:p>
      <w:pPr>
        <w:pStyle w:val="BodyText"/>
        <w:spacing w:line="386" w:lineRule="auto"/>
        <w:ind w:left="152" w:right="1022" w:firstLine="419"/>
        <w:jc w:val="left"/>
      </w:pPr>
      <w:r>
        <w:rPr>
          <w:spacing w:val="-3"/>
        </w:rPr>
        <w:t>公司需遵守《深圳证券交易所行业信息披露指引第 </w:t>
      </w:r>
      <w:r>
        <w:rPr>
          <w:rFonts w:ascii="Times New Roman" w:hAnsi="Times New Roman" w:cs="Times New Roman" w:eastAsia="Times New Roman" w:hint="default"/>
        </w:rPr>
        <w:t>12</w:t>
      </w:r>
      <w:r>
        <w:rPr>
          <w:rFonts w:ascii="Times New Roman" w:hAnsi="Times New Roman" w:cs="Times New Roman" w:eastAsia="Times New Roman" w:hint="default"/>
          <w:spacing w:val="-25"/>
        </w:rPr>
        <w:t> </w:t>
      </w:r>
      <w:r>
        <w:rPr/>
        <w:t>号</w:t>
      </w:r>
      <w:r>
        <w:rPr>
          <w:rFonts w:ascii="Times New Roman" w:hAnsi="Times New Roman" w:cs="Times New Roman" w:eastAsia="Times New Roman" w:hint="default"/>
        </w:rPr>
        <w:t>——</w:t>
      </w:r>
      <w:r>
        <w:rPr/>
        <w:t>上市公司从事软件与信息技术服务业务》</w:t>
      </w:r>
      <w:r>
        <w:rPr>
          <w:w w:val="100"/>
        </w:rPr>
        <w:t> </w:t>
      </w:r>
      <w:r>
        <w:rPr/>
        <w:t>的披露要求</w:t>
      </w:r>
    </w:p>
    <w:p>
      <w:pPr>
        <w:pStyle w:val="BodyText"/>
        <w:spacing w:line="240" w:lineRule="auto" w:before="166"/>
        <w:ind w:right="1127"/>
        <w:jc w:val="left"/>
      </w:pPr>
      <w:r>
        <w:rPr/>
        <w:t>主营业务成本构成</w:t>
      </w:r>
    </w:p>
    <w:p>
      <w:pPr>
        <w:spacing w:line="240" w:lineRule="auto" w:before="4"/>
        <w:rPr>
          <w:rFonts w:ascii="宋体" w:hAnsi="宋体" w:cs="宋体" w:eastAsia="宋体" w:hint="default"/>
          <w:sz w:val="22"/>
          <w:szCs w:val="22"/>
        </w:rPr>
      </w:pPr>
    </w:p>
    <w:p>
      <w:pPr>
        <w:pStyle w:val="BodyText"/>
        <w:spacing w:line="240" w:lineRule="auto"/>
        <w:ind w:left="0" w:right="1130"/>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509" w:hRule="exact"/>
        </w:trPr>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506"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4D4D4"/>
          </w:tcPr>
          <w:p>
            <w:pPr/>
          </w:p>
        </w:tc>
      </w:tr>
      <w:tr>
        <w:trPr>
          <w:trHeight w:val="5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智慧防务业务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6"/>
              <w:jc w:val="right"/>
              <w:rPr>
                <w:rFonts w:ascii="Times New Roman" w:hAnsi="Times New Roman" w:cs="Times New Roman" w:eastAsia="Times New Roman" w:hint="default"/>
                <w:sz w:val="18"/>
                <w:szCs w:val="18"/>
              </w:rPr>
            </w:pPr>
            <w:r>
              <w:rPr>
                <w:rFonts w:ascii="Times New Roman"/>
                <w:spacing w:val="-1"/>
                <w:sz w:val="18"/>
              </w:rPr>
              <w:t>248,376,479.35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4"/>
              <w:jc w:val="right"/>
              <w:rPr>
                <w:rFonts w:ascii="Times New Roman" w:hAnsi="Times New Roman" w:cs="Times New Roman" w:eastAsia="Times New Roman" w:hint="default"/>
                <w:sz w:val="18"/>
                <w:szCs w:val="18"/>
              </w:rPr>
            </w:pPr>
            <w:r>
              <w:rPr>
                <w:rFonts w:ascii="Times New Roman"/>
                <w:spacing w:val="-1"/>
                <w:sz w:val="18"/>
              </w:rPr>
              <w:t>11.31%</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232,042,827.75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Times New Roman" w:hAnsi="Times New Roman" w:cs="Times New Roman" w:eastAsia="Times New Roman" w:hint="default"/>
                <w:sz w:val="18"/>
                <w:szCs w:val="18"/>
              </w:rPr>
            </w:pPr>
            <w:r>
              <w:rPr>
                <w:rFonts w:ascii="Times New Roman"/>
                <w:sz w:val="18"/>
              </w:rPr>
              <w:t>9.14%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Times New Roman" w:hAnsi="Times New Roman" w:cs="Times New Roman" w:eastAsia="Times New Roman" w:hint="default"/>
                <w:sz w:val="18"/>
                <w:szCs w:val="18"/>
              </w:rPr>
            </w:pPr>
            <w:r>
              <w:rPr>
                <w:rFonts w:ascii="Times New Roman"/>
                <w:sz w:val="18"/>
              </w:rPr>
              <w:t>7.04%</w:t>
            </w:r>
          </w:p>
        </w:tc>
      </w:tr>
      <w:tr>
        <w:trPr>
          <w:trHeight w:val="5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智慧城市业务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1,803,266,785.89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z w:val="18"/>
              </w:rPr>
              <w:t>82.10%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1,989,547,462.28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z w:val="18"/>
              </w:rPr>
              <w:t>78.35%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-9.36%</w:t>
            </w:r>
          </w:p>
        </w:tc>
      </w:tr>
      <w:tr>
        <w:trPr>
          <w:trHeight w:val="5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信息安全业务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144,796,489.44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6.59%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317,835,723.44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z w:val="18"/>
              </w:rPr>
              <w:t>12.52%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z w:val="18"/>
              </w:rPr>
              <w:t>-54.44%</w:t>
            </w:r>
          </w:p>
        </w:tc>
      </w:tr>
    </w:tbl>
    <w:p>
      <w:pPr>
        <w:spacing w:line="240" w:lineRule="auto" w:before="3"/>
        <w:rPr>
          <w:rFonts w:ascii="宋体" w:hAnsi="宋体" w:cs="宋体" w:eastAsia="宋体" w:hint="default"/>
          <w:sz w:val="19"/>
          <w:szCs w:val="19"/>
        </w:rPr>
      </w:pPr>
    </w:p>
    <w:p>
      <w:pPr>
        <w:pStyle w:val="Heading4"/>
        <w:spacing w:line="240" w:lineRule="auto" w:before="36"/>
        <w:ind w:right="0"/>
        <w:jc w:val="both"/>
        <w:rPr>
          <w:b w:val="0"/>
          <w:bCs w:val="0"/>
        </w:rPr>
      </w:pPr>
      <w:bookmarkStart w:name="（6）报告期内合并范围是否发生变动" w:id="59"/>
      <w:bookmarkEnd w:id="59"/>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30"/>
          <w:szCs w:val="30"/>
        </w:rPr>
      </w:pPr>
    </w:p>
    <w:p>
      <w:pPr>
        <w:pStyle w:val="BodyText"/>
        <w:spacing w:line="470" w:lineRule="auto"/>
        <w:ind w:right="112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本期新增纳入合并的公司有二级子公司四川旋极智能信息技术有限公司（新设）；三级子公司：宁波</w:t>
      </w:r>
    </w:p>
    <w:p>
      <w:pPr>
        <w:pStyle w:val="BodyText"/>
        <w:spacing w:line="408" w:lineRule="auto"/>
        <w:ind w:left="152" w:right="1106"/>
        <w:jc w:val="both"/>
      </w:pPr>
      <w:r>
        <w:rPr>
          <w:spacing w:val="-2"/>
        </w:rPr>
        <w:t>旋极财税科技有限公司、北京旋极百旺软件技术有限公司、北京旋极百旺信息技术有限公司、杭州旋极同</w:t>
      </w:r>
      <w:r>
        <w:rPr>
          <w:spacing w:val="-43"/>
        </w:rPr>
        <w:t> </w:t>
      </w:r>
      <w:r>
        <w:rPr>
          <w:spacing w:val="-43"/>
        </w:rPr>
      </w:r>
      <w:r>
        <w:rPr>
          <w:spacing w:val="-2"/>
        </w:rPr>
        <w:t>创科技有限公司、厦门同舟共创科技有限公司、江西旋极共创科技有限公司、吉林省旋极共创科技有限公</w:t>
      </w:r>
      <w:r>
        <w:rPr>
          <w:spacing w:val="-49"/>
        </w:rPr>
        <w:t> </w:t>
      </w:r>
      <w:r>
        <w:rPr>
          <w:spacing w:val="-49"/>
        </w:rPr>
      </w:r>
      <w:r>
        <w:rPr>
          <w:spacing w:val="-7"/>
        </w:rPr>
        <w:t>司、北京合信财学科技有限公司、北京百旺众联科技有限公司、北京悦财亿华科技有限公司、旋极伏羲（福</w:t>
      </w:r>
      <w:r>
        <w:rPr>
          <w:spacing w:val="-24"/>
        </w:rPr>
        <w:t> </w:t>
      </w:r>
      <w:r>
        <w:rPr>
          <w:spacing w:val="-24"/>
        </w:rPr>
      </w:r>
      <w:r>
        <w:rPr>
          <w:spacing w:val="-2"/>
        </w:rPr>
        <w:t>州）大数据技术有限公司、北京泰豪智能科技有限公司；四级子公司：宁波小望财税科技有限公司、慈溪</w:t>
      </w:r>
      <w:r>
        <w:rPr>
          <w:spacing w:val="-43"/>
        </w:rPr>
        <w:t> </w:t>
      </w:r>
      <w:r>
        <w:rPr>
          <w:spacing w:val="-43"/>
        </w:rPr>
      </w:r>
      <w:r>
        <w:rPr>
          <w:spacing w:val="-2"/>
        </w:rPr>
        <w:t>小望财税科技有限公司、宁波海曙小望科技有限公司、象山小望科技有限公司、余姚小望科技有限公司、</w:t>
      </w:r>
    </w:p>
    <w:p>
      <w:pPr>
        <w:spacing w:after="0" w:line="408" w:lineRule="auto"/>
        <w:jc w:val="both"/>
        <w:sectPr>
          <w:pgSz w:w="11910" w:h="16840"/>
          <w:pgMar w:header="882" w:footer="1134" w:top="1280" w:bottom="1320" w:left="980" w:right="0"/>
        </w:sectPr>
      </w:pPr>
    </w:p>
    <w:p>
      <w:pPr>
        <w:spacing w:line="240" w:lineRule="auto" w:before="4"/>
        <w:rPr>
          <w:rFonts w:ascii="宋体" w:hAnsi="宋体" w:cs="宋体" w:eastAsia="宋体" w:hint="default"/>
          <w:sz w:val="13"/>
          <w:szCs w:val="13"/>
        </w:rPr>
      </w:pPr>
    </w:p>
    <w:p>
      <w:pPr>
        <w:pStyle w:val="BodyText"/>
        <w:spacing w:line="408" w:lineRule="auto" w:before="36"/>
        <w:ind w:left="152" w:right="1128"/>
        <w:jc w:val="both"/>
      </w:pPr>
      <w:r>
        <w:rPr>
          <w:spacing w:val="-2"/>
        </w:rPr>
        <w:t>宁海小望科技有限公司、包头市百旺金赋信息技术有限公司、赤峰市百旺金赋信息技术有限公司、兴安盟</w:t>
      </w:r>
      <w:r>
        <w:rPr>
          <w:spacing w:val="-44"/>
        </w:rPr>
        <w:t> </w:t>
      </w:r>
      <w:r>
        <w:rPr>
          <w:spacing w:val="-44"/>
        </w:rPr>
      </w:r>
      <w:r>
        <w:rPr>
          <w:spacing w:val="-2"/>
        </w:rPr>
        <w:t>百旺金赋信息技术有限公司、乌兰察布市百旺金赋信息技术有限公司、巴彦淖尔市百旺金赋信息技术有限</w:t>
      </w:r>
      <w:r>
        <w:rPr>
          <w:spacing w:val="-42"/>
        </w:rPr>
        <w:t> </w:t>
      </w:r>
      <w:r>
        <w:rPr>
          <w:spacing w:val="-42"/>
        </w:rPr>
      </w:r>
      <w:r>
        <w:rPr>
          <w:spacing w:val="-2"/>
        </w:rPr>
        <w:t>公司、鄂尔多斯市百旺金赋信息技术有限公司、通辽市百旺金赋信息技术有限公司、呼伦贝尔市百旺金赋</w:t>
      </w:r>
      <w:r>
        <w:rPr>
          <w:spacing w:val="-44"/>
        </w:rPr>
        <w:t> </w:t>
      </w:r>
      <w:r>
        <w:rPr>
          <w:spacing w:val="-44"/>
        </w:rPr>
      </w:r>
      <w:r>
        <w:rPr/>
        <w:t>信息技术有限公司、锡林郭勒盟百旺金赋信息技术有限公司、乌海市百旺金赋信息技术有限公司</w:t>
      </w:r>
    </w:p>
    <w:p>
      <w:pPr>
        <w:pStyle w:val="BodyText"/>
        <w:spacing w:line="408" w:lineRule="auto" w:before="46"/>
        <w:ind w:left="573" w:right="1127" w:hanging="1"/>
        <w:jc w:val="left"/>
      </w:pPr>
      <w:r>
        <w:rPr>
          <w:spacing w:val="-2"/>
        </w:rPr>
        <w:t>本期处置的子公司有浙江小望科技有限公司、郑州众合景轩信息技术有限公司。</w:t>
      </w:r>
      <w:r>
        <w:rPr>
          <w:spacing w:val="-38"/>
        </w:rPr>
        <w:t> </w:t>
      </w:r>
      <w:r>
        <w:rPr>
          <w:spacing w:val="-38"/>
        </w:rPr>
      </w:r>
      <w:r>
        <w:rPr/>
        <w:t>本期二级子公司天津百望金赋科技有限公司变更为旋极百旺三级子公司</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7）公司报告期内业务、产品或服务发生重大变化或调整有关情况" w:id="60"/>
      <w:bookmarkEnd w:id="60"/>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30"/>
          <w:szCs w:val="30"/>
        </w:rPr>
      </w:pPr>
    </w:p>
    <w:p>
      <w:pPr>
        <w:spacing w:line="571" w:lineRule="auto" w:before="0"/>
        <w:ind w:left="572" w:right="5512" w:hanging="421"/>
        <w:jc w:val="left"/>
        <w:rPr>
          <w:rFonts w:ascii="宋体" w:hAnsi="宋体" w:cs="宋体" w:eastAsia="宋体" w:hint="default"/>
          <w:sz w:val="21"/>
          <w:szCs w:val="21"/>
        </w:rPr>
      </w:pPr>
      <w:r>
        <w:rPr/>
        <w:pict>
          <v:shape style="position:absolute;margin-left:56.459999pt;margin-top:59.783676pt;width:479.1pt;height:92.3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46"/>
                    <w:gridCol w:w="5322"/>
                  </w:tblGrid>
                  <w:tr>
                    <w:trPr>
                      <w:trHeight w:val="508"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9" w:right="0"/>
                          <w:jc w:val="center"/>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569,494,351.14</w:t>
                        </w:r>
                      </w:p>
                    </w:tc>
                  </w:tr>
                  <w:tr>
                    <w:trPr>
                      <w:trHeight w:val="508"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3"/>
                          <w:ind w:left="9" w:right="0"/>
                          <w:jc w:val="center"/>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45"/>
                          <w:ind w:left="7" w:right="0"/>
                          <w:jc w:val="center"/>
                          <w:rPr>
                            <w:rFonts w:ascii="Times New Roman" w:hAnsi="Times New Roman" w:cs="Times New Roman" w:eastAsia="Times New Roman" w:hint="default"/>
                            <w:sz w:val="18"/>
                            <w:szCs w:val="18"/>
                          </w:rPr>
                        </w:pPr>
                        <w:r>
                          <w:rPr>
                            <w:rFonts w:ascii="Times New Roman"/>
                            <w:sz w:val="18"/>
                          </w:rPr>
                          <w:t>17.11%</w:t>
                        </w:r>
                      </w:p>
                    </w:tc>
                  </w:tr>
                  <w:tr>
                    <w:trPr>
                      <w:trHeight w:val="82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2031" w:right="42" w:hanging="198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bookmarkStart w:name="（8）主要销售客户和主要供应商情况" w:id="61"/>
      <w:bookmarkEnd w:id="61"/>
      <w:r>
        <w:rPr/>
      </w: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8</w:t>
      </w:r>
      <w:r>
        <w:rPr>
          <w:rFonts w:ascii="宋体" w:hAnsi="宋体" w:cs="宋体" w:eastAsia="宋体" w:hint="default"/>
          <w:b/>
          <w:bCs/>
          <w:spacing w:val="-1"/>
          <w:sz w:val="21"/>
          <w:szCs w:val="21"/>
        </w:rPr>
        <w:t>）主要销售客户和主要供应商情况</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before="36"/>
        <w:ind w:right="1127"/>
        <w:jc w:val="left"/>
      </w:pPr>
      <w:r>
        <w:rPr/>
        <w:t>公司前</w:t>
      </w:r>
      <w:r>
        <w:rPr>
          <w:spacing w:val="-53"/>
        </w:rPr>
        <w:t> </w:t>
      </w:r>
      <w:r>
        <w:rPr>
          <w:rFonts w:ascii="Times New Roman" w:hAnsi="Times New Roman" w:cs="Times New Roman" w:eastAsia="Times New Roman" w:hint="default"/>
        </w:rPr>
        <w:t>5 </w:t>
      </w:r>
      <w:r>
        <w:rPr/>
        <w:t>大客户资料</w:t>
      </w:r>
    </w:p>
    <w:p>
      <w:pPr>
        <w:spacing w:line="240" w:lineRule="auto" w:before="2"/>
        <w:rPr>
          <w:rFonts w:ascii="宋体" w:hAnsi="宋体" w:cs="宋体" w:eastAsia="宋体" w:hint="default"/>
          <w:sz w:val="16"/>
          <w:szCs w:val="16"/>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1"/>
        <w:gridCol w:w="3144"/>
      </w:tblGrid>
      <w:tr>
        <w:trPr>
          <w:trHeight w:val="509"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509"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92" w:right="0"/>
              <w:jc w:val="left"/>
              <w:rPr>
                <w:rFonts w:ascii="Times New Roman" w:hAnsi="Times New Roman" w:cs="Times New Roman" w:eastAsia="Times New Roman" w:hint="default"/>
                <w:sz w:val="18"/>
                <w:szCs w:val="18"/>
              </w:rPr>
            </w:pPr>
            <w:r>
              <w:rPr>
                <w:rFonts w:ascii="Times New Roman"/>
                <w:sz w:val="18"/>
              </w:rPr>
              <w:t>284,916,510.19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8.56%</w:t>
            </w:r>
          </w:p>
        </w:tc>
      </w:tr>
      <w:tr>
        <w:trPr>
          <w:trHeight w:val="506"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92" w:right="0"/>
              <w:jc w:val="left"/>
              <w:rPr>
                <w:rFonts w:ascii="Times New Roman" w:hAnsi="Times New Roman" w:cs="Times New Roman" w:eastAsia="Times New Roman" w:hint="default"/>
                <w:sz w:val="18"/>
                <w:szCs w:val="18"/>
              </w:rPr>
            </w:pPr>
            <w:r>
              <w:rPr>
                <w:rFonts w:ascii="Times New Roman"/>
                <w:sz w:val="18"/>
              </w:rPr>
              <w:t>123,995,875.76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3.72%</w:t>
            </w:r>
          </w:p>
        </w:tc>
      </w:tr>
      <w:tr>
        <w:trPr>
          <w:trHeight w:val="509"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38" w:right="0"/>
              <w:jc w:val="left"/>
              <w:rPr>
                <w:rFonts w:ascii="Times New Roman" w:hAnsi="Times New Roman" w:cs="Times New Roman" w:eastAsia="Times New Roman" w:hint="default"/>
                <w:sz w:val="18"/>
                <w:szCs w:val="18"/>
              </w:rPr>
            </w:pPr>
            <w:r>
              <w:rPr>
                <w:rFonts w:ascii="Times New Roman"/>
                <w:sz w:val="18"/>
              </w:rPr>
              <w:t>61,290,907.97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1.84%</w:t>
            </w:r>
          </w:p>
        </w:tc>
      </w:tr>
      <w:tr>
        <w:trPr>
          <w:trHeight w:val="509"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38" w:right="0"/>
              <w:jc w:val="left"/>
              <w:rPr>
                <w:rFonts w:ascii="Times New Roman" w:hAnsi="Times New Roman" w:cs="Times New Roman" w:eastAsia="Times New Roman" w:hint="default"/>
                <w:sz w:val="18"/>
                <w:szCs w:val="18"/>
              </w:rPr>
            </w:pPr>
            <w:r>
              <w:rPr>
                <w:rFonts w:ascii="Times New Roman"/>
                <w:sz w:val="18"/>
              </w:rPr>
              <w:t>50,833,350.80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1.53%</w:t>
            </w:r>
          </w:p>
        </w:tc>
      </w:tr>
      <w:tr>
        <w:trPr>
          <w:trHeight w:val="506"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38" w:right="0"/>
              <w:jc w:val="left"/>
              <w:rPr>
                <w:rFonts w:ascii="Times New Roman" w:hAnsi="Times New Roman" w:cs="Times New Roman" w:eastAsia="Times New Roman" w:hint="default"/>
                <w:sz w:val="18"/>
                <w:szCs w:val="18"/>
              </w:rPr>
            </w:pPr>
            <w:r>
              <w:rPr>
                <w:rFonts w:ascii="Times New Roman"/>
                <w:sz w:val="18"/>
              </w:rPr>
              <w:t>48,457,706.42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1.46%</w:t>
            </w:r>
          </w:p>
        </w:tc>
      </w:tr>
      <w:tr>
        <w:trPr>
          <w:trHeight w:val="509"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4"/>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44"/>
              <w:ind w:left="580" w:right="0"/>
              <w:jc w:val="left"/>
              <w:rPr>
                <w:rFonts w:ascii="Times New Roman" w:hAnsi="Times New Roman" w:cs="Times New Roman" w:eastAsia="Times New Roman" w:hint="default"/>
                <w:sz w:val="18"/>
                <w:szCs w:val="18"/>
              </w:rPr>
            </w:pPr>
            <w:r>
              <w:rPr>
                <w:rFonts w:ascii="Times New Roman"/>
                <w:sz w:val="18"/>
              </w:rPr>
              <w:t>569,494,351.14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Times New Roman" w:hAnsi="Times New Roman" w:cs="Times New Roman" w:eastAsia="Times New Roman" w:hint="default"/>
                <w:sz w:val="18"/>
                <w:szCs w:val="18"/>
              </w:rPr>
            </w:pPr>
            <w:r>
              <w:rPr>
                <w:rFonts w:ascii="Times New Roman"/>
                <w:sz w:val="18"/>
              </w:rPr>
              <w:t>17.11%</w:t>
            </w:r>
          </w:p>
        </w:tc>
      </w:tr>
    </w:tbl>
    <w:p>
      <w:pPr>
        <w:spacing w:line="240" w:lineRule="auto" w:before="11"/>
        <w:rPr>
          <w:rFonts w:ascii="宋体" w:hAnsi="宋体" w:cs="宋体" w:eastAsia="宋体" w:hint="default"/>
          <w:sz w:val="9"/>
          <w:szCs w:val="9"/>
        </w:rPr>
      </w:pPr>
    </w:p>
    <w:p>
      <w:pPr>
        <w:pStyle w:val="BodyText"/>
        <w:spacing w:line="240" w:lineRule="auto" w:before="36"/>
        <w:ind w:right="1127"/>
        <w:jc w:val="left"/>
      </w:pPr>
      <w:r>
        <w:rPr/>
        <w:t>主要客户其他情况说明</w:t>
      </w:r>
    </w:p>
    <w:p>
      <w:pPr>
        <w:spacing w:line="240" w:lineRule="auto" w:before="4"/>
        <w:rPr>
          <w:rFonts w:ascii="宋体" w:hAnsi="宋体" w:cs="宋体" w:eastAsia="宋体" w:hint="default"/>
          <w:sz w:val="22"/>
          <w:szCs w:val="22"/>
        </w:rPr>
      </w:pPr>
    </w:p>
    <w:p>
      <w:pPr>
        <w:pStyle w:val="BodyText"/>
        <w:spacing w:line="470" w:lineRule="auto"/>
        <w:ind w:right="8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1"/>
        </w:rPr>
        <w:t>公司主要供应商情况</w:t>
      </w:r>
    </w:p>
    <w:p>
      <w:pPr>
        <w:spacing w:after="0" w:line="470" w:lineRule="auto"/>
        <w:jc w:val="left"/>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509"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7" w:right="0"/>
              <w:jc w:val="center"/>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94,155,208.23</w:t>
            </w:r>
          </w:p>
        </w:tc>
      </w:tr>
      <w:tr>
        <w:trPr>
          <w:trHeight w:val="506"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7" w:right="0"/>
              <w:jc w:val="center"/>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44"/>
              <w:ind w:left="4" w:right="0"/>
              <w:jc w:val="center"/>
              <w:rPr>
                <w:rFonts w:ascii="Times New Roman" w:hAnsi="Times New Roman" w:cs="Times New Roman" w:eastAsia="Times New Roman" w:hint="default"/>
                <w:sz w:val="18"/>
                <w:szCs w:val="18"/>
              </w:rPr>
            </w:pPr>
            <w:r>
              <w:rPr>
                <w:rFonts w:ascii="Times New Roman"/>
                <w:sz w:val="18"/>
              </w:rPr>
              <w:t>4.29%</w:t>
            </w:r>
          </w:p>
        </w:tc>
      </w:tr>
      <w:tr>
        <w:trPr>
          <w:trHeight w:val="82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1942" w:right="42" w:hanging="189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0.00%</w:t>
            </w:r>
          </w:p>
        </w:tc>
      </w:tr>
    </w:tbl>
    <w:p>
      <w:pPr>
        <w:spacing w:line="240" w:lineRule="auto" w:before="11"/>
        <w:rPr>
          <w:rFonts w:ascii="宋体" w:hAnsi="宋体" w:cs="宋体" w:eastAsia="宋体" w:hint="default"/>
          <w:sz w:val="9"/>
          <w:szCs w:val="9"/>
        </w:rPr>
      </w:pPr>
    </w:p>
    <w:p>
      <w:pPr>
        <w:pStyle w:val="BodyText"/>
        <w:spacing w:line="240" w:lineRule="auto" w:before="36"/>
        <w:ind w:right="1127"/>
        <w:jc w:val="left"/>
      </w:pPr>
      <w:r>
        <w:rPr/>
        <w:t>公司前</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名供应商资料</w:t>
      </w:r>
    </w:p>
    <w:p>
      <w:pPr>
        <w:spacing w:line="240" w:lineRule="auto" w:before="2"/>
        <w:rPr>
          <w:rFonts w:ascii="宋体" w:hAnsi="宋体" w:cs="宋体" w:eastAsia="宋体" w:hint="default"/>
          <w:sz w:val="16"/>
          <w:szCs w:val="1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1"/>
        <w:gridCol w:w="3144"/>
      </w:tblGrid>
      <w:tr>
        <w:trPr>
          <w:trHeight w:val="509"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4"/>
              <w:ind w:left="14"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509"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34,000,000.00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1.55%</w:t>
            </w:r>
          </w:p>
        </w:tc>
      </w:tr>
      <w:tr>
        <w:trPr>
          <w:trHeight w:val="506"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17,265,232.25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0.79%</w:t>
            </w:r>
          </w:p>
        </w:tc>
      </w:tr>
      <w:tr>
        <w:trPr>
          <w:trHeight w:val="509"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16,950,000.00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Times New Roman" w:hAnsi="Times New Roman" w:cs="Times New Roman" w:eastAsia="Times New Roman" w:hint="default"/>
                <w:sz w:val="18"/>
                <w:szCs w:val="18"/>
              </w:rPr>
            </w:pPr>
            <w:r>
              <w:rPr>
                <w:rFonts w:ascii="Times New Roman"/>
                <w:sz w:val="18"/>
              </w:rPr>
              <w:t>0.77%</w:t>
            </w:r>
          </w:p>
        </w:tc>
      </w:tr>
      <w:tr>
        <w:trPr>
          <w:trHeight w:val="509"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13,939,975.98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0.63%</w:t>
            </w:r>
          </w:p>
        </w:tc>
      </w:tr>
      <w:tr>
        <w:trPr>
          <w:trHeight w:val="506"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12,000,000.00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0.55%</w:t>
            </w:r>
          </w:p>
        </w:tc>
      </w:tr>
      <w:tr>
        <w:trPr>
          <w:trHeight w:val="509"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6"/>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46"/>
              <w:ind w:right="8"/>
              <w:jc w:val="center"/>
              <w:rPr>
                <w:rFonts w:ascii="Times New Roman" w:hAnsi="Times New Roman" w:cs="Times New Roman" w:eastAsia="Times New Roman" w:hint="default"/>
                <w:sz w:val="18"/>
                <w:szCs w:val="18"/>
              </w:rPr>
            </w:pPr>
            <w:r>
              <w:rPr>
                <w:rFonts w:ascii="Times New Roman"/>
                <w:sz w:val="18"/>
              </w:rPr>
              <w:t>94,155,208.23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Times New Roman" w:hAnsi="Times New Roman" w:cs="Times New Roman" w:eastAsia="Times New Roman" w:hint="default"/>
                <w:sz w:val="18"/>
                <w:szCs w:val="18"/>
              </w:rPr>
            </w:pPr>
            <w:r>
              <w:rPr>
                <w:rFonts w:ascii="Times New Roman"/>
                <w:sz w:val="18"/>
              </w:rPr>
              <w:t>4.29%</w:t>
            </w:r>
          </w:p>
        </w:tc>
      </w:tr>
    </w:tbl>
    <w:p>
      <w:pPr>
        <w:spacing w:line="240" w:lineRule="auto" w:before="11"/>
        <w:rPr>
          <w:rFonts w:ascii="宋体" w:hAnsi="宋体" w:cs="宋体" w:eastAsia="宋体" w:hint="default"/>
          <w:sz w:val="9"/>
          <w:szCs w:val="9"/>
        </w:rPr>
      </w:pPr>
    </w:p>
    <w:p>
      <w:pPr>
        <w:pStyle w:val="BodyText"/>
        <w:spacing w:line="240" w:lineRule="auto" w:before="36"/>
        <w:ind w:right="1127"/>
        <w:jc w:val="left"/>
      </w:pPr>
      <w:r>
        <w:rPr/>
        <w:t>主要供应商其他情况说明</w:t>
      </w:r>
    </w:p>
    <w:p>
      <w:pPr>
        <w:spacing w:line="240" w:lineRule="auto" w:before="6"/>
        <w:rPr>
          <w:rFonts w:ascii="宋体" w:hAnsi="宋体" w:cs="宋体" w:eastAsia="宋体" w:hint="default"/>
          <w:sz w:val="22"/>
          <w:szCs w:val="22"/>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30"/>
          <w:szCs w:val="30"/>
        </w:rPr>
      </w:pPr>
    </w:p>
    <w:p>
      <w:pPr>
        <w:pStyle w:val="Heading4"/>
        <w:spacing w:line="240" w:lineRule="auto"/>
        <w:ind w:right="1127"/>
        <w:jc w:val="left"/>
        <w:rPr>
          <w:b w:val="0"/>
          <w:bCs w:val="0"/>
        </w:rPr>
      </w:pPr>
      <w:bookmarkStart w:name="3、费用" w:id="62"/>
      <w:bookmarkEnd w:id="62"/>
      <w:r>
        <w:rPr>
          <w:b w:val="0"/>
          <w:bCs w:val="0"/>
        </w:rPr>
      </w:r>
      <w:r>
        <w:rPr>
          <w:rFonts w:ascii="Times New Roman" w:hAnsi="Times New Roman" w:cs="Times New Roman" w:eastAsia="Times New Roman" w:hint="default"/>
        </w:rPr>
        <w:t>3</w:t>
      </w:r>
      <w:r>
        <w:rPr/>
        <w:t>、费用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6"/>
        <w:ind w:left="0" w:right="1130"/>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892"/>
        <w:gridCol w:w="1648"/>
        <w:gridCol w:w="1637"/>
        <w:gridCol w:w="1462"/>
        <w:gridCol w:w="2918"/>
      </w:tblGrid>
      <w:tr>
        <w:trPr>
          <w:trHeight w:val="506"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509"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4"/>
              <w:ind w:right="581"/>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6"/>
              <w:ind w:left="484" w:right="0"/>
              <w:jc w:val="left"/>
              <w:rPr>
                <w:rFonts w:ascii="Times New Roman" w:hAnsi="Times New Roman" w:cs="Times New Roman" w:eastAsia="Times New Roman" w:hint="default"/>
                <w:sz w:val="18"/>
                <w:szCs w:val="18"/>
              </w:rPr>
            </w:pPr>
            <w:r>
              <w:rPr>
                <w:rFonts w:ascii="Times New Roman"/>
                <w:sz w:val="18"/>
              </w:rPr>
              <w:t>262,161,773.47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80" w:right="0"/>
              <w:jc w:val="left"/>
              <w:rPr>
                <w:rFonts w:ascii="Times New Roman" w:hAnsi="Times New Roman" w:cs="Times New Roman" w:eastAsia="Times New Roman" w:hint="default"/>
                <w:sz w:val="18"/>
                <w:szCs w:val="18"/>
              </w:rPr>
            </w:pPr>
            <w:r>
              <w:rPr>
                <w:rFonts w:ascii="Times New Roman"/>
                <w:sz w:val="18"/>
              </w:rPr>
              <w:t>263,965,835.20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z w:val="18"/>
              </w:rPr>
              <w:t>-0.68%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581"/>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4"/>
              <w:ind w:left="484" w:right="0"/>
              <w:jc w:val="left"/>
              <w:rPr>
                <w:rFonts w:ascii="Times New Roman" w:hAnsi="Times New Roman" w:cs="Times New Roman" w:eastAsia="Times New Roman" w:hint="default"/>
                <w:sz w:val="18"/>
                <w:szCs w:val="18"/>
              </w:rPr>
            </w:pPr>
            <w:r>
              <w:rPr>
                <w:rFonts w:ascii="Times New Roman"/>
                <w:sz w:val="18"/>
              </w:rPr>
              <w:t>382,610,254.48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80" w:right="0"/>
              <w:jc w:val="left"/>
              <w:rPr>
                <w:rFonts w:ascii="Times New Roman" w:hAnsi="Times New Roman" w:cs="Times New Roman" w:eastAsia="Times New Roman" w:hint="default"/>
                <w:sz w:val="18"/>
                <w:szCs w:val="18"/>
              </w:rPr>
            </w:pPr>
            <w:r>
              <w:rPr>
                <w:rFonts w:ascii="Times New Roman"/>
                <w:sz w:val="18"/>
              </w:rPr>
              <w:t>364,548,304.38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4.95%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主要系同期税务信息化整合所致。</w:t>
            </w: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4D4D4"/>
          </w:tcPr>
          <w:p>
            <w:pPr/>
          </w:p>
        </w:tc>
        <w:tc>
          <w:tcPr>
            <w:tcW w:w="1648"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04" w:right="0"/>
              <w:jc w:val="left"/>
              <w:rPr>
                <w:rFonts w:ascii="Times New Roman" w:hAnsi="Times New Roman" w:cs="Times New Roman" w:eastAsia="Times New Roman" w:hint="default"/>
                <w:sz w:val="18"/>
                <w:szCs w:val="18"/>
              </w:rPr>
            </w:pPr>
            <w:r>
              <w:rPr>
                <w:rFonts w:ascii="Times New Roman"/>
                <w:sz w:val="18"/>
              </w:rPr>
              <w:t>-5,466,077.08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-2,618,147.63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722" w:right="0"/>
              <w:jc w:val="left"/>
              <w:rPr>
                <w:rFonts w:ascii="Times New Roman" w:hAnsi="Times New Roman" w:cs="Times New Roman" w:eastAsia="Times New Roman" w:hint="default"/>
                <w:sz w:val="18"/>
                <w:szCs w:val="18"/>
              </w:rPr>
            </w:pPr>
            <w:r>
              <w:rPr>
                <w:rFonts w:ascii="Times New Roman"/>
                <w:sz w:val="18"/>
              </w:rPr>
              <w:t>-108.78%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101"/>
              <w:ind w:left="1274" w:right="101" w:hanging="1169"/>
              <w:jc w:val="left"/>
              <w:rPr>
                <w:rFonts w:ascii="宋体" w:hAnsi="宋体" w:cs="宋体" w:eastAsia="宋体" w:hint="default"/>
                <w:sz w:val="18"/>
                <w:szCs w:val="18"/>
              </w:rPr>
            </w:pPr>
            <w:r>
              <w:rPr>
                <w:rFonts w:ascii="宋体" w:hAnsi="宋体" w:cs="宋体" w:eastAsia="宋体" w:hint="default"/>
                <w:sz w:val="18"/>
                <w:szCs w:val="18"/>
              </w:rPr>
              <w:t>主要系报告期内汇兑收益额增加所 致。</w:t>
            </w:r>
          </w:p>
        </w:tc>
      </w:tr>
      <w:tr>
        <w:trPr>
          <w:trHeight w:val="497" w:hRule="exact"/>
        </w:trPr>
        <w:tc>
          <w:tcPr>
            <w:tcW w:w="189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1"/>
              <w:ind w:right="581"/>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vMerge/>
            <w:tcBorders>
              <w:left w:val="single" w:sz="9" w:space="0" w:color="D4D4D4"/>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4D4D4"/>
          </w:tcPr>
          <w:p>
            <w:pPr/>
          </w:p>
        </w:tc>
        <w:tc>
          <w:tcPr>
            <w:tcW w:w="1648" w:type="dxa"/>
            <w:vMerge/>
            <w:tcBorders>
              <w:left w:val="single" w:sz="9" w:space="0" w:color="D4D4D4"/>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509"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4"/>
              <w:ind w:right="581"/>
              <w:jc w:val="right"/>
              <w:rPr>
                <w:rFonts w:ascii="宋体" w:hAnsi="宋体" w:cs="宋体" w:eastAsia="宋体" w:hint="default"/>
                <w:sz w:val="18"/>
                <w:szCs w:val="18"/>
              </w:rPr>
            </w:pPr>
            <w:r>
              <w:rPr>
                <w:rFonts w:ascii="宋体" w:hAnsi="宋体" w:cs="宋体" w:eastAsia="宋体" w:hint="default"/>
                <w:sz w:val="18"/>
                <w:szCs w:val="18"/>
              </w:rPr>
              <w:t>研发费用</w:t>
            </w:r>
          </w:p>
        </w:tc>
        <w:tc>
          <w:tcPr>
            <w:tcW w:w="164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6"/>
              <w:ind w:left="484" w:right="0"/>
              <w:jc w:val="left"/>
              <w:rPr>
                <w:rFonts w:ascii="Times New Roman" w:hAnsi="Times New Roman" w:cs="Times New Roman" w:eastAsia="Times New Roman" w:hint="default"/>
                <w:sz w:val="18"/>
                <w:szCs w:val="18"/>
              </w:rPr>
            </w:pPr>
            <w:r>
              <w:rPr>
                <w:rFonts w:ascii="Times New Roman"/>
                <w:sz w:val="18"/>
              </w:rPr>
              <w:t>194,261,257.31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80" w:right="0"/>
              <w:jc w:val="left"/>
              <w:rPr>
                <w:rFonts w:ascii="Times New Roman" w:hAnsi="Times New Roman" w:cs="Times New Roman" w:eastAsia="Times New Roman" w:hint="default"/>
                <w:sz w:val="18"/>
                <w:szCs w:val="18"/>
              </w:rPr>
            </w:pPr>
            <w:r>
              <w:rPr>
                <w:rFonts w:ascii="Times New Roman"/>
                <w:sz w:val="18"/>
              </w:rPr>
              <w:t>170,485,386.35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6"/>
              <w:jc w:val="right"/>
              <w:rPr>
                <w:rFonts w:ascii="Times New Roman" w:hAnsi="Times New Roman" w:cs="Times New Roman" w:eastAsia="Times New Roman" w:hint="default"/>
                <w:sz w:val="18"/>
                <w:szCs w:val="18"/>
              </w:rPr>
            </w:pPr>
            <w:r>
              <w:rPr>
                <w:rFonts w:ascii="Times New Roman"/>
                <w:sz w:val="18"/>
              </w:rPr>
              <w:t>13.95%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主要系公司加大研发投入所致。</w:t>
            </w:r>
          </w:p>
        </w:tc>
      </w:tr>
    </w:tbl>
    <w:p>
      <w:pPr>
        <w:spacing w:line="240" w:lineRule="auto" w:before="3"/>
        <w:rPr>
          <w:rFonts w:ascii="宋体" w:hAnsi="宋体" w:cs="宋体" w:eastAsia="宋体" w:hint="default"/>
          <w:sz w:val="19"/>
          <w:szCs w:val="19"/>
        </w:rPr>
      </w:pPr>
    </w:p>
    <w:p>
      <w:pPr>
        <w:pStyle w:val="Heading4"/>
        <w:spacing w:line="240" w:lineRule="auto" w:before="36"/>
        <w:ind w:right="1127"/>
        <w:jc w:val="left"/>
        <w:rPr>
          <w:b w:val="0"/>
          <w:bCs w:val="0"/>
        </w:rPr>
      </w:pPr>
      <w:bookmarkStart w:name="4、研发投入" w:id="63"/>
      <w:bookmarkEnd w:id="63"/>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1"/>
          <w:szCs w:val="21"/>
        </w:rPr>
      </w:pPr>
    </w:p>
    <w:p>
      <w:pPr>
        <w:pStyle w:val="BodyText"/>
        <w:spacing w:line="386" w:lineRule="auto"/>
        <w:ind w:left="152" w:right="1127" w:firstLine="420"/>
        <w:jc w:val="left"/>
      </w:pPr>
      <w:r>
        <w:rPr>
          <w:rFonts w:ascii="Times New Roman" w:hAnsi="Times New Roman" w:cs="Times New Roman" w:eastAsia="Times New Roman" w:hint="default"/>
          <w:spacing w:val="-3"/>
        </w:rPr>
        <w:t>2019</w:t>
      </w:r>
      <w:r>
        <w:rPr>
          <w:spacing w:val="-3"/>
        </w:rPr>
        <w:t>年，公司在装备健康、空间信息及大数据管理系统、税务信息化产品等展开研发。主要研发项目</w:t>
      </w:r>
      <w:r>
        <w:rPr>
          <w:spacing w:val="-3"/>
          <w:w w:val="100"/>
        </w:rPr>
        <w:t> </w:t>
      </w:r>
      <w:r>
        <w:rPr/>
        <w:t>进展如下：</w:t>
      </w:r>
    </w:p>
    <w:p>
      <w:pPr>
        <w:spacing w:after="0" w:line="386" w:lineRule="auto"/>
        <w:jc w:val="left"/>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648"/>
        <w:gridCol w:w="5107"/>
        <w:gridCol w:w="1752"/>
        <w:gridCol w:w="1726"/>
      </w:tblGrid>
      <w:tr>
        <w:trPr>
          <w:trHeight w:val="533" w:hRule="exact"/>
        </w:trPr>
        <w:tc>
          <w:tcPr>
            <w:tcW w:w="648"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11"/>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5107"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1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52"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拟达到目标</w:t>
            </w:r>
          </w:p>
        </w:tc>
        <w:tc>
          <w:tcPr>
            <w:tcW w:w="1726"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进展</w:t>
            </w:r>
          </w:p>
        </w:tc>
      </w:tr>
      <w:tr>
        <w:trPr>
          <w:trHeight w:val="533"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1</w:t>
            </w:r>
          </w:p>
        </w:tc>
        <w:tc>
          <w:tcPr>
            <w:tcW w:w="5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装备健康管理</w:t>
            </w:r>
            <w:r>
              <w:rPr>
                <w:rFonts w:ascii="Times New Roman" w:hAnsi="Times New Roman" w:cs="Times New Roman" w:eastAsia="Times New Roman" w:hint="default"/>
                <w:sz w:val="18"/>
                <w:szCs w:val="18"/>
              </w:rPr>
              <w:t>-</w:t>
            </w:r>
            <w:r>
              <w:rPr>
                <w:rFonts w:ascii="宋体" w:hAnsi="宋体" w:cs="宋体" w:eastAsia="宋体" w:hint="default"/>
                <w:sz w:val="18"/>
                <w:szCs w:val="18"/>
              </w:rPr>
              <w:t>装备测试性仿真及验证系统</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5" w:right="0"/>
              <w:jc w:val="center"/>
              <w:rPr>
                <w:rFonts w:ascii="宋体" w:hAnsi="宋体" w:cs="宋体" w:eastAsia="宋体" w:hint="default"/>
                <w:sz w:val="18"/>
                <w:szCs w:val="18"/>
              </w:rPr>
            </w:pPr>
            <w:r>
              <w:rPr>
                <w:rFonts w:ascii="宋体" w:hAnsi="宋体" w:cs="宋体" w:eastAsia="宋体" w:hint="default"/>
                <w:sz w:val="18"/>
                <w:szCs w:val="18"/>
              </w:rPr>
              <w:t>国内领先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升级阶段</w:t>
            </w:r>
          </w:p>
        </w:tc>
      </w:tr>
      <w:tr>
        <w:trPr>
          <w:trHeight w:val="533"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left="3" w:right="0"/>
              <w:jc w:val="center"/>
              <w:rPr>
                <w:rFonts w:ascii="Times New Roman" w:hAnsi="Times New Roman" w:cs="Times New Roman" w:eastAsia="Times New Roman" w:hint="default"/>
                <w:sz w:val="18"/>
                <w:szCs w:val="18"/>
              </w:rPr>
            </w:pPr>
            <w:r>
              <w:rPr>
                <w:rFonts w:ascii="Times New Roman"/>
                <w:sz w:val="18"/>
              </w:rPr>
              <w:t>2</w:t>
            </w:r>
          </w:p>
        </w:tc>
        <w:tc>
          <w:tcPr>
            <w:tcW w:w="5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无线宽带通信自组网产品</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5" w:right="0"/>
              <w:jc w:val="center"/>
              <w:rPr>
                <w:rFonts w:ascii="宋体" w:hAnsi="宋体" w:cs="宋体" w:eastAsia="宋体" w:hint="default"/>
                <w:sz w:val="18"/>
                <w:szCs w:val="18"/>
              </w:rPr>
            </w:pPr>
            <w:r>
              <w:rPr>
                <w:rFonts w:ascii="宋体" w:hAnsi="宋体" w:cs="宋体" w:eastAsia="宋体" w:hint="default"/>
                <w:sz w:val="18"/>
                <w:szCs w:val="18"/>
              </w:rPr>
              <w:t>国内领先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集成测试阶段</w:t>
            </w:r>
          </w:p>
        </w:tc>
      </w:tr>
      <w:tr>
        <w:trPr>
          <w:trHeight w:val="533"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left="3" w:right="0"/>
              <w:jc w:val="center"/>
              <w:rPr>
                <w:rFonts w:ascii="Times New Roman" w:hAnsi="Times New Roman" w:cs="Times New Roman" w:eastAsia="Times New Roman" w:hint="default"/>
                <w:sz w:val="18"/>
                <w:szCs w:val="18"/>
              </w:rPr>
            </w:pPr>
            <w:r>
              <w:rPr>
                <w:rFonts w:ascii="Times New Roman"/>
                <w:sz w:val="18"/>
              </w:rPr>
              <w:t>3</w:t>
            </w:r>
          </w:p>
        </w:tc>
        <w:tc>
          <w:tcPr>
            <w:tcW w:w="5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新一代高速航电总线产品（</w:t>
            </w:r>
            <w:r>
              <w:rPr>
                <w:rFonts w:ascii="Times New Roman" w:hAnsi="Times New Roman" w:cs="Times New Roman" w:eastAsia="Times New Roman" w:hint="default"/>
                <w:sz w:val="18"/>
                <w:szCs w:val="18"/>
              </w:rPr>
              <w:t>FC-AE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高速航电总线产品）</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国内领先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上线运营</w:t>
            </w:r>
          </w:p>
        </w:tc>
      </w:tr>
      <w:tr>
        <w:trPr>
          <w:trHeight w:val="533"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left="3" w:right="0"/>
              <w:jc w:val="center"/>
              <w:rPr>
                <w:rFonts w:ascii="Times New Roman" w:hAnsi="Times New Roman" w:cs="Times New Roman" w:eastAsia="Times New Roman" w:hint="default"/>
                <w:sz w:val="18"/>
                <w:szCs w:val="18"/>
              </w:rPr>
            </w:pPr>
            <w:r>
              <w:rPr>
                <w:rFonts w:ascii="Times New Roman"/>
                <w:sz w:val="18"/>
              </w:rPr>
              <w:t>4</w:t>
            </w:r>
          </w:p>
        </w:tc>
        <w:tc>
          <w:tcPr>
            <w:tcW w:w="5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BIM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和时空网格信标的资产盘点项目</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4" w:right="0"/>
              <w:jc w:val="center"/>
              <w:rPr>
                <w:rFonts w:ascii="宋体" w:hAnsi="宋体" w:cs="宋体" w:eastAsia="宋体" w:hint="default"/>
                <w:sz w:val="18"/>
                <w:szCs w:val="18"/>
              </w:rPr>
            </w:pPr>
            <w:r>
              <w:rPr>
                <w:rFonts w:ascii="宋体" w:hAnsi="宋体" w:cs="宋体" w:eastAsia="宋体" w:hint="default"/>
                <w:sz w:val="18"/>
                <w:szCs w:val="18"/>
              </w:rPr>
              <w:t>国内领先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上线运营</w:t>
            </w:r>
          </w:p>
        </w:tc>
      </w:tr>
      <w:tr>
        <w:trPr>
          <w:trHeight w:val="533"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left="3" w:right="0"/>
              <w:jc w:val="center"/>
              <w:rPr>
                <w:rFonts w:ascii="Times New Roman" w:hAnsi="Times New Roman" w:cs="Times New Roman" w:eastAsia="Times New Roman" w:hint="default"/>
                <w:sz w:val="18"/>
                <w:szCs w:val="18"/>
              </w:rPr>
            </w:pPr>
            <w:r>
              <w:rPr>
                <w:rFonts w:ascii="Times New Roman"/>
                <w:sz w:val="18"/>
              </w:rPr>
              <w:t>5</w:t>
            </w:r>
          </w:p>
        </w:tc>
        <w:tc>
          <w:tcPr>
            <w:tcW w:w="5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三维网格数据图系统</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5" w:right="0"/>
              <w:jc w:val="center"/>
              <w:rPr>
                <w:rFonts w:ascii="宋体" w:hAnsi="宋体" w:cs="宋体" w:eastAsia="宋体" w:hint="default"/>
                <w:sz w:val="18"/>
                <w:szCs w:val="18"/>
              </w:rPr>
            </w:pPr>
            <w:r>
              <w:rPr>
                <w:rFonts w:ascii="宋体" w:hAnsi="宋体" w:cs="宋体" w:eastAsia="宋体" w:hint="default"/>
                <w:sz w:val="18"/>
                <w:szCs w:val="18"/>
              </w:rPr>
              <w:t>国内领先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上线运营</w:t>
            </w:r>
          </w:p>
        </w:tc>
      </w:tr>
      <w:tr>
        <w:trPr>
          <w:trHeight w:val="535"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left="3" w:right="0"/>
              <w:jc w:val="center"/>
              <w:rPr>
                <w:rFonts w:ascii="Times New Roman" w:hAnsi="Times New Roman" w:cs="Times New Roman" w:eastAsia="Times New Roman" w:hint="default"/>
                <w:sz w:val="18"/>
                <w:szCs w:val="18"/>
              </w:rPr>
            </w:pPr>
            <w:r>
              <w:rPr>
                <w:rFonts w:ascii="Times New Roman"/>
                <w:sz w:val="18"/>
              </w:rPr>
              <w:t>6</w:t>
            </w:r>
          </w:p>
        </w:tc>
        <w:tc>
          <w:tcPr>
            <w:tcW w:w="5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4" w:right="0"/>
              <w:jc w:val="center"/>
              <w:rPr>
                <w:rFonts w:ascii="宋体" w:hAnsi="宋体" w:cs="宋体" w:eastAsia="宋体" w:hint="default"/>
                <w:sz w:val="18"/>
                <w:szCs w:val="18"/>
              </w:rPr>
            </w:pPr>
            <w:r>
              <w:rPr>
                <w:rFonts w:ascii="宋体" w:hAnsi="宋体" w:cs="宋体" w:eastAsia="宋体" w:hint="default"/>
                <w:sz w:val="18"/>
                <w:szCs w:val="18"/>
              </w:rPr>
              <w:t>网格标签系统</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4" w:right="0"/>
              <w:jc w:val="center"/>
              <w:rPr>
                <w:rFonts w:ascii="宋体" w:hAnsi="宋体" w:cs="宋体" w:eastAsia="宋体" w:hint="default"/>
                <w:sz w:val="18"/>
                <w:szCs w:val="18"/>
              </w:rPr>
            </w:pPr>
            <w:r>
              <w:rPr>
                <w:rFonts w:ascii="宋体" w:hAnsi="宋体" w:cs="宋体" w:eastAsia="宋体" w:hint="default"/>
                <w:sz w:val="18"/>
                <w:szCs w:val="18"/>
              </w:rPr>
              <w:t>国内领先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上线运营</w:t>
            </w:r>
          </w:p>
        </w:tc>
      </w:tr>
      <w:tr>
        <w:trPr>
          <w:trHeight w:val="533"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7</w:t>
            </w:r>
          </w:p>
        </w:tc>
        <w:tc>
          <w:tcPr>
            <w:tcW w:w="5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4" w:right="0"/>
              <w:jc w:val="center"/>
              <w:rPr>
                <w:rFonts w:ascii="宋体" w:hAnsi="宋体" w:cs="宋体" w:eastAsia="宋体" w:hint="default"/>
                <w:sz w:val="18"/>
                <w:szCs w:val="18"/>
              </w:rPr>
            </w:pPr>
            <w:r>
              <w:rPr>
                <w:rFonts w:ascii="宋体" w:hAnsi="宋体" w:cs="宋体" w:eastAsia="宋体" w:hint="default"/>
                <w:sz w:val="18"/>
                <w:szCs w:val="18"/>
              </w:rPr>
              <w:t>时空网格数据根服务的研究</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4" w:right="0"/>
              <w:jc w:val="center"/>
              <w:rPr>
                <w:rFonts w:ascii="宋体" w:hAnsi="宋体" w:cs="宋体" w:eastAsia="宋体" w:hint="default"/>
                <w:sz w:val="18"/>
                <w:szCs w:val="18"/>
              </w:rPr>
            </w:pPr>
            <w:r>
              <w:rPr>
                <w:rFonts w:ascii="宋体" w:hAnsi="宋体" w:cs="宋体" w:eastAsia="宋体" w:hint="default"/>
                <w:sz w:val="18"/>
                <w:szCs w:val="18"/>
              </w:rPr>
              <w:t>国内领先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上线运营</w:t>
            </w:r>
          </w:p>
        </w:tc>
      </w:tr>
      <w:tr>
        <w:trPr>
          <w:trHeight w:val="533"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8</w:t>
            </w:r>
          </w:p>
        </w:tc>
        <w:tc>
          <w:tcPr>
            <w:tcW w:w="5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广播式高精度位置服务的研究</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5" w:right="0"/>
              <w:jc w:val="center"/>
              <w:rPr>
                <w:rFonts w:ascii="宋体" w:hAnsi="宋体" w:cs="宋体" w:eastAsia="宋体" w:hint="default"/>
                <w:sz w:val="18"/>
                <w:szCs w:val="18"/>
              </w:rPr>
            </w:pPr>
            <w:r>
              <w:rPr>
                <w:rFonts w:ascii="宋体" w:hAnsi="宋体" w:cs="宋体" w:eastAsia="宋体" w:hint="default"/>
                <w:sz w:val="18"/>
                <w:szCs w:val="18"/>
              </w:rPr>
              <w:t>国内领先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上线运营</w:t>
            </w:r>
          </w:p>
        </w:tc>
      </w:tr>
      <w:tr>
        <w:trPr>
          <w:trHeight w:val="533"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9</w:t>
            </w:r>
          </w:p>
        </w:tc>
        <w:tc>
          <w:tcPr>
            <w:tcW w:w="5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智能空间北斗网格码</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5" w:right="0"/>
              <w:jc w:val="center"/>
              <w:rPr>
                <w:rFonts w:ascii="宋体" w:hAnsi="宋体" w:cs="宋体" w:eastAsia="宋体" w:hint="default"/>
                <w:sz w:val="18"/>
                <w:szCs w:val="18"/>
              </w:rPr>
            </w:pPr>
            <w:r>
              <w:rPr>
                <w:rFonts w:ascii="宋体" w:hAnsi="宋体" w:cs="宋体" w:eastAsia="宋体" w:hint="default"/>
                <w:sz w:val="18"/>
                <w:szCs w:val="18"/>
              </w:rPr>
              <w:t>国内领先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开发阶段</w:t>
            </w:r>
          </w:p>
        </w:tc>
      </w:tr>
      <w:tr>
        <w:trPr>
          <w:trHeight w:val="533"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Times New Roman" w:hAnsi="Times New Roman" w:cs="Times New Roman" w:eastAsia="Times New Roman" w:hint="default"/>
                <w:sz w:val="18"/>
                <w:szCs w:val="18"/>
              </w:rPr>
            </w:pPr>
            <w:r>
              <w:rPr>
                <w:rFonts w:ascii="Times New Roman"/>
                <w:sz w:val="18"/>
              </w:rPr>
              <w:t>10</w:t>
            </w:r>
          </w:p>
        </w:tc>
        <w:tc>
          <w:tcPr>
            <w:tcW w:w="5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4" w:right="0"/>
              <w:jc w:val="center"/>
              <w:rPr>
                <w:rFonts w:ascii="宋体" w:hAnsi="宋体" w:cs="宋体" w:eastAsia="宋体" w:hint="default"/>
                <w:sz w:val="18"/>
                <w:szCs w:val="18"/>
              </w:rPr>
            </w:pPr>
            <w:r>
              <w:rPr>
                <w:rFonts w:ascii="宋体" w:hAnsi="宋体" w:cs="宋体" w:eastAsia="宋体" w:hint="default"/>
                <w:sz w:val="18"/>
                <w:szCs w:val="18"/>
              </w:rPr>
              <w:t>雷达数据处理平台</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4" w:right="0"/>
              <w:jc w:val="center"/>
              <w:rPr>
                <w:rFonts w:ascii="宋体" w:hAnsi="宋体" w:cs="宋体" w:eastAsia="宋体" w:hint="default"/>
                <w:sz w:val="18"/>
                <w:szCs w:val="18"/>
              </w:rPr>
            </w:pPr>
            <w:r>
              <w:rPr>
                <w:rFonts w:ascii="宋体" w:hAnsi="宋体" w:cs="宋体" w:eastAsia="宋体" w:hint="default"/>
                <w:sz w:val="18"/>
                <w:szCs w:val="18"/>
              </w:rPr>
              <w:t>国内领先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集成测试阶段</w:t>
            </w:r>
          </w:p>
        </w:tc>
      </w:tr>
      <w:tr>
        <w:trPr>
          <w:trHeight w:val="533"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数字光数据仿真分析系统</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4" w:right="0"/>
              <w:jc w:val="center"/>
              <w:rPr>
                <w:rFonts w:ascii="宋体" w:hAnsi="宋体" w:cs="宋体" w:eastAsia="宋体" w:hint="default"/>
                <w:sz w:val="18"/>
                <w:szCs w:val="18"/>
              </w:rPr>
            </w:pPr>
            <w:r>
              <w:rPr>
                <w:rFonts w:ascii="宋体" w:hAnsi="宋体" w:cs="宋体" w:eastAsia="宋体" w:hint="default"/>
                <w:sz w:val="18"/>
                <w:szCs w:val="18"/>
              </w:rPr>
              <w:t>国内领先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开发阶段</w:t>
            </w:r>
          </w:p>
        </w:tc>
      </w:tr>
      <w:tr>
        <w:trPr>
          <w:trHeight w:val="533"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Times New Roman" w:hAnsi="Times New Roman" w:cs="Times New Roman" w:eastAsia="Times New Roman" w:hint="default"/>
                <w:sz w:val="18"/>
                <w:szCs w:val="18"/>
              </w:rPr>
            </w:pPr>
            <w:r>
              <w:rPr>
                <w:rFonts w:ascii="Times New Roman"/>
                <w:sz w:val="18"/>
              </w:rPr>
              <w:t>12</w:t>
            </w:r>
          </w:p>
        </w:tc>
        <w:tc>
          <w:tcPr>
            <w:tcW w:w="5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4" w:right="0"/>
              <w:jc w:val="center"/>
              <w:rPr>
                <w:rFonts w:ascii="宋体" w:hAnsi="宋体" w:cs="宋体" w:eastAsia="宋体" w:hint="default"/>
                <w:sz w:val="18"/>
                <w:szCs w:val="18"/>
              </w:rPr>
            </w:pPr>
            <w:r>
              <w:rPr>
                <w:rFonts w:ascii="宋体" w:hAnsi="宋体" w:cs="宋体" w:eastAsia="宋体" w:hint="default"/>
                <w:sz w:val="18"/>
                <w:szCs w:val="18"/>
              </w:rPr>
              <w:t>卫星测控设备</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4" w:right="0"/>
              <w:jc w:val="center"/>
              <w:rPr>
                <w:rFonts w:ascii="宋体" w:hAnsi="宋体" w:cs="宋体" w:eastAsia="宋体" w:hint="default"/>
                <w:sz w:val="18"/>
                <w:szCs w:val="18"/>
              </w:rPr>
            </w:pPr>
            <w:r>
              <w:rPr>
                <w:rFonts w:ascii="宋体" w:hAnsi="宋体" w:cs="宋体" w:eastAsia="宋体" w:hint="default"/>
                <w:sz w:val="18"/>
                <w:szCs w:val="18"/>
              </w:rPr>
              <w:t>国内领先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集成测试阶段</w:t>
            </w:r>
          </w:p>
        </w:tc>
      </w:tr>
      <w:tr>
        <w:trPr>
          <w:trHeight w:val="533"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Times New Roman" w:hAnsi="Times New Roman" w:cs="Times New Roman" w:eastAsia="Times New Roman" w:hint="default"/>
                <w:sz w:val="18"/>
                <w:szCs w:val="18"/>
              </w:rPr>
            </w:pPr>
            <w:r>
              <w:rPr>
                <w:rFonts w:ascii="Times New Roman"/>
                <w:sz w:val="18"/>
              </w:rPr>
              <w:t>13</w:t>
            </w:r>
          </w:p>
        </w:tc>
        <w:tc>
          <w:tcPr>
            <w:tcW w:w="5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物联网卫星基带信号处理单元</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4" w:right="0"/>
              <w:jc w:val="center"/>
              <w:rPr>
                <w:rFonts w:ascii="宋体" w:hAnsi="宋体" w:cs="宋体" w:eastAsia="宋体" w:hint="default"/>
                <w:sz w:val="18"/>
                <w:szCs w:val="18"/>
              </w:rPr>
            </w:pPr>
            <w:r>
              <w:rPr>
                <w:rFonts w:ascii="宋体" w:hAnsi="宋体" w:cs="宋体" w:eastAsia="宋体" w:hint="default"/>
                <w:sz w:val="18"/>
                <w:szCs w:val="18"/>
              </w:rPr>
              <w:t>国内领先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开发阶段</w:t>
            </w:r>
          </w:p>
        </w:tc>
      </w:tr>
      <w:tr>
        <w:trPr>
          <w:trHeight w:val="533"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left="4" w:right="0"/>
              <w:jc w:val="center"/>
              <w:rPr>
                <w:rFonts w:ascii="Times New Roman" w:hAnsi="Times New Roman" w:cs="Times New Roman" w:eastAsia="Times New Roman" w:hint="default"/>
                <w:sz w:val="18"/>
                <w:szCs w:val="18"/>
              </w:rPr>
            </w:pPr>
            <w:r>
              <w:rPr>
                <w:rFonts w:ascii="Times New Roman"/>
                <w:sz w:val="18"/>
              </w:rPr>
              <w:t>14</w:t>
            </w:r>
          </w:p>
        </w:tc>
        <w:tc>
          <w:tcPr>
            <w:tcW w:w="5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新型税控盘组服务器</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4" w:right="0"/>
              <w:jc w:val="center"/>
              <w:rPr>
                <w:rFonts w:ascii="宋体" w:hAnsi="宋体" w:cs="宋体" w:eastAsia="宋体" w:hint="default"/>
                <w:sz w:val="18"/>
                <w:szCs w:val="18"/>
              </w:rPr>
            </w:pPr>
            <w:r>
              <w:rPr>
                <w:rFonts w:ascii="宋体" w:hAnsi="宋体" w:cs="宋体" w:eastAsia="宋体" w:hint="default"/>
                <w:sz w:val="18"/>
                <w:szCs w:val="18"/>
              </w:rPr>
              <w:t>国内领先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量产阶段</w:t>
            </w:r>
          </w:p>
        </w:tc>
      </w:tr>
      <w:tr>
        <w:trPr>
          <w:trHeight w:val="535"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left="4" w:right="0"/>
              <w:jc w:val="center"/>
              <w:rPr>
                <w:rFonts w:ascii="Times New Roman" w:hAnsi="Times New Roman" w:cs="Times New Roman" w:eastAsia="Times New Roman" w:hint="default"/>
                <w:sz w:val="18"/>
                <w:szCs w:val="18"/>
              </w:rPr>
            </w:pPr>
            <w:r>
              <w:rPr>
                <w:rFonts w:ascii="Times New Roman"/>
                <w:sz w:val="18"/>
              </w:rPr>
              <w:t>15</w:t>
            </w:r>
          </w:p>
        </w:tc>
        <w:tc>
          <w:tcPr>
            <w:tcW w:w="5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4" w:right="0"/>
              <w:jc w:val="center"/>
              <w:rPr>
                <w:rFonts w:ascii="宋体" w:hAnsi="宋体" w:cs="宋体" w:eastAsia="宋体" w:hint="default"/>
                <w:sz w:val="18"/>
                <w:szCs w:val="18"/>
              </w:rPr>
            </w:pPr>
            <w:r>
              <w:rPr>
                <w:rFonts w:ascii="宋体" w:hAnsi="宋体" w:cs="宋体" w:eastAsia="宋体" w:hint="default"/>
                <w:sz w:val="18"/>
                <w:szCs w:val="18"/>
              </w:rPr>
              <w:t>百旺云票平台</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4" w:right="0"/>
              <w:jc w:val="center"/>
              <w:rPr>
                <w:rFonts w:ascii="宋体" w:hAnsi="宋体" w:cs="宋体" w:eastAsia="宋体" w:hint="default"/>
                <w:sz w:val="18"/>
                <w:szCs w:val="18"/>
              </w:rPr>
            </w:pPr>
            <w:r>
              <w:rPr>
                <w:rFonts w:ascii="宋体" w:hAnsi="宋体" w:cs="宋体" w:eastAsia="宋体" w:hint="default"/>
                <w:sz w:val="18"/>
                <w:szCs w:val="18"/>
              </w:rPr>
              <w:t>国内领先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运营阶段</w:t>
            </w:r>
          </w:p>
        </w:tc>
      </w:tr>
    </w:tbl>
    <w:p>
      <w:pPr>
        <w:spacing w:line="240" w:lineRule="auto" w:before="11"/>
        <w:rPr>
          <w:rFonts w:ascii="宋体" w:hAnsi="宋体" w:cs="宋体" w:eastAsia="宋体" w:hint="default"/>
          <w:sz w:val="9"/>
          <w:szCs w:val="9"/>
        </w:rPr>
      </w:pPr>
    </w:p>
    <w:p>
      <w:pPr>
        <w:pStyle w:val="BodyText"/>
        <w:spacing w:line="240" w:lineRule="auto" w:before="36"/>
        <w:ind w:right="1127"/>
        <w:jc w:val="left"/>
      </w:pPr>
      <w:r>
        <w:rPr/>
        <w:t>近三年公司研发投入金额及占营业收入的比例</w:t>
      </w:r>
    </w:p>
    <w:p>
      <w:pPr>
        <w:spacing w:line="240" w:lineRule="auto" w:before="5"/>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509"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506"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研发人员数量（人）</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left="9" w:right="0"/>
              <w:jc w:val="center"/>
              <w:rPr>
                <w:rFonts w:ascii="Times New Roman" w:hAnsi="Times New Roman" w:cs="Times New Roman" w:eastAsia="Times New Roman" w:hint="default"/>
                <w:sz w:val="18"/>
                <w:szCs w:val="18"/>
              </w:rPr>
            </w:pPr>
            <w:r>
              <w:rPr>
                <w:rFonts w:ascii="Times New Roman"/>
                <w:sz w:val="18"/>
              </w:rPr>
              <w:t>1,181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1,125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1,562</w:t>
            </w:r>
          </w:p>
        </w:tc>
      </w:tr>
      <w:tr>
        <w:trPr>
          <w:trHeight w:val="509"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left="12" w:right="0"/>
              <w:jc w:val="center"/>
              <w:rPr>
                <w:rFonts w:ascii="Times New Roman" w:hAnsi="Times New Roman" w:cs="Times New Roman" w:eastAsia="Times New Roman" w:hint="default"/>
                <w:sz w:val="18"/>
                <w:szCs w:val="18"/>
              </w:rPr>
            </w:pPr>
            <w:r>
              <w:rPr>
                <w:rFonts w:ascii="Times New Roman"/>
                <w:sz w:val="18"/>
              </w:rPr>
              <w:t>31.72%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 w:right="0"/>
              <w:jc w:val="center"/>
              <w:rPr>
                <w:rFonts w:ascii="Times New Roman" w:hAnsi="Times New Roman" w:cs="Times New Roman" w:eastAsia="Times New Roman" w:hint="default"/>
                <w:sz w:val="18"/>
                <w:szCs w:val="18"/>
              </w:rPr>
            </w:pPr>
            <w:r>
              <w:rPr>
                <w:rFonts w:ascii="Times New Roman"/>
                <w:sz w:val="18"/>
              </w:rPr>
              <w:t>31.09%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 w:right="0"/>
              <w:jc w:val="center"/>
              <w:rPr>
                <w:rFonts w:ascii="Times New Roman" w:hAnsi="Times New Roman" w:cs="Times New Roman" w:eastAsia="Times New Roman" w:hint="default"/>
                <w:sz w:val="18"/>
                <w:szCs w:val="18"/>
              </w:rPr>
            </w:pPr>
            <w:r>
              <w:rPr>
                <w:rFonts w:ascii="Times New Roman"/>
                <w:sz w:val="18"/>
              </w:rPr>
              <w:t>33.05%</w:t>
            </w:r>
          </w:p>
        </w:tc>
      </w:tr>
      <w:tr>
        <w:trPr>
          <w:trHeight w:val="509"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研发投入金额（元）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left="10" w:right="0"/>
              <w:jc w:val="center"/>
              <w:rPr>
                <w:rFonts w:ascii="Times New Roman" w:hAnsi="Times New Roman" w:cs="Times New Roman" w:eastAsia="Times New Roman" w:hint="default"/>
                <w:sz w:val="18"/>
                <w:szCs w:val="18"/>
              </w:rPr>
            </w:pPr>
            <w:r>
              <w:rPr>
                <w:rFonts w:ascii="Times New Roman"/>
                <w:sz w:val="18"/>
              </w:rPr>
              <w:t>229,742,532.94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170,485,386.35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113,761,307.81</w:t>
            </w:r>
          </w:p>
        </w:tc>
      </w:tr>
      <w:tr>
        <w:trPr>
          <w:trHeight w:val="506"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left="7" w:right="0"/>
              <w:jc w:val="center"/>
              <w:rPr>
                <w:rFonts w:ascii="Times New Roman" w:hAnsi="Times New Roman" w:cs="Times New Roman" w:eastAsia="Times New Roman" w:hint="default"/>
                <w:sz w:val="18"/>
                <w:szCs w:val="18"/>
              </w:rPr>
            </w:pPr>
            <w:r>
              <w:rPr>
                <w:rFonts w:ascii="Times New Roman"/>
                <w:sz w:val="18"/>
              </w:rPr>
              <w:t>6.90%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4.42%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3.42%</w:t>
            </w:r>
          </w:p>
        </w:tc>
      </w:tr>
      <w:tr>
        <w:trPr>
          <w:trHeight w:val="509"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left="8" w:right="0"/>
              <w:jc w:val="center"/>
              <w:rPr>
                <w:rFonts w:ascii="Times New Roman" w:hAnsi="Times New Roman" w:cs="Times New Roman" w:eastAsia="Times New Roman" w:hint="default"/>
                <w:sz w:val="18"/>
                <w:szCs w:val="18"/>
              </w:rPr>
            </w:pPr>
            <w:r>
              <w:rPr>
                <w:rFonts w:ascii="Times New Roman"/>
                <w:sz w:val="18"/>
              </w:rPr>
              <w:t>35,481,275.63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0.00</w:t>
            </w:r>
          </w:p>
        </w:tc>
      </w:tr>
      <w:tr>
        <w:trPr>
          <w:trHeight w:val="82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909" w:right="98" w:hanging="812"/>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15.44%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r>
      <w:tr>
        <w:trPr>
          <w:trHeight w:val="818"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101"/>
              <w:ind w:left="818" w:right="98" w:hanging="720"/>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13.48%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center"/>
        <w:rPr>
          <w:rFonts w:ascii="Times New Roman" w:hAnsi="Times New Roman" w:cs="Times New Roman" w:eastAsia="Times New Roman" w:hint="default"/>
          <w:sz w:val="18"/>
          <w:szCs w:val="18"/>
        </w:rPr>
        <w:sectPr>
          <w:footerReference w:type="default" r:id="rId25"/>
          <w:pgSz w:w="11910" w:h="16840"/>
          <w:pgMar w:footer="1134" w:header="882" w:top="1280" w:bottom="1320" w:left="980" w:right="0"/>
        </w:sectPr>
      </w:pPr>
    </w:p>
    <w:p>
      <w:pPr>
        <w:spacing w:line="240" w:lineRule="auto" w:before="4"/>
        <w:rPr>
          <w:rFonts w:ascii="宋体" w:hAnsi="宋体" w:cs="宋体" w:eastAsia="宋体" w:hint="default"/>
          <w:sz w:val="13"/>
          <w:szCs w:val="13"/>
        </w:rPr>
      </w:pPr>
    </w:p>
    <w:p>
      <w:pPr>
        <w:pStyle w:val="BodyText"/>
        <w:spacing w:line="240" w:lineRule="auto" w:before="36"/>
        <w:ind w:right="1127"/>
        <w:jc w:val="left"/>
      </w:pPr>
      <w:r>
        <w:rPr/>
        <w:t>研发投入总额占营业收入的比重较上年发生显著变化的原因</w:t>
      </w:r>
    </w:p>
    <w:p>
      <w:pPr>
        <w:spacing w:line="240" w:lineRule="auto" w:before="6"/>
        <w:rPr>
          <w:rFonts w:ascii="宋体" w:hAnsi="宋体" w:cs="宋体" w:eastAsia="宋体" w:hint="default"/>
          <w:sz w:val="22"/>
          <w:szCs w:val="22"/>
        </w:rPr>
      </w:pPr>
    </w:p>
    <w:p>
      <w:pPr>
        <w:pStyle w:val="BodyText"/>
        <w:spacing w:line="468" w:lineRule="auto"/>
        <w:ind w:right="5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研发投入资本化率大幅变动的原因及其合理性说明</w:t>
      </w:r>
    </w:p>
    <w:p>
      <w:pPr>
        <w:pStyle w:val="BodyText"/>
        <w:spacing w:line="470" w:lineRule="auto" w:before="94"/>
        <w:ind w:right="1127"/>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7"/>
        </w:rPr>
        <w:t>为增强竞争力，抓住市场机遇，公司加强研发项目管理，为公司持续加大研发投入提供资金保障。</w:t>
      </w:r>
      <w:r>
        <w:rPr>
          <w:rFonts w:ascii="Times New Roman" w:hAnsi="Times New Roman" w:cs="Times New Roman" w:eastAsia="Times New Roman" w:hint="default"/>
          <w:spacing w:val="-7"/>
        </w:rPr>
        <w:t>2019</w:t>
      </w:r>
      <w:r>
        <w:rPr>
          <w:rFonts w:ascii="Times New Roman" w:hAnsi="Times New Roman" w:cs="Times New Roman" w:eastAsia="Times New Roman" w:hint="default"/>
        </w:rPr>
      </w:r>
    </w:p>
    <w:p>
      <w:pPr>
        <w:pStyle w:val="BodyText"/>
        <w:spacing w:line="229" w:lineRule="exact"/>
        <w:ind w:left="152" w:right="0"/>
        <w:jc w:val="left"/>
      </w:pPr>
      <w:r>
        <w:rPr/>
        <w:t>年，公司加强在智慧防务业务和信息安全业务的研发投入，资本化项目主要是装备状态监控及故障诊断数</w:t>
      </w:r>
    </w:p>
    <w:p>
      <w:pPr>
        <w:spacing w:line="240" w:lineRule="auto" w:before="10"/>
        <w:rPr>
          <w:rFonts w:ascii="宋体" w:hAnsi="宋体" w:cs="宋体" w:eastAsia="宋体" w:hint="default"/>
          <w:sz w:val="14"/>
          <w:szCs w:val="14"/>
        </w:rPr>
      </w:pPr>
    </w:p>
    <w:p>
      <w:pPr>
        <w:pStyle w:val="BodyText"/>
        <w:spacing w:line="408" w:lineRule="auto"/>
        <w:ind w:left="152" w:right="1127"/>
        <w:jc w:val="left"/>
      </w:pPr>
      <w:r>
        <w:rPr>
          <w:spacing w:val="-2"/>
        </w:rPr>
        <w:t>据分析系统和信息安全相关业务，此研发项目为公司未来技术及产品保持领先市场竞争力和开拓新的市场</w:t>
      </w:r>
      <w:r>
        <w:rPr>
          <w:spacing w:val="-42"/>
        </w:rPr>
        <w:t> </w:t>
      </w:r>
      <w:r>
        <w:rPr>
          <w:spacing w:val="-42"/>
        </w:rPr>
      </w:r>
      <w:r>
        <w:rPr/>
        <w:t>提供重要保障。</w:t>
      </w:r>
    </w:p>
    <w:p>
      <w:pPr>
        <w:pStyle w:val="BodyText"/>
        <w:spacing w:line="384" w:lineRule="auto" w:before="147"/>
        <w:ind w:left="152" w:right="1022" w:firstLine="419"/>
        <w:jc w:val="left"/>
      </w:pPr>
      <w:r>
        <w:rPr>
          <w:spacing w:val="-3"/>
        </w:rPr>
        <w:t>公司需遵守《深圳证券交易所行业信息披露指引第 </w:t>
      </w:r>
      <w:r>
        <w:rPr>
          <w:rFonts w:ascii="Times New Roman" w:hAnsi="Times New Roman" w:cs="Times New Roman" w:eastAsia="Times New Roman" w:hint="default"/>
        </w:rPr>
        <w:t>12</w:t>
      </w:r>
      <w:r>
        <w:rPr>
          <w:rFonts w:ascii="Times New Roman" w:hAnsi="Times New Roman" w:cs="Times New Roman" w:eastAsia="Times New Roman" w:hint="default"/>
          <w:spacing w:val="-25"/>
        </w:rPr>
        <w:t> </w:t>
      </w:r>
      <w:r>
        <w:rPr/>
        <w:t>号</w:t>
      </w:r>
      <w:r>
        <w:rPr>
          <w:rFonts w:ascii="Times New Roman" w:hAnsi="Times New Roman" w:cs="Times New Roman" w:eastAsia="Times New Roman" w:hint="default"/>
        </w:rPr>
        <w:t>——</w:t>
      </w:r>
      <w:r>
        <w:rPr/>
        <w:t>上市公司从事软件与信息技术服务业务》</w:t>
      </w:r>
      <w:r>
        <w:rPr>
          <w:w w:val="100"/>
        </w:rPr>
        <w:t> </w:t>
      </w:r>
      <w:r>
        <w:rPr/>
        <w:t>的披露要求</w:t>
      </w:r>
    </w:p>
    <w:p>
      <w:pPr>
        <w:pStyle w:val="BodyText"/>
        <w:spacing w:line="240" w:lineRule="auto" w:before="168"/>
        <w:ind w:left="0" w:right="1130"/>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702"/>
        <w:gridCol w:w="1702"/>
        <w:gridCol w:w="4394"/>
        <w:gridCol w:w="1771"/>
      </w:tblGrid>
      <w:tr>
        <w:trPr>
          <w:trHeight w:val="506" w:hRule="exact"/>
        </w:trPr>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研发资本化金额</w:t>
            </w:r>
          </w:p>
        </w:tc>
        <w:tc>
          <w:tcPr>
            <w:tcW w:w="43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382"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238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TC6100 </w:t>
            </w:r>
            <w:r>
              <w:rPr>
                <w:rFonts w:ascii="宋体" w:hAnsi="宋体" w:cs="宋体" w:eastAsia="宋体" w:hint="default"/>
                <w:sz w:val="18"/>
                <w:szCs w:val="18"/>
              </w:rPr>
              <w:t>百旺</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CRM2.0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Times New Roman" w:hAnsi="Times New Roman" w:cs="Times New Roman" w:eastAsia="Times New Roman" w:hint="default"/>
                <w:sz w:val="18"/>
                <w:szCs w:val="18"/>
              </w:rPr>
            </w:pPr>
            <w:r>
              <w:rPr>
                <w:rFonts w:ascii="Times New Roman"/>
                <w:sz w:val="18"/>
              </w:rPr>
              <w:t>835,596.71</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23"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Crm2.0</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系统是一款专业的纳税人综合信息管理软件。其</w:t>
            </w:r>
            <w:r>
              <w:rPr>
                <w:rFonts w:ascii="宋体" w:hAnsi="宋体" w:cs="宋体" w:eastAsia="宋体" w:hint="default"/>
                <w:w w:val="99"/>
                <w:sz w:val="18"/>
                <w:szCs w:val="18"/>
              </w:rPr>
              <w:t> </w:t>
            </w:r>
            <w:r>
              <w:rPr>
                <w:rFonts w:ascii="宋体" w:hAnsi="宋体" w:cs="宋体" w:eastAsia="宋体" w:hint="default"/>
                <w:sz w:val="18"/>
                <w:szCs w:val="18"/>
              </w:rPr>
              <w:t>中的模块有系统管理、客户关系、商品库存管理、增值</w:t>
            </w:r>
            <w:r>
              <w:rPr>
                <w:rFonts w:ascii="宋体" w:hAnsi="宋体" w:cs="宋体" w:eastAsia="宋体" w:hint="default"/>
                <w:w w:val="99"/>
                <w:sz w:val="18"/>
                <w:szCs w:val="18"/>
              </w:rPr>
              <w:t> </w:t>
            </w:r>
            <w:r>
              <w:rPr>
                <w:rFonts w:ascii="宋体" w:hAnsi="宋体" w:cs="宋体" w:eastAsia="宋体" w:hint="default"/>
                <w:sz w:val="18"/>
                <w:szCs w:val="18"/>
              </w:rPr>
              <w:t>产品管理、商品中心、基础配置、日志管理等模块，实</w:t>
            </w:r>
            <w:r>
              <w:rPr>
                <w:rFonts w:ascii="宋体" w:hAnsi="宋体" w:cs="宋体" w:eastAsia="宋体" w:hint="default"/>
                <w:w w:val="99"/>
                <w:sz w:val="18"/>
                <w:szCs w:val="18"/>
              </w:rPr>
              <w:t> </w:t>
            </w:r>
            <w:r>
              <w:rPr>
                <w:rFonts w:ascii="宋体" w:hAnsi="宋体" w:cs="宋体" w:eastAsia="宋体" w:hint="default"/>
                <w:sz w:val="18"/>
                <w:szCs w:val="18"/>
              </w:rPr>
              <w:t>现客户添加、商品入库、订单管理、商品销售、基础信</w:t>
            </w:r>
            <w:r>
              <w:rPr>
                <w:rFonts w:ascii="宋体" w:hAnsi="宋体" w:cs="宋体" w:eastAsia="宋体" w:hint="default"/>
                <w:w w:val="99"/>
                <w:sz w:val="18"/>
                <w:szCs w:val="18"/>
              </w:rPr>
              <w:t> </w:t>
            </w:r>
            <w:r>
              <w:rPr>
                <w:rFonts w:ascii="宋体" w:hAnsi="宋体" w:cs="宋体" w:eastAsia="宋体" w:hint="default"/>
                <w:sz w:val="18"/>
                <w:szCs w:val="18"/>
              </w:rPr>
              <w:t>息设置等功能。帮助企业规范业务流程、提高客户服务</w:t>
            </w:r>
            <w:r>
              <w:rPr>
                <w:rFonts w:ascii="宋体" w:hAnsi="宋体" w:cs="宋体" w:eastAsia="宋体" w:hint="default"/>
                <w:w w:val="99"/>
                <w:sz w:val="18"/>
                <w:szCs w:val="18"/>
              </w:rPr>
              <w:t> </w:t>
            </w:r>
            <w:r>
              <w:rPr>
                <w:rFonts w:ascii="宋体" w:hAnsi="宋体" w:cs="宋体" w:eastAsia="宋体" w:hint="default"/>
                <w:sz w:val="18"/>
                <w:szCs w:val="18"/>
              </w:rPr>
              <w:t>质量、有效管理客户资源，达到全面提升企业核心竞争</w:t>
            </w:r>
            <w:r>
              <w:rPr>
                <w:rFonts w:ascii="宋体" w:hAnsi="宋体" w:cs="宋体" w:eastAsia="宋体" w:hint="default"/>
                <w:w w:val="99"/>
                <w:sz w:val="18"/>
                <w:szCs w:val="18"/>
              </w:rPr>
              <w:t> </w:t>
            </w:r>
            <w:r>
              <w:rPr>
                <w:rFonts w:ascii="宋体" w:hAnsi="宋体" w:cs="宋体" w:eastAsia="宋体" w:hint="default"/>
                <w:sz w:val="18"/>
                <w:szCs w:val="18"/>
              </w:rPr>
              <w:t>力的目的。</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7" w:right="0"/>
              <w:jc w:val="center"/>
              <w:rPr>
                <w:rFonts w:ascii="Times New Roman" w:hAnsi="Times New Roman" w:cs="Times New Roman" w:eastAsia="Times New Roman" w:hint="default"/>
                <w:sz w:val="18"/>
                <w:szCs w:val="18"/>
              </w:rPr>
            </w:pPr>
            <w:r>
              <w:rPr>
                <w:rFonts w:ascii="Times New Roman"/>
                <w:sz w:val="18"/>
              </w:rPr>
              <w:t>55%</w:t>
            </w:r>
          </w:p>
        </w:tc>
      </w:tr>
      <w:tr>
        <w:trPr>
          <w:trHeight w:val="300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TC6200 </w:t>
            </w:r>
            <w:r>
              <w:rPr>
                <w:rFonts w:ascii="宋体" w:hAnsi="宋体" w:cs="宋体" w:eastAsia="宋体" w:hint="default"/>
                <w:sz w:val="18"/>
                <w:szCs w:val="18"/>
              </w:rPr>
              <w:t>云票助手</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5,151,143.17</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1"/>
              <w:ind w:left="23" w:right="18" w:hanging="4"/>
              <w:jc w:val="center"/>
              <w:rPr>
                <w:rFonts w:ascii="宋体" w:hAnsi="宋体" w:cs="宋体" w:eastAsia="宋体" w:hint="default"/>
                <w:sz w:val="18"/>
                <w:szCs w:val="18"/>
              </w:rPr>
            </w:pPr>
            <w:r>
              <w:rPr>
                <w:rFonts w:ascii="宋体" w:hAnsi="宋体" w:cs="宋体" w:eastAsia="宋体" w:hint="default"/>
                <w:sz w:val="18"/>
                <w:szCs w:val="18"/>
              </w:rPr>
              <w:t>云票助手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的开发，新增批量导入、扫码开票等相应 的模块。在以往传统电子发票解决方案的基础之上，升 级区块链电子发票，实现发票上链、发票归集、发票追 溯、发票核验等功能。借助分布式记账、多方共识、非 对称加密等技术，助力国家解决了现行财税环境下的一 </w:t>
            </w:r>
            <w:r>
              <w:rPr>
                <w:rFonts w:ascii="宋体" w:hAnsi="宋体" w:cs="宋体" w:eastAsia="宋体" w:hint="default"/>
                <w:spacing w:val="-4"/>
                <w:sz w:val="18"/>
                <w:szCs w:val="18"/>
              </w:rPr>
              <w:t>些实际问题，提供了一套全新的电子发票标准。区块链</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电子发票具有以下优点：</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、全流程追溯安、信息不可篡</w:t>
            </w:r>
            <w:r>
              <w:rPr>
                <w:rFonts w:ascii="宋体" w:hAnsi="宋体" w:cs="宋体" w:eastAsia="宋体" w:hint="default"/>
                <w:sz w:val="18"/>
                <w:szCs w:val="18"/>
              </w:rPr>
              <w:t> 改；</w:t>
            </w:r>
            <w:r>
              <w:rPr>
                <w:rFonts w:ascii="Times New Roman" w:hAnsi="Times New Roman" w:cs="Times New Roman" w:eastAsia="Times New Roman" w:hint="default"/>
                <w:sz w:val="18"/>
                <w:szCs w:val="18"/>
              </w:rPr>
              <w:t>2</w:t>
            </w:r>
            <w:r>
              <w:rPr>
                <w:rFonts w:ascii="宋体" w:hAnsi="宋体" w:cs="宋体" w:eastAsia="宋体" w:hint="default"/>
                <w:sz w:val="18"/>
                <w:szCs w:val="18"/>
              </w:rPr>
              <w:t>、全称监管、规避假票；</w:t>
            </w:r>
            <w:r>
              <w:rPr>
                <w:rFonts w:ascii="Times New Roman" w:hAnsi="Times New Roman" w:cs="Times New Roman" w:eastAsia="Times New Roman" w:hint="default"/>
                <w:sz w:val="18"/>
                <w:szCs w:val="18"/>
              </w:rPr>
              <w:t>3</w:t>
            </w:r>
            <w:r>
              <w:rPr>
                <w:rFonts w:ascii="宋体" w:hAnsi="宋体" w:cs="宋体" w:eastAsia="宋体" w:hint="default"/>
                <w:sz w:val="18"/>
                <w:szCs w:val="18"/>
              </w:rPr>
              <w:t>、区块链可连接发票全 场景</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90%</w:t>
            </w:r>
          </w:p>
        </w:tc>
      </w:tr>
      <w:tr>
        <w:trPr>
          <w:trHeight w:val="206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TC6300 </w:t>
            </w:r>
            <w:r>
              <w:rPr>
                <w:rFonts w:ascii="宋体" w:hAnsi="宋体" w:cs="宋体" w:eastAsia="宋体" w:hint="default"/>
                <w:sz w:val="18"/>
                <w:szCs w:val="18"/>
              </w:rPr>
              <w:t>云票平台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3,286,415.74</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1"/>
              <w:ind w:left="33" w:right="29"/>
              <w:jc w:val="center"/>
              <w:rPr>
                <w:rFonts w:ascii="宋体" w:hAnsi="宋体" w:cs="宋体" w:eastAsia="宋体" w:hint="default"/>
                <w:sz w:val="18"/>
                <w:szCs w:val="18"/>
              </w:rPr>
            </w:pPr>
            <w:r>
              <w:rPr>
                <w:rFonts w:ascii="宋体" w:hAnsi="宋体" w:cs="宋体" w:eastAsia="宋体" w:hint="default"/>
                <w:sz w:val="18"/>
                <w:szCs w:val="18"/>
              </w:rPr>
              <w:t>云票平台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是多功能智能开票平台系统，是针对企业 提供的财税一体化平台，提供销项发票的全生命周期管 理，</w:t>
            </w:r>
            <w:r>
              <w:rPr>
                <w:rFonts w:ascii="Times New Roman" w:hAnsi="Times New Roman" w:cs="Times New Roman" w:eastAsia="Times New Roman" w:hint="default"/>
                <w:sz w:val="18"/>
                <w:szCs w:val="18"/>
              </w:rPr>
              <w:t>API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接口对接，进项发票勾选认证，私有化云部署</w:t>
            </w:r>
            <w:r>
              <w:rPr>
                <w:rFonts w:ascii="宋体" w:hAnsi="宋体" w:cs="宋体" w:eastAsia="宋体" w:hint="default"/>
                <w:w w:val="99"/>
                <w:sz w:val="18"/>
                <w:szCs w:val="18"/>
              </w:rPr>
              <w:t> </w:t>
            </w:r>
            <w:r>
              <w:rPr>
                <w:rFonts w:ascii="宋体" w:hAnsi="宋体" w:cs="宋体" w:eastAsia="宋体" w:hint="default"/>
                <w:sz w:val="18"/>
                <w:szCs w:val="18"/>
              </w:rPr>
              <w:t>方式和代理记账平台支持，电子平台的签章管理，发票</w:t>
            </w:r>
            <w:r>
              <w:rPr>
                <w:rFonts w:ascii="宋体" w:hAnsi="宋体" w:cs="宋体" w:eastAsia="宋体" w:hint="default"/>
                <w:w w:val="99"/>
                <w:sz w:val="18"/>
                <w:szCs w:val="18"/>
              </w:rPr>
              <w:t> </w:t>
            </w:r>
            <w:r>
              <w:rPr>
                <w:rFonts w:ascii="宋体" w:hAnsi="宋体" w:cs="宋体" w:eastAsia="宋体" w:hint="default"/>
                <w:sz w:val="18"/>
                <w:szCs w:val="18"/>
              </w:rPr>
              <w:t>生成，短信邮件推送等。适用于批发、零售、餐饮、娱</w:t>
            </w:r>
            <w:r>
              <w:rPr>
                <w:rFonts w:ascii="宋体" w:hAnsi="宋体" w:cs="宋体" w:eastAsia="宋体" w:hint="default"/>
                <w:w w:val="99"/>
                <w:sz w:val="18"/>
                <w:szCs w:val="18"/>
              </w:rPr>
              <w:t> </w:t>
            </w:r>
            <w:r>
              <w:rPr>
                <w:rFonts w:ascii="宋体" w:hAnsi="宋体" w:cs="宋体" w:eastAsia="宋体" w:hint="default"/>
                <w:sz w:val="18"/>
                <w:szCs w:val="18"/>
              </w:rPr>
              <w:t>乐、住宿、商务服务、居民服务多个行业。</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60%</w:t>
            </w:r>
          </w:p>
        </w:tc>
      </w:tr>
    </w:tbl>
    <w:p>
      <w:pPr>
        <w:spacing w:after="0" w:line="240" w:lineRule="auto"/>
        <w:jc w:val="center"/>
        <w:rPr>
          <w:rFonts w:ascii="Times New Roman" w:hAnsi="Times New Roman" w:cs="Times New Roman" w:eastAsia="Times New Roman" w:hint="default"/>
          <w:sz w:val="18"/>
          <w:szCs w:val="18"/>
        </w:rPr>
        <w:sectPr>
          <w:footerReference w:type="default" r:id="rId26"/>
          <w:pgSz w:w="11910" w:h="16840"/>
          <w:pgMar w:footer="1134" w:header="882" w:top="1280" w:bottom="1320" w:left="980" w:right="0"/>
          <w:pgNumType w:start="31"/>
        </w:sectPr>
      </w:pPr>
    </w:p>
    <w:p>
      <w:pPr>
        <w:spacing w:line="240" w:lineRule="auto" w:before="8"/>
        <w:rPr>
          <w:rFonts w:ascii="Times New Roman" w:hAnsi="Times New Roman" w:cs="Times New Roman" w:eastAsia="Times New Roman" w:hint="default"/>
          <w:sz w:val="12"/>
          <w:szCs w:val="12"/>
        </w:rPr>
      </w:pPr>
      <w:r>
        <w:rPr/>
        <w:pict>
          <v:shape style="position:absolute;margin-left:386.640015pt;margin-top:238.319977pt;width:148.2pt;height:31.2pt;mso-position-horizontal-relative:page;mso-position-vertical-relative:page;z-index:-1427320" type="#_x0000_t202" filled="false" stroked="false">
            <v:textbox inset="0,0,0,0">
              <w:txbxContent>
                <w:p>
                  <w:pPr>
                    <w:spacing w:before="101"/>
                    <w:ind w:left="0" w:right="0" w:firstLine="0"/>
                    <w:jc w:val="left"/>
                    <w:rPr>
                      <w:rFonts w:ascii="宋体" w:hAnsi="宋体" w:cs="宋体" w:eastAsia="宋体" w:hint="default"/>
                      <w:sz w:val="18"/>
                      <w:szCs w:val="18"/>
                    </w:rPr>
                  </w:pPr>
                  <w:r>
                    <w:rPr>
                      <w:rFonts w:ascii="宋体" w:hAnsi="宋体" w:cs="宋体" w:eastAsia="宋体" w:hint="default"/>
                      <w:sz w:val="18"/>
                      <w:szCs w:val="18"/>
                    </w:rPr>
                    <w:t>实现票控功能，</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702"/>
        <w:gridCol w:w="1702"/>
        <w:gridCol w:w="4394"/>
        <w:gridCol w:w="1771"/>
      </w:tblGrid>
      <w:tr>
        <w:trPr>
          <w:trHeight w:val="331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TC5000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税控服务器</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939,338.84</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1"/>
              <w:ind w:left="23" w:right="19"/>
              <w:jc w:val="center"/>
              <w:rPr>
                <w:rFonts w:ascii="宋体" w:hAnsi="宋体" w:cs="宋体" w:eastAsia="宋体" w:hint="default"/>
                <w:sz w:val="18"/>
                <w:szCs w:val="18"/>
              </w:rPr>
            </w:pPr>
            <w:r>
              <w:rPr>
                <w:rFonts w:ascii="宋体" w:hAnsi="宋体" w:cs="宋体" w:eastAsia="宋体" w:hint="default"/>
                <w:sz w:val="18"/>
                <w:szCs w:val="18"/>
              </w:rPr>
              <w:t>税控服务器系统以税控服务器为核心、以税控钥匙为公 网通信保护、以税控开票软件为终端应用，实现了高实 </w:t>
            </w:r>
            <w:r>
              <w:rPr>
                <w:rFonts w:ascii="宋体" w:hAnsi="宋体" w:cs="宋体" w:eastAsia="宋体" w:hint="default"/>
                <w:spacing w:val="-2"/>
                <w:sz w:val="18"/>
                <w:szCs w:val="18"/>
              </w:rPr>
              <w:t>时性、高性价比、高易用性等特点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可架设在指定机房或</w:t>
            </w:r>
            <w:r>
              <w:rPr>
                <w:rFonts w:ascii="宋体" w:hAnsi="宋体" w:cs="宋体" w:eastAsia="宋体" w:hint="default"/>
                <w:spacing w:val="-75"/>
                <w:sz w:val="18"/>
                <w:szCs w:val="18"/>
              </w:rPr>
              <w:t> </w:t>
            </w:r>
            <w:r>
              <w:rPr>
                <w:rFonts w:ascii="宋体" w:hAnsi="宋体" w:cs="宋体" w:eastAsia="宋体" w:hint="default"/>
                <w:sz w:val="18"/>
                <w:szCs w:val="18"/>
              </w:rPr>
              <w:t>者大型企业自有信息化机房，通过公网连接全国各地开 票点的开票终端。税控服务器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是我公司在税控安全 产品领域为保障高并发、大数据量税控数据的国密算法 运算而研发的新型号产品。支持国密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SM2</w:t>
            </w:r>
            <w:r>
              <w:rPr>
                <w:rFonts w:ascii="宋体" w:hAnsi="宋体" w:cs="宋体" w:eastAsia="宋体" w:hint="default"/>
                <w:sz w:val="18"/>
                <w:szCs w:val="18"/>
              </w:rPr>
              <w:t>、</w:t>
            </w:r>
            <w:r>
              <w:rPr>
                <w:rFonts w:ascii="Times New Roman" w:hAnsi="Times New Roman" w:cs="Times New Roman" w:eastAsia="Times New Roman" w:hint="default"/>
                <w:sz w:val="18"/>
                <w:szCs w:val="18"/>
              </w:rPr>
              <w:t>SM3</w:t>
            </w:r>
            <w:r>
              <w:rPr>
                <w:rFonts w:ascii="宋体" w:hAnsi="宋体" w:cs="宋体" w:eastAsia="宋体" w:hint="default"/>
                <w:sz w:val="18"/>
                <w:szCs w:val="18"/>
              </w:rPr>
              <w:t>、</w:t>
            </w:r>
            <w:r>
              <w:rPr>
                <w:rFonts w:ascii="Times New Roman" w:hAnsi="Times New Roman" w:cs="Times New Roman" w:eastAsia="Times New Roman" w:hint="default"/>
                <w:sz w:val="18"/>
                <w:szCs w:val="18"/>
              </w:rPr>
              <w:t>SM4</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算法，具备高性能、多并发的数据加解密、签名验签、 安全存储、身份认证等功能，能有效保障税务数据的安 全生成、加密存储、数据防篡改等操作。</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55%</w:t>
            </w:r>
          </w:p>
        </w:tc>
      </w:tr>
      <w:tr>
        <w:trPr>
          <w:trHeight w:val="17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TC1000 </w:t>
            </w:r>
            <w:r>
              <w:rPr>
                <w:rFonts w:ascii="宋体" w:hAnsi="宋体" w:cs="宋体" w:eastAsia="宋体" w:hint="default"/>
                <w:sz w:val="18"/>
                <w:szCs w:val="18"/>
              </w:rPr>
              <w:t>票控盘</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439" w:right="0"/>
              <w:jc w:val="left"/>
              <w:rPr>
                <w:rFonts w:ascii="Times New Roman" w:hAnsi="Times New Roman" w:cs="Times New Roman" w:eastAsia="Times New Roman" w:hint="default"/>
                <w:sz w:val="18"/>
                <w:szCs w:val="18"/>
              </w:rPr>
            </w:pPr>
            <w:r>
              <w:rPr>
                <w:rFonts w:ascii="Times New Roman"/>
                <w:sz w:val="18"/>
              </w:rPr>
              <w:t>207,008.32</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33" w:right="29" w:hanging="10"/>
              <w:jc w:val="left"/>
              <w:rPr>
                <w:rFonts w:ascii="宋体" w:hAnsi="宋体" w:cs="宋体" w:eastAsia="宋体" w:hint="default"/>
                <w:sz w:val="18"/>
                <w:szCs w:val="18"/>
              </w:rPr>
            </w:pPr>
            <w:r>
              <w:rPr>
                <w:rFonts w:ascii="宋体" w:hAnsi="宋体" w:cs="宋体" w:eastAsia="宋体" w:hint="default"/>
                <w:sz w:val="18"/>
                <w:szCs w:val="18"/>
              </w:rPr>
              <w:t>在票控信息管理系统中与开票软件配合， 满足票据的管理要求，保证票控数据的正确生成、可靠 存储、防止篡改，正确生成并可靠存储票控码和票控数 据，存储监控管理数据，并保证只能通过指定的安全方</w:t>
            </w:r>
          </w:p>
          <w:p>
            <w:pPr>
              <w:pStyle w:val="TableParagraph"/>
              <w:spacing w:line="240" w:lineRule="auto" w:before="19"/>
              <w:ind w:left="573" w:right="0"/>
              <w:jc w:val="left"/>
              <w:rPr>
                <w:rFonts w:ascii="宋体" w:hAnsi="宋体" w:cs="宋体" w:eastAsia="宋体" w:hint="default"/>
                <w:sz w:val="18"/>
                <w:szCs w:val="18"/>
              </w:rPr>
            </w:pPr>
            <w:r>
              <w:rPr>
                <w:rFonts w:ascii="宋体" w:hAnsi="宋体" w:cs="宋体" w:eastAsia="宋体" w:hint="default"/>
                <w:sz w:val="18"/>
                <w:szCs w:val="18"/>
              </w:rPr>
              <w:t>式进行更新，支持算法下载和密钥下载。</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88.1pt;height:31.2pt;mso-position-horizontal-relative:char;mso-position-vertical-relative:line" coordorigin="0,0" coordsize="1762,624">
                  <v:group style="position:absolute;left:0;top:0;width:1762;height:624" coordorigin="0,0" coordsize="1762,624">
                    <v:shape style="position:absolute;left:0;top:0;width:1762;height:624" coordorigin="0,0" coordsize="1762,624" path="m0,624l1762,624,1762,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144"/>
              <w:ind w:left="7" w:right="0"/>
              <w:jc w:val="center"/>
              <w:rPr>
                <w:rFonts w:ascii="Times New Roman" w:hAnsi="Times New Roman" w:cs="Times New Roman" w:eastAsia="Times New Roman" w:hint="default"/>
                <w:sz w:val="18"/>
                <w:szCs w:val="18"/>
              </w:rPr>
            </w:pPr>
            <w:r>
              <w:rPr>
                <w:rFonts w:ascii="Times New Roman"/>
                <w:sz w:val="18"/>
              </w:rPr>
              <w:t>45%</w:t>
            </w:r>
          </w:p>
        </w:tc>
      </w:tr>
      <w:tr>
        <w:trPr>
          <w:trHeight w:val="14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TC3000 </w:t>
            </w:r>
            <w:r>
              <w:rPr>
                <w:rFonts w:ascii="宋体" w:hAnsi="宋体" w:cs="宋体" w:eastAsia="宋体" w:hint="default"/>
                <w:sz w:val="18"/>
                <w:szCs w:val="18"/>
              </w:rPr>
              <w:t>税控盘</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1,900,065.74</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1"/>
              <w:ind w:left="33" w:right="29"/>
              <w:jc w:val="center"/>
              <w:rPr>
                <w:rFonts w:ascii="宋体" w:hAnsi="宋体" w:cs="宋体" w:eastAsia="宋体" w:hint="default"/>
                <w:sz w:val="18"/>
                <w:szCs w:val="18"/>
              </w:rPr>
            </w:pPr>
            <w:r>
              <w:rPr>
                <w:rFonts w:ascii="宋体" w:hAnsi="宋体" w:cs="宋体" w:eastAsia="宋体" w:hint="default"/>
                <w:sz w:val="18"/>
                <w:szCs w:val="18"/>
              </w:rPr>
              <w:t>在发票开票软件的配合下实现发票税控功能，能满足税 务机关对发票的管理要求，保证发票税控数据的正确生 成、可靠存储、防止篡改；并通过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功能对发票进行 数字签名，通过网络实时上传到服务器。</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80%</w:t>
            </w:r>
          </w:p>
        </w:tc>
      </w:tr>
      <w:tr>
        <w:trPr>
          <w:trHeight w:val="300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CT100 </w:t>
            </w:r>
            <w:r>
              <w:rPr>
                <w:rFonts w:ascii="宋体" w:hAnsi="宋体" w:cs="宋体" w:eastAsia="宋体" w:hint="default"/>
                <w:sz w:val="18"/>
                <w:szCs w:val="18"/>
              </w:rPr>
              <w:t>税控智能终端</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444" w:right="0"/>
              <w:jc w:val="left"/>
              <w:rPr>
                <w:rFonts w:ascii="Times New Roman" w:hAnsi="Times New Roman" w:cs="Times New Roman" w:eastAsia="Times New Roman" w:hint="default"/>
                <w:sz w:val="18"/>
                <w:szCs w:val="18"/>
              </w:rPr>
            </w:pPr>
            <w:r>
              <w:rPr>
                <w:rFonts w:ascii="Times New Roman"/>
                <w:sz w:val="18"/>
              </w:rPr>
              <w:t>114,326.19</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1"/>
              <w:ind w:left="23"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"CT100 </w:t>
            </w:r>
            <w:r>
              <w:rPr>
                <w:rFonts w:ascii="宋体" w:hAnsi="宋体" w:cs="宋体" w:eastAsia="宋体" w:hint="default"/>
                <w:sz w:val="18"/>
                <w:szCs w:val="18"/>
              </w:rPr>
              <w:t>税控智能终端</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，为旋极百旺研发的一款支持 多种发票票种开具打印，内置</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PHP</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服务模块，可云端网</w:t>
            </w:r>
            <w:r>
              <w:rPr>
                <w:rFonts w:ascii="宋体" w:hAnsi="宋体" w:cs="宋体" w:eastAsia="宋体" w:hint="default"/>
                <w:sz w:val="18"/>
                <w:szCs w:val="18"/>
              </w:rPr>
              <w:t> 络对接各类客户端、平台软件的新一代智能税控设备， 高效、便捷地实现了在互联网环境下的远程云端开票。 新一代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CT100 </w:t>
            </w:r>
            <w:r>
              <w:rPr>
                <w:rFonts w:ascii="宋体" w:hAnsi="宋体" w:cs="宋体" w:eastAsia="宋体" w:hint="default"/>
                <w:sz w:val="18"/>
                <w:szCs w:val="18"/>
              </w:rPr>
              <w:t>税控智能终端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，完美支持内置卷式发 票打印机或外接专用打印机进行发票打印，支持增值税 电子发票、普票、专票、卷票等票种的开具、作废、抄 报等税控功能，支持通过各类电脑、智能手机、平板电 脑等桌面、移动端设备访问。</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4" w:right="0"/>
              <w:jc w:val="center"/>
              <w:rPr>
                <w:rFonts w:ascii="Times New Roman" w:hAnsi="Times New Roman" w:cs="Times New Roman" w:eastAsia="Times New Roman" w:hint="default"/>
                <w:sz w:val="18"/>
                <w:szCs w:val="18"/>
              </w:rPr>
            </w:pPr>
            <w:r>
              <w:rPr>
                <w:rFonts w:ascii="Times New Roman"/>
                <w:sz w:val="18"/>
              </w:rPr>
              <w:t>100.00%</w:t>
            </w:r>
          </w:p>
        </w:tc>
      </w:tr>
      <w:tr>
        <w:trPr>
          <w:trHeight w:val="36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TC6600 </w:t>
            </w:r>
            <w:r>
              <w:rPr>
                <w:rFonts w:ascii="宋体" w:hAnsi="宋体" w:cs="宋体" w:eastAsia="宋体" w:hint="default"/>
                <w:sz w:val="18"/>
                <w:szCs w:val="18"/>
              </w:rPr>
              <w:t>云财税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179,982.07</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1"/>
              <w:ind w:left="23"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CT6600 </w:t>
            </w:r>
            <w:r>
              <w:rPr>
                <w:rFonts w:ascii="宋体" w:hAnsi="宋体" w:cs="宋体" w:eastAsia="宋体" w:hint="default"/>
                <w:sz w:val="18"/>
                <w:szCs w:val="18"/>
              </w:rPr>
              <w:t>云财税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项目是旋极百旺依托行业优势，结合</w:t>
            </w:r>
            <w:r>
              <w:rPr>
                <w:rFonts w:ascii="宋体" w:hAnsi="宋体" w:cs="宋体" w:eastAsia="宋体" w:hint="default"/>
                <w:sz w:val="18"/>
                <w:szCs w:val="18"/>
              </w:rPr>
              <w:t> 业内领先的培训资源推出的集在线购买课程、课程包和 财税政策资讯于一体的专项服务类商业产品。可以方便 快捷地为全国各地纳税人提供财税培训咨询服务，直接 有效地提升纳税人各项财税工作能力。</w:t>
            </w:r>
            <w:r>
              <w:rPr>
                <w:rFonts w:ascii="Times New Roman" w:hAnsi="Times New Roman" w:cs="Times New Roman" w:eastAsia="Times New Roman" w:hint="default"/>
                <w:sz w:val="18"/>
                <w:szCs w:val="18"/>
              </w:rPr>
              <w:t>CT6600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云财税 </w:t>
            </w:r>
            <w:r>
              <w:rPr>
                <w:rFonts w:ascii="Times New Roman" w:hAnsi="Times New Roman" w:cs="Times New Roman" w:eastAsia="Times New Roman" w:hint="default"/>
                <w:sz w:val="18"/>
                <w:szCs w:val="18"/>
              </w:rPr>
              <w:t>1.0 </w:t>
            </w:r>
            <w:r>
              <w:rPr>
                <w:rFonts w:ascii="宋体" w:hAnsi="宋体" w:cs="宋体" w:eastAsia="宋体" w:hint="default"/>
                <w:sz w:val="18"/>
                <w:szCs w:val="18"/>
              </w:rPr>
              <w:t>结合公司现有在云端平台和税控领域强大的技术能 力和技术储备，快速完成了产品研发，支持服务器公有 云</w:t>
            </w:r>
            <w:r>
              <w:rPr>
                <w:rFonts w:ascii="Times New Roman" w:hAnsi="Times New Roman" w:cs="Times New Roman" w:eastAsia="Times New Roman" w:hint="default"/>
                <w:sz w:val="18"/>
                <w:szCs w:val="18"/>
              </w:rPr>
              <w:t>+</w:t>
            </w:r>
            <w:r>
              <w:rPr>
                <w:rFonts w:ascii="宋体" w:hAnsi="宋体" w:cs="宋体" w:eastAsia="宋体" w:hint="default"/>
                <w:sz w:val="18"/>
                <w:szCs w:val="18"/>
              </w:rPr>
              <w:t>服务器私有云双重部署，实现了安全可靠的课程购 买、服务商管理、用户管理等流程数据管控，并提供了 多样化平台对接接口，提高未来与第三方、多平台对接 的可扩展性。</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100.00%</w:t>
            </w:r>
          </w:p>
        </w:tc>
      </w:tr>
      <w:tr>
        <w:trPr>
          <w:trHeight w:val="7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装备状态监控及故障</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11,624,155.17</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1"/>
              <w:ind w:left="33" w:right="29" w:firstLine="28"/>
              <w:jc w:val="left"/>
              <w:rPr>
                <w:rFonts w:ascii="宋体" w:hAnsi="宋体" w:cs="宋体" w:eastAsia="宋体" w:hint="default"/>
                <w:sz w:val="18"/>
                <w:szCs w:val="18"/>
              </w:rPr>
            </w:pPr>
            <w:r>
              <w:rPr>
                <w:rFonts w:ascii="宋体" w:hAnsi="宋体" w:cs="宋体" w:eastAsia="宋体" w:hint="default"/>
                <w:sz w:val="18"/>
                <w:szCs w:val="18"/>
              </w:rPr>
              <w:t>本系统属于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PHM </w:t>
            </w:r>
            <w:r>
              <w:rPr>
                <w:rFonts w:ascii="宋体" w:hAnsi="宋体" w:cs="宋体" w:eastAsia="宋体" w:hint="default"/>
                <w:sz w:val="18"/>
                <w:szCs w:val="18"/>
              </w:rPr>
              <w:t>体系，关键技术包含数据融合技术、 状态监测与诊断技术、故障预测技术、预决策健康管理</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r>
        <w:rPr/>
        <w:pict>
          <v:shape style="position:absolute;margin-left:278.640015pt;margin-top:72.47998pt;width:256.2pt;height:160.7pt;mso-position-horizontal-relative:page;mso-position-vertical-relative:page;z-index:-14272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3"/>
                    <w:ind w:left="0" w:right="0" w:firstLine="0"/>
                    <w:jc w:val="left"/>
                    <w:rPr>
                      <w:rFonts w:ascii="宋体" w:hAnsi="宋体" w:cs="宋体" w:eastAsia="宋体" w:hint="default"/>
                      <w:sz w:val="18"/>
                      <w:szCs w:val="18"/>
                    </w:rPr>
                  </w:pPr>
                  <w:r>
                    <w:rPr>
                      <w:rFonts w:ascii="宋体" w:hAnsi="宋体" w:cs="宋体" w:eastAsia="宋体" w:hint="default"/>
                      <w:sz w:val="18"/>
                      <w:szCs w:val="18"/>
                    </w:rPr>
                    <w:t>为后续型研工作提供数据和算法模型支撑。</w:t>
                  </w:r>
                </w:p>
              </w:txbxContent>
            </v:textbox>
            <w10:wrap type="none"/>
          </v:shape>
        </w:pict>
      </w:r>
      <w:r>
        <w:rPr/>
        <w:pict>
          <v:shape style="position:absolute;margin-left:359.640015pt;margin-top:627.599976pt;width:175.2pt;height:52.35pt;mso-position-horizontal-relative:page;mso-position-vertical-relative:page;z-index:-1427248" type="#_x0000_t202" filled="false" stroked="false">
            <v:textbox inset="0,0,0,0">
              <w:txbxContent>
                <w:p>
                  <w:pPr>
                    <w:spacing w:before="101"/>
                    <w:ind w:left="0" w:right="0" w:firstLine="0"/>
                    <w:jc w:val="left"/>
                    <w:rPr>
                      <w:rFonts w:ascii="宋体" w:hAnsi="宋体" w:cs="宋体" w:eastAsia="宋体" w:hint="default"/>
                      <w:sz w:val="18"/>
                      <w:szCs w:val="18"/>
                    </w:rPr>
                  </w:pPr>
                  <w:r>
                    <w:rPr>
                      <w:rFonts w:ascii="宋体" w:hAnsi="宋体" w:cs="宋体" w:eastAsia="宋体" w:hint="default"/>
                      <w:sz w:val="18"/>
                      <w:szCs w:val="18"/>
                    </w:rPr>
                    <w:t>系统的应用验证平台。</w:t>
                  </w:r>
                </w:p>
              </w:txbxContent>
            </v:textbox>
            <w10:wrap type="none"/>
          </v:shape>
        </w:pict>
      </w:r>
      <w:r>
        <w:rPr/>
        <w:pict>
          <v:shape style="position:absolute;margin-left:314.640015pt;margin-top:704.76001pt;width:220.2pt;height:52.35pt;mso-position-horizontal-relative:page;mso-position-vertical-relative:page;z-index:-1427224" type="#_x0000_t202" filled="false" stroked="false">
            <v:textbox inset="0,0,0,0">
              <w:txbxContent>
                <w:p>
                  <w:pPr>
                    <w:spacing w:before="118"/>
                    <w:ind w:left="0" w:right="0" w:firstLine="0"/>
                    <w:jc w:val="left"/>
                    <w:rPr>
                      <w:rFonts w:ascii="宋体" w:hAnsi="宋体" w:cs="宋体" w:eastAsia="宋体" w:hint="default"/>
                      <w:sz w:val="18"/>
                      <w:szCs w:val="18"/>
                    </w:rPr>
                  </w:pPr>
                  <w:r>
                    <w:rPr>
                      <w:rFonts w:ascii="宋体" w:hAnsi="宋体" w:cs="宋体" w:eastAsia="宋体" w:hint="default"/>
                      <w:sz w:val="18"/>
                      <w:szCs w:val="18"/>
                    </w:rPr>
                    <w:t>同时对系统的健康状态进行评估；</w:t>
                  </w:r>
                </w:p>
              </w:txbxContent>
            </v:textbox>
            <w10:wrap type="none"/>
          </v:shape>
        </w:pict>
      </w:r>
      <w:r>
        <w:rPr/>
        <w:pict>
          <v:group style="position:absolute;margin-left:446.76001pt;margin-top:627.599976pt;width:88.1pt;height:52.35pt;mso-position-horizontal-relative:page;mso-position-vertical-relative:page;z-index:-1427200" coordorigin="8935,12552" coordsize="1762,1047">
            <v:shape style="position:absolute;left:8935;top:12552;width:1762;height:1047" coordorigin="8935,12552" coordsize="1762,1047" path="m8935,13598l10697,13598,10697,12552,8935,12552,8935,13598xe" filled="true" fillcolor="#ffffff" stroked="false">
              <v:path arrowok="t"/>
              <v:fill type="solid"/>
            </v:shape>
            <w10:wrap type="none"/>
          </v:group>
        </w:pict>
      </w:r>
      <w:r>
        <w:rPr/>
        <w:pict>
          <v:group style="position:absolute;margin-left:446.76001pt;margin-top:704.76001pt;width:88.1pt;height:52.35pt;mso-position-horizontal-relative:page;mso-position-vertical-relative:page;z-index:-1427176" coordorigin="8935,14095" coordsize="1762,1047">
            <v:shape style="position:absolute;left:8935;top:14095;width:1762;height:1047" coordorigin="8935,14095" coordsize="1762,1047" path="m8935,15142l10697,15142,10697,14095,8935,14095,8935,15142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702"/>
        <w:gridCol w:w="1702"/>
        <w:gridCol w:w="4394"/>
        <w:gridCol w:w="392"/>
        <w:gridCol w:w="1379"/>
      </w:tblGrid>
      <w:tr>
        <w:trPr>
          <w:trHeight w:val="315" w:hRule="exact"/>
        </w:trPr>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诊断数据分析系统</w:t>
            </w:r>
          </w:p>
        </w:tc>
        <w:tc>
          <w:tcPr>
            <w:tcW w:w="1702" w:type="dxa"/>
            <w:vMerge w:val="restart"/>
            <w:tcBorders>
              <w:top w:val="single" w:sz="4" w:space="0" w:color="000000"/>
              <w:left w:val="single" w:sz="4" w:space="0" w:color="000000"/>
              <w:right w:val="single" w:sz="4" w:space="0" w:color="000000"/>
            </w:tcBorders>
          </w:tcPr>
          <w:p>
            <w:pPr/>
          </w:p>
        </w:tc>
        <w:tc>
          <w:tcPr>
            <w:tcW w:w="43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33" w:right="0"/>
              <w:jc w:val="left"/>
              <w:rPr>
                <w:rFonts w:ascii="宋体" w:hAnsi="宋体" w:cs="宋体" w:eastAsia="宋体" w:hint="default"/>
                <w:sz w:val="18"/>
                <w:szCs w:val="18"/>
              </w:rPr>
            </w:pPr>
            <w:r>
              <w:rPr>
                <w:rFonts w:ascii="宋体" w:hAnsi="宋体" w:cs="宋体" w:eastAsia="宋体" w:hint="default"/>
                <w:sz w:val="18"/>
                <w:szCs w:val="18"/>
              </w:rPr>
              <w:t>技术，对装备测试和维保数据进行数据处理、数据管理</w:t>
            </w:r>
          </w:p>
        </w:tc>
        <w:tc>
          <w:tcPr>
            <w:tcW w:w="1771" w:type="dxa"/>
            <w:gridSpan w:val="2"/>
            <w:vMerge w:val="restart"/>
            <w:tcBorders>
              <w:top w:val="single" w:sz="4" w:space="0" w:color="000000"/>
              <w:left w:val="single" w:sz="4" w:space="0" w:color="000000"/>
              <w:right w:val="single" w:sz="4" w:space="0" w:color="000000"/>
            </w:tcBorders>
          </w:tcPr>
          <w:p>
            <w:pPr>
              <w:pStyle w:val="TableParagraph"/>
              <w:spacing w:line="321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3"/>
                <w:sz w:val="20"/>
                <w:szCs w:val="20"/>
              </w:rPr>
              <w:pict>
                <v:group style="width:88.1pt;height:160.7pt;mso-position-horizontal-relative:char;mso-position-vertical-relative:line" coordorigin="0,0" coordsize="1762,3214">
                  <v:group style="position:absolute;left:0;top:0;width:1762;height:3214" coordorigin="0,0" coordsize="1762,3214">
                    <v:shape style="position:absolute;left:0;top:0;width:1762;height:3214" coordorigin="0,0" coordsize="1762,3214" path="m0,3214l1762,3214,1762,0,0,0,0,3214xe" filled="true" fillcolor="#ffffff" stroked="false">
                      <v:path arrowok="t"/>
                      <v:fill type="solid"/>
                    </v:shape>
                  </v:group>
                </v:group>
              </w:pict>
            </w:r>
            <w:r>
              <w:rPr>
                <w:rFonts w:ascii="Times New Roman" w:hAnsi="Times New Roman" w:cs="Times New Roman" w:eastAsia="Times New Roman" w:hint="default"/>
                <w:position w:val="-63"/>
                <w:sz w:val="20"/>
                <w:szCs w:val="20"/>
              </w:rPr>
            </w: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vMerge/>
            <w:tcBorders>
              <w:left w:val="single" w:sz="4" w:space="0" w:color="000000"/>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和数据存储，</w:t>
            </w:r>
          </w:p>
        </w:tc>
        <w:tc>
          <w:tcPr>
            <w:tcW w:w="1771" w:type="dxa"/>
            <w:gridSpan w:val="2"/>
            <w:vMerge/>
            <w:tcBorders>
              <w:left w:val="single" w:sz="4" w:space="0" w:color="000000"/>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vMerge/>
            <w:tcBorders>
              <w:left w:val="single" w:sz="4" w:space="0" w:color="000000"/>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3" w:right="0"/>
              <w:jc w:val="left"/>
              <w:rPr>
                <w:rFonts w:ascii="宋体" w:hAnsi="宋体" w:cs="宋体" w:eastAsia="宋体" w:hint="default"/>
                <w:sz w:val="18"/>
                <w:szCs w:val="18"/>
              </w:rPr>
            </w:pPr>
            <w:r>
              <w:rPr>
                <w:rFonts w:ascii="宋体" w:hAnsi="宋体" w:cs="宋体" w:eastAsia="宋体" w:hint="default"/>
                <w:sz w:val="18"/>
                <w:szCs w:val="18"/>
              </w:rPr>
              <w:t>本项目研制的装备状态监控及故障诊断数据分析系统，</w:t>
            </w:r>
          </w:p>
        </w:tc>
        <w:tc>
          <w:tcPr>
            <w:tcW w:w="1771" w:type="dxa"/>
            <w:gridSpan w:val="2"/>
            <w:vMerge/>
            <w:tcBorders>
              <w:left w:val="single" w:sz="4" w:space="0" w:color="000000"/>
              <w:right w:val="single" w:sz="4" w:space="0" w:color="000000"/>
            </w:tcBorders>
          </w:tcPr>
          <w:p>
            <w:pPr/>
          </w:p>
        </w:tc>
      </w:tr>
      <w:tr>
        <w:trPr>
          <w:trHeight w:val="317"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vMerge/>
            <w:tcBorders>
              <w:left w:val="single" w:sz="4" w:space="0" w:color="000000"/>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62" w:right="0"/>
              <w:jc w:val="left"/>
              <w:rPr>
                <w:rFonts w:ascii="宋体" w:hAnsi="宋体" w:cs="宋体" w:eastAsia="宋体" w:hint="default"/>
                <w:sz w:val="18"/>
                <w:szCs w:val="18"/>
              </w:rPr>
            </w:pPr>
            <w:r>
              <w:rPr>
                <w:rFonts w:ascii="宋体" w:hAnsi="宋体" w:cs="宋体" w:eastAsia="宋体" w:hint="default"/>
                <w:sz w:val="18"/>
                <w:szCs w:val="18"/>
              </w:rPr>
              <w:t>将结合装备应用背景，在实验室环境下模拟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PHM </w:t>
            </w:r>
            <w:r>
              <w:rPr>
                <w:rFonts w:ascii="宋体" w:hAnsi="宋体" w:cs="宋体" w:eastAsia="宋体" w:hint="default"/>
                <w:sz w:val="18"/>
                <w:szCs w:val="18"/>
              </w:rPr>
              <w:t>外场</w:t>
            </w:r>
          </w:p>
        </w:tc>
        <w:tc>
          <w:tcPr>
            <w:tcW w:w="1771" w:type="dxa"/>
            <w:gridSpan w:val="2"/>
            <w:vMerge/>
            <w:tcBorders>
              <w:left w:val="single" w:sz="4" w:space="0" w:color="000000"/>
              <w:right w:val="single" w:sz="4" w:space="0" w:color="000000"/>
            </w:tcBorders>
          </w:tcPr>
          <w:p>
            <w:pPr/>
          </w:p>
        </w:tc>
      </w:tr>
      <w:tr>
        <w:trPr>
          <w:trHeight w:val="307"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vMerge/>
            <w:tcBorders>
              <w:left w:val="single" w:sz="4" w:space="0" w:color="000000"/>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测试维护系统和内场数据分析评价系统，拟开发完成</w:t>
            </w:r>
          </w:p>
        </w:tc>
        <w:tc>
          <w:tcPr>
            <w:tcW w:w="1771" w:type="dxa"/>
            <w:gridSpan w:val="2"/>
            <w:vMerge/>
            <w:tcBorders>
              <w:left w:val="single" w:sz="4" w:space="0" w:color="000000"/>
              <w:right w:val="single" w:sz="4" w:space="0" w:color="000000"/>
            </w:tcBorders>
          </w:tcPr>
          <w:p>
            <w:pPr/>
          </w:p>
        </w:tc>
      </w:tr>
      <w:tr>
        <w:trPr>
          <w:trHeight w:val="317"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vMerge/>
            <w:tcBorders>
              <w:left w:val="single" w:sz="4" w:space="0" w:color="000000"/>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PHM</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大数据分析及技术支持系统，将有效提升多源装备</w:t>
            </w:r>
          </w:p>
        </w:tc>
        <w:tc>
          <w:tcPr>
            <w:tcW w:w="1771" w:type="dxa"/>
            <w:gridSpan w:val="2"/>
            <w:vMerge/>
            <w:tcBorders>
              <w:left w:val="single" w:sz="4" w:space="0" w:color="000000"/>
              <w:right w:val="single" w:sz="4" w:space="0" w:color="000000"/>
            </w:tcBorders>
          </w:tcPr>
          <w:p>
            <w:pPr/>
          </w:p>
        </w:tc>
      </w:tr>
      <w:tr>
        <w:trPr>
          <w:trHeight w:val="307"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vMerge/>
            <w:tcBorders>
              <w:left w:val="single" w:sz="4" w:space="0" w:color="000000"/>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3" w:right="0"/>
              <w:jc w:val="left"/>
              <w:rPr>
                <w:rFonts w:ascii="宋体" w:hAnsi="宋体" w:cs="宋体" w:eastAsia="宋体" w:hint="default"/>
                <w:sz w:val="18"/>
                <w:szCs w:val="18"/>
              </w:rPr>
            </w:pPr>
            <w:r>
              <w:rPr>
                <w:rFonts w:ascii="宋体" w:hAnsi="宋体" w:cs="宋体" w:eastAsia="宋体" w:hint="default"/>
                <w:sz w:val="18"/>
                <w:szCs w:val="18"/>
              </w:rPr>
              <w:t>数据的获取能力、数据融合分析处理能力、提升装备的</w:t>
            </w:r>
          </w:p>
        </w:tc>
        <w:tc>
          <w:tcPr>
            <w:tcW w:w="1771" w:type="dxa"/>
            <w:gridSpan w:val="2"/>
            <w:vMerge/>
            <w:tcBorders>
              <w:left w:val="single" w:sz="4" w:space="0" w:color="000000"/>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vMerge/>
            <w:tcBorders>
              <w:left w:val="single" w:sz="4" w:space="0" w:color="000000"/>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3" w:right="0"/>
              <w:jc w:val="left"/>
              <w:rPr>
                <w:rFonts w:ascii="宋体" w:hAnsi="宋体" w:cs="宋体" w:eastAsia="宋体" w:hint="default"/>
                <w:sz w:val="18"/>
                <w:szCs w:val="18"/>
              </w:rPr>
            </w:pPr>
            <w:r>
              <w:rPr>
                <w:rFonts w:ascii="宋体" w:hAnsi="宋体" w:cs="宋体" w:eastAsia="宋体" w:hint="default"/>
                <w:sz w:val="18"/>
                <w:szCs w:val="18"/>
              </w:rPr>
              <w:t>故障智能诊断、预测和仿真，对装备测试性设计、技术</w:t>
            </w:r>
          </w:p>
        </w:tc>
        <w:tc>
          <w:tcPr>
            <w:tcW w:w="1771" w:type="dxa"/>
            <w:gridSpan w:val="2"/>
            <w:vMerge/>
            <w:tcBorders>
              <w:left w:val="single" w:sz="4" w:space="0" w:color="000000"/>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vMerge/>
            <w:tcBorders>
              <w:left w:val="single" w:sz="4" w:space="0" w:color="000000"/>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3" w:right="0"/>
              <w:jc w:val="left"/>
              <w:rPr>
                <w:rFonts w:ascii="宋体" w:hAnsi="宋体" w:cs="宋体" w:eastAsia="宋体" w:hint="default"/>
                <w:sz w:val="18"/>
                <w:szCs w:val="18"/>
              </w:rPr>
            </w:pPr>
            <w:r>
              <w:rPr>
                <w:rFonts w:ascii="宋体" w:hAnsi="宋体" w:cs="宋体" w:eastAsia="宋体" w:hint="default"/>
                <w:sz w:val="18"/>
                <w:szCs w:val="18"/>
              </w:rPr>
              <w:t>构型的对比遴选、装备排故效率提升等提供有效的评估</w:t>
            </w:r>
          </w:p>
        </w:tc>
        <w:tc>
          <w:tcPr>
            <w:tcW w:w="1771" w:type="dxa"/>
            <w:gridSpan w:val="2"/>
            <w:vMerge/>
            <w:tcBorders>
              <w:left w:val="single" w:sz="4" w:space="0" w:color="000000"/>
              <w:right w:val="single" w:sz="4" w:space="0" w:color="000000"/>
            </w:tcBorders>
          </w:tcPr>
          <w:p>
            <w:pPr/>
          </w:p>
        </w:tc>
      </w:tr>
      <w:tr>
        <w:trPr>
          <w:trHeight w:val="413" w:hRule="exact"/>
        </w:trPr>
        <w:tc>
          <w:tcPr>
            <w:tcW w:w="1702" w:type="dxa"/>
            <w:tcBorders>
              <w:top w:val="nil" w:sz="6" w:space="0" w:color="auto"/>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43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手段，进而提升装备使用保障的决策能力。</w:t>
            </w:r>
          </w:p>
        </w:tc>
        <w:tc>
          <w:tcPr>
            <w:tcW w:w="1771" w:type="dxa"/>
            <w:gridSpan w:val="2"/>
            <w:vMerge/>
            <w:tcBorders>
              <w:left w:val="single" w:sz="4" w:space="0" w:color="000000"/>
              <w:bottom w:val="single" w:sz="4" w:space="0" w:color="000000"/>
              <w:right w:val="single" w:sz="4" w:space="0" w:color="000000"/>
            </w:tcBorders>
          </w:tcPr>
          <w:p>
            <w:pPr/>
          </w:p>
        </w:tc>
      </w:tr>
      <w:tr>
        <w:trPr>
          <w:trHeight w:val="408" w:hRule="exact"/>
        </w:trPr>
        <w:tc>
          <w:tcPr>
            <w:tcW w:w="1702"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43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left="33" w:right="0"/>
              <w:jc w:val="left"/>
              <w:rPr>
                <w:rFonts w:ascii="宋体" w:hAnsi="宋体" w:cs="宋体" w:eastAsia="宋体" w:hint="default"/>
                <w:sz w:val="18"/>
                <w:szCs w:val="18"/>
              </w:rPr>
            </w:pPr>
            <w:r>
              <w:rPr>
                <w:rFonts w:ascii="宋体" w:hAnsi="宋体" w:cs="宋体" w:eastAsia="宋体" w:hint="default"/>
                <w:sz w:val="18"/>
                <w:szCs w:val="18"/>
              </w:rPr>
              <w:t>为了解决小型化、模块化、智能化装备上的被测嵌入式</w:t>
            </w:r>
          </w:p>
        </w:tc>
        <w:tc>
          <w:tcPr>
            <w:tcW w:w="1771" w:type="dxa"/>
            <w:gridSpan w:val="2"/>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软件现有测试手段的不足，通过对基于总线</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信号的多接</w:t>
            </w:r>
          </w:p>
        </w:tc>
        <w:tc>
          <w:tcPr>
            <w:tcW w:w="1771" w:type="dxa"/>
            <w:gridSpan w:val="2"/>
            <w:tcBorders>
              <w:top w:val="nil" w:sz="6" w:space="0" w:color="auto"/>
              <w:left w:val="single" w:sz="4" w:space="0" w:color="000000"/>
              <w:bottom w:val="nil" w:sz="6" w:space="0" w:color="auto"/>
              <w:right w:val="single" w:sz="4" w:space="0" w:color="000000"/>
            </w:tcBorders>
          </w:tcPr>
          <w:p>
            <w:pPr/>
          </w:p>
        </w:tc>
      </w:tr>
      <w:tr>
        <w:trPr>
          <w:trHeight w:val="307"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3" w:right="0"/>
              <w:jc w:val="left"/>
              <w:rPr>
                <w:rFonts w:ascii="宋体" w:hAnsi="宋体" w:cs="宋体" w:eastAsia="宋体" w:hint="default"/>
                <w:sz w:val="18"/>
                <w:szCs w:val="18"/>
              </w:rPr>
            </w:pPr>
            <w:r>
              <w:rPr>
                <w:rFonts w:ascii="宋体" w:hAnsi="宋体" w:cs="宋体" w:eastAsia="宋体" w:hint="default"/>
                <w:sz w:val="18"/>
                <w:szCs w:val="18"/>
              </w:rPr>
              <w:t>口测试系统设计、可视化的通用总线配置方法、测控指</w:t>
            </w:r>
          </w:p>
        </w:tc>
        <w:tc>
          <w:tcPr>
            <w:tcW w:w="1771" w:type="dxa"/>
            <w:gridSpan w:val="2"/>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3" w:right="0"/>
              <w:jc w:val="left"/>
              <w:rPr>
                <w:rFonts w:ascii="宋体" w:hAnsi="宋体" w:cs="宋体" w:eastAsia="宋体" w:hint="default"/>
                <w:sz w:val="18"/>
                <w:szCs w:val="18"/>
              </w:rPr>
            </w:pPr>
            <w:r>
              <w:rPr>
                <w:rFonts w:ascii="宋体" w:hAnsi="宋体" w:cs="宋体" w:eastAsia="宋体" w:hint="default"/>
                <w:sz w:val="18"/>
                <w:szCs w:val="18"/>
              </w:rPr>
              <w:t>令传输与执行以及遥测数据加解密和编解码的实现，为</w:t>
            </w:r>
          </w:p>
        </w:tc>
        <w:tc>
          <w:tcPr>
            <w:tcW w:w="1771" w:type="dxa"/>
            <w:gridSpan w:val="2"/>
            <w:tcBorders>
              <w:top w:val="nil" w:sz="6" w:space="0" w:color="auto"/>
              <w:left w:val="single" w:sz="4" w:space="0" w:color="000000"/>
              <w:bottom w:val="nil" w:sz="6" w:space="0" w:color="auto"/>
              <w:right w:val="single" w:sz="4" w:space="0" w:color="000000"/>
            </w:tcBorders>
          </w:tcPr>
          <w:p>
            <w:pPr/>
          </w:p>
        </w:tc>
      </w:tr>
      <w:tr>
        <w:trPr>
          <w:trHeight w:val="936"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756" w:right="35" w:hanging="720"/>
              <w:jc w:val="left"/>
              <w:rPr>
                <w:rFonts w:ascii="宋体" w:hAnsi="宋体" w:cs="宋体" w:eastAsia="宋体" w:hint="default"/>
                <w:sz w:val="18"/>
                <w:szCs w:val="18"/>
              </w:rPr>
            </w:pPr>
            <w:r>
              <w:rPr>
                <w:rFonts w:ascii="宋体" w:hAnsi="宋体" w:cs="宋体" w:eastAsia="宋体" w:hint="default"/>
                <w:sz w:val="18"/>
                <w:szCs w:val="18"/>
              </w:rPr>
              <w:t>测控信号综合处理系 统</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Times New Roman" w:hAnsi="Times New Roman" w:cs="Times New Roman" w:eastAsia="Times New Roman" w:hint="default"/>
                <w:sz w:val="18"/>
                <w:szCs w:val="18"/>
              </w:rPr>
            </w:pPr>
            <w:r>
              <w:rPr>
                <w:rFonts w:ascii="Times New Roman"/>
                <w:sz w:val="18"/>
              </w:rPr>
              <w:t>1,421,958.96</w:t>
            </w: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33" w:right="29"/>
              <w:jc w:val="both"/>
              <w:rPr>
                <w:rFonts w:ascii="宋体" w:hAnsi="宋体" w:cs="宋体" w:eastAsia="宋体" w:hint="default"/>
                <w:sz w:val="18"/>
                <w:szCs w:val="18"/>
              </w:rPr>
            </w:pPr>
            <w:r>
              <w:rPr>
                <w:rFonts w:ascii="宋体" w:hAnsi="宋体" w:cs="宋体" w:eastAsia="宋体" w:hint="default"/>
                <w:sz w:val="18"/>
                <w:szCs w:val="18"/>
              </w:rPr>
              <w:t>国防军工、航空航天、工业控制等领域提供一套具有自 主知识产权的测控信号综合处理系统。该系统通过集成 与被测件连接的多种类型采集卡，实现对输入激励的模</w:t>
            </w:r>
          </w:p>
        </w:tc>
        <w:tc>
          <w:tcPr>
            <w:tcW w:w="177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6" w:right="0"/>
              <w:jc w:val="center"/>
              <w:rPr>
                <w:rFonts w:ascii="Times New Roman" w:hAnsi="Times New Roman" w:cs="Times New Roman" w:eastAsia="Times New Roman" w:hint="default"/>
                <w:sz w:val="18"/>
                <w:szCs w:val="18"/>
              </w:rPr>
            </w:pPr>
            <w:r>
              <w:rPr>
                <w:rFonts w:ascii="Times New Roman"/>
                <w:sz w:val="18"/>
              </w:rPr>
              <w:t>90%</w:t>
            </w: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3" w:right="0"/>
              <w:jc w:val="left"/>
              <w:rPr>
                <w:rFonts w:ascii="宋体" w:hAnsi="宋体" w:cs="宋体" w:eastAsia="宋体" w:hint="default"/>
                <w:sz w:val="18"/>
                <w:szCs w:val="18"/>
              </w:rPr>
            </w:pPr>
            <w:r>
              <w:rPr>
                <w:rFonts w:ascii="宋体" w:hAnsi="宋体" w:cs="宋体" w:eastAsia="宋体" w:hint="default"/>
                <w:sz w:val="18"/>
                <w:szCs w:val="18"/>
              </w:rPr>
              <w:t>拟和输出结果的捕获；并且具有接口建模、通用总线配</w:t>
            </w:r>
          </w:p>
        </w:tc>
        <w:tc>
          <w:tcPr>
            <w:tcW w:w="1771" w:type="dxa"/>
            <w:gridSpan w:val="2"/>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3" w:right="0"/>
              <w:jc w:val="left"/>
              <w:rPr>
                <w:rFonts w:ascii="宋体" w:hAnsi="宋体" w:cs="宋体" w:eastAsia="宋体" w:hint="default"/>
                <w:sz w:val="18"/>
                <w:szCs w:val="18"/>
              </w:rPr>
            </w:pPr>
            <w:r>
              <w:rPr>
                <w:rFonts w:ascii="宋体" w:hAnsi="宋体" w:cs="宋体" w:eastAsia="宋体" w:hint="default"/>
                <w:sz w:val="18"/>
                <w:szCs w:val="18"/>
              </w:rPr>
              <w:t>置编辑、测试监控指令传输与执行、遥测数据加解密传</w:t>
            </w:r>
          </w:p>
        </w:tc>
        <w:tc>
          <w:tcPr>
            <w:tcW w:w="1771" w:type="dxa"/>
            <w:gridSpan w:val="2"/>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3" w:right="0"/>
              <w:jc w:val="left"/>
              <w:rPr>
                <w:rFonts w:ascii="宋体" w:hAnsi="宋体" w:cs="宋体" w:eastAsia="宋体" w:hint="default"/>
                <w:sz w:val="18"/>
                <w:szCs w:val="18"/>
              </w:rPr>
            </w:pPr>
            <w:r>
              <w:rPr>
                <w:rFonts w:ascii="宋体" w:hAnsi="宋体" w:cs="宋体" w:eastAsia="宋体" w:hint="default"/>
                <w:sz w:val="18"/>
                <w:szCs w:val="18"/>
              </w:rPr>
              <w:t>输、遥测数据编解码等功能，可以解决目前多种复杂信</w:t>
            </w:r>
          </w:p>
        </w:tc>
        <w:tc>
          <w:tcPr>
            <w:tcW w:w="1771" w:type="dxa"/>
            <w:gridSpan w:val="2"/>
            <w:tcBorders>
              <w:top w:val="nil" w:sz="6" w:space="0" w:color="auto"/>
              <w:left w:val="single" w:sz="4" w:space="0" w:color="000000"/>
              <w:bottom w:val="nil" w:sz="6" w:space="0" w:color="auto"/>
              <w:right w:val="single" w:sz="4" w:space="0" w:color="000000"/>
            </w:tcBorders>
          </w:tcPr>
          <w:p>
            <w:pPr/>
          </w:p>
        </w:tc>
      </w:tr>
      <w:tr>
        <w:trPr>
          <w:trHeight w:val="413" w:hRule="exact"/>
        </w:trPr>
        <w:tc>
          <w:tcPr>
            <w:tcW w:w="1702"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43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33" w:right="0"/>
              <w:jc w:val="left"/>
              <w:rPr>
                <w:rFonts w:ascii="宋体" w:hAnsi="宋体" w:cs="宋体" w:eastAsia="宋体" w:hint="default"/>
                <w:sz w:val="18"/>
                <w:szCs w:val="18"/>
              </w:rPr>
            </w:pPr>
            <w:r>
              <w:rPr>
                <w:rFonts w:ascii="宋体" w:hAnsi="宋体" w:cs="宋体" w:eastAsia="宋体" w:hint="default"/>
                <w:sz w:val="18"/>
                <w:szCs w:val="18"/>
              </w:rPr>
              <w:t>号设备的测试需求，避免用户搭建复杂接口测试环境。</w:t>
            </w:r>
          </w:p>
        </w:tc>
        <w:tc>
          <w:tcPr>
            <w:tcW w:w="1771" w:type="dxa"/>
            <w:gridSpan w:val="2"/>
            <w:tcBorders>
              <w:top w:val="nil" w:sz="6" w:space="0" w:color="auto"/>
              <w:left w:val="single" w:sz="4" w:space="0" w:color="000000"/>
              <w:bottom w:val="single" w:sz="4" w:space="0" w:color="000000"/>
              <w:right w:val="single" w:sz="4" w:space="0" w:color="000000"/>
            </w:tcBorders>
          </w:tcPr>
          <w:p>
            <w:pPr/>
          </w:p>
        </w:tc>
      </w:tr>
      <w:tr>
        <w:trPr>
          <w:trHeight w:val="407" w:hRule="exact"/>
        </w:trPr>
        <w:tc>
          <w:tcPr>
            <w:tcW w:w="1702"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43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left="33" w:right="0"/>
              <w:jc w:val="left"/>
              <w:rPr>
                <w:rFonts w:ascii="宋体" w:hAnsi="宋体" w:cs="宋体" w:eastAsia="宋体" w:hint="default"/>
                <w:sz w:val="18"/>
                <w:szCs w:val="18"/>
              </w:rPr>
            </w:pPr>
            <w:r>
              <w:rPr>
                <w:rFonts w:ascii="宋体" w:hAnsi="宋体" w:cs="宋体" w:eastAsia="宋体" w:hint="default"/>
                <w:sz w:val="18"/>
                <w:szCs w:val="18"/>
              </w:rPr>
              <w:t>在产品的设计研制过程中，为了确认测试性设计与分析</w:t>
            </w:r>
          </w:p>
        </w:tc>
        <w:tc>
          <w:tcPr>
            <w:tcW w:w="1771" w:type="dxa"/>
            <w:gridSpan w:val="2"/>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33" w:right="0"/>
              <w:jc w:val="left"/>
              <w:rPr>
                <w:rFonts w:ascii="宋体" w:hAnsi="宋体" w:cs="宋体" w:eastAsia="宋体" w:hint="default"/>
                <w:sz w:val="18"/>
                <w:szCs w:val="18"/>
              </w:rPr>
            </w:pPr>
            <w:r>
              <w:rPr>
                <w:rFonts w:ascii="宋体" w:hAnsi="宋体" w:cs="宋体" w:eastAsia="宋体" w:hint="default"/>
                <w:sz w:val="18"/>
                <w:szCs w:val="18"/>
              </w:rPr>
              <w:t>工作的正确性、识别产品的设计缺陷、检查研制的产品</w:t>
            </w:r>
          </w:p>
        </w:tc>
        <w:tc>
          <w:tcPr>
            <w:tcW w:w="1771" w:type="dxa"/>
            <w:gridSpan w:val="2"/>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3" w:right="0"/>
              <w:jc w:val="left"/>
              <w:rPr>
                <w:rFonts w:ascii="宋体" w:hAnsi="宋体" w:cs="宋体" w:eastAsia="宋体" w:hint="default"/>
                <w:sz w:val="18"/>
                <w:szCs w:val="18"/>
              </w:rPr>
            </w:pPr>
            <w:r>
              <w:rPr>
                <w:rFonts w:ascii="宋体" w:hAnsi="宋体" w:cs="宋体" w:eastAsia="宋体" w:hint="default"/>
                <w:sz w:val="18"/>
                <w:szCs w:val="18"/>
              </w:rPr>
              <w:t>是否完全实现了测试性设计的要求，需要进行测试性验</w:t>
            </w:r>
          </w:p>
        </w:tc>
        <w:tc>
          <w:tcPr>
            <w:tcW w:w="1771" w:type="dxa"/>
            <w:gridSpan w:val="2"/>
            <w:tcBorders>
              <w:top w:val="nil" w:sz="6" w:space="0" w:color="auto"/>
              <w:left w:val="single" w:sz="4" w:space="0" w:color="000000"/>
              <w:bottom w:val="nil" w:sz="6" w:space="0" w:color="auto"/>
              <w:right w:val="single" w:sz="4" w:space="0" w:color="000000"/>
            </w:tcBorders>
          </w:tcPr>
          <w:p>
            <w:pPr/>
          </w:p>
        </w:tc>
      </w:tr>
      <w:tr>
        <w:trPr>
          <w:trHeight w:val="317"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证试验与评价</w:t>
            </w:r>
            <w:r>
              <w:rPr>
                <w:rFonts w:ascii="宋体" w:hAnsi="宋体" w:cs="宋体" w:eastAsia="宋体" w:hint="default"/>
                <w:spacing w:val="-92"/>
                <w:sz w:val="18"/>
                <w:szCs w:val="18"/>
              </w:rPr>
              <w:t>。</w:t>
            </w:r>
            <w:r>
              <w:rPr>
                <w:rFonts w:ascii="宋体" w:hAnsi="宋体" w:cs="宋体" w:eastAsia="宋体" w:hint="default"/>
                <w:sz w:val="18"/>
                <w:szCs w:val="18"/>
              </w:rPr>
              <w:t>本项目开发任</w:t>
            </w:r>
            <w:r>
              <w:rPr>
                <w:rFonts w:ascii="宋体" w:hAnsi="宋体" w:cs="宋体" w:eastAsia="宋体" w:hint="default"/>
                <w:spacing w:val="2"/>
                <w:sz w:val="18"/>
                <w:szCs w:val="18"/>
              </w:rPr>
              <w:t>务</w:t>
            </w:r>
            <w:r>
              <w:rPr>
                <w:rFonts w:ascii="宋体" w:hAnsi="宋体" w:cs="宋体" w:eastAsia="宋体" w:hint="default"/>
                <w:sz w:val="18"/>
                <w:szCs w:val="18"/>
              </w:rPr>
              <w:t>是针对在研多型</w:t>
            </w:r>
            <w:r>
              <w:rPr>
                <w:rFonts w:ascii="宋体" w:hAnsi="宋体" w:cs="宋体" w:eastAsia="宋体" w:hint="default"/>
                <w:spacing w:val="-52"/>
                <w:sz w:val="18"/>
                <w:szCs w:val="18"/>
              </w:rPr>
              <w:t> </w:t>
            </w:r>
            <w:r>
              <w:rPr>
                <w:rFonts w:ascii="Times New Roman" w:hAnsi="Times New Roman" w:cs="Times New Roman" w:eastAsia="Times New Roman" w:hint="default"/>
                <w:spacing w:val="3"/>
                <w:w w:val="99"/>
                <w:sz w:val="18"/>
                <w:szCs w:val="18"/>
              </w:rPr>
              <w:t>P</w:t>
            </w:r>
            <w:r>
              <w:rPr>
                <w:rFonts w:ascii="Times New Roman" w:hAnsi="Times New Roman" w:cs="Times New Roman" w:eastAsia="Times New Roman" w:hint="default"/>
                <w:spacing w:val="-1"/>
                <w:w w:val="99"/>
                <w:sz w:val="18"/>
                <w:szCs w:val="18"/>
              </w:rPr>
              <w:t>H</w:t>
            </w:r>
            <w:r>
              <w:rPr>
                <w:rFonts w:ascii="Times New Roman" w:hAnsi="Times New Roman" w:cs="Times New Roman" w:eastAsia="Times New Roman" w:hint="default"/>
                <w:w w:val="99"/>
                <w:sz w:val="18"/>
                <w:szCs w:val="18"/>
              </w:rPr>
              <w:t>M</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产</w:t>
            </w:r>
          </w:p>
        </w:tc>
        <w:tc>
          <w:tcPr>
            <w:tcW w:w="1771" w:type="dxa"/>
            <w:gridSpan w:val="2"/>
            <w:tcBorders>
              <w:top w:val="nil" w:sz="6" w:space="0" w:color="auto"/>
              <w:left w:val="single" w:sz="4" w:space="0" w:color="000000"/>
              <w:bottom w:val="nil" w:sz="6" w:space="0" w:color="auto"/>
              <w:right w:val="single" w:sz="4" w:space="0" w:color="000000"/>
            </w:tcBorders>
          </w:tcPr>
          <w:p>
            <w:pPr/>
          </w:p>
        </w:tc>
      </w:tr>
      <w:tr>
        <w:trPr>
          <w:trHeight w:val="307"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3" w:right="0"/>
              <w:jc w:val="left"/>
              <w:rPr>
                <w:rFonts w:ascii="宋体" w:hAnsi="宋体" w:cs="宋体" w:eastAsia="宋体" w:hint="default"/>
                <w:sz w:val="18"/>
                <w:szCs w:val="18"/>
              </w:rPr>
            </w:pPr>
            <w:r>
              <w:rPr>
                <w:rFonts w:ascii="宋体" w:hAnsi="宋体" w:cs="宋体" w:eastAsia="宋体" w:hint="default"/>
                <w:sz w:val="18"/>
                <w:szCs w:val="18"/>
              </w:rPr>
              <w:t>品，应用测试性建模与分析的方法，开发一套测试性设</w:t>
            </w:r>
          </w:p>
        </w:tc>
        <w:tc>
          <w:tcPr>
            <w:tcW w:w="1771" w:type="dxa"/>
            <w:gridSpan w:val="2"/>
            <w:tcBorders>
              <w:top w:val="nil" w:sz="6" w:space="0" w:color="auto"/>
              <w:left w:val="single" w:sz="4" w:space="0" w:color="000000"/>
              <w:bottom w:val="nil" w:sz="6" w:space="0" w:color="auto"/>
              <w:right w:val="single" w:sz="4" w:space="0" w:color="000000"/>
            </w:tcBorders>
          </w:tcPr>
          <w:p>
            <w:pPr/>
          </w:p>
        </w:tc>
      </w:tr>
      <w:tr>
        <w:trPr>
          <w:trHeight w:val="936"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4" w:lineRule="auto"/>
              <w:ind w:left="756" w:right="35" w:hanging="720"/>
              <w:jc w:val="left"/>
              <w:rPr>
                <w:rFonts w:ascii="宋体" w:hAnsi="宋体" w:cs="宋体" w:eastAsia="宋体" w:hint="default"/>
                <w:sz w:val="18"/>
                <w:szCs w:val="18"/>
              </w:rPr>
            </w:pPr>
            <w:r>
              <w:rPr>
                <w:rFonts w:ascii="宋体" w:hAnsi="宋体" w:cs="宋体" w:eastAsia="宋体" w:hint="default"/>
                <w:sz w:val="18"/>
                <w:szCs w:val="18"/>
              </w:rPr>
              <w:t>测试性设计与验证平 台</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2,832,678.97</w:t>
            </w: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33" w:right="29"/>
              <w:jc w:val="both"/>
              <w:rPr>
                <w:rFonts w:ascii="宋体" w:hAnsi="宋体" w:cs="宋体" w:eastAsia="宋体" w:hint="default"/>
                <w:sz w:val="18"/>
                <w:szCs w:val="18"/>
              </w:rPr>
            </w:pPr>
            <w:r>
              <w:rPr>
                <w:rFonts w:ascii="宋体" w:hAnsi="宋体" w:cs="宋体" w:eastAsia="宋体" w:hint="default"/>
                <w:sz w:val="18"/>
                <w:szCs w:val="18"/>
              </w:rPr>
              <w:t>计与验证系统，以促进产品的测试性设计，提高产品质 量和用户体验。本项目基于对待测对象的测试性建模与 分析，得到其状态评估和故障诊断模型，规划了相关的</w:t>
            </w:r>
          </w:p>
        </w:tc>
        <w:tc>
          <w:tcPr>
            <w:tcW w:w="177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6" w:right="0"/>
              <w:jc w:val="center"/>
              <w:rPr>
                <w:rFonts w:ascii="Times New Roman" w:hAnsi="Times New Roman" w:cs="Times New Roman" w:eastAsia="Times New Roman" w:hint="default"/>
                <w:sz w:val="18"/>
                <w:szCs w:val="18"/>
              </w:rPr>
            </w:pPr>
            <w:r>
              <w:rPr>
                <w:rFonts w:ascii="Times New Roman"/>
                <w:sz w:val="18"/>
              </w:rPr>
              <w:t>95%</w:t>
            </w: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3" w:right="0"/>
              <w:jc w:val="left"/>
              <w:rPr>
                <w:rFonts w:ascii="宋体" w:hAnsi="宋体" w:cs="宋体" w:eastAsia="宋体" w:hint="default"/>
                <w:sz w:val="18"/>
                <w:szCs w:val="18"/>
              </w:rPr>
            </w:pPr>
            <w:r>
              <w:rPr>
                <w:rFonts w:ascii="宋体" w:hAnsi="宋体" w:cs="宋体" w:eastAsia="宋体" w:hint="default"/>
                <w:sz w:val="18"/>
                <w:szCs w:val="18"/>
              </w:rPr>
              <w:t>测试验证工具，包括多种信号激励源、故障注入系统、</w:t>
            </w:r>
          </w:p>
        </w:tc>
        <w:tc>
          <w:tcPr>
            <w:tcW w:w="1771" w:type="dxa"/>
            <w:gridSpan w:val="2"/>
            <w:tcBorders>
              <w:top w:val="nil" w:sz="6" w:space="0" w:color="auto"/>
              <w:left w:val="single" w:sz="4" w:space="0" w:color="000000"/>
              <w:bottom w:val="nil" w:sz="6" w:space="0" w:color="auto"/>
              <w:right w:val="single" w:sz="4" w:space="0" w:color="000000"/>
            </w:tcBorders>
          </w:tcPr>
          <w:p>
            <w:pPr/>
          </w:p>
        </w:tc>
      </w:tr>
      <w:tr>
        <w:trPr>
          <w:trHeight w:val="317"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协议分析设备和常用仪表，定制了基于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BIT </w:t>
            </w:r>
            <w:r>
              <w:rPr>
                <w:rFonts w:ascii="宋体" w:hAnsi="宋体" w:cs="宋体" w:eastAsia="宋体" w:hint="default"/>
                <w:sz w:val="18"/>
                <w:szCs w:val="18"/>
              </w:rPr>
              <w:t>和</w:t>
            </w:r>
            <w:r>
              <w:rPr>
                <w:rFonts w:ascii="宋体" w:hAnsi="宋体" w:cs="宋体" w:eastAsia="宋体" w:hint="default"/>
                <w:spacing w:val="-43"/>
                <w:sz w:val="18"/>
                <w:szCs w:val="18"/>
              </w:rPr>
              <w:t> </w:t>
            </w:r>
            <w:r>
              <w:rPr>
                <w:rFonts w:ascii="Times New Roman" w:hAnsi="Times New Roman" w:cs="Times New Roman" w:eastAsia="Times New Roman" w:hint="default"/>
                <w:spacing w:val="-8"/>
                <w:sz w:val="18"/>
                <w:szCs w:val="18"/>
              </w:rPr>
              <w:t>ATE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的一</w:t>
            </w:r>
          </w:p>
        </w:tc>
        <w:tc>
          <w:tcPr>
            <w:tcW w:w="1771" w:type="dxa"/>
            <w:gridSpan w:val="2"/>
            <w:tcBorders>
              <w:top w:val="nil" w:sz="6" w:space="0" w:color="auto"/>
              <w:left w:val="single" w:sz="4" w:space="0" w:color="000000"/>
              <w:bottom w:val="nil" w:sz="6" w:space="0" w:color="auto"/>
              <w:right w:val="single" w:sz="4" w:space="0" w:color="000000"/>
            </w:tcBorders>
          </w:tcPr>
          <w:p>
            <w:pPr/>
          </w:p>
        </w:tc>
      </w:tr>
      <w:tr>
        <w:trPr>
          <w:trHeight w:val="307"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3" w:right="0"/>
              <w:jc w:val="left"/>
              <w:rPr>
                <w:rFonts w:ascii="宋体" w:hAnsi="宋体" w:cs="宋体" w:eastAsia="宋体" w:hint="default"/>
                <w:sz w:val="18"/>
                <w:szCs w:val="18"/>
              </w:rPr>
            </w:pPr>
            <w:r>
              <w:rPr>
                <w:rFonts w:ascii="宋体" w:hAnsi="宋体" w:cs="宋体" w:eastAsia="宋体" w:hint="default"/>
                <w:sz w:val="18"/>
                <w:szCs w:val="18"/>
              </w:rPr>
              <w:t>体化测试验证系统，形成产品测试性设计与验证系统，</w:t>
            </w:r>
          </w:p>
        </w:tc>
        <w:tc>
          <w:tcPr>
            <w:tcW w:w="1771" w:type="dxa"/>
            <w:gridSpan w:val="2"/>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3" w:right="0"/>
              <w:jc w:val="left"/>
              <w:rPr>
                <w:rFonts w:ascii="宋体" w:hAnsi="宋体" w:cs="宋体" w:eastAsia="宋体" w:hint="default"/>
                <w:sz w:val="18"/>
                <w:szCs w:val="18"/>
              </w:rPr>
            </w:pPr>
            <w:r>
              <w:rPr>
                <w:rFonts w:ascii="宋体" w:hAnsi="宋体" w:cs="宋体" w:eastAsia="宋体" w:hint="default"/>
                <w:sz w:val="18"/>
                <w:szCs w:val="18"/>
              </w:rPr>
              <w:t>为型研产品交付前的测试验证提供指导和验证，同时为</w:t>
            </w:r>
          </w:p>
        </w:tc>
        <w:tc>
          <w:tcPr>
            <w:tcW w:w="1771" w:type="dxa"/>
            <w:gridSpan w:val="2"/>
            <w:tcBorders>
              <w:top w:val="nil" w:sz="6" w:space="0" w:color="auto"/>
              <w:left w:val="single" w:sz="4" w:space="0" w:color="000000"/>
              <w:bottom w:val="nil" w:sz="6" w:space="0" w:color="auto"/>
              <w:right w:val="single" w:sz="4" w:space="0" w:color="000000"/>
            </w:tcBorders>
          </w:tcPr>
          <w:p>
            <w:pPr/>
          </w:p>
        </w:tc>
      </w:tr>
      <w:tr>
        <w:trPr>
          <w:trHeight w:val="413" w:hRule="exact"/>
        </w:trPr>
        <w:tc>
          <w:tcPr>
            <w:tcW w:w="1702"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43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PHM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系统的应用提供分析和支撑数据。</w:t>
            </w:r>
          </w:p>
        </w:tc>
        <w:tc>
          <w:tcPr>
            <w:tcW w:w="1771" w:type="dxa"/>
            <w:gridSpan w:val="2"/>
            <w:tcBorders>
              <w:top w:val="nil" w:sz="6" w:space="0" w:color="auto"/>
              <w:left w:val="single" w:sz="4" w:space="0" w:color="000000"/>
              <w:bottom w:val="single" w:sz="4" w:space="0" w:color="000000"/>
              <w:right w:val="single" w:sz="4" w:space="0" w:color="000000"/>
            </w:tcBorders>
          </w:tcPr>
          <w:p>
            <w:pPr/>
          </w:p>
        </w:tc>
      </w:tr>
      <w:tr>
        <w:trPr>
          <w:trHeight w:val="413" w:hRule="exact"/>
        </w:trPr>
        <w:tc>
          <w:tcPr>
            <w:tcW w:w="1702"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43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本项目是实现轮式特种车辆</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PHM</w:t>
            </w:r>
          </w:p>
        </w:tc>
        <w:tc>
          <w:tcPr>
            <w:tcW w:w="392" w:type="dxa"/>
            <w:vMerge w:val="restart"/>
            <w:tcBorders>
              <w:top w:val="single" w:sz="4" w:space="0" w:color="000000"/>
              <w:left w:val="single" w:sz="4" w:space="0" w:color="000000"/>
              <w:right w:val="nil" w:sz="6" w:space="0" w:color="auto"/>
            </w:tcBorders>
          </w:tcPr>
          <w:p>
            <w:pPr/>
          </w:p>
        </w:tc>
        <w:tc>
          <w:tcPr>
            <w:tcW w:w="1379" w:type="dxa"/>
            <w:tcBorders>
              <w:top w:val="single" w:sz="4" w:space="0" w:color="000000"/>
              <w:left w:val="nil" w:sz="6" w:space="0" w:color="auto"/>
              <w:bottom w:val="nil" w:sz="6" w:space="0" w:color="auto"/>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67"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XX </w:t>
            </w:r>
            <w:r>
              <w:rPr>
                <w:rFonts w:ascii="宋体" w:hAnsi="宋体" w:cs="宋体" w:eastAsia="宋体" w:hint="default"/>
                <w:sz w:val="18"/>
                <w:szCs w:val="18"/>
              </w:rPr>
              <w:t>定型车辆为应用背景的基础参照，定制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PHM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w:t>
            </w:r>
          </w:p>
        </w:tc>
        <w:tc>
          <w:tcPr>
            <w:tcW w:w="392" w:type="dxa"/>
            <w:vMerge/>
            <w:tcBorders>
              <w:left w:val="single" w:sz="4" w:space="0" w:color="000000"/>
              <w:right w:val="nil" w:sz="6" w:space="0" w:color="auto"/>
            </w:tcBorders>
          </w:tcPr>
          <w:p>
            <w:pPr/>
          </w:p>
        </w:tc>
        <w:tc>
          <w:tcPr>
            <w:tcW w:w="1379" w:type="dxa"/>
            <w:tcBorders>
              <w:top w:val="nil" w:sz="6" w:space="0" w:color="auto"/>
              <w:left w:val="nil" w:sz="6" w:space="0" w:color="auto"/>
              <w:bottom w:val="nil" w:sz="6" w:space="0" w:color="auto"/>
              <w:right w:val="single" w:sz="4" w:space="0" w:color="000000"/>
            </w:tcBorders>
          </w:tcPr>
          <w:p>
            <w:pPr/>
          </w:p>
        </w:tc>
      </w:tr>
      <w:tr>
        <w:trPr>
          <w:trHeight w:val="284"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3" w:right="0"/>
              <w:jc w:val="left"/>
              <w:rPr>
                <w:rFonts w:ascii="宋体" w:hAnsi="宋体" w:cs="宋体" w:eastAsia="宋体" w:hint="default"/>
                <w:sz w:val="18"/>
                <w:szCs w:val="18"/>
              </w:rPr>
            </w:pPr>
            <w:r>
              <w:rPr>
                <w:rFonts w:ascii="宋体" w:hAnsi="宋体" w:cs="宋体" w:eastAsia="宋体" w:hint="default"/>
                <w:sz w:val="18"/>
                <w:szCs w:val="18"/>
              </w:rPr>
              <w:t>统，利用传感器技术和数据融合技术，获取系统运行状</w:t>
            </w:r>
          </w:p>
        </w:tc>
        <w:tc>
          <w:tcPr>
            <w:tcW w:w="392" w:type="dxa"/>
            <w:vMerge/>
            <w:tcBorders>
              <w:left w:val="single" w:sz="4" w:space="0" w:color="000000"/>
              <w:right w:val="nil" w:sz="6" w:space="0" w:color="auto"/>
            </w:tcBorders>
          </w:tcPr>
          <w:p>
            <w:pPr/>
          </w:p>
        </w:tc>
        <w:tc>
          <w:tcPr>
            <w:tcW w:w="1379" w:type="dxa"/>
            <w:tcBorders>
              <w:top w:val="nil" w:sz="6" w:space="0" w:color="auto"/>
              <w:left w:val="nil" w:sz="6" w:space="0" w:color="auto"/>
              <w:bottom w:val="nil" w:sz="6" w:space="0" w:color="auto"/>
              <w:right w:val="single" w:sz="4" w:space="0" w:color="000000"/>
            </w:tcBorders>
          </w:tcPr>
          <w:p>
            <w:pPr/>
          </w:p>
        </w:tc>
      </w:tr>
      <w:tr>
        <w:trPr>
          <w:trHeight w:val="647"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轮式特种车辆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PHM</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应用平台</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6,988,605.75</w:t>
            </w: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316" w:lineRule="auto" w:before="33"/>
              <w:ind w:left="33" w:right="29"/>
              <w:jc w:val="left"/>
              <w:rPr>
                <w:rFonts w:ascii="宋体" w:hAnsi="宋体" w:cs="宋体" w:eastAsia="宋体" w:hint="default"/>
                <w:sz w:val="18"/>
                <w:szCs w:val="18"/>
              </w:rPr>
            </w:pPr>
            <w:r>
              <w:rPr>
                <w:rFonts w:ascii="宋体" w:hAnsi="宋体" w:cs="宋体" w:eastAsia="宋体" w:hint="default"/>
                <w:sz w:val="18"/>
                <w:szCs w:val="18"/>
              </w:rPr>
              <w:t>态信息和故障信息，对系统进行状态监测和故障诊断； 应用多种算法和模型，根据系统历史数据和环境因素，</w:t>
            </w:r>
          </w:p>
        </w:tc>
        <w:tc>
          <w:tcPr>
            <w:tcW w:w="392" w:type="dxa"/>
            <w:vMerge/>
            <w:tcBorders>
              <w:left w:val="single" w:sz="4" w:space="0" w:color="000000"/>
              <w:right w:val="nil" w:sz="6" w:space="0" w:color="auto"/>
            </w:tcBorders>
          </w:tcPr>
          <w:p>
            <w:pPr/>
          </w:p>
        </w:tc>
        <w:tc>
          <w:tcPr>
            <w:tcW w:w="1379" w:type="dxa"/>
            <w:tcBorders>
              <w:top w:val="nil" w:sz="6" w:space="0" w:color="auto"/>
              <w:left w:val="nil" w:sz="6" w:space="0" w:color="auto"/>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329" w:right="0"/>
              <w:jc w:val="left"/>
              <w:rPr>
                <w:rFonts w:ascii="Times New Roman" w:hAnsi="Times New Roman" w:cs="Times New Roman" w:eastAsia="Times New Roman" w:hint="default"/>
                <w:sz w:val="18"/>
                <w:szCs w:val="18"/>
              </w:rPr>
            </w:pPr>
            <w:r>
              <w:rPr>
                <w:rFonts w:ascii="Times New Roman"/>
                <w:sz w:val="18"/>
              </w:rPr>
              <w:t>95%</w:t>
            </w: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对系统进行故障预测，</w:t>
            </w:r>
          </w:p>
        </w:tc>
        <w:tc>
          <w:tcPr>
            <w:tcW w:w="392" w:type="dxa"/>
            <w:vMerge/>
            <w:tcBorders>
              <w:left w:val="single" w:sz="4" w:space="0" w:color="000000"/>
              <w:right w:val="nil" w:sz="6" w:space="0" w:color="auto"/>
            </w:tcBorders>
          </w:tcPr>
          <w:p>
            <w:pPr/>
          </w:p>
        </w:tc>
        <w:tc>
          <w:tcPr>
            <w:tcW w:w="1379" w:type="dxa"/>
            <w:tcBorders>
              <w:top w:val="nil" w:sz="6" w:space="0" w:color="auto"/>
              <w:left w:val="nil" w:sz="6" w:space="0" w:color="auto"/>
              <w:bottom w:val="nil" w:sz="6" w:space="0" w:color="auto"/>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3" w:right="0"/>
              <w:jc w:val="left"/>
              <w:rPr>
                <w:rFonts w:ascii="宋体" w:hAnsi="宋体" w:cs="宋体" w:eastAsia="宋体" w:hint="default"/>
                <w:sz w:val="18"/>
                <w:szCs w:val="18"/>
              </w:rPr>
            </w:pPr>
            <w:r>
              <w:rPr>
                <w:rFonts w:ascii="宋体" w:hAnsi="宋体" w:cs="宋体" w:eastAsia="宋体" w:hint="default"/>
                <w:sz w:val="18"/>
                <w:szCs w:val="18"/>
              </w:rPr>
              <w:t>结合地面维修资源情况，给出维修决策，以实现关键部</w:t>
            </w:r>
          </w:p>
        </w:tc>
        <w:tc>
          <w:tcPr>
            <w:tcW w:w="392" w:type="dxa"/>
            <w:vMerge/>
            <w:tcBorders>
              <w:left w:val="single" w:sz="4" w:space="0" w:color="000000"/>
              <w:right w:val="nil" w:sz="6" w:space="0" w:color="auto"/>
            </w:tcBorders>
          </w:tcPr>
          <w:p>
            <w:pPr/>
          </w:p>
        </w:tc>
        <w:tc>
          <w:tcPr>
            <w:tcW w:w="1379" w:type="dxa"/>
            <w:tcBorders>
              <w:top w:val="nil" w:sz="6" w:space="0" w:color="auto"/>
              <w:left w:val="nil" w:sz="6" w:space="0" w:color="auto"/>
              <w:bottom w:val="nil" w:sz="6" w:space="0" w:color="auto"/>
              <w:right w:val="single" w:sz="4" w:space="0" w:color="000000"/>
            </w:tcBorders>
          </w:tcPr>
          <w:p>
            <w:pPr/>
          </w:p>
        </w:tc>
      </w:tr>
      <w:tr>
        <w:trPr>
          <w:trHeight w:val="319" w:hRule="exact"/>
        </w:trPr>
        <w:tc>
          <w:tcPr>
            <w:tcW w:w="1702"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43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38" w:right="0"/>
              <w:jc w:val="left"/>
              <w:rPr>
                <w:rFonts w:ascii="宋体" w:hAnsi="宋体" w:cs="宋体" w:eastAsia="宋体" w:hint="default"/>
                <w:sz w:val="18"/>
                <w:szCs w:val="18"/>
              </w:rPr>
            </w:pPr>
            <w:r>
              <w:rPr>
                <w:rFonts w:ascii="宋体" w:hAnsi="宋体" w:cs="宋体" w:eastAsia="宋体" w:hint="default"/>
                <w:sz w:val="18"/>
                <w:szCs w:val="18"/>
              </w:rPr>
              <w:t>件的视情维修。本项目针对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XX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轮式特种车辆，设计构</w:t>
            </w:r>
          </w:p>
        </w:tc>
        <w:tc>
          <w:tcPr>
            <w:tcW w:w="392" w:type="dxa"/>
            <w:vMerge/>
            <w:tcBorders>
              <w:left w:val="single" w:sz="4" w:space="0" w:color="000000"/>
              <w:bottom w:val="single" w:sz="4" w:space="0" w:color="000000"/>
              <w:right w:val="nil" w:sz="6" w:space="0" w:color="auto"/>
            </w:tcBorders>
          </w:tcPr>
          <w:p>
            <w:pPr/>
          </w:p>
        </w:tc>
        <w:tc>
          <w:tcPr>
            <w:tcW w:w="1379" w:type="dxa"/>
            <w:tcBorders>
              <w:top w:val="nil" w:sz="6" w:space="0" w:color="auto"/>
              <w:left w:val="nil" w:sz="6" w:space="0" w:color="auto"/>
              <w:bottom w:val="single" w:sz="4" w:space="0" w:color="000000"/>
              <w:right w:val="single" w:sz="4" w:space="0" w:color="000000"/>
            </w:tcBorders>
          </w:tcPr>
          <w:p>
            <w:pPr/>
          </w:p>
        </w:tc>
      </w:tr>
    </w:tbl>
    <w:p>
      <w:pPr>
        <w:spacing w:after="0"/>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2"/>
        <w:gridCol w:w="1702"/>
        <w:gridCol w:w="4394"/>
        <w:gridCol w:w="1771"/>
      </w:tblGrid>
      <w:tr>
        <w:trPr>
          <w:trHeight w:val="1351"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62" w:right="59"/>
              <w:jc w:val="both"/>
              <w:rPr>
                <w:rFonts w:ascii="宋体" w:hAnsi="宋体" w:cs="宋体" w:eastAsia="宋体" w:hint="default"/>
                <w:sz w:val="18"/>
                <w:szCs w:val="18"/>
              </w:rPr>
            </w:pPr>
            <w:r>
              <w:rPr>
                <w:rFonts w:ascii="宋体" w:hAnsi="宋体" w:cs="宋体" w:eastAsia="宋体" w:hint="default"/>
                <w:sz w:val="18"/>
                <w:szCs w:val="18"/>
              </w:rPr>
              <w:t>建了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PHM </w:t>
            </w:r>
            <w:r>
              <w:rPr>
                <w:rFonts w:ascii="宋体" w:hAnsi="宋体" w:cs="宋体" w:eastAsia="宋体" w:hint="default"/>
                <w:sz w:val="18"/>
                <w:szCs w:val="18"/>
              </w:rPr>
              <w:t>系统的应用验证系统，根据轮式车辆的底盘 和上装系统的参数特征，结合定制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PHM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系统，验证多 种自研算法和模型，形成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PHM </w:t>
            </w:r>
            <w:r>
              <w:rPr>
                <w:rFonts w:ascii="宋体" w:hAnsi="宋体" w:cs="宋体" w:eastAsia="宋体" w:hint="default"/>
                <w:sz w:val="18"/>
                <w:szCs w:val="18"/>
              </w:rPr>
              <w:t>系统的应用验证平台， 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PHM </w:t>
            </w:r>
            <w:r>
              <w:rPr>
                <w:rFonts w:ascii="宋体" w:hAnsi="宋体" w:cs="宋体" w:eastAsia="宋体" w:hint="default"/>
                <w:sz w:val="18"/>
                <w:szCs w:val="18"/>
              </w:rPr>
              <w:t>系统各关键指标评估提供分析和支撑数据。</w:t>
            </w:r>
          </w:p>
        </w:tc>
        <w:tc>
          <w:tcPr>
            <w:tcW w:w="177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08" w:lineRule="auto" w:before="64"/>
        <w:ind w:left="152" w:right="1106" w:firstLine="420"/>
        <w:jc w:val="both"/>
      </w:pPr>
      <w:r>
        <w:rPr>
          <w:spacing w:val="-2"/>
        </w:rPr>
        <w:t>公司内部研究开发项目的支出分为研究阶段支出和开发阶段支出。研究阶段：为获取并理解新的科学</w:t>
      </w:r>
      <w:r>
        <w:rPr>
          <w:w w:val="100"/>
        </w:rPr>
        <w:t> </w:t>
      </w:r>
      <w:r>
        <w:rPr>
          <w:spacing w:val="-2"/>
        </w:rPr>
        <w:t>或技术知识等而进行的独创性的有计划调查、研究活动的阶段。开发阶段：在进行商业性生产或使用前，</w:t>
      </w:r>
      <w:r>
        <w:rPr>
          <w:spacing w:val="-21"/>
        </w:rPr>
        <w:t> </w:t>
      </w:r>
      <w:r>
        <w:rPr>
          <w:spacing w:val="-21"/>
        </w:rPr>
      </w:r>
      <w:r>
        <w:rPr>
          <w:spacing w:val="-2"/>
        </w:rPr>
        <w:t>将研究成果或其他知识应用于某项计划或设计，以生产出新的或具有实质性改进的材料、装置、产品等活</w:t>
      </w:r>
      <w:r>
        <w:rPr>
          <w:spacing w:val="-44"/>
        </w:rPr>
        <w:t> </w:t>
      </w:r>
      <w:r>
        <w:rPr>
          <w:spacing w:val="-44"/>
        </w:rPr>
      </w:r>
      <w:r>
        <w:rPr/>
        <w:t>动的阶段。</w:t>
      </w:r>
    </w:p>
    <w:p>
      <w:pPr>
        <w:pStyle w:val="BodyText"/>
        <w:spacing w:line="408" w:lineRule="auto" w:before="46"/>
        <w:ind w:left="152" w:right="1128" w:firstLine="420"/>
        <w:jc w:val="both"/>
      </w:pPr>
      <w:r>
        <w:rPr>
          <w:spacing w:val="-2"/>
        </w:rPr>
        <w:t>公司内部研究开发项目开发阶段的支出，同时满足下列条件的，才能资本化：①完成该无形资产以使</w:t>
      </w:r>
      <w:r>
        <w:rPr>
          <w:spacing w:val="-3"/>
          <w:w w:val="100"/>
        </w:rPr>
        <w:t> </w:t>
      </w:r>
      <w:r>
        <w:rPr>
          <w:spacing w:val="-2"/>
        </w:rPr>
        <w:t>其能够使用或出售在技术上具有可行性；②具有完成该无形资产并使用或出售的意图；③无形资产产生经</w:t>
      </w:r>
      <w:r>
        <w:rPr>
          <w:spacing w:val="-42"/>
        </w:rPr>
        <w:t> </w:t>
      </w:r>
      <w:r>
        <w:rPr>
          <w:spacing w:val="-42"/>
        </w:rPr>
      </w:r>
      <w:r>
        <w:rPr>
          <w:spacing w:val="-2"/>
        </w:rPr>
        <w:t>济利益的方式，包括能够证明运用该无形资产生产的产品存在市场或无形资产自身存在市场，无形资产将</w:t>
      </w:r>
      <w:r>
        <w:rPr>
          <w:spacing w:val="-42"/>
        </w:rPr>
        <w:t> </w:t>
      </w:r>
      <w:r>
        <w:rPr>
          <w:spacing w:val="-42"/>
        </w:rPr>
      </w:r>
      <w:r>
        <w:rPr>
          <w:spacing w:val="-3"/>
        </w:rPr>
        <w:t>在内部使用的，能够证明其有用性；④有足够的技术、财务资源和其他资源支持，以完成该无形资产的开</w:t>
      </w:r>
      <w:r>
        <w:rPr>
          <w:spacing w:val="-5"/>
        </w:rPr>
        <w:t> </w:t>
      </w:r>
      <w:r>
        <w:rPr>
          <w:spacing w:val="-5"/>
        </w:rPr>
      </w:r>
      <w:r>
        <w:rPr>
          <w:spacing w:val="-2"/>
        </w:rPr>
        <w:t>发，并有能力使用或出售该无形资产；⑤归属于该无形资产开发阶段的支出能够可靠地计量。开发阶段的</w:t>
      </w:r>
      <w:r>
        <w:rPr>
          <w:spacing w:val="-46"/>
        </w:rPr>
        <w:t> </w:t>
      </w:r>
      <w:r>
        <w:rPr>
          <w:spacing w:val="-46"/>
        </w:rPr>
      </w:r>
      <w:r>
        <w:rPr/>
        <w:t>支出，若不满足上列条件的，于发生时计入当期损益。研究阶段的支出，在发生时计入当期损益。</w:t>
      </w:r>
    </w:p>
    <w:p>
      <w:pPr>
        <w:pStyle w:val="BodyText"/>
        <w:spacing w:line="408" w:lineRule="auto" w:before="46"/>
        <w:ind w:left="152" w:right="1106" w:firstLine="420"/>
        <w:jc w:val="both"/>
      </w:pPr>
      <w:r>
        <w:rPr>
          <w:spacing w:val="-2"/>
        </w:rPr>
        <w:t>公司设有研发部，统筹管理研发项目，负责组织对研发项目的技术市场前景预测、可行性进行分析、</w:t>
      </w:r>
      <w:r>
        <w:rPr>
          <w:w w:val="100"/>
        </w:rPr>
        <w:t> </w:t>
      </w:r>
      <w:r>
        <w:rPr/>
        <w:t>项目执行、项目验收和成果推广管理等工作。</w:t>
      </w:r>
    </w:p>
    <w:p>
      <w:pPr>
        <w:spacing w:line="240" w:lineRule="auto" w:before="8"/>
        <w:rPr>
          <w:rFonts w:ascii="宋体" w:hAnsi="宋体" w:cs="宋体" w:eastAsia="宋体" w:hint="default"/>
          <w:sz w:val="20"/>
          <w:szCs w:val="20"/>
        </w:rPr>
      </w:pPr>
    </w:p>
    <w:p>
      <w:pPr>
        <w:pStyle w:val="Heading4"/>
        <w:spacing w:line="240" w:lineRule="auto"/>
        <w:ind w:right="1127"/>
        <w:jc w:val="left"/>
        <w:rPr>
          <w:b w:val="0"/>
          <w:bCs w:val="0"/>
        </w:rPr>
      </w:pPr>
      <w:bookmarkStart w:name="5、现金流" w:id="64"/>
      <w:bookmarkEnd w:id="64"/>
      <w:r>
        <w:rPr>
          <w:b w:val="0"/>
          <w:bCs w:val="0"/>
        </w:rPr>
      </w:r>
      <w:r>
        <w:rPr>
          <w:rFonts w:ascii="Times New Roman" w:hAnsi="Times New Roman" w:cs="Times New Roman" w:eastAsia="Times New Roman" w:hint="default"/>
        </w:rPr>
        <w:t>5</w:t>
      </w:r>
      <w:r>
        <w:rPr/>
        <w:t>、现金流</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0" w:right="1130"/>
        <w:jc w:val="right"/>
      </w:pPr>
      <w:r>
        <w:rPr>
          <w:spacing w:val="-1"/>
        </w:rPr>
        <w:t>单位：元</w:t>
      </w:r>
    </w:p>
    <w:p>
      <w:pPr>
        <w:spacing w:line="240" w:lineRule="auto" w:before="5"/>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509"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509"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4,949,733,001.61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4,173,944,267.13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18.59%</w:t>
            </w:r>
          </w:p>
        </w:tc>
      </w:tr>
      <w:tr>
        <w:trPr>
          <w:trHeight w:val="506"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4,289,872,430.63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4,240,210,328.74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1.17%</w:t>
            </w:r>
          </w:p>
        </w:tc>
      </w:tr>
      <w:tr>
        <w:trPr>
          <w:trHeight w:val="82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1089" w:right="98" w:hanging="992"/>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659,860,570.98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-66,266,061.61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1,095.77%</w:t>
            </w:r>
          </w:p>
        </w:tc>
      </w:tr>
      <w:tr>
        <w:trPr>
          <w:trHeight w:val="509"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438,392,584.17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-210,358,888.12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308.40%</w:t>
            </w:r>
          </w:p>
        </w:tc>
      </w:tr>
      <w:tr>
        <w:trPr>
          <w:trHeight w:val="506"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752,081,892.33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411,766,164.32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82.65%</w:t>
            </w:r>
          </w:p>
        </w:tc>
      </w:tr>
      <w:tr>
        <w:trPr>
          <w:trHeight w:val="82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1089" w:right="98" w:hanging="992"/>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-313,689,308.16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-622,125,052.44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49.58%</w:t>
            </w:r>
          </w:p>
        </w:tc>
      </w:tr>
      <w:tr>
        <w:trPr>
          <w:trHeight w:val="509"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578,900,195.73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863,991,964.27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-33.00%</w:t>
            </w:r>
          </w:p>
        </w:tc>
      </w:tr>
      <w:tr>
        <w:trPr>
          <w:trHeight w:val="506"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1,219,846,449.68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888,767,959.72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37.25%</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82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1100" w:right="110" w:hanging="992"/>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-640,946,253.95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-24,775,995.45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-2,486.96%</w:t>
            </w:r>
          </w:p>
        </w:tc>
      </w:tr>
      <w:tr>
        <w:trPr>
          <w:trHeight w:val="506"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09"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-293,571,803.01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-710,800,088.67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58.70%</w:t>
            </w:r>
          </w:p>
        </w:tc>
      </w:tr>
    </w:tbl>
    <w:p>
      <w:pPr>
        <w:spacing w:line="240" w:lineRule="auto" w:before="11"/>
        <w:rPr>
          <w:rFonts w:ascii="宋体" w:hAnsi="宋体" w:cs="宋体" w:eastAsia="宋体" w:hint="default"/>
          <w:sz w:val="9"/>
          <w:szCs w:val="9"/>
        </w:rPr>
      </w:pPr>
    </w:p>
    <w:p>
      <w:pPr>
        <w:pStyle w:val="BodyText"/>
        <w:spacing w:line="240" w:lineRule="auto" w:before="36"/>
        <w:ind w:right="1127"/>
        <w:jc w:val="left"/>
      </w:pPr>
      <w:r>
        <w:rPr/>
        <w:t>相关数据同比发生重大变动的主要影响因素说明</w:t>
      </w:r>
    </w:p>
    <w:p>
      <w:pPr>
        <w:spacing w:line="240" w:lineRule="auto" w:before="6"/>
        <w:rPr>
          <w:rFonts w:ascii="宋体" w:hAnsi="宋体" w:cs="宋体" w:eastAsia="宋体" w:hint="default"/>
          <w:sz w:val="22"/>
          <w:szCs w:val="22"/>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BodyText"/>
        <w:spacing w:line="386" w:lineRule="auto"/>
        <w:ind w:left="152" w:right="1127" w:firstLine="420"/>
        <w:jc w:val="left"/>
      </w:pPr>
      <w:r>
        <w:rPr>
          <w:rFonts w:ascii="Times New Roman" w:hAnsi="Times New Roman" w:cs="Times New Roman" w:eastAsia="Times New Roman" w:hint="default"/>
          <w:spacing w:val="-2"/>
        </w:rPr>
        <w:t>1</w:t>
      </w:r>
      <w:r>
        <w:rPr>
          <w:spacing w:val="-2"/>
        </w:rPr>
        <w:t>、报告期内，公司经营活动产生的现金流量净额为</w:t>
      </w:r>
      <w:r>
        <w:rPr>
          <w:rFonts w:ascii="Times New Roman" w:hAnsi="Times New Roman" w:cs="Times New Roman" w:eastAsia="Times New Roman" w:hint="default"/>
          <w:spacing w:val="-2"/>
        </w:rPr>
        <w:t>65,986.06</w:t>
      </w:r>
      <w:r>
        <w:rPr>
          <w:spacing w:val="-2"/>
        </w:rPr>
        <w:t>万元，同比增加</w:t>
      </w:r>
      <w:r>
        <w:rPr>
          <w:rFonts w:ascii="Times New Roman" w:hAnsi="Times New Roman" w:cs="Times New Roman" w:eastAsia="Times New Roman" w:hint="default"/>
          <w:spacing w:val="-2"/>
        </w:rPr>
        <w:t>1095.77%</w:t>
      </w:r>
      <w:r>
        <w:rPr>
          <w:spacing w:val="-2"/>
        </w:rPr>
        <w:t>，主要原因系</w:t>
      </w:r>
      <w:r>
        <w:rPr>
          <w:w w:val="100"/>
        </w:rPr>
        <w:t> </w:t>
      </w:r>
      <w:r>
        <w:rPr/>
        <w:t>本报告期内公司加大加强应收款管理力度，以及大股东退回的资金。</w:t>
      </w:r>
    </w:p>
    <w:p>
      <w:pPr>
        <w:pStyle w:val="BodyText"/>
        <w:spacing w:line="386" w:lineRule="auto" w:before="65"/>
        <w:ind w:left="152" w:right="1127" w:firstLine="420"/>
        <w:jc w:val="left"/>
      </w:pPr>
      <w:r>
        <w:rPr>
          <w:rFonts w:ascii="Times New Roman" w:hAnsi="Times New Roman" w:cs="Times New Roman" w:eastAsia="Times New Roman" w:hint="default"/>
          <w:spacing w:val="-3"/>
        </w:rPr>
        <w:t>2</w:t>
      </w:r>
      <w:r>
        <w:rPr>
          <w:spacing w:val="-3"/>
        </w:rPr>
        <w:t>、报告期内，公司投资活动产生的现金流入为</w:t>
      </w:r>
      <w:r>
        <w:rPr>
          <w:rFonts w:ascii="Times New Roman" w:hAnsi="Times New Roman" w:cs="Times New Roman" w:eastAsia="Times New Roman" w:hint="default"/>
          <w:spacing w:val="-3"/>
        </w:rPr>
        <w:t>43,839.26</w:t>
      </w:r>
      <w:r>
        <w:rPr>
          <w:spacing w:val="-3"/>
        </w:rPr>
        <w:t>万元，同比增加</w:t>
      </w:r>
      <w:r>
        <w:rPr>
          <w:rFonts w:ascii="Times New Roman" w:hAnsi="Times New Roman" w:cs="Times New Roman" w:eastAsia="Times New Roman" w:hint="default"/>
          <w:spacing w:val="-3"/>
        </w:rPr>
        <w:t>308.40%</w:t>
      </w:r>
      <w:r>
        <w:rPr>
          <w:spacing w:val="-3"/>
        </w:rPr>
        <w:t>，主要原因系本报告</w:t>
      </w:r>
      <w:r>
        <w:rPr>
          <w:spacing w:val="-3"/>
          <w:w w:val="100"/>
        </w:rPr>
        <w:t> </w:t>
      </w:r>
      <w:r>
        <w:rPr/>
        <w:t>期收到并购意向金</w:t>
      </w:r>
      <w:r>
        <w:rPr>
          <w:rFonts w:ascii="Times New Roman" w:hAnsi="Times New Roman" w:cs="Times New Roman" w:eastAsia="Times New Roman" w:hint="default"/>
        </w:rPr>
        <w:t>10,000.00</w:t>
      </w:r>
      <w:r>
        <w:rPr/>
        <w:t>万元，收回理财投资及收益</w:t>
      </w:r>
      <w:r>
        <w:rPr>
          <w:rFonts w:ascii="Times New Roman" w:hAnsi="Times New Roman" w:cs="Times New Roman" w:eastAsia="Times New Roman" w:hint="default"/>
        </w:rPr>
        <w:t>32,814.38</w:t>
      </w:r>
      <w:r>
        <w:rPr/>
        <w:t>万元；</w:t>
      </w:r>
    </w:p>
    <w:p>
      <w:pPr>
        <w:pStyle w:val="BodyText"/>
        <w:spacing w:line="386" w:lineRule="auto" w:before="35"/>
        <w:ind w:left="152" w:right="1127" w:firstLine="420"/>
        <w:jc w:val="left"/>
      </w:pPr>
      <w:r>
        <w:rPr>
          <w:rFonts w:ascii="Times New Roman" w:hAnsi="Times New Roman" w:cs="Times New Roman" w:eastAsia="Times New Roman" w:hint="default"/>
          <w:spacing w:val="-2"/>
        </w:rPr>
        <w:t>3</w:t>
      </w:r>
      <w:r>
        <w:rPr>
          <w:spacing w:val="-2"/>
        </w:rPr>
        <w:t>、报告期内，公司投资活动产生的现金流出为</w:t>
      </w:r>
      <w:r>
        <w:rPr>
          <w:rFonts w:ascii="Times New Roman" w:hAnsi="Times New Roman" w:cs="Times New Roman" w:eastAsia="Times New Roman" w:hint="default"/>
          <w:spacing w:val="-2"/>
        </w:rPr>
        <w:t>75,208.19</w:t>
      </w:r>
      <w:r>
        <w:rPr>
          <w:spacing w:val="-2"/>
        </w:rPr>
        <w:t>万元，同比增加</w:t>
      </w:r>
      <w:r>
        <w:rPr>
          <w:rFonts w:ascii="Times New Roman" w:hAnsi="Times New Roman" w:cs="Times New Roman" w:eastAsia="Times New Roman" w:hint="default"/>
          <w:spacing w:val="-2"/>
        </w:rPr>
        <w:t>82.65%</w:t>
      </w:r>
      <w:r>
        <w:rPr>
          <w:spacing w:val="-2"/>
        </w:rPr>
        <w:t>，主要原因系本报告</w:t>
      </w:r>
      <w:r>
        <w:rPr>
          <w:spacing w:val="-3"/>
          <w:w w:val="100"/>
        </w:rPr>
        <w:t> </w:t>
      </w:r>
      <w:r>
        <w:rPr/>
        <w:t>期：</w:t>
      </w:r>
    </w:p>
    <w:p>
      <w:pPr>
        <w:pStyle w:val="BodyText"/>
        <w:spacing w:line="240" w:lineRule="auto" w:before="65"/>
        <w:ind w:right="1127"/>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）支付理财投资</w:t>
      </w:r>
      <w:r>
        <w:rPr>
          <w:rFonts w:ascii="Times New Roman" w:hAnsi="Times New Roman" w:cs="Times New Roman" w:eastAsia="Times New Roman" w:hint="default"/>
        </w:rPr>
        <w:t>33,100.00</w:t>
      </w:r>
      <w:r>
        <w:rPr/>
        <w:t>万元</w:t>
      </w:r>
      <w:r>
        <w:rPr>
          <w:rFonts w:ascii="Times New Roman" w:hAnsi="Times New Roman" w:cs="Times New Roman" w:eastAsia="Times New Roman" w:hint="default"/>
        </w:rPr>
        <w:t>;</w:t>
      </w:r>
    </w:p>
    <w:p>
      <w:pPr>
        <w:pStyle w:val="BodyText"/>
        <w:spacing w:line="386" w:lineRule="auto" w:before="177"/>
        <w:ind w:left="152" w:right="1127" w:firstLine="420"/>
        <w:jc w:val="left"/>
      </w:pPr>
      <w:r>
        <w:rPr>
          <w:spacing w:val="-2"/>
        </w:rPr>
        <w:t>（</w:t>
      </w:r>
      <w:r>
        <w:rPr>
          <w:rFonts w:ascii="Times New Roman" w:hAnsi="Times New Roman" w:cs="Times New Roman" w:eastAsia="Times New Roman" w:hint="default"/>
          <w:spacing w:val="-2"/>
        </w:rPr>
        <w:t>2</w:t>
      </w:r>
      <w:r>
        <w:rPr>
          <w:spacing w:val="-2"/>
        </w:rPr>
        <w:t>）股权投资所支付的现金</w:t>
      </w:r>
      <w:r>
        <w:rPr>
          <w:rFonts w:ascii="Times New Roman" w:hAnsi="Times New Roman" w:cs="Times New Roman" w:eastAsia="Times New Roman" w:hint="default"/>
          <w:spacing w:val="-2"/>
        </w:rPr>
        <w:t>1,840.27</w:t>
      </w:r>
      <w:r>
        <w:rPr>
          <w:spacing w:val="-2"/>
        </w:rPr>
        <w:t>万元，主要为增资北京五维星宇科技有限公司、北京博大网信科</w:t>
      </w:r>
      <w:r>
        <w:rPr>
          <w:spacing w:val="-3"/>
          <w:w w:val="100"/>
        </w:rPr>
        <w:t> </w:t>
      </w:r>
      <w:r>
        <w:rPr/>
        <w:t>技发展有限公司等；</w:t>
      </w:r>
    </w:p>
    <w:p>
      <w:pPr>
        <w:pStyle w:val="BodyText"/>
        <w:spacing w:line="240" w:lineRule="auto" w:before="65"/>
        <w:ind w:right="1127"/>
        <w:jc w:val="left"/>
      </w:pPr>
      <w:r>
        <w:rPr/>
        <w:t>（</w:t>
      </w:r>
      <w:r>
        <w:rPr>
          <w:rFonts w:ascii="Times New Roman" w:hAnsi="Times New Roman" w:cs="Times New Roman" w:eastAsia="Times New Roman" w:hint="default"/>
        </w:rPr>
        <w:t>3</w:t>
      </w:r>
      <w:r>
        <w:rPr/>
        <w:t>）取得泰豪智能科技支付的现金净额</w:t>
      </w:r>
      <w:r>
        <w:rPr>
          <w:rFonts w:ascii="Times New Roman" w:hAnsi="Times New Roman" w:cs="Times New Roman" w:eastAsia="Times New Roman" w:hint="default"/>
        </w:rPr>
        <w:t>36,933.08</w:t>
      </w:r>
      <w:r>
        <w:rPr/>
        <w:t>万元所致；</w:t>
      </w:r>
    </w:p>
    <w:p>
      <w:pPr>
        <w:pStyle w:val="BodyText"/>
        <w:spacing w:line="240" w:lineRule="auto" w:before="177"/>
        <w:ind w:right="1127"/>
        <w:jc w:val="left"/>
      </w:pPr>
      <w:r>
        <w:rPr/>
        <w:t>（</w:t>
      </w:r>
      <w:r>
        <w:rPr>
          <w:rFonts w:ascii="Times New Roman" w:hAnsi="Times New Roman" w:cs="Times New Roman" w:eastAsia="Times New Roman" w:hint="default"/>
        </w:rPr>
        <w:t>4</w:t>
      </w:r>
      <w:r>
        <w:rPr/>
        <w:t>）购建固定资产、无形资产和其他长期资产支付的现金为</w:t>
      </w:r>
      <w:r>
        <w:rPr>
          <w:rFonts w:ascii="Times New Roman" w:hAnsi="Times New Roman" w:cs="Times New Roman" w:eastAsia="Times New Roman" w:hint="default"/>
        </w:rPr>
        <w:t>3,334.84</w:t>
      </w:r>
      <w:r>
        <w:rPr/>
        <w:t>万元；</w:t>
      </w:r>
    </w:p>
    <w:p>
      <w:pPr>
        <w:pStyle w:val="BodyText"/>
        <w:spacing w:line="386" w:lineRule="auto" w:before="177"/>
        <w:ind w:left="152" w:right="1127" w:firstLine="420"/>
        <w:jc w:val="left"/>
      </w:pPr>
      <w:r>
        <w:rPr>
          <w:rFonts w:ascii="Times New Roman" w:hAnsi="Times New Roman" w:cs="Times New Roman" w:eastAsia="Times New Roman" w:hint="default"/>
          <w:spacing w:val="-4"/>
        </w:rPr>
        <w:t>4</w:t>
      </w:r>
      <w:r>
        <w:rPr>
          <w:spacing w:val="-4"/>
        </w:rPr>
        <w:t>、报告期内，公司筹资活动产生的现金流入为</w:t>
      </w:r>
      <w:r>
        <w:rPr>
          <w:rFonts w:ascii="Times New Roman" w:hAnsi="Times New Roman" w:cs="Times New Roman" w:eastAsia="Times New Roman" w:hint="default"/>
          <w:spacing w:val="-4"/>
        </w:rPr>
        <w:t>57,890.02</w:t>
      </w:r>
      <w:r>
        <w:rPr>
          <w:spacing w:val="-4"/>
        </w:rPr>
        <w:t>万元，同比减少</w:t>
      </w:r>
      <w:r>
        <w:rPr>
          <w:rFonts w:ascii="Times New Roman" w:hAnsi="Times New Roman" w:cs="Times New Roman" w:eastAsia="Times New Roman" w:hint="default"/>
          <w:spacing w:val="-4"/>
        </w:rPr>
        <w:t>33%</w:t>
      </w:r>
      <w:r>
        <w:rPr>
          <w:spacing w:val="-4"/>
        </w:rPr>
        <w:t>，主要原因系本报告期贷</w:t>
      </w:r>
      <w:r>
        <w:rPr>
          <w:w w:val="100"/>
        </w:rPr>
        <w:t> </w:t>
      </w:r>
      <w:r>
        <w:rPr/>
        <w:t>款资金</w:t>
      </w:r>
      <w:r>
        <w:rPr>
          <w:rFonts w:ascii="Times New Roman" w:hAnsi="Times New Roman" w:cs="Times New Roman" w:eastAsia="Times New Roman" w:hint="default"/>
        </w:rPr>
        <w:t>42,530.01</w:t>
      </w:r>
      <w:r>
        <w:rPr/>
        <w:t>万元</w:t>
      </w:r>
      <w:r>
        <w:rPr>
          <w:rFonts w:ascii="Times New Roman" w:hAnsi="Times New Roman" w:cs="Times New Roman" w:eastAsia="Times New Roman" w:hint="default"/>
        </w:rPr>
        <w:t>,</w:t>
      </w:r>
      <w:r>
        <w:rPr/>
        <w:t>相比同期减少所致；</w:t>
      </w:r>
    </w:p>
    <w:p>
      <w:pPr>
        <w:pStyle w:val="BodyText"/>
        <w:spacing w:line="386" w:lineRule="auto" w:before="35"/>
        <w:ind w:left="152" w:right="1127" w:firstLine="420"/>
        <w:jc w:val="left"/>
      </w:pPr>
      <w:r>
        <w:rPr>
          <w:rFonts w:ascii="Times New Roman" w:hAnsi="Times New Roman" w:cs="Times New Roman" w:eastAsia="Times New Roman" w:hint="default"/>
          <w:spacing w:val="-3"/>
        </w:rPr>
        <w:t>5</w:t>
      </w:r>
      <w:r>
        <w:rPr>
          <w:spacing w:val="-3"/>
        </w:rPr>
        <w:t>、报告期内，公司筹资活动产生的现金流出为</w:t>
      </w:r>
      <w:r>
        <w:rPr>
          <w:rFonts w:ascii="Times New Roman" w:hAnsi="Times New Roman" w:cs="Times New Roman" w:eastAsia="Times New Roman" w:hint="default"/>
          <w:spacing w:val="-3"/>
        </w:rPr>
        <w:t>121,984.64</w:t>
      </w:r>
      <w:r>
        <w:rPr>
          <w:spacing w:val="-3"/>
        </w:rPr>
        <w:t>万元，同比增加</w:t>
      </w:r>
      <w:r>
        <w:rPr>
          <w:rFonts w:ascii="Times New Roman" w:hAnsi="Times New Roman" w:cs="Times New Roman" w:eastAsia="Times New Roman" w:hint="default"/>
          <w:spacing w:val="-3"/>
        </w:rPr>
        <w:t>37.25%</w:t>
      </w:r>
      <w:r>
        <w:rPr>
          <w:spacing w:val="-3"/>
        </w:rPr>
        <w:t>，主要原因系本报告</w:t>
      </w:r>
      <w:r>
        <w:rPr>
          <w:spacing w:val="-3"/>
          <w:w w:val="100"/>
        </w:rPr>
        <w:t> </w:t>
      </w:r>
      <w:r>
        <w:rPr/>
        <w:t>期智慧防务及智慧城市归还贷款及利息</w:t>
      </w:r>
      <w:r>
        <w:rPr>
          <w:rFonts w:ascii="Times New Roman" w:hAnsi="Times New Roman" w:cs="Times New Roman" w:eastAsia="Times New Roman" w:hint="default"/>
        </w:rPr>
        <w:t>104,476.26</w:t>
      </w:r>
      <w:r>
        <w:rPr/>
        <w:t>万元，回购社会公众股及支付股权激励回购注销款</w:t>
      </w:r>
      <w:r>
        <w:rPr>
          <w:w w:val="100"/>
        </w:rPr>
        <w:t> </w:t>
      </w:r>
      <w:r>
        <w:rPr>
          <w:rFonts w:ascii="Times New Roman" w:hAnsi="Times New Roman" w:cs="Times New Roman" w:eastAsia="Times New Roman" w:hint="default"/>
        </w:rPr>
        <w:t>17,106.09</w:t>
      </w:r>
      <w:r>
        <w:rPr/>
        <w:t>万元所致；</w:t>
      </w:r>
    </w:p>
    <w:p>
      <w:pPr>
        <w:pStyle w:val="BodyText"/>
        <w:spacing w:line="240" w:lineRule="auto" w:before="136"/>
        <w:ind w:right="1127"/>
        <w:jc w:val="left"/>
      </w:pPr>
      <w:r>
        <w:rPr/>
        <w:t>报告期内公司经营活动产生的现金净流量与本年度净利润存在重大差异的原因说明</w:t>
      </w:r>
    </w:p>
    <w:p>
      <w:pPr>
        <w:spacing w:line="240" w:lineRule="auto" w:before="6"/>
        <w:rPr>
          <w:rFonts w:ascii="宋体" w:hAnsi="宋体" w:cs="宋体" w:eastAsia="宋体" w:hint="default"/>
          <w:sz w:val="22"/>
          <w:szCs w:val="22"/>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8"/>
          <w:szCs w:val="28"/>
        </w:rPr>
      </w:pPr>
    </w:p>
    <w:p>
      <w:pPr>
        <w:pStyle w:val="Heading2"/>
        <w:spacing w:line="240" w:lineRule="auto"/>
        <w:ind w:right="1127"/>
        <w:jc w:val="left"/>
        <w:rPr>
          <w:b w:val="0"/>
          <w:bCs w:val="0"/>
        </w:rPr>
      </w:pPr>
      <w:bookmarkStart w:name="三、非主营业务情况" w:id="65"/>
      <w:bookmarkEnd w:id="65"/>
      <w:r>
        <w:rPr>
          <w:b w:val="0"/>
          <w:bCs w:val="0"/>
        </w:rPr>
      </w:r>
      <w:r>
        <w:rPr/>
        <w:t>三、非主营业务情况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1"/>
          <w:szCs w:val="21"/>
        </w:rPr>
      </w:pPr>
    </w:p>
    <w:p>
      <w:pPr>
        <w:pStyle w:val="BodyText"/>
        <w:spacing w:line="240" w:lineRule="auto"/>
        <w:ind w:left="0" w:right="1130"/>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523"/>
        <w:gridCol w:w="1915"/>
        <w:gridCol w:w="1622"/>
        <w:gridCol w:w="2167"/>
        <w:gridCol w:w="2340"/>
      </w:tblGrid>
      <w:tr>
        <w:trPr>
          <w:trHeight w:val="506" w:hRule="exact"/>
        </w:trPr>
        <w:tc>
          <w:tcPr>
            <w:tcW w:w="152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bl>
    <w:p>
      <w:pPr>
        <w:spacing w:after="0" w:line="240" w:lineRule="auto"/>
        <w:jc w:val="left"/>
        <w:rPr>
          <w:rFonts w:ascii="宋体" w:hAnsi="宋体" w:cs="宋体" w:eastAsia="宋体"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523"/>
        <w:gridCol w:w="1915"/>
        <w:gridCol w:w="1622"/>
        <w:gridCol w:w="2167"/>
        <w:gridCol w:w="2340"/>
      </w:tblGrid>
      <w:tr>
        <w:trPr>
          <w:trHeight w:val="1445" w:hRule="exact"/>
        </w:trPr>
        <w:tc>
          <w:tcPr>
            <w:tcW w:w="1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8"/>
              <w:jc w:val="right"/>
              <w:rPr>
                <w:rFonts w:ascii="Times New Roman" w:hAnsi="Times New Roman" w:cs="Times New Roman" w:eastAsia="Times New Roman" w:hint="default"/>
                <w:sz w:val="18"/>
                <w:szCs w:val="18"/>
              </w:rPr>
            </w:pPr>
            <w:r>
              <w:rPr>
                <w:rFonts w:ascii="Times New Roman"/>
                <w:spacing w:val="-1"/>
                <w:sz w:val="18"/>
              </w:rPr>
              <w:t>16,720,008.85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7"/>
              <w:jc w:val="right"/>
              <w:rPr>
                <w:rFonts w:ascii="Times New Roman" w:hAnsi="Times New Roman" w:cs="Times New Roman" w:eastAsia="Times New Roman" w:hint="default"/>
                <w:sz w:val="18"/>
                <w:szCs w:val="18"/>
              </w:rPr>
            </w:pPr>
            <w:r>
              <w:rPr>
                <w:rFonts w:ascii="Times New Roman"/>
                <w:sz w:val="18"/>
              </w:rPr>
              <w:t>5.20%</w:t>
            </w:r>
          </w:p>
        </w:tc>
        <w:tc>
          <w:tcPr>
            <w:tcW w:w="216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101"/>
              <w:ind w:left="23" w:right="-39" w:hanging="51"/>
              <w:jc w:val="center"/>
              <w:rPr>
                <w:rFonts w:ascii="宋体" w:hAnsi="宋体" w:cs="宋体" w:eastAsia="宋体" w:hint="default"/>
                <w:sz w:val="18"/>
                <w:szCs w:val="18"/>
              </w:rPr>
            </w:pPr>
            <w:r>
              <w:rPr>
                <w:rFonts w:ascii="宋体" w:hAnsi="宋体" w:cs="宋体" w:eastAsia="宋体" w:hint="default"/>
                <w:sz w:val="18"/>
                <w:szCs w:val="18"/>
              </w:rPr>
              <w:t>主要系报告期参股公司确 认的投资收益和投资损失； 处置长期股权投资产生的 投资收益</w:t>
            </w:r>
          </w:p>
        </w:tc>
        <w:tc>
          <w:tcPr>
            <w:tcW w:w="234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06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130" w:hRule="exact"/>
        </w:trPr>
        <w:tc>
          <w:tcPr>
            <w:tcW w:w="1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2,568,389.05</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0.80%</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3"/>
              <w:jc w:val="center"/>
              <w:rPr>
                <w:rFonts w:ascii="宋体" w:hAnsi="宋体" w:cs="宋体" w:eastAsia="宋体" w:hint="default"/>
                <w:sz w:val="18"/>
                <w:szCs w:val="18"/>
              </w:rPr>
            </w:pPr>
            <w:r>
              <w:rPr>
                <w:rFonts w:ascii="宋体" w:hAnsi="宋体" w:cs="宋体" w:eastAsia="宋体" w:hint="default"/>
                <w:sz w:val="18"/>
                <w:szCs w:val="18"/>
              </w:rPr>
              <w:t>主要系参股公司公允价值 </w:t>
            </w:r>
            <w:r>
              <w:rPr>
                <w:rFonts w:ascii="宋体" w:hAnsi="宋体" w:cs="宋体" w:eastAsia="宋体" w:hint="default"/>
                <w:spacing w:val="-5"/>
                <w:sz w:val="18"/>
                <w:szCs w:val="18"/>
              </w:rPr>
              <w:t>核算，本期公允价值变动所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资产减值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-368,534.38</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pacing w:val="-1"/>
                <w:w w:val="95"/>
                <w:sz w:val="18"/>
              </w:rPr>
              <w:t>-0.11%</w:t>
            </w:r>
            <w:r>
              <w:rPr>
                <w:rFonts w:ascii="Times New Roman"/>
                <w:sz w:val="18"/>
              </w:rPr>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7" w:right="0"/>
              <w:jc w:val="left"/>
              <w:rPr>
                <w:rFonts w:ascii="宋体" w:hAnsi="宋体" w:cs="宋体" w:eastAsia="宋体" w:hint="default"/>
                <w:sz w:val="18"/>
                <w:szCs w:val="18"/>
              </w:rPr>
            </w:pPr>
            <w:r>
              <w:rPr>
                <w:rFonts w:ascii="宋体" w:hAnsi="宋体" w:cs="宋体" w:eastAsia="宋体" w:hint="default"/>
                <w:sz w:val="18"/>
                <w:szCs w:val="18"/>
              </w:rPr>
              <w:t>主要系存货跌价损失。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21" w:hRule="exact"/>
        </w:trPr>
        <w:tc>
          <w:tcPr>
            <w:tcW w:w="1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10,094,282.38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3.14%</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628" w:right="86" w:hanging="540"/>
              <w:jc w:val="left"/>
              <w:rPr>
                <w:rFonts w:ascii="宋体" w:hAnsi="宋体" w:cs="宋体" w:eastAsia="宋体" w:hint="default"/>
                <w:sz w:val="18"/>
                <w:szCs w:val="18"/>
              </w:rPr>
            </w:pPr>
            <w:r>
              <w:rPr>
                <w:rFonts w:ascii="宋体" w:hAnsi="宋体" w:cs="宋体" w:eastAsia="宋体" w:hint="default"/>
                <w:sz w:val="18"/>
                <w:szCs w:val="18"/>
              </w:rPr>
              <w:t>主要系报告期内获得的政 府补助所致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18" w:hRule="exact"/>
        </w:trPr>
        <w:tc>
          <w:tcPr>
            <w:tcW w:w="1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4,900,679.34</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1.52%</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808" w:right="86" w:hanging="720"/>
              <w:jc w:val="left"/>
              <w:rPr>
                <w:rFonts w:ascii="宋体" w:hAnsi="宋体" w:cs="宋体" w:eastAsia="宋体" w:hint="default"/>
                <w:sz w:val="18"/>
                <w:szCs w:val="18"/>
              </w:rPr>
            </w:pPr>
            <w:r>
              <w:rPr>
                <w:rFonts w:ascii="宋体" w:hAnsi="宋体" w:cs="宋体" w:eastAsia="宋体" w:hint="default"/>
                <w:sz w:val="18"/>
                <w:szCs w:val="18"/>
              </w:rPr>
              <w:t>主要系报告期内对外捐赠 所致。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127"/>
        <w:jc w:val="left"/>
        <w:rPr>
          <w:b w:val="0"/>
          <w:bCs w:val="0"/>
        </w:rPr>
      </w:pPr>
      <w:bookmarkStart w:name="四、资产及负债状况" w:id="66"/>
      <w:bookmarkEnd w:id="66"/>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7"/>
        <w:jc w:val="left"/>
        <w:rPr>
          <w:b w:val="0"/>
          <w:bCs w:val="0"/>
        </w:rPr>
      </w:pPr>
      <w:bookmarkStart w:name="1、资产构成重大变动情况" w:id="67"/>
      <w:bookmarkEnd w:id="67"/>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left="152" w:right="1208" w:firstLine="420"/>
        <w:jc w:val="left"/>
      </w:pPr>
      <w:r>
        <w:rPr/>
        <w:t>公司</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年起首次执行新金融工具准则、新收入准则或新租赁准则且调整执行当年年初财务报表相</w:t>
      </w:r>
      <w:r>
        <w:rPr>
          <w:w w:val="100"/>
        </w:rPr>
        <w:t> </w:t>
      </w:r>
      <w:r>
        <w:rPr/>
        <w:t>关项目</w:t>
      </w:r>
    </w:p>
    <w:p>
      <w:pPr>
        <w:pStyle w:val="BodyText"/>
        <w:spacing w:line="240" w:lineRule="auto" w:before="163"/>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1"/>
          <w:szCs w:val="21"/>
        </w:rPr>
      </w:pPr>
    </w:p>
    <w:p>
      <w:pPr>
        <w:pStyle w:val="BodyText"/>
        <w:spacing w:line="240" w:lineRule="auto"/>
        <w:ind w:left="0" w:right="1130"/>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345"/>
        <w:gridCol w:w="1338"/>
        <w:gridCol w:w="900"/>
        <w:gridCol w:w="1195"/>
        <w:gridCol w:w="1063"/>
        <w:gridCol w:w="797"/>
        <w:gridCol w:w="2918"/>
      </w:tblGrid>
      <w:tr>
        <w:trPr>
          <w:trHeight w:val="415" w:hRule="exact"/>
        </w:trPr>
        <w:tc>
          <w:tcPr>
            <w:tcW w:w="1345" w:type="dxa"/>
            <w:tcBorders>
              <w:top w:val="single" w:sz="4" w:space="0" w:color="000000"/>
              <w:left w:val="single" w:sz="4" w:space="0" w:color="000000"/>
              <w:bottom w:val="nil" w:sz="6" w:space="0" w:color="auto"/>
              <w:right w:val="single" w:sz="4" w:space="0" w:color="000000"/>
            </w:tcBorders>
            <w:shd w:val="clear" w:color="auto" w:fill="D4D4D4"/>
          </w:tcPr>
          <w:p>
            <w:pPr/>
          </w:p>
        </w:tc>
        <w:tc>
          <w:tcPr>
            <w:tcW w:w="223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291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91" w:hRule="exact"/>
        </w:trPr>
        <w:tc>
          <w:tcPr>
            <w:tcW w:w="1345" w:type="dxa"/>
            <w:vMerge w:val="restart"/>
            <w:tcBorders>
              <w:top w:val="nil" w:sz="6" w:space="0" w:color="auto"/>
              <w:left w:val="single" w:sz="4" w:space="0" w:color="000000"/>
              <w:right w:val="single" w:sz="4" w:space="0" w:color="000000"/>
            </w:tcBorders>
            <w:shd w:val="clear" w:color="auto" w:fill="D4D4D4"/>
          </w:tcPr>
          <w:p>
            <w:pPr/>
          </w:p>
        </w:tc>
        <w:tc>
          <w:tcPr>
            <w:tcW w:w="2238" w:type="dxa"/>
            <w:gridSpan w:val="2"/>
            <w:vMerge/>
            <w:tcBorders>
              <w:left w:val="single" w:sz="4" w:space="0" w:color="000000"/>
              <w:bottom w:val="single" w:sz="4" w:space="0" w:color="000000"/>
              <w:right w:val="single" w:sz="4" w:space="0" w:color="000000"/>
            </w:tcBorders>
            <w:shd w:val="clear" w:color="auto" w:fill="D4D4D4"/>
          </w:tcPr>
          <w:p>
            <w:pPr/>
          </w:p>
        </w:tc>
        <w:tc>
          <w:tcPr>
            <w:tcW w:w="2258" w:type="dxa"/>
            <w:gridSpan w:val="2"/>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1"/>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345" w:type="dxa"/>
            <w:vMerge/>
            <w:tcBorders>
              <w:left w:val="single" w:sz="4" w:space="0" w:color="000000"/>
              <w:right w:val="single" w:sz="4" w:space="0" w:color="000000"/>
            </w:tcBorders>
            <w:shd w:val="clear" w:color="auto" w:fill="D4D4D4"/>
          </w:tcPr>
          <w:p>
            <w:pPr/>
          </w:p>
        </w:tc>
        <w:tc>
          <w:tcPr>
            <w:tcW w:w="1338" w:type="dxa"/>
            <w:tcBorders>
              <w:top w:val="single" w:sz="4" w:space="0" w:color="000000"/>
              <w:left w:val="single" w:sz="4" w:space="0" w:color="000000"/>
              <w:bottom w:val="nil" w:sz="6" w:space="0" w:color="auto"/>
              <w:right w:val="single" w:sz="4" w:space="0" w:color="000000"/>
            </w:tcBorders>
            <w:shd w:val="clear" w:color="auto" w:fill="D4D4D4"/>
          </w:tcPr>
          <w:p>
            <w:pPr/>
          </w:p>
        </w:tc>
        <w:tc>
          <w:tcPr>
            <w:tcW w:w="90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101"/>
              <w:ind w:left="266" w:right="8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5"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101"/>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4D4D4"/>
          </w:tcPr>
          <w:p>
            <w:pPr/>
          </w:p>
        </w:tc>
        <w:tc>
          <w:tcPr>
            <w:tcW w:w="2918" w:type="dxa"/>
            <w:vMerge/>
            <w:tcBorders>
              <w:left w:val="single" w:sz="4" w:space="0" w:color="000000"/>
              <w:right w:val="single" w:sz="4" w:space="0" w:color="000000"/>
            </w:tcBorders>
            <w:shd w:val="clear" w:color="auto" w:fill="D4D4D4"/>
          </w:tcPr>
          <w:p>
            <w:pPr/>
          </w:p>
        </w:tc>
      </w:tr>
      <w:tr>
        <w:trPr>
          <w:trHeight w:val="245" w:hRule="exact"/>
        </w:trPr>
        <w:tc>
          <w:tcPr>
            <w:tcW w:w="1345" w:type="dxa"/>
            <w:vMerge/>
            <w:tcBorders>
              <w:left w:val="single" w:sz="4" w:space="0" w:color="000000"/>
              <w:bottom w:val="nil" w:sz="6" w:space="0" w:color="auto"/>
              <w:right w:val="single" w:sz="4" w:space="0" w:color="000000"/>
            </w:tcBorders>
            <w:shd w:val="clear" w:color="auto" w:fill="D4D4D4"/>
          </w:tcPr>
          <w:p>
            <w:pPr/>
          </w:p>
        </w:tc>
        <w:tc>
          <w:tcPr>
            <w:tcW w:w="133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2918" w:type="dxa"/>
            <w:vMerge/>
            <w:tcBorders>
              <w:left w:val="single" w:sz="4" w:space="0" w:color="000000"/>
              <w:bottom w:val="nil" w:sz="6" w:space="0" w:color="auto"/>
              <w:right w:val="single" w:sz="4" w:space="0" w:color="000000"/>
            </w:tcBorders>
            <w:shd w:val="clear" w:color="auto" w:fill="D4D4D4"/>
          </w:tcPr>
          <w:p>
            <w:pPr/>
          </w:p>
        </w:tc>
      </w:tr>
      <w:tr>
        <w:trPr>
          <w:trHeight w:val="254" w:hRule="exact"/>
        </w:trPr>
        <w:tc>
          <w:tcPr>
            <w:tcW w:w="1345" w:type="dxa"/>
            <w:vMerge w:val="restart"/>
            <w:tcBorders>
              <w:top w:val="nil" w:sz="6" w:space="0" w:color="auto"/>
              <w:left w:val="single" w:sz="4" w:space="0" w:color="000000"/>
              <w:right w:val="single" w:sz="4" w:space="0" w:color="000000"/>
            </w:tcBorders>
            <w:shd w:val="clear" w:color="auto" w:fill="D4D4D4"/>
          </w:tcPr>
          <w:p>
            <w:pPr/>
          </w:p>
        </w:tc>
        <w:tc>
          <w:tcPr>
            <w:tcW w:w="1338" w:type="dxa"/>
            <w:vMerge/>
            <w:tcBorders>
              <w:left w:val="single" w:sz="4" w:space="0" w:color="000000"/>
              <w:bottom w:val="nil" w:sz="6" w:space="0" w:color="auto"/>
              <w:right w:val="single" w:sz="4" w:space="0" w:color="000000"/>
            </w:tcBorders>
            <w:shd w:val="clear" w:color="auto" w:fill="D4D4D4"/>
          </w:tcPr>
          <w:p>
            <w:pPr/>
          </w:p>
        </w:tc>
        <w:tc>
          <w:tcPr>
            <w:tcW w:w="900"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
        </w:tc>
        <w:tc>
          <w:tcPr>
            <w:tcW w:w="2918"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345" w:type="dxa"/>
            <w:vMerge/>
            <w:tcBorders>
              <w:left w:val="single" w:sz="4" w:space="0" w:color="000000"/>
              <w:bottom w:val="single" w:sz="4" w:space="0" w:color="000000"/>
              <w:right w:val="single" w:sz="4" w:space="0" w:color="000000"/>
            </w:tcBorders>
            <w:shd w:val="clear" w:color="auto" w:fill="D4D4D4"/>
          </w:tcPr>
          <w:p>
            <w:pPr/>
          </w:p>
        </w:tc>
        <w:tc>
          <w:tcPr>
            <w:tcW w:w="1338" w:type="dxa"/>
            <w:tcBorders>
              <w:top w:val="nil" w:sz="6" w:space="0" w:color="auto"/>
              <w:left w:val="single" w:sz="4" w:space="0" w:color="000000"/>
              <w:bottom w:val="single" w:sz="4" w:space="0" w:color="000000"/>
              <w:right w:val="single" w:sz="4" w:space="0" w:color="000000"/>
            </w:tcBorders>
            <w:shd w:val="clear" w:color="auto" w:fill="D4D4D4"/>
          </w:tcPr>
          <w:p>
            <w:pPr/>
          </w:p>
        </w:tc>
        <w:tc>
          <w:tcPr>
            <w:tcW w:w="900"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2918" w:type="dxa"/>
            <w:vMerge/>
            <w:tcBorders>
              <w:left w:val="single" w:sz="4" w:space="0" w:color="000000"/>
              <w:bottom w:val="single" w:sz="4" w:space="0" w:color="000000"/>
              <w:right w:val="single" w:sz="4" w:space="0" w:color="000000"/>
            </w:tcBorders>
            <w:shd w:val="clear" w:color="auto" w:fill="D4D4D4"/>
          </w:tcPr>
          <w:p>
            <w:pPr/>
          </w:p>
        </w:tc>
      </w:tr>
      <w:tr>
        <w:trPr>
          <w:trHeight w:val="317" w:hRule="exact"/>
        </w:trPr>
        <w:tc>
          <w:tcPr>
            <w:tcW w:w="1345" w:type="dxa"/>
            <w:tcBorders>
              <w:top w:val="single" w:sz="4" w:space="0" w:color="000000"/>
              <w:left w:val="single" w:sz="4" w:space="0" w:color="000000"/>
              <w:bottom w:val="nil" w:sz="6" w:space="0" w:color="auto"/>
              <w:right w:val="single" w:sz="4" w:space="0" w:color="000000"/>
            </w:tcBorders>
            <w:shd w:val="clear" w:color="auto" w:fill="D4D4D4"/>
          </w:tcPr>
          <w:p>
            <w:pPr/>
          </w:p>
        </w:tc>
        <w:tc>
          <w:tcPr>
            <w:tcW w:w="1338"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2,086,495,288.10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26.23%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2,455,675,708.</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30.16%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-3.93%</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101"/>
              <w:ind w:left="23" w:right="19"/>
              <w:jc w:val="center"/>
              <w:rPr>
                <w:rFonts w:ascii="宋体" w:hAnsi="宋体" w:cs="宋体" w:eastAsia="宋体" w:hint="default"/>
                <w:sz w:val="18"/>
                <w:szCs w:val="18"/>
              </w:rPr>
            </w:pPr>
            <w:r>
              <w:rPr>
                <w:rFonts w:ascii="宋体" w:hAnsi="宋体" w:cs="宋体" w:eastAsia="宋体" w:hint="default"/>
                <w:sz w:val="18"/>
                <w:szCs w:val="18"/>
              </w:rPr>
              <w:t>主要系本报告期内收到实际控制人 </w:t>
            </w:r>
            <w:r>
              <w:rPr>
                <w:rFonts w:ascii="宋体" w:hAnsi="宋体" w:cs="宋体" w:eastAsia="宋体" w:hint="default"/>
                <w:spacing w:val="-2"/>
                <w:sz w:val="18"/>
                <w:szCs w:val="18"/>
              </w:rPr>
              <w:t>退回的资金、偿还到期债务、泰豪智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能收购泰豪智能科技所致。</w:t>
            </w:r>
          </w:p>
        </w:tc>
      </w:tr>
      <w:tr>
        <w:trPr>
          <w:trHeight w:val="499" w:hRule="exact"/>
        </w:trPr>
        <w:tc>
          <w:tcPr>
            <w:tcW w:w="134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338" w:type="dxa"/>
            <w:vMerge/>
            <w:tcBorders>
              <w:left w:val="single" w:sz="9" w:space="0" w:color="D4D4D4"/>
              <w:right w:val="single" w:sz="4" w:space="0" w:color="000000"/>
            </w:tcBorders>
          </w:tcPr>
          <w:p>
            <w:pPr/>
          </w:p>
        </w:tc>
        <w:tc>
          <w:tcPr>
            <w:tcW w:w="900"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45" w:type="dxa"/>
            <w:tcBorders>
              <w:top w:val="nil" w:sz="6" w:space="0" w:color="auto"/>
              <w:left w:val="single" w:sz="4" w:space="0" w:color="000000"/>
              <w:bottom w:val="single" w:sz="4" w:space="0" w:color="000000"/>
              <w:right w:val="single" w:sz="4" w:space="0" w:color="000000"/>
            </w:tcBorders>
            <w:shd w:val="clear" w:color="auto" w:fill="D4D4D4"/>
          </w:tcPr>
          <w:p>
            <w:pPr/>
          </w:p>
        </w:tc>
        <w:tc>
          <w:tcPr>
            <w:tcW w:w="1338" w:type="dxa"/>
            <w:vMerge/>
            <w:tcBorders>
              <w:left w:val="single" w:sz="9" w:space="0" w:color="D4D4D4"/>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5" w:type="dxa"/>
            <w:tcBorders>
              <w:top w:val="single" w:sz="4" w:space="0" w:color="000000"/>
              <w:left w:val="single" w:sz="4" w:space="0" w:color="000000"/>
              <w:bottom w:val="nil" w:sz="6" w:space="0" w:color="auto"/>
              <w:right w:val="single" w:sz="4" w:space="0" w:color="000000"/>
            </w:tcBorders>
            <w:shd w:val="clear" w:color="auto" w:fill="D4D4D4"/>
          </w:tcPr>
          <w:p>
            <w:pPr/>
          </w:p>
        </w:tc>
        <w:tc>
          <w:tcPr>
            <w:tcW w:w="1338"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953,661,050.16</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11.99%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pacing w:val="-1"/>
                <w:sz w:val="18"/>
              </w:rPr>
              <w:t>1,118,800,182.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13.74%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-1.75%</w:t>
            </w:r>
          </w:p>
        </w:tc>
        <w:tc>
          <w:tcPr>
            <w:tcW w:w="2918" w:type="dxa"/>
            <w:vMerge w:val="restart"/>
            <w:tcBorders>
              <w:top w:val="single" w:sz="4" w:space="0" w:color="000000"/>
              <w:left w:val="single" w:sz="4" w:space="0" w:color="000000"/>
              <w:right w:val="single" w:sz="4" w:space="0" w:color="000000"/>
            </w:tcBorders>
          </w:tcPr>
          <w:p>
            <w:pPr>
              <w:pStyle w:val="TableParagraph"/>
              <w:spacing w:line="314" w:lineRule="auto" w:before="101"/>
              <w:ind w:left="825" w:right="101" w:hanging="720"/>
              <w:jc w:val="left"/>
              <w:rPr>
                <w:rFonts w:ascii="宋体" w:hAnsi="宋体" w:cs="宋体" w:eastAsia="宋体" w:hint="default"/>
                <w:sz w:val="18"/>
                <w:szCs w:val="18"/>
              </w:rPr>
            </w:pPr>
            <w:r>
              <w:rPr>
                <w:rFonts w:ascii="宋体" w:hAnsi="宋体" w:cs="宋体" w:eastAsia="宋体" w:hint="default"/>
                <w:sz w:val="18"/>
                <w:szCs w:val="18"/>
              </w:rPr>
              <w:t>主要系本报告期货款的结算中票据 方式增加所致。</w:t>
            </w:r>
          </w:p>
        </w:tc>
      </w:tr>
      <w:tr>
        <w:trPr>
          <w:trHeight w:val="497" w:hRule="exact"/>
        </w:trPr>
        <w:tc>
          <w:tcPr>
            <w:tcW w:w="134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38" w:type="dxa"/>
            <w:vMerge/>
            <w:tcBorders>
              <w:left w:val="single" w:sz="9" w:space="0" w:color="D4D4D4"/>
              <w:right w:val="single" w:sz="4" w:space="0" w:color="000000"/>
            </w:tcBorders>
          </w:tcPr>
          <w:p>
            <w:pPr/>
          </w:p>
        </w:tc>
        <w:tc>
          <w:tcPr>
            <w:tcW w:w="900"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5" w:type="dxa"/>
            <w:tcBorders>
              <w:top w:val="nil" w:sz="6" w:space="0" w:color="auto"/>
              <w:left w:val="single" w:sz="4" w:space="0" w:color="000000"/>
              <w:bottom w:val="single" w:sz="4" w:space="0" w:color="000000"/>
              <w:right w:val="single" w:sz="4" w:space="0" w:color="000000"/>
            </w:tcBorders>
            <w:shd w:val="clear" w:color="auto" w:fill="D4D4D4"/>
          </w:tcPr>
          <w:p>
            <w:pPr/>
          </w:p>
        </w:tc>
        <w:tc>
          <w:tcPr>
            <w:tcW w:w="1338" w:type="dxa"/>
            <w:vMerge/>
            <w:tcBorders>
              <w:left w:val="single" w:sz="9" w:space="0" w:color="D4D4D4"/>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509"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存货</w:t>
            </w:r>
          </w:p>
        </w:tc>
        <w:tc>
          <w:tcPr>
            <w:tcW w:w="133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846,448,232.46</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z w:val="18"/>
              </w:rPr>
              <w:t>10.64%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846,357,777.99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z w:val="18"/>
              </w:rPr>
              <w:t>10.40%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0.24%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5" w:type="dxa"/>
            <w:tcBorders>
              <w:top w:val="single" w:sz="4" w:space="0" w:color="000000"/>
              <w:left w:val="single" w:sz="4" w:space="0" w:color="000000"/>
              <w:bottom w:val="nil" w:sz="6" w:space="0" w:color="auto"/>
              <w:right w:val="single" w:sz="4" w:space="0" w:color="000000"/>
            </w:tcBorders>
            <w:shd w:val="clear" w:color="auto" w:fill="D4D4D4"/>
          </w:tcPr>
          <w:p>
            <w:pPr/>
          </w:p>
        </w:tc>
        <w:tc>
          <w:tcPr>
            <w:tcW w:w="1338"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761,178,279.37</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9.57%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4,043,099.80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0.05%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9.52%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101"/>
              <w:ind w:left="465" w:right="2" w:hanging="442"/>
              <w:jc w:val="left"/>
              <w:rPr>
                <w:rFonts w:ascii="宋体" w:hAnsi="宋体" w:cs="宋体" w:eastAsia="宋体" w:hint="default"/>
                <w:sz w:val="18"/>
                <w:szCs w:val="18"/>
              </w:rPr>
            </w:pPr>
            <w:r>
              <w:rPr>
                <w:rFonts w:ascii="宋体" w:hAnsi="宋体" w:cs="宋体" w:eastAsia="宋体" w:hint="default"/>
                <w:sz w:val="18"/>
                <w:szCs w:val="18"/>
              </w:rPr>
              <w:t>主要系本报告期收购泰豪智能科技， 增加投资性房地产所致。</w:t>
            </w:r>
          </w:p>
        </w:tc>
      </w:tr>
      <w:tr>
        <w:trPr>
          <w:trHeight w:val="499" w:hRule="exact"/>
        </w:trPr>
        <w:tc>
          <w:tcPr>
            <w:tcW w:w="134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1338" w:type="dxa"/>
            <w:vMerge/>
            <w:tcBorders>
              <w:left w:val="single" w:sz="9" w:space="0" w:color="D4D4D4"/>
              <w:right w:val="single" w:sz="4" w:space="0" w:color="000000"/>
            </w:tcBorders>
          </w:tcPr>
          <w:p>
            <w:pPr/>
          </w:p>
        </w:tc>
        <w:tc>
          <w:tcPr>
            <w:tcW w:w="900"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5" w:type="dxa"/>
            <w:tcBorders>
              <w:top w:val="nil" w:sz="6" w:space="0" w:color="auto"/>
              <w:left w:val="single" w:sz="4" w:space="0" w:color="000000"/>
              <w:bottom w:val="single" w:sz="4" w:space="0" w:color="000000"/>
              <w:right w:val="single" w:sz="4" w:space="0" w:color="000000"/>
            </w:tcBorders>
            <w:shd w:val="clear" w:color="auto" w:fill="D4D4D4"/>
          </w:tcPr>
          <w:p>
            <w:pPr/>
          </w:p>
        </w:tc>
        <w:tc>
          <w:tcPr>
            <w:tcW w:w="1338" w:type="dxa"/>
            <w:vMerge/>
            <w:tcBorders>
              <w:left w:val="single" w:sz="9" w:space="0" w:color="D4D4D4"/>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506"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33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432,442,554.84</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5.44%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368,791,301.24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4.53%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0.91%</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367"/>
        <w:gridCol w:w="1327"/>
        <w:gridCol w:w="900"/>
        <w:gridCol w:w="1195"/>
        <w:gridCol w:w="1063"/>
        <w:gridCol w:w="797"/>
        <w:gridCol w:w="2918"/>
      </w:tblGrid>
      <w:tr>
        <w:trPr>
          <w:trHeight w:val="509"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425,877,334.90</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5.35%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363,082,616.42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4.46%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0.89%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5,698,573.11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0.07%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2,026,439.28</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0.02%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0.05%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361,437,799.78</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4.54%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751,767,412.80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9.23%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-4.69%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18"/>
                <w:szCs w:val="18"/>
              </w:rPr>
            </w:pPr>
            <w:r>
              <w:rPr>
                <w:rFonts w:ascii="宋体" w:hAnsi="宋体" w:cs="宋体" w:eastAsia="宋体" w:hint="default"/>
                <w:sz w:val="18"/>
                <w:szCs w:val="18"/>
              </w:rPr>
              <w:t>主要系本报告期偿还到期债务所致。</w:t>
            </w:r>
          </w:p>
        </w:tc>
      </w:tr>
      <w:tr>
        <w:trPr>
          <w:trHeight w:val="509"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114,000,000.00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1.43%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1.43%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18"/>
                <w:szCs w:val="18"/>
              </w:rPr>
            </w:pPr>
            <w:r>
              <w:rPr>
                <w:rFonts w:ascii="宋体" w:hAnsi="宋体" w:cs="宋体" w:eastAsia="宋体" w:hint="default"/>
                <w:sz w:val="18"/>
                <w:szCs w:val="18"/>
              </w:rPr>
              <w:t>主要系本报告期增加长期借款所致。</w:t>
            </w:r>
          </w:p>
        </w:tc>
      </w:tr>
    </w:tbl>
    <w:p>
      <w:pPr>
        <w:spacing w:line="240" w:lineRule="auto" w:before="3"/>
        <w:rPr>
          <w:rFonts w:ascii="宋体" w:hAnsi="宋体" w:cs="宋体" w:eastAsia="宋体" w:hint="default"/>
          <w:sz w:val="19"/>
          <w:szCs w:val="19"/>
        </w:rPr>
      </w:pPr>
    </w:p>
    <w:p>
      <w:pPr>
        <w:pStyle w:val="Heading4"/>
        <w:spacing w:line="240" w:lineRule="auto" w:before="36"/>
        <w:ind w:right="1127"/>
        <w:jc w:val="left"/>
        <w:rPr>
          <w:b w:val="0"/>
          <w:bCs w:val="0"/>
        </w:rPr>
      </w:pPr>
      <w:bookmarkStart w:name="2、以公允价值计量的资产和负债" w:id="68"/>
      <w:bookmarkEnd w:id="68"/>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18"/>
          <w:szCs w:val="18"/>
        </w:rPr>
      </w:pPr>
    </w:p>
    <w:p>
      <w:pPr>
        <w:pStyle w:val="BodyText"/>
        <w:spacing w:line="240" w:lineRule="auto" w:before="36"/>
        <w:ind w:left="0" w:right="1132"/>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982"/>
        <w:gridCol w:w="1021"/>
        <w:gridCol w:w="1057"/>
        <w:gridCol w:w="1193"/>
        <w:gridCol w:w="925"/>
        <w:gridCol w:w="1207"/>
        <w:gridCol w:w="1052"/>
        <w:gridCol w:w="920"/>
        <w:gridCol w:w="1212"/>
      </w:tblGrid>
      <w:tr>
        <w:trPr>
          <w:trHeight w:val="161" w:hRule="exact"/>
        </w:trPr>
        <w:tc>
          <w:tcPr>
            <w:tcW w:w="982" w:type="dxa"/>
            <w:vMerge w:val="restart"/>
            <w:tcBorders>
              <w:top w:val="single" w:sz="4" w:space="0" w:color="000000"/>
              <w:left w:val="single" w:sz="4" w:space="0" w:color="000000"/>
              <w:right w:val="single" w:sz="4" w:space="0" w:color="000000"/>
            </w:tcBorders>
            <w:shd w:val="clear" w:color="auto" w:fill="D4D4D4"/>
          </w:tcPr>
          <w:p>
            <w:pPr/>
          </w:p>
        </w:tc>
        <w:tc>
          <w:tcPr>
            <w:tcW w:w="1021" w:type="dxa"/>
            <w:vMerge w:val="restart"/>
            <w:tcBorders>
              <w:top w:val="single" w:sz="4" w:space="0" w:color="000000"/>
              <w:left w:val="single" w:sz="4" w:space="0" w:color="000000"/>
              <w:right w:val="single" w:sz="4" w:space="0" w:color="000000"/>
            </w:tcBorders>
            <w:shd w:val="clear" w:color="auto" w:fill="D4D4D4"/>
          </w:tcPr>
          <w:p>
            <w:pPr/>
          </w:p>
        </w:tc>
        <w:tc>
          <w:tcPr>
            <w:tcW w:w="1057" w:type="dxa"/>
            <w:tcBorders>
              <w:top w:val="single" w:sz="4" w:space="0" w:color="000000"/>
              <w:left w:val="single" w:sz="4" w:space="0" w:color="000000"/>
              <w:bottom w:val="nil" w:sz="6" w:space="0" w:color="auto"/>
              <w:right w:val="single" w:sz="4" w:space="0" w:color="000000"/>
            </w:tcBorders>
            <w:shd w:val="clear" w:color="auto" w:fill="D4D4D4"/>
          </w:tcPr>
          <w:p>
            <w:pPr/>
          </w:p>
        </w:tc>
        <w:tc>
          <w:tcPr>
            <w:tcW w:w="11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101"/>
              <w:ind w:left="52" w:right="5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25" w:type="dxa"/>
            <w:tcBorders>
              <w:top w:val="single" w:sz="4" w:space="0" w:color="000000"/>
              <w:left w:val="single" w:sz="4" w:space="0" w:color="000000"/>
              <w:bottom w:val="nil" w:sz="6" w:space="0" w:color="auto"/>
              <w:right w:val="single" w:sz="4" w:space="0" w:color="000000"/>
            </w:tcBorders>
            <w:shd w:val="clear" w:color="auto" w:fill="D4D4D4"/>
          </w:tcPr>
          <w:p>
            <w:pPr/>
          </w:p>
        </w:tc>
        <w:tc>
          <w:tcPr>
            <w:tcW w:w="1207" w:type="dxa"/>
            <w:vMerge w:val="restart"/>
            <w:tcBorders>
              <w:top w:val="single" w:sz="4" w:space="0" w:color="000000"/>
              <w:left w:val="single" w:sz="4" w:space="0" w:color="000000"/>
              <w:right w:val="single" w:sz="4" w:space="0" w:color="000000"/>
            </w:tcBorders>
            <w:shd w:val="clear" w:color="auto" w:fill="D4D4D4"/>
          </w:tcPr>
          <w:p>
            <w:pPr/>
          </w:p>
        </w:tc>
        <w:tc>
          <w:tcPr>
            <w:tcW w:w="1052" w:type="dxa"/>
            <w:tcBorders>
              <w:top w:val="single" w:sz="4" w:space="0" w:color="000000"/>
              <w:left w:val="single" w:sz="4" w:space="0" w:color="000000"/>
              <w:bottom w:val="nil" w:sz="6" w:space="0" w:color="auto"/>
              <w:right w:val="single" w:sz="4" w:space="0" w:color="000000"/>
            </w:tcBorders>
            <w:shd w:val="clear" w:color="auto" w:fill="D4D4D4"/>
          </w:tcPr>
          <w:p>
            <w:pPr/>
          </w:p>
        </w:tc>
        <w:tc>
          <w:tcPr>
            <w:tcW w:w="920" w:type="dxa"/>
            <w:vMerge w:val="restart"/>
            <w:tcBorders>
              <w:top w:val="single" w:sz="4" w:space="0" w:color="000000"/>
              <w:left w:val="single" w:sz="4" w:space="0" w:color="000000"/>
              <w:right w:val="single" w:sz="4" w:space="0" w:color="000000"/>
            </w:tcBorders>
            <w:shd w:val="clear" w:color="auto" w:fill="D4D4D4"/>
          </w:tcPr>
          <w:p>
            <w:pPr/>
          </w:p>
        </w:tc>
        <w:tc>
          <w:tcPr>
            <w:tcW w:w="1212" w:type="dxa"/>
            <w:vMerge w:val="restart"/>
            <w:tcBorders>
              <w:top w:val="single" w:sz="4" w:space="0" w:color="000000"/>
              <w:left w:val="single" w:sz="4" w:space="0" w:color="000000"/>
              <w:right w:val="single" w:sz="4" w:space="0" w:color="000000"/>
            </w:tcBorders>
            <w:shd w:val="clear" w:color="auto" w:fill="D4D4D4"/>
          </w:tcPr>
          <w:p>
            <w:pPr/>
          </w:p>
        </w:tc>
      </w:tr>
      <w:tr>
        <w:trPr>
          <w:trHeight w:val="156" w:hRule="exact"/>
        </w:trPr>
        <w:tc>
          <w:tcPr>
            <w:tcW w:w="982" w:type="dxa"/>
            <w:vMerge/>
            <w:tcBorders>
              <w:left w:val="single" w:sz="4" w:space="0" w:color="000000"/>
              <w:bottom w:val="nil" w:sz="6" w:space="0" w:color="auto"/>
              <w:right w:val="single" w:sz="4" w:space="0" w:color="000000"/>
            </w:tcBorders>
            <w:shd w:val="clear" w:color="auto" w:fill="D4D4D4"/>
          </w:tcPr>
          <w:p>
            <w:pPr/>
          </w:p>
        </w:tc>
        <w:tc>
          <w:tcPr>
            <w:tcW w:w="1021" w:type="dxa"/>
            <w:vMerge/>
            <w:tcBorders>
              <w:left w:val="single" w:sz="4" w:space="0" w:color="000000"/>
              <w:bottom w:val="nil" w:sz="6" w:space="0" w:color="auto"/>
              <w:right w:val="single" w:sz="4" w:space="0" w:color="000000"/>
            </w:tcBorders>
            <w:shd w:val="clear" w:color="auto" w:fill="D4D4D4"/>
          </w:tcPr>
          <w:p>
            <w:pPr/>
          </w:p>
        </w:tc>
        <w:tc>
          <w:tcPr>
            <w:tcW w:w="1057"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101"/>
              <w:ind w:left="70" w:right="74"/>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3" w:type="dxa"/>
            <w:vMerge/>
            <w:tcBorders>
              <w:left w:val="single" w:sz="4" w:space="0" w:color="000000"/>
              <w:right w:val="single" w:sz="4" w:space="0" w:color="000000"/>
            </w:tcBorders>
            <w:shd w:val="clear" w:color="auto" w:fill="D4D4D4"/>
          </w:tcPr>
          <w:p>
            <w:pPr/>
          </w:p>
        </w:tc>
        <w:tc>
          <w:tcPr>
            <w:tcW w:w="92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101"/>
              <w:ind w:left="188" w:right="92"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07" w:type="dxa"/>
            <w:vMerge/>
            <w:tcBorders>
              <w:left w:val="single" w:sz="4" w:space="0" w:color="000000"/>
              <w:bottom w:val="nil" w:sz="6" w:space="0" w:color="auto"/>
              <w:right w:val="single" w:sz="4" w:space="0" w:color="000000"/>
            </w:tcBorders>
            <w:shd w:val="clear" w:color="auto" w:fill="D4D4D4"/>
          </w:tcPr>
          <w:p>
            <w:pPr/>
          </w:p>
        </w:tc>
        <w:tc>
          <w:tcPr>
            <w:tcW w:w="105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101"/>
              <w:ind w:left="430" w:right="69"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20" w:type="dxa"/>
            <w:vMerge/>
            <w:tcBorders>
              <w:left w:val="single" w:sz="4" w:space="0" w:color="000000"/>
              <w:bottom w:val="nil" w:sz="6" w:space="0" w:color="auto"/>
              <w:right w:val="single" w:sz="4" w:space="0" w:color="000000"/>
            </w:tcBorders>
            <w:shd w:val="clear" w:color="auto" w:fill="D4D4D4"/>
          </w:tcPr>
          <w:p>
            <w:pPr/>
          </w:p>
        </w:tc>
        <w:tc>
          <w:tcPr>
            <w:tcW w:w="1212" w:type="dxa"/>
            <w:vMerge/>
            <w:tcBorders>
              <w:left w:val="single" w:sz="4" w:space="0" w:color="000000"/>
              <w:bottom w:val="nil" w:sz="6" w:space="0" w:color="auto"/>
              <w:right w:val="single" w:sz="4" w:space="0" w:color="000000"/>
            </w:tcBorders>
            <w:shd w:val="clear" w:color="auto" w:fill="D4D4D4"/>
          </w:tcPr>
          <w:p>
            <w:pPr/>
          </w:p>
        </w:tc>
      </w:tr>
      <w:tr>
        <w:trPr>
          <w:trHeight w:val="497" w:hRule="exact"/>
        </w:trPr>
        <w:tc>
          <w:tcPr>
            <w:tcW w:w="98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2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1"/>
              <w:ind w:left="2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57" w:type="dxa"/>
            <w:vMerge/>
            <w:tcBorders>
              <w:left w:val="single" w:sz="4" w:space="0" w:color="000000"/>
              <w:right w:val="single" w:sz="4" w:space="0" w:color="000000"/>
            </w:tcBorders>
            <w:shd w:val="clear" w:color="auto" w:fill="D4D4D4"/>
          </w:tcPr>
          <w:p>
            <w:pPr/>
          </w:p>
        </w:tc>
        <w:tc>
          <w:tcPr>
            <w:tcW w:w="1193" w:type="dxa"/>
            <w:vMerge/>
            <w:tcBorders>
              <w:left w:val="single" w:sz="4" w:space="0" w:color="000000"/>
              <w:right w:val="single" w:sz="4" w:space="0" w:color="000000"/>
            </w:tcBorders>
            <w:shd w:val="clear" w:color="auto" w:fill="D4D4D4"/>
          </w:tcPr>
          <w:p>
            <w:pPr/>
          </w:p>
        </w:tc>
        <w:tc>
          <w:tcPr>
            <w:tcW w:w="925" w:type="dxa"/>
            <w:vMerge/>
            <w:tcBorders>
              <w:left w:val="single" w:sz="4" w:space="0" w:color="000000"/>
              <w:right w:val="single" w:sz="4" w:space="0" w:color="000000"/>
            </w:tcBorders>
            <w:shd w:val="clear" w:color="auto" w:fill="D4D4D4"/>
          </w:tcPr>
          <w:p>
            <w:pPr/>
          </w:p>
        </w:tc>
        <w:tc>
          <w:tcPr>
            <w:tcW w:w="120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1"/>
              <w:ind w:right="56"/>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052" w:type="dxa"/>
            <w:vMerge/>
            <w:tcBorders>
              <w:left w:val="single" w:sz="4" w:space="0" w:color="000000"/>
              <w:right w:val="single" w:sz="4" w:space="0" w:color="000000"/>
            </w:tcBorders>
            <w:shd w:val="clear" w:color="auto" w:fill="D4D4D4"/>
          </w:tcPr>
          <w:p>
            <w:pPr/>
          </w:p>
        </w:tc>
        <w:tc>
          <w:tcPr>
            <w:tcW w:w="92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1"/>
              <w:ind w:left="98"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1"/>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982" w:type="dxa"/>
            <w:vMerge w:val="restart"/>
            <w:tcBorders>
              <w:top w:val="nil" w:sz="6" w:space="0" w:color="auto"/>
              <w:left w:val="single" w:sz="4" w:space="0" w:color="000000"/>
              <w:right w:val="single" w:sz="4" w:space="0" w:color="000000"/>
            </w:tcBorders>
            <w:shd w:val="clear" w:color="auto" w:fill="D4D4D4"/>
          </w:tcPr>
          <w:p>
            <w:pPr/>
          </w:p>
        </w:tc>
        <w:tc>
          <w:tcPr>
            <w:tcW w:w="1021" w:type="dxa"/>
            <w:vMerge w:val="restart"/>
            <w:tcBorders>
              <w:top w:val="nil" w:sz="6" w:space="0" w:color="auto"/>
              <w:left w:val="single" w:sz="4" w:space="0" w:color="000000"/>
              <w:right w:val="single" w:sz="4" w:space="0" w:color="000000"/>
            </w:tcBorders>
            <w:shd w:val="clear" w:color="auto" w:fill="D4D4D4"/>
          </w:tcPr>
          <w:p>
            <w:pPr/>
          </w:p>
        </w:tc>
        <w:tc>
          <w:tcPr>
            <w:tcW w:w="1057" w:type="dxa"/>
            <w:vMerge/>
            <w:tcBorders>
              <w:left w:val="single" w:sz="4" w:space="0" w:color="000000"/>
              <w:bottom w:val="nil" w:sz="6" w:space="0" w:color="auto"/>
              <w:right w:val="single" w:sz="4" w:space="0" w:color="000000"/>
            </w:tcBorders>
            <w:shd w:val="clear" w:color="auto" w:fill="D4D4D4"/>
          </w:tcPr>
          <w:p>
            <w:pPr/>
          </w:p>
        </w:tc>
        <w:tc>
          <w:tcPr>
            <w:tcW w:w="1193" w:type="dxa"/>
            <w:vMerge/>
            <w:tcBorders>
              <w:left w:val="single" w:sz="4" w:space="0" w:color="000000"/>
              <w:right w:val="single" w:sz="4" w:space="0" w:color="000000"/>
            </w:tcBorders>
            <w:shd w:val="clear" w:color="auto" w:fill="D4D4D4"/>
          </w:tcPr>
          <w:p>
            <w:pPr/>
          </w:p>
        </w:tc>
        <w:tc>
          <w:tcPr>
            <w:tcW w:w="925" w:type="dxa"/>
            <w:vMerge/>
            <w:tcBorders>
              <w:left w:val="single" w:sz="4" w:space="0" w:color="000000"/>
              <w:bottom w:val="nil" w:sz="6" w:space="0" w:color="auto"/>
              <w:right w:val="single" w:sz="4" w:space="0" w:color="000000"/>
            </w:tcBorders>
            <w:shd w:val="clear" w:color="auto" w:fill="D4D4D4"/>
          </w:tcPr>
          <w:p>
            <w:pPr/>
          </w:p>
        </w:tc>
        <w:tc>
          <w:tcPr>
            <w:tcW w:w="1207" w:type="dxa"/>
            <w:vMerge w:val="restart"/>
            <w:tcBorders>
              <w:top w:val="nil" w:sz="6" w:space="0" w:color="auto"/>
              <w:left w:val="single" w:sz="4" w:space="0" w:color="000000"/>
              <w:right w:val="single" w:sz="4" w:space="0" w:color="000000"/>
            </w:tcBorders>
            <w:shd w:val="clear" w:color="auto" w:fill="D4D4D4"/>
          </w:tcPr>
          <w:p>
            <w:pPr/>
          </w:p>
        </w:tc>
        <w:tc>
          <w:tcPr>
            <w:tcW w:w="1052" w:type="dxa"/>
            <w:vMerge/>
            <w:tcBorders>
              <w:left w:val="single" w:sz="4" w:space="0" w:color="000000"/>
              <w:bottom w:val="nil" w:sz="6" w:space="0" w:color="auto"/>
              <w:right w:val="single" w:sz="4" w:space="0" w:color="000000"/>
            </w:tcBorders>
            <w:shd w:val="clear" w:color="auto" w:fill="D4D4D4"/>
          </w:tcPr>
          <w:p>
            <w:pPr/>
          </w:p>
        </w:tc>
        <w:tc>
          <w:tcPr>
            <w:tcW w:w="920" w:type="dxa"/>
            <w:vMerge w:val="restart"/>
            <w:tcBorders>
              <w:top w:val="nil" w:sz="6" w:space="0" w:color="auto"/>
              <w:left w:val="single" w:sz="4" w:space="0" w:color="000000"/>
              <w:right w:val="single" w:sz="4" w:space="0" w:color="000000"/>
            </w:tcBorders>
            <w:shd w:val="clear" w:color="auto" w:fill="D4D4D4"/>
          </w:tcPr>
          <w:p>
            <w:pPr/>
          </w:p>
        </w:tc>
        <w:tc>
          <w:tcPr>
            <w:tcW w:w="1212" w:type="dxa"/>
            <w:vMerge w:val="restart"/>
            <w:tcBorders>
              <w:top w:val="nil" w:sz="6" w:space="0" w:color="auto"/>
              <w:left w:val="single" w:sz="4" w:space="0" w:color="000000"/>
              <w:right w:val="single" w:sz="4" w:space="0" w:color="000000"/>
            </w:tcBorders>
            <w:shd w:val="clear" w:color="auto" w:fill="D4D4D4"/>
          </w:tcPr>
          <w:p>
            <w:pPr/>
          </w:p>
        </w:tc>
      </w:tr>
      <w:tr>
        <w:trPr>
          <w:trHeight w:val="168" w:hRule="exact"/>
        </w:trPr>
        <w:tc>
          <w:tcPr>
            <w:tcW w:w="982" w:type="dxa"/>
            <w:vMerge/>
            <w:tcBorders>
              <w:left w:val="single" w:sz="4" w:space="0" w:color="000000"/>
              <w:bottom w:val="single" w:sz="4" w:space="0" w:color="000000"/>
              <w:right w:val="single" w:sz="4" w:space="0" w:color="000000"/>
            </w:tcBorders>
            <w:shd w:val="clear" w:color="auto" w:fill="D4D4D4"/>
          </w:tcPr>
          <w:p>
            <w:pPr/>
          </w:p>
        </w:tc>
        <w:tc>
          <w:tcPr>
            <w:tcW w:w="1021" w:type="dxa"/>
            <w:vMerge/>
            <w:tcBorders>
              <w:left w:val="single" w:sz="4" w:space="0" w:color="000000"/>
              <w:bottom w:val="single" w:sz="4" w:space="0" w:color="000000"/>
              <w:right w:val="single" w:sz="4" w:space="0" w:color="000000"/>
            </w:tcBorders>
            <w:shd w:val="clear" w:color="auto" w:fill="D4D4D4"/>
          </w:tcPr>
          <w:p>
            <w:pPr/>
          </w:p>
        </w:tc>
        <w:tc>
          <w:tcPr>
            <w:tcW w:w="1057"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3" w:type="dxa"/>
            <w:vMerge/>
            <w:tcBorders>
              <w:left w:val="single" w:sz="4" w:space="0" w:color="000000"/>
              <w:bottom w:val="single" w:sz="4" w:space="0" w:color="000000"/>
              <w:right w:val="single" w:sz="4" w:space="0" w:color="000000"/>
            </w:tcBorders>
            <w:shd w:val="clear" w:color="auto" w:fill="D4D4D4"/>
          </w:tcPr>
          <w:p>
            <w:pPr/>
          </w:p>
        </w:tc>
        <w:tc>
          <w:tcPr>
            <w:tcW w:w="925"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7" w:type="dxa"/>
            <w:vMerge/>
            <w:tcBorders>
              <w:left w:val="single" w:sz="4" w:space="0" w:color="000000"/>
              <w:bottom w:val="single" w:sz="4" w:space="0" w:color="000000"/>
              <w:right w:val="single" w:sz="4" w:space="0" w:color="000000"/>
            </w:tcBorders>
            <w:shd w:val="clear" w:color="auto" w:fill="D4D4D4"/>
          </w:tcPr>
          <w:p>
            <w:pPr/>
          </w:p>
        </w:tc>
        <w:tc>
          <w:tcPr>
            <w:tcW w:w="1052" w:type="dxa"/>
            <w:tcBorders>
              <w:top w:val="nil" w:sz="6" w:space="0" w:color="auto"/>
              <w:left w:val="single" w:sz="4" w:space="0" w:color="000000"/>
              <w:bottom w:val="single" w:sz="4" w:space="0" w:color="000000"/>
              <w:right w:val="single" w:sz="4" w:space="0" w:color="000000"/>
            </w:tcBorders>
            <w:shd w:val="clear" w:color="auto" w:fill="D4D4D4"/>
          </w:tcPr>
          <w:p>
            <w:pPr/>
          </w:p>
        </w:tc>
        <w:tc>
          <w:tcPr>
            <w:tcW w:w="920" w:type="dxa"/>
            <w:vMerge/>
            <w:tcBorders>
              <w:left w:val="single" w:sz="4" w:space="0" w:color="000000"/>
              <w:bottom w:val="single" w:sz="4" w:space="0" w:color="000000"/>
              <w:right w:val="single" w:sz="4" w:space="0" w:color="000000"/>
            </w:tcBorders>
            <w:shd w:val="clear" w:color="auto" w:fill="D4D4D4"/>
          </w:tcPr>
          <w:p>
            <w:pPr/>
          </w:p>
        </w:tc>
        <w:tc>
          <w:tcPr>
            <w:tcW w:w="1212" w:type="dxa"/>
            <w:vMerge/>
            <w:tcBorders>
              <w:left w:val="single" w:sz="4" w:space="0" w:color="000000"/>
              <w:bottom w:val="single" w:sz="4" w:space="0" w:color="000000"/>
              <w:right w:val="single" w:sz="4" w:space="0" w:color="000000"/>
            </w:tcBorders>
            <w:shd w:val="clear" w:color="auto" w:fill="D4D4D4"/>
          </w:tcPr>
          <w:p>
            <w:pPr/>
          </w:p>
        </w:tc>
      </w:tr>
      <w:tr>
        <w:trPr>
          <w:trHeight w:val="5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金融资产</w:t>
            </w:r>
          </w:p>
        </w:tc>
      </w:tr>
      <w:tr>
        <w:trPr>
          <w:trHeight w:val="1445" w:hRule="exact"/>
        </w:trPr>
        <w:tc>
          <w:tcPr>
            <w:tcW w:w="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101"/>
              <w:ind w:left="36"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 融资产（不 含衍生金融 资产）</w:t>
            </w:r>
          </w:p>
        </w:tc>
        <w:tc>
          <w:tcPr>
            <w:tcW w:w="1021"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23,620,000.0</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0</w:t>
            </w:r>
          </w:p>
        </w:tc>
        <w:tc>
          <w:tcPr>
            <w:tcW w:w="105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2"/>
              <w:jc w:val="right"/>
              <w:rPr>
                <w:rFonts w:ascii="Times New Roman" w:hAnsi="Times New Roman" w:cs="Times New Roman" w:eastAsia="Times New Roman" w:hint="default"/>
                <w:sz w:val="18"/>
                <w:szCs w:val="18"/>
              </w:rPr>
            </w:pPr>
            <w:r>
              <w:rPr>
                <w:rFonts w:ascii="Times New Roman"/>
                <w:spacing w:val="-1"/>
                <w:sz w:val="18"/>
              </w:rPr>
              <w:t>331,000,000.00</w:t>
            </w:r>
            <w:r>
              <w:rPr>
                <w:rFonts w:ascii="Times New Roman"/>
                <w:sz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324,620,000.</w:t>
            </w:r>
            <w:r>
              <w:rPr>
                <w:rFonts w:ascii="Times New Roman"/>
                <w:sz w:val="18"/>
              </w:rPr>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8"/>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818" w:hRule="exact"/>
        </w:trPr>
        <w:tc>
          <w:tcPr>
            <w:tcW w:w="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101"/>
              <w:ind w:left="124" w:right="55" w:hanging="6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 工具投资</w:t>
            </w:r>
          </w:p>
        </w:tc>
        <w:tc>
          <w:tcPr>
            <w:tcW w:w="1021"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181,287,649.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29</w:t>
            </w:r>
          </w:p>
        </w:tc>
        <w:tc>
          <w:tcPr>
            <w:tcW w:w="105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spacing w:val="-1"/>
                <w:sz w:val="18"/>
              </w:rPr>
              <w:t>18,661,998.7</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8</w:t>
            </w: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162,625,650.51</w:t>
            </w:r>
            <w:r>
              <w:rPr>
                <w:rFonts w:ascii="Times New Roman"/>
                <w:sz w:val="18"/>
              </w:rPr>
            </w:r>
          </w:p>
        </w:tc>
      </w:tr>
      <w:tr>
        <w:trPr>
          <w:trHeight w:val="821" w:hRule="exact"/>
        </w:trPr>
        <w:tc>
          <w:tcPr>
            <w:tcW w:w="98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4" w:lineRule="auto" w:before="104"/>
              <w:ind w:left="396" w:right="35" w:hanging="360"/>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204,907,649.</w:t>
            </w:r>
            <w:r>
              <w:rPr>
                <w:rFonts w:ascii="Times New Roman"/>
                <w:sz w:val="18"/>
              </w:rPr>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29</w:t>
            </w:r>
          </w:p>
        </w:tc>
        <w:tc>
          <w:tcPr>
            <w:tcW w:w="105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331,000,000.00</w:t>
            </w:r>
            <w:r>
              <w:rPr>
                <w:rFonts w:ascii="Times New Roman"/>
                <w:sz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
              <w:jc w:val="right"/>
              <w:rPr>
                <w:rFonts w:ascii="Times New Roman" w:hAnsi="Times New Roman" w:cs="Times New Roman" w:eastAsia="Times New Roman" w:hint="default"/>
                <w:sz w:val="18"/>
                <w:szCs w:val="18"/>
              </w:rPr>
            </w:pPr>
            <w:r>
              <w:rPr>
                <w:rFonts w:ascii="Times New Roman"/>
                <w:spacing w:val="-1"/>
                <w:sz w:val="18"/>
              </w:rPr>
              <w:t>343,281,998.</w:t>
            </w:r>
            <w:r>
              <w:rPr>
                <w:rFonts w:ascii="Times New Roman"/>
                <w:sz w:val="18"/>
              </w:rPr>
            </w:r>
          </w:p>
          <w:p>
            <w:pPr>
              <w:pStyle w:val="TableParagraph"/>
              <w:spacing w:line="240" w:lineRule="auto" w:before="102"/>
              <w:ind w:right="11"/>
              <w:jc w:val="right"/>
              <w:rPr>
                <w:rFonts w:ascii="Times New Roman" w:hAnsi="Times New Roman" w:cs="Times New Roman" w:eastAsia="Times New Roman" w:hint="default"/>
                <w:sz w:val="18"/>
                <w:szCs w:val="18"/>
              </w:rPr>
            </w:pPr>
            <w:r>
              <w:rPr>
                <w:rFonts w:ascii="Times New Roman"/>
                <w:sz w:val="18"/>
              </w:rPr>
              <w:t>78</w:t>
            </w: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192,625,650.51</w:t>
            </w:r>
            <w:r>
              <w:rPr>
                <w:rFonts w:ascii="Times New Roman"/>
                <w:sz w:val="18"/>
              </w:rPr>
            </w:r>
          </w:p>
        </w:tc>
      </w:tr>
      <w:tr>
        <w:trPr>
          <w:trHeight w:val="821" w:hRule="exact"/>
        </w:trPr>
        <w:tc>
          <w:tcPr>
            <w:tcW w:w="98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6" w:lineRule="auto" w:before="101"/>
              <w:ind w:left="124" w:right="35" w:hanging="89"/>
              <w:jc w:val="left"/>
              <w:rPr>
                <w:rFonts w:ascii="宋体" w:hAnsi="宋体" w:cs="宋体" w:eastAsia="宋体" w:hint="default"/>
                <w:sz w:val="18"/>
                <w:szCs w:val="18"/>
              </w:rPr>
            </w:pPr>
            <w:r>
              <w:rPr>
                <w:rFonts w:ascii="宋体" w:hAnsi="宋体" w:cs="宋体" w:eastAsia="宋体" w:hint="default"/>
                <w:sz w:val="18"/>
                <w:szCs w:val="18"/>
              </w:rPr>
              <w:t>其他非流动 金融资产</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18"/>
                <w:szCs w:val="18"/>
              </w:rPr>
            </w:pPr>
            <w:r>
              <w:rPr>
                <w:rFonts w:ascii="Times New Roman"/>
                <w:spacing w:val="-1"/>
                <w:sz w:val="18"/>
              </w:rPr>
              <w:t>82,000,000.0</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2,568,389.05</w:t>
            </w:r>
            <w:r>
              <w:rPr>
                <w:rFonts w:ascii="Times New Roman"/>
                <w:sz w:val="18"/>
              </w:rPr>
            </w: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84,568,389.05</w:t>
            </w:r>
          </w:p>
        </w:tc>
      </w:tr>
      <w:tr>
        <w:trPr>
          <w:trHeight w:val="818" w:hRule="exact"/>
        </w:trPr>
        <w:tc>
          <w:tcPr>
            <w:tcW w:w="98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6" w:lineRule="auto" w:before="101"/>
              <w:ind w:left="396" w:right="35" w:hanging="360"/>
              <w:jc w:val="left"/>
              <w:rPr>
                <w:rFonts w:ascii="宋体" w:hAnsi="宋体" w:cs="宋体" w:eastAsia="宋体" w:hint="default"/>
                <w:sz w:val="18"/>
                <w:szCs w:val="18"/>
              </w:rPr>
            </w:pPr>
            <w:r>
              <w:rPr>
                <w:rFonts w:ascii="宋体" w:hAnsi="宋体" w:cs="宋体" w:eastAsia="宋体" w:hint="default"/>
                <w:sz w:val="18"/>
                <w:szCs w:val="18"/>
              </w:rPr>
              <w:t>应收款项融 资</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4,361,789.14</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12,854,764.70</w:t>
            </w:r>
          </w:p>
        </w:tc>
        <w:tc>
          <w:tcPr>
            <w:tcW w:w="105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17,216,553.84</w:t>
            </w:r>
          </w:p>
        </w:tc>
      </w:tr>
      <w:tr>
        <w:trPr>
          <w:trHeight w:val="821" w:hRule="exact"/>
        </w:trPr>
        <w:tc>
          <w:tcPr>
            <w:tcW w:w="98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上述合计</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291,269,438.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2,568,389.05</w:t>
            </w:r>
            <w:r>
              <w:rPr>
                <w:rFonts w:ascii="Times New Roman"/>
                <w:sz w:val="18"/>
              </w:rPr>
            </w: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343,854,764.70</w:t>
            </w:r>
            <w:r>
              <w:rPr>
                <w:rFonts w:ascii="Times New Roman"/>
                <w:sz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
              <w:jc w:val="right"/>
              <w:rPr>
                <w:rFonts w:ascii="Times New Roman" w:hAnsi="Times New Roman" w:cs="Times New Roman" w:eastAsia="Times New Roman" w:hint="default"/>
                <w:sz w:val="18"/>
                <w:szCs w:val="18"/>
              </w:rPr>
            </w:pPr>
            <w:r>
              <w:rPr>
                <w:rFonts w:ascii="Times New Roman"/>
                <w:spacing w:val="-1"/>
                <w:sz w:val="18"/>
              </w:rPr>
              <w:t>343,281,998.</w:t>
            </w:r>
            <w:r>
              <w:rPr>
                <w:rFonts w:ascii="Times New Roman"/>
                <w:sz w:val="18"/>
              </w:rPr>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78</w:t>
            </w: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294,410,593.40</w:t>
            </w:r>
            <w:r>
              <w:rPr>
                <w:rFonts w:ascii="Times New Roman"/>
                <w:sz w:val="18"/>
              </w:rPr>
            </w:r>
          </w:p>
        </w:tc>
      </w:tr>
      <w:tr>
        <w:trPr>
          <w:trHeight w:val="509" w:hRule="exact"/>
        </w:trPr>
        <w:tc>
          <w:tcPr>
            <w:tcW w:w="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金融负债</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line="240" w:lineRule="auto" w:before="11"/>
        <w:rPr>
          <w:rFonts w:ascii="宋体" w:hAnsi="宋体" w:cs="宋体" w:eastAsia="宋体" w:hint="default"/>
          <w:sz w:val="9"/>
          <w:szCs w:val="9"/>
        </w:rPr>
      </w:pPr>
    </w:p>
    <w:p>
      <w:pPr>
        <w:pStyle w:val="BodyText"/>
        <w:spacing w:line="494" w:lineRule="auto" w:before="36"/>
        <w:ind w:right="5512"/>
        <w:jc w:val="left"/>
      </w:pPr>
      <w:r>
        <w:rPr/>
        <w:t>其他变动的内容</w:t>
      </w:r>
      <w:r>
        <w:rPr>
          <w:spacing w:val="-103"/>
        </w:rPr>
        <w:t> </w:t>
      </w:r>
      <w:r>
        <w:rPr>
          <w:spacing w:val="-103"/>
        </w:rPr>
      </w:r>
      <w:r>
        <w:rPr>
          <w:spacing w:val="-2"/>
        </w:rPr>
        <w:t>报告期内公司主要资产计量属性是否发生重大变化</w:t>
      </w:r>
    </w:p>
    <w:p>
      <w:pPr>
        <w:pStyle w:val="BodyText"/>
        <w:spacing w:line="240" w:lineRule="auto" w:before="71"/>
        <w:ind w:right="11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882" w:footer="1134" w:top="1280" w:bottom="1320" w:left="980" w:right="0"/>
        </w:sectPr>
      </w:pPr>
    </w:p>
    <w:p>
      <w:pPr>
        <w:pStyle w:val="Heading4"/>
        <w:spacing w:line="240" w:lineRule="auto" w:before="134"/>
        <w:ind w:right="1127"/>
        <w:jc w:val="left"/>
        <w:rPr>
          <w:b w:val="0"/>
          <w:bCs w:val="0"/>
        </w:rPr>
      </w:pPr>
      <w:bookmarkStart w:name="3、截至报告期末的资产权利受限情况" w:id="69"/>
      <w:bookmarkEnd w:id="69"/>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left="152" w:right="1128" w:firstLine="42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日，本公司子公司北京泰豪智能工程有限公司的全资子公司北京泰豪智能科技有</w:t>
      </w:r>
      <w:r>
        <w:rPr>
          <w:w w:val="100"/>
        </w:rPr>
        <w:t> </w:t>
      </w:r>
      <w:r>
        <w:rPr>
          <w:spacing w:val="-2"/>
        </w:rPr>
        <w:t>限公司以运城街</w:t>
      </w:r>
      <w:r>
        <w:rPr>
          <w:rFonts w:ascii="Times New Roman" w:hAnsi="Times New Roman" w:cs="Times New Roman" w:eastAsia="Times New Roman" w:hint="default"/>
          <w:spacing w:val="-2"/>
        </w:rPr>
        <w:t>2</w:t>
      </w:r>
      <w:r>
        <w:rPr>
          <w:spacing w:val="-2"/>
        </w:rPr>
        <w:t>号</w:t>
      </w:r>
      <w:r>
        <w:rPr>
          <w:rFonts w:ascii="Times New Roman" w:hAnsi="Times New Roman" w:cs="Times New Roman" w:eastAsia="Times New Roman" w:hint="default"/>
          <w:spacing w:val="-2"/>
        </w:rPr>
        <w:t>1</w:t>
      </w:r>
      <w:r>
        <w:rPr>
          <w:spacing w:val="-2"/>
        </w:rPr>
        <w:t>幢房屋及土地使用权设定抵押，抵押权人为北京银行股份有限公司翠微路支行。抵押</w:t>
      </w:r>
      <w:r>
        <w:rPr>
          <w:spacing w:val="-40"/>
        </w:rPr>
        <w:t> </w:t>
      </w:r>
      <w:r>
        <w:rPr>
          <w:spacing w:val="-40"/>
        </w:rPr>
      </w:r>
      <w:r>
        <w:rPr>
          <w:spacing w:val="-2"/>
        </w:rPr>
        <w:t>期限自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日至</w:t>
      </w:r>
      <w:r>
        <w:rPr>
          <w:rFonts w:ascii="Times New Roman" w:hAnsi="Times New Roman" w:cs="Times New Roman" w:eastAsia="Times New Roman" w:hint="default"/>
          <w:spacing w:val="-2"/>
        </w:rPr>
        <w:t>2027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日。土地使用证编号为开有限国用（</w:t>
      </w:r>
      <w:r>
        <w:rPr>
          <w:rFonts w:ascii="Times New Roman" w:hAnsi="Times New Roman" w:cs="Times New Roman" w:eastAsia="Times New Roman" w:hint="default"/>
          <w:spacing w:val="-2"/>
        </w:rPr>
        <w:t>2003</w:t>
      </w:r>
      <w:r>
        <w:rPr>
          <w:spacing w:val="-2"/>
        </w:rPr>
        <w:t>）字第</w:t>
      </w:r>
      <w:r>
        <w:rPr>
          <w:rFonts w:ascii="Times New Roman" w:hAnsi="Times New Roman" w:cs="Times New Roman" w:eastAsia="Times New Roman" w:hint="default"/>
          <w:spacing w:val="-2"/>
        </w:rPr>
        <w:t>20</w:t>
      </w:r>
      <w:r>
        <w:rPr>
          <w:spacing w:val="-2"/>
        </w:rPr>
        <w:t>号，房产证编号</w:t>
      </w:r>
      <w:r>
        <w:rPr>
          <w:spacing w:val="-28"/>
        </w:rPr>
        <w:t> </w:t>
      </w:r>
      <w:r>
        <w:rPr>
          <w:spacing w:val="-28"/>
        </w:rPr>
      </w:r>
      <w:r>
        <w:rPr/>
        <w:t>为京房权证开字第</w:t>
      </w:r>
      <w:r>
        <w:rPr>
          <w:rFonts w:ascii="Times New Roman" w:hAnsi="Times New Roman" w:cs="Times New Roman" w:eastAsia="Times New Roman" w:hint="default"/>
        </w:rPr>
        <w:t>014270</w:t>
      </w:r>
      <w:r>
        <w:rPr/>
        <w:t>号，最高借款金额</w:t>
      </w:r>
      <w:r>
        <w:rPr>
          <w:rFonts w:ascii="Times New Roman" w:hAnsi="Times New Roman" w:cs="Times New Roman" w:eastAsia="Times New Roman" w:hint="default"/>
        </w:rPr>
        <w:t>20,800.00</w:t>
      </w:r>
      <w:r>
        <w:rPr/>
        <w:t>万元。</w:t>
      </w:r>
    </w:p>
    <w:p>
      <w:pPr>
        <w:pStyle w:val="BodyText"/>
        <w:spacing w:line="398" w:lineRule="auto" w:before="35"/>
        <w:ind w:left="152" w:right="1127" w:firstLine="42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日，本公司子公司北京泰豪智能工程有限公司的全资子公司北京泰豪智能科技有</w:t>
      </w:r>
      <w:r>
        <w:rPr>
          <w:w w:val="100"/>
        </w:rPr>
        <w:t> </w:t>
      </w:r>
      <w:r>
        <w:rPr>
          <w:spacing w:val="-2"/>
        </w:rPr>
        <w:t>限公司与北京农村商业银行股份有限公司科技园支行签订借款合同，以自有房屋及土地使用权为抵押，借</w:t>
      </w:r>
      <w:r>
        <w:rPr>
          <w:spacing w:val="-42"/>
        </w:rPr>
        <w:t> </w:t>
      </w:r>
      <w:r>
        <w:rPr>
          <w:spacing w:val="-42"/>
        </w:rPr>
      </w:r>
      <w:r>
        <w:rPr/>
        <w:t>款人民币</w:t>
      </w:r>
      <w:r>
        <w:rPr>
          <w:rFonts w:ascii="Times New Roman" w:hAnsi="Times New Roman" w:cs="Times New Roman" w:eastAsia="Times New Roman" w:hint="default"/>
        </w:rPr>
        <w:t>200,000,000.00</w:t>
      </w:r>
      <w:r>
        <w:rPr/>
        <w:t>元，借款期限自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w:t>
      </w:r>
    </w:p>
    <w:p>
      <w:pPr>
        <w:pStyle w:val="BodyText"/>
        <w:spacing w:line="386" w:lineRule="auto" w:before="24"/>
        <w:ind w:left="152" w:right="1128" w:firstLine="42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23</w:t>
      </w:r>
      <w:r>
        <w:rPr>
          <w:spacing w:val="-2"/>
        </w:rPr>
        <w:t>日，北京泰豪智能科技有限公司与宁波银行股份有限公司北京分行签订抵押借款合</w:t>
      </w:r>
      <w:r>
        <w:rPr>
          <w:w w:val="100"/>
        </w:rPr>
        <w:t> </w:t>
      </w:r>
      <w:r>
        <w:rPr>
          <w:spacing w:val="-2"/>
        </w:rPr>
        <w:t>同，以自有房屋及土地使用权为担保，土地使用证编号开有限国用（</w:t>
      </w:r>
      <w:r>
        <w:rPr>
          <w:rFonts w:ascii="Times New Roman" w:hAnsi="Times New Roman" w:cs="Times New Roman" w:eastAsia="Times New Roman" w:hint="default"/>
          <w:spacing w:val="-2"/>
        </w:rPr>
        <w:t>2003</w:t>
      </w:r>
      <w:r>
        <w:rPr>
          <w:spacing w:val="-2"/>
        </w:rPr>
        <w:t>）字第</w:t>
      </w:r>
      <w:r>
        <w:rPr>
          <w:rFonts w:ascii="Times New Roman" w:hAnsi="Times New Roman" w:cs="Times New Roman" w:eastAsia="Times New Roman" w:hint="default"/>
          <w:spacing w:val="-2"/>
        </w:rPr>
        <w:t>20</w:t>
      </w:r>
      <w:r>
        <w:rPr>
          <w:spacing w:val="-2"/>
        </w:rPr>
        <w:t>号，房产证编号为京房</w:t>
      </w:r>
      <w:r>
        <w:rPr>
          <w:spacing w:val="-37"/>
        </w:rPr>
        <w:t> </w:t>
      </w:r>
      <w:r>
        <w:rPr>
          <w:spacing w:val="-37"/>
        </w:rPr>
      </w:r>
      <w:r>
        <w:rPr/>
        <w:t>权证开股字第</w:t>
      </w:r>
      <w:r>
        <w:rPr>
          <w:rFonts w:ascii="Times New Roman" w:hAnsi="Times New Roman" w:cs="Times New Roman" w:eastAsia="Times New Roman" w:hint="default"/>
        </w:rPr>
        <w:t>00174</w:t>
      </w:r>
      <w:r>
        <w:rPr/>
        <w:t>号，担保的最高债权限额为</w:t>
      </w:r>
      <w:r>
        <w:rPr>
          <w:rFonts w:ascii="Times New Roman" w:hAnsi="Times New Roman" w:cs="Times New Roman" w:eastAsia="Times New Roman" w:hint="default"/>
        </w:rPr>
        <w:t>12,593.00</w:t>
      </w:r>
      <w:r>
        <w:rPr/>
        <w:t>万元，担保期限自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rFonts w:ascii="Times New Roman" w:hAnsi="Times New Roman" w:cs="Times New Roman" w:eastAsia="Times New Roman" w:hint="default"/>
        </w:rPr>
        <w:t>31</w:t>
      </w:r>
      <w:r>
        <w:rPr/>
        <w:t>日止。</w:t>
      </w:r>
    </w:p>
    <w:p>
      <w:pPr>
        <w:spacing w:line="240" w:lineRule="auto" w:before="10"/>
        <w:rPr>
          <w:rFonts w:ascii="宋体" w:hAnsi="宋体" w:cs="宋体" w:eastAsia="宋体" w:hint="default"/>
          <w:sz w:val="17"/>
          <w:szCs w:val="17"/>
        </w:rPr>
      </w:pPr>
    </w:p>
    <w:p>
      <w:pPr>
        <w:pStyle w:val="Heading2"/>
        <w:spacing w:line="240" w:lineRule="auto"/>
        <w:ind w:right="1127"/>
        <w:jc w:val="left"/>
        <w:rPr>
          <w:b w:val="0"/>
          <w:bCs w:val="0"/>
        </w:rPr>
      </w:pPr>
      <w:bookmarkStart w:name="五、投资状况分析" w:id="70"/>
      <w:bookmarkEnd w:id="70"/>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7"/>
        <w:jc w:val="left"/>
        <w:rPr>
          <w:b w:val="0"/>
          <w:bCs w:val="0"/>
        </w:rPr>
      </w:pPr>
      <w:bookmarkStart w:name="1、总体情况" w:id="71"/>
      <w:bookmarkEnd w:id="71"/>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6"/>
          <w:szCs w:val="16"/>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5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231" w:right="0"/>
              <w:jc w:val="left"/>
              <w:rPr>
                <w:rFonts w:ascii="宋体" w:hAnsi="宋体" w:cs="宋体" w:eastAsia="宋体" w:hint="default"/>
                <w:sz w:val="18"/>
                <w:szCs w:val="18"/>
              </w:rPr>
            </w:pPr>
            <w:r>
              <w:rPr>
                <w:rFonts w:ascii="宋体" w:hAnsi="宋体" w:cs="宋体" w:eastAsia="宋体" w:hint="default"/>
                <w:sz w:val="18"/>
                <w:szCs w:val="18"/>
              </w:rPr>
              <w:t>变动幅度</w:t>
            </w:r>
          </w:p>
        </w:tc>
      </w:tr>
      <w:tr>
        <w:trPr>
          <w:trHeight w:val="5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862,094,363.29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222,865,000.00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267" w:right="0"/>
              <w:jc w:val="left"/>
              <w:rPr>
                <w:rFonts w:ascii="Times New Roman" w:hAnsi="Times New Roman" w:cs="Times New Roman" w:eastAsia="Times New Roman" w:hint="default"/>
                <w:sz w:val="18"/>
                <w:szCs w:val="18"/>
              </w:rPr>
            </w:pPr>
            <w:r>
              <w:rPr>
                <w:rFonts w:ascii="Times New Roman"/>
                <w:sz w:val="18"/>
              </w:rPr>
              <w:t>286.82%</w:t>
            </w:r>
          </w:p>
        </w:tc>
      </w:tr>
    </w:tbl>
    <w:p>
      <w:pPr>
        <w:spacing w:line="240" w:lineRule="auto" w:before="3"/>
        <w:rPr>
          <w:rFonts w:ascii="宋体" w:hAnsi="宋体" w:cs="宋体" w:eastAsia="宋体" w:hint="default"/>
          <w:sz w:val="19"/>
          <w:szCs w:val="19"/>
        </w:rPr>
      </w:pPr>
    </w:p>
    <w:p>
      <w:pPr>
        <w:pStyle w:val="Heading4"/>
        <w:spacing w:line="240" w:lineRule="auto" w:before="36"/>
        <w:ind w:right="1127"/>
        <w:jc w:val="left"/>
        <w:rPr>
          <w:b w:val="0"/>
          <w:bCs w:val="0"/>
        </w:rPr>
      </w:pPr>
      <w:bookmarkStart w:name="2、报告期内获取的重大的股权投资情况" w:id="72"/>
      <w:bookmarkEnd w:id="72"/>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18"/>
          <w:szCs w:val="18"/>
        </w:rPr>
      </w:pPr>
    </w:p>
    <w:p>
      <w:pPr>
        <w:pStyle w:val="BodyText"/>
        <w:spacing w:line="240" w:lineRule="auto" w:before="36"/>
        <w:ind w:left="0" w:right="1130"/>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2"/>
        <w:gridCol w:w="660"/>
        <w:gridCol w:w="662"/>
        <w:gridCol w:w="658"/>
        <w:gridCol w:w="655"/>
        <w:gridCol w:w="660"/>
        <w:gridCol w:w="629"/>
        <w:gridCol w:w="739"/>
        <w:gridCol w:w="732"/>
        <w:gridCol w:w="734"/>
        <w:gridCol w:w="722"/>
      </w:tblGrid>
      <w:tr>
        <w:trPr>
          <w:trHeight w:val="1130" w:hRule="exact"/>
        </w:trPr>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71" w:right="7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37"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91"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445"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72" w:right="71"/>
              <w:jc w:val="both"/>
              <w:rPr>
                <w:rFonts w:ascii="宋体" w:hAnsi="宋体" w:cs="宋体" w:eastAsia="宋体" w:hint="default"/>
                <w:sz w:val="18"/>
                <w:szCs w:val="18"/>
              </w:rPr>
            </w:pPr>
            <w:r>
              <w:rPr>
                <w:rFonts w:ascii="宋体" w:hAnsi="宋体" w:cs="宋体" w:eastAsia="宋体" w:hint="default"/>
                <w:sz w:val="18"/>
                <w:szCs w:val="18"/>
              </w:rPr>
              <w:t>四川旋 极智能 科技有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2" w:firstLine="48"/>
              <w:jc w:val="both"/>
              <w:rPr>
                <w:rFonts w:ascii="宋体" w:hAnsi="宋体" w:cs="宋体" w:eastAsia="宋体" w:hint="default"/>
                <w:sz w:val="18"/>
                <w:szCs w:val="18"/>
              </w:rPr>
            </w:pPr>
            <w:r>
              <w:rPr>
                <w:rFonts w:ascii="宋体" w:hAnsi="宋体" w:cs="宋体" w:eastAsia="宋体" w:hint="default"/>
                <w:sz w:val="18"/>
                <w:szCs w:val="18"/>
              </w:rPr>
              <w:t>半导体 </w:t>
            </w:r>
            <w:r>
              <w:rPr>
                <w:rFonts w:ascii="宋体" w:hAnsi="宋体" w:cs="宋体" w:eastAsia="宋体" w:hint="default"/>
                <w:spacing w:val="-21"/>
                <w:sz w:val="18"/>
                <w:szCs w:val="18"/>
              </w:rPr>
              <w:t>设计、制</w:t>
            </w:r>
            <w:r>
              <w:rPr>
                <w:rFonts w:ascii="宋体" w:hAnsi="宋体" w:cs="宋体" w:eastAsia="宋体" w:hint="default"/>
                <w:sz w:val="18"/>
                <w:szCs w:val="18"/>
              </w:rPr>
              <w:t> </w:t>
            </w:r>
            <w:r>
              <w:rPr>
                <w:rFonts w:ascii="宋体" w:hAnsi="宋体" w:cs="宋体" w:eastAsia="宋体" w:hint="default"/>
                <w:spacing w:val="-21"/>
                <w:sz w:val="18"/>
                <w:szCs w:val="18"/>
              </w:rPr>
              <w:t>造、技术</w:t>
            </w:r>
            <w:r>
              <w:rPr>
                <w:rFonts w:ascii="宋体" w:hAnsi="宋体" w:cs="宋体" w:eastAsia="宋体" w:hint="default"/>
                <w:sz w:val="18"/>
                <w:szCs w:val="18"/>
              </w:rPr>
              <w:t> 开发等</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70" w:right="0"/>
              <w:jc w:val="lef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长期持 有</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55" w:right="53"/>
              <w:jc w:val="both"/>
              <w:rPr>
                <w:rFonts w:ascii="宋体" w:hAnsi="宋体" w:cs="宋体" w:eastAsia="宋体" w:hint="default"/>
                <w:sz w:val="18"/>
                <w:szCs w:val="18"/>
              </w:rPr>
            </w:pPr>
            <w:r>
              <w:rPr>
                <w:rFonts w:ascii="宋体" w:hAnsi="宋体" w:cs="宋体" w:eastAsia="宋体" w:hint="default"/>
                <w:sz w:val="18"/>
                <w:szCs w:val="18"/>
              </w:rPr>
              <w:t>半导体 设计、 制造</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53" w:right="0"/>
              <w:jc w:val="lef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08" w:right="0"/>
              <w:jc w:val="left"/>
              <w:rPr>
                <w:rFonts w:ascii="Times New Roman" w:hAnsi="Times New Roman" w:cs="Times New Roman" w:eastAsia="Times New Roman" w:hint="default"/>
                <w:sz w:val="18"/>
                <w:szCs w:val="18"/>
              </w:rPr>
            </w:pPr>
            <w:r>
              <w:rPr>
                <w:rFonts w:ascii="Times New Roman"/>
                <w:sz w:val="18"/>
              </w:rPr>
              <w:t>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2019-12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center"/>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2"/>
        <w:gridCol w:w="660"/>
        <w:gridCol w:w="662"/>
        <w:gridCol w:w="658"/>
        <w:gridCol w:w="655"/>
        <w:gridCol w:w="660"/>
        <w:gridCol w:w="629"/>
        <w:gridCol w:w="739"/>
        <w:gridCol w:w="732"/>
        <w:gridCol w:w="734"/>
        <w:gridCol w:w="722"/>
      </w:tblGrid>
      <w:tr>
        <w:trPr>
          <w:trHeight w:val="2069"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9" w:hanging="3"/>
              <w:jc w:val="center"/>
              <w:rPr>
                <w:rFonts w:ascii="宋体" w:hAnsi="宋体" w:cs="宋体" w:eastAsia="宋体" w:hint="default"/>
                <w:sz w:val="18"/>
                <w:szCs w:val="18"/>
              </w:rPr>
            </w:pPr>
            <w:r>
              <w:rPr>
                <w:rFonts w:ascii="宋体" w:hAnsi="宋体" w:cs="宋体" w:eastAsia="宋体" w:hint="default"/>
                <w:sz w:val="18"/>
                <w:szCs w:val="18"/>
              </w:rPr>
              <w:t>旋极伏 羲（福 </w:t>
            </w:r>
            <w:r>
              <w:rPr>
                <w:rFonts w:ascii="宋体" w:hAnsi="宋体" w:cs="宋体" w:eastAsia="宋体" w:hint="default"/>
                <w:spacing w:val="-21"/>
                <w:sz w:val="18"/>
                <w:szCs w:val="18"/>
              </w:rPr>
              <w:t>州）大数</w:t>
            </w:r>
            <w:r>
              <w:rPr>
                <w:rFonts w:ascii="宋体" w:hAnsi="宋体" w:cs="宋体" w:eastAsia="宋体" w:hint="default"/>
                <w:sz w:val="18"/>
                <w:szCs w:val="18"/>
              </w:rPr>
              <w:t> 据技术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316" w:lineRule="auto"/>
              <w:ind w:left="71" w:right="71"/>
              <w:jc w:val="center"/>
              <w:rPr>
                <w:rFonts w:ascii="宋体" w:hAnsi="宋体" w:cs="宋体" w:eastAsia="宋体" w:hint="default"/>
                <w:sz w:val="18"/>
                <w:szCs w:val="18"/>
              </w:rPr>
            </w:pPr>
            <w:r>
              <w:rPr>
                <w:rFonts w:ascii="宋体" w:hAnsi="宋体" w:cs="宋体" w:eastAsia="宋体" w:hint="default"/>
                <w:sz w:val="18"/>
                <w:szCs w:val="18"/>
              </w:rPr>
              <w:t>大数据 技术服 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长期持 有</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数据处 理、技 术推 广、开 发</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17,029.1</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7</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2019-06</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2</w:t>
            </w:r>
          </w:p>
        </w:tc>
      </w:tr>
      <w:tr>
        <w:trPr>
          <w:trHeight w:val="144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72" w:right="71"/>
              <w:jc w:val="both"/>
              <w:rPr>
                <w:rFonts w:ascii="宋体" w:hAnsi="宋体" w:cs="宋体" w:eastAsia="宋体" w:hint="default"/>
                <w:sz w:val="18"/>
                <w:szCs w:val="18"/>
              </w:rPr>
            </w:pPr>
            <w:r>
              <w:rPr>
                <w:rFonts w:ascii="宋体" w:hAnsi="宋体" w:cs="宋体" w:eastAsia="宋体" w:hint="default"/>
                <w:sz w:val="18"/>
                <w:szCs w:val="18"/>
              </w:rPr>
              <w:t>北京泰 豪智能 科技有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物业管 理</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收购</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834,961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,263.29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长期持 有</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143" w:right="53" w:hanging="89"/>
              <w:jc w:val="left"/>
              <w:rPr>
                <w:rFonts w:ascii="宋体" w:hAnsi="宋体" w:cs="宋体" w:eastAsia="宋体" w:hint="default"/>
                <w:sz w:val="18"/>
                <w:szCs w:val="18"/>
              </w:rPr>
            </w:pPr>
            <w:r>
              <w:rPr>
                <w:rFonts w:ascii="宋体" w:hAnsi="宋体" w:cs="宋体" w:eastAsia="宋体" w:hint="default"/>
                <w:sz w:val="18"/>
                <w:szCs w:val="18"/>
              </w:rPr>
              <w:t>房产、 土地</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 w:right="0"/>
              <w:jc w:val="center"/>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-2,082,1</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38.43</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2019-10</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2</w:t>
            </w:r>
          </w:p>
        </w:tc>
      </w:tr>
      <w:tr>
        <w:trPr>
          <w:trHeight w:val="821" w:hRule="exact"/>
        </w:trPr>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3" w:right="0"/>
              <w:jc w:val="left"/>
              <w:rPr>
                <w:rFonts w:ascii="Times New Roman" w:hAnsi="Times New Roman" w:cs="Times New Roman" w:eastAsia="Times New Roman" w:hint="default"/>
                <w:sz w:val="18"/>
                <w:szCs w:val="18"/>
              </w:rPr>
            </w:pPr>
            <w:r>
              <w:rPr>
                <w:rFonts w:ascii="Times New Roman"/>
                <w:sz w:val="18"/>
              </w:rPr>
              <w:t>840,961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,263.29</w:t>
            </w:r>
          </w:p>
        </w:tc>
        <w:tc>
          <w:tcPr>
            <w:tcW w:w="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4" w:right="0"/>
              <w:jc w:val="left"/>
              <w:rPr>
                <w:rFonts w:ascii="Times New Roman" w:hAnsi="Times New Roman" w:cs="Times New Roman" w:eastAsia="Times New Roman" w:hint="default"/>
                <w:sz w:val="18"/>
                <w:szCs w:val="18"/>
              </w:rPr>
            </w:pPr>
            <w:r>
              <w:rPr>
                <w:rFonts w:ascii="Times New Roman"/>
                <w:sz w:val="18"/>
              </w:rPr>
              <w:t>-2,065,1</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09.26</w:t>
            </w:r>
          </w:p>
        </w:tc>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27"/>
        <w:jc w:val="left"/>
        <w:rPr>
          <w:b w:val="0"/>
          <w:bCs w:val="0"/>
        </w:rPr>
      </w:pPr>
      <w:bookmarkStart w:name="3、报告期内正在进行的重大的非股权投资情况" w:id="73"/>
      <w:bookmarkEnd w:id="73"/>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30"/>
          <w:szCs w:val="30"/>
        </w:rPr>
      </w:pPr>
    </w:p>
    <w:p>
      <w:pPr>
        <w:pStyle w:val="Heading4"/>
        <w:spacing w:line="240" w:lineRule="auto"/>
        <w:ind w:right="1127"/>
        <w:jc w:val="left"/>
        <w:rPr>
          <w:b w:val="0"/>
          <w:bCs w:val="0"/>
        </w:rPr>
      </w:pPr>
      <w:bookmarkStart w:name="4、以公允价值计量的金融资产" w:id="74"/>
      <w:bookmarkEnd w:id="74"/>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18"/>
          <w:szCs w:val="18"/>
        </w:rPr>
      </w:pPr>
    </w:p>
    <w:p>
      <w:pPr>
        <w:pStyle w:val="BodyText"/>
        <w:spacing w:line="240" w:lineRule="auto" w:before="36"/>
        <w:ind w:left="0" w:right="1132"/>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387"/>
        <w:gridCol w:w="895"/>
        <w:gridCol w:w="1090"/>
        <w:gridCol w:w="1178"/>
        <w:gridCol w:w="1193"/>
        <w:gridCol w:w="958"/>
        <w:gridCol w:w="955"/>
        <w:gridCol w:w="955"/>
        <w:gridCol w:w="958"/>
      </w:tblGrid>
      <w:tr>
        <w:trPr>
          <w:trHeight w:val="1130" w:hRule="exact"/>
        </w:trPr>
        <w:tc>
          <w:tcPr>
            <w:tcW w:w="1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314"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314"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314"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314"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314"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821"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82,000,000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2,568,389.05</w:t>
            </w:r>
            <w:r>
              <w:rPr>
                <w:rFonts w:ascii="Times New Roman"/>
                <w:sz w:val="18"/>
              </w:rPr>
            </w: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84,568,389.</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821"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23,620,000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331,000,000.00</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324,620,000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4,490,784.5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81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2" w:right="0"/>
              <w:jc w:val="left"/>
              <w:rPr>
                <w:rFonts w:ascii="Times New Roman" w:hAnsi="Times New Roman" w:cs="Times New Roman" w:eastAsia="Times New Roman" w:hint="default"/>
                <w:sz w:val="18"/>
                <w:szCs w:val="18"/>
              </w:rPr>
            </w:pPr>
            <w:r>
              <w:rPr>
                <w:rFonts w:ascii="Times New Roman"/>
                <w:sz w:val="18"/>
              </w:rPr>
              <w:t>181,287,64</w:t>
            </w:r>
          </w:p>
          <w:p>
            <w:pPr>
              <w:pStyle w:val="TableParagraph"/>
              <w:spacing w:line="240" w:lineRule="auto" w:before="102"/>
              <w:ind w:left="549" w:right="0"/>
              <w:jc w:val="left"/>
              <w:rPr>
                <w:rFonts w:ascii="Times New Roman" w:hAnsi="Times New Roman" w:cs="Times New Roman" w:eastAsia="Times New Roman" w:hint="default"/>
                <w:sz w:val="18"/>
                <w:szCs w:val="18"/>
              </w:rPr>
            </w:pPr>
            <w:r>
              <w:rPr>
                <w:rFonts w:ascii="Times New Roman"/>
                <w:sz w:val="18"/>
              </w:rPr>
              <w:t>9.29</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18,661,998.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78</w:t>
            </w: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162,625,650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821"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4,361,789.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12,854,764.70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pacing w:val="-1"/>
                <w:sz w:val="18"/>
              </w:rPr>
              <w:t>17,216,553.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821" w:hRule="exact"/>
        </w:trPr>
        <w:tc>
          <w:tcPr>
            <w:tcW w:w="1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2" w:right="0"/>
              <w:jc w:val="left"/>
              <w:rPr>
                <w:rFonts w:ascii="Times New Roman" w:hAnsi="Times New Roman" w:cs="Times New Roman" w:eastAsia="Times New Roman" w:hint="default"/>
                <w:sz w:val="18"/>
                <w:szCs w:val="18"/>
              </w:rPr>
            </w:pPr>
            <w:r>
              <w:rPr>
                <w:rFonts w:ascii="Times New Roman"/>
                <w:sz w:val="18"/>
              </w:rPr>
              <w:t>291,269,43</w:t>
            </w:r>
          </w:p>
          <w:p>
            <w:pPr>
              <w:pStyle w:val="TableParagraph"/>
              <w:spacing w:line="240" w:lineRule="auto" w:before="105"/>
              <w:ind w:left="549" w:right="0"/>
              <w:jc w:val="left"/>
              <w:rPr>
                <w:rFonts w:ascii="Times New Roman" w:hAnsi="Times New Roman" w:cs="Times New Roman" w:eastAsia="Times New Roman" w:hint="default"/>
                <w:sz w:val="18"/>
                <w:szCs w:val="18"/>
              </w:rPr>
            </w:pPr>
            <w:r>
              <w:rPr>
                <w:rFonts w:ascii="Times New Roman"/>
                <w:sz w:val="18"/>
              </w:rPr>
              <w:t>8.43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2,568,389.05</w:t>
            </w:r>
            <w:r>
              <w:rPr>
                <w:rFonts w:ascii="Times New Roman"/>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343,854,764.70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343,281,998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4,490,784.5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294,410,593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27"/>
        <w:jc w:val="left"/>
        <w:rPr>
          <w:b w:val="0"/>
          <w:bCs w:val="0"/>
        </w:rPr>
      </w:pPr>
      <w:bookmarkStart w:name="5、募集资金使用情况" w:id="75"/>
      <w:bookmarkEnd w:id="75"/>
      <w:r>
        <w:rPr>
          <w:b w:val="0"/>
          <w:bCs w:val="0"/>
        </w:rPr>
      </w:r>
      <w:r>
        <w:rPr>
          <w:rFonts w:ascii="Times New Roman" w:hAnsi="Times New Roman" w:cs="Times New Roman" w:eastAsia="Times New Roman" w:hint="default"/>
        </w:rPr>
        <w:t>5</w:t>
      </w:r>
      <w:r>
        <w:rPr/>
        <w:t>、募集资金使用情况</w:t>
      </w:r>
      <w:r>
        <w:rPr>
          <w:b w:val="0"/>
          <w:bCs w:val="0"/>
        </w:rPr>
      </w:r>
    </w:p>
    <w:p>
      <w:pPr>
        <w:spacing w:after="0" w:line="240" w:lineRule="auto"/>
        <w:jc w:val="left"/>
        <w:sectPr>
          <w:pgSz w:w="11910" w:h="16840"/>
          <w:pgMar w:header="882" w:footer="1134" w:top="1280" w:bottom="1320" w:left="980" w:right="0"/>
        </w:sectPr>
      </w:pPr>
    </w:p>
    <w:p>
      <w:pPr>
        <w:spacing w:line="240" w:lineRule="auto" w:before="4"/>
        <w:rPr>
          <w:rFonts w:ascii="宋体" w:hAnsi="宋体" w:cs="宋体" w:eastAsia="宋体" w:hint="default"/>
          <w:b/>
          <w:bCs/>
          <w:sz w:val="13"/>
          <w:szCs w:val="13"/>
        </w:rPr>
      </w:pPr>
    </w:p>
    <w:p>
      <w:pPr>
        <w:pStyle w:val="BodyText"/>
        <w:spacing w:line="240" w:lineRule="auto" w:before="36"/>
        <w:ind w:left="134" w:right="8302"/>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0"/>
          <w:szCs w:val="30"/>
        </w:rPr>
      </w:pPr>
    </w:p>
    <w:p>
      <w:pPr>
        <w:pStyle w:val="Heading4"/>
        <w:spacing w:line="240" w:lineRule="auto"/>
        <w:ind w:left="134" w:right="8117"/>
        <w:jc w:val="center"/>
        <w:rPr>
          <w:b w:val="0"/>
          <w:bCs w:val="0"/>
        </w:rPr>
      </w:pPr>
      <w:bookmarkStart w:name="（1）募集资金总体使用情况" w:id="76"/>
      <w:bookmarkEnd w:id="76"/>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34" w:right="8302"/>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18"/>
          <w:szCs w:val="18"/>
        </w:rPr>
      </w:pPr>
    </w:p>
    <w:p>
      <w:pPr>
        <w:pStyle w:val="BodyText"/>
        <w:spacing w:line="240" w:lineRule="auto" w:before="36"/>
        <w:ind w:left="0" w:right="1132"/>
        <w:jc w:val="right"/>
      </w:pPr>
      <w:r>
        <w:rPr>
          <w:spacing w:val="-1"/>
        </w:rPr>
        <w:t>单位：万元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1"/>
        <w:gridCol w:w="869"/>
        <w:gridCol w:w="871"/>
        <w:gridCol w:w="869"/>
        <w:gridCol w:w="871"/>
        <w:gridCol w:w="869"/>
      </w:tblGrid>
      <w:tr>
        <w:trPr>
          <w:trHeight w:val="1445"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71"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81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343" w:right="67" w:hanging="272"/>
              <w:jc w:val="left"/>
              <w:rPr>
                <w:rFonts w:ascii="宋体" w:hAnsi="宋体" w:cs="宋体" w:eastAsia="宋体" w:hint="default"/>
                <w:sz w:val="18"/>
                <w:szCs w:val="18"/>
              </w:rPr>
            </w:pPr>
            <w:r>
              <w:rPr>
                <w:rFonts w:ascii="宋体" w:hAnsi="宋体" w:cs="宋体" w:eastAsia="宋体" w:hint="default"/>
                <w:sz w:val="18"/>
                <w:szCs w:val="18"/>
              </w:rPr>
              <w:t>定向非公 开</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127,782.14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37,366.97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74,513.8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60,176.32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69" w:right="71"/>
              <w:jc w:val="left"/>
              <w:rPr>
                <w:rFonts w:ascii="宋体" w:hAnsi="宋体" w:cs="宋体" w:eastAsia="宋体" w:hint="default"/>
                <w:sz w:val="18"/>
                <w:szCs w:val="18"/>
              </w:rPr>
            </w:pPr>
            <w:r>
              <w:rPr>
                <w:rFonts w:ascii="宋体" w:hAnsi="宋体" w:cs="宋体" w:eastAsia="宋体" w:hint="default"/>
                <w:sz w:val="18"/>
                <w:szCs w:val="18"/>
              </w:rPr>
              <w:t>募集资金 专项账户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4"/>
              <w:ind w:left="20" w:right="0"/>
              <w:jc w:val="left"/>
              <w:rPr>
                <w:rFonts w:ascii="Times New Roman" w:hAnsi="Times New Roman" w:cs="Times New Roman" w:eastAsia="Times New Roman" w:hint="default"/>
                <w:sz w:val="18"/>
                <w:szCs w:val="18"/>
              </w:rPr>
            </w:pPr>
            <w:r>
              <w:rPr>
                <w:rFonts w:ascii="Times New Roman"/>
                <w:sz w:val="18"/>
              </w:rPr>
              <w:t>127,782.14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9" w:right="0"/>
              <w:jc w:val="center"/>
              <w:rPr>
                <w:rFonts w:ascii="Times New Roman" w:hAnsi="Times New Roman" w:cs="Times New Roman" w:eastAsia="Times New Roman" w:hint="default"/>
                <w:sz w:val="18"/>
                <w:szCs w:val="18"/>
              </w:rPr>
            </w:pPr>
            <w:r>
              <w:rPr>
                <w:rFonts w:ascii="Times New Roman"/>
                <w:sz w:val="18"/>
              </w:rPr>
              <w:t>37,366.97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74,513.8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144"/>
              <w:ind w:right="6"/>
              <w:jc w:val="right"/>
              <w:rPr>
                <w:rFonts w:ascii="Times New Roman" w:hAnsi="Times New Roman" w:cs="Times New Roman" w:eastAsia="Times New Roman" w:hint="default"/>
                <w:sz w:val="18"/>
                <w:szCs w:val="18"/>
              </w:rPr>
            </w:pPr>
            <w:r>
              <w:rPr>
                <w:rFonts w:ascii="Times New Roman"/>
                <w:spacing w:val="-1"/>
                <w:sz w:val="18"/>
              </w:rPr>
              <w:t>60,176.32</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44"/>
              <w:ind w:right="11"/>
              <w:jc w:val="center"/>
              <w:rPr>
                <w:rFonts w:ascii="Times New Roman" w:hAnsi="Times New Roman" w:cs="Times New Roman" w:eastAsia="Times New Roman" w:hint="default"/>
                <w:sz w:val="18"/>
                <w:szCs w:val="18"/>
              </w:rPr>
            </w:pPr>
            <w:r>
              <w:rPr>
                <w:rFonts w:ascii="Times New Roman"/>
                <w:sz w:val="18"/>
              </w:rPr>
              <w:t>0</w:t>
            </w:r>
          </w:p>
        </w:tc>
      </w:tr>
      <w:tr>
        <w:trPr>
          <w:trHeight w:val="509"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754"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101"/>
              <w:ind w:left="24" w:right="19" w:firstLine="36"/>
              <w:jc w:val="both"/>
              <w:rPr>
                <w:rFonts w:ascii="宋体" w:hAnsi="宋体" w:cs="宋体" w:eastAsia="宋体" w:hint="default"/>
                <w:sz w:val="18"/>
                <w:szCs w:val="18"/>
              </w:rPr>
            </w:pPr>
            <w:r>
              <w:rPr>
                <w:rFonts w:ascii="宋体" w:hAnsi="宋体" w:cs="宋体" w:eastAsia="宋体" w:hint="default"/>
                <w:sz w:val="18"/>
                <w:szCs w:val="18"/>
              </w:rPr>
              <w:t>公司经中国证券监督管理委员会证监许可</w:t>
            </w:r>
            <w:r>
              <w:rPr>
                <w:rFonts w:ascii="Times New Roman" w:hAnsi="Times New Roman" w:cs="Times New Roman" w:eastAsia="Times New Roman" w:hint="default"/>
                <w:sz w:val="18"/>
                <w:szCs w:val="18"/>
              </w:rPr>
              <w:t>[2016] 2164</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号《关于核准北京旋极信息技术股份有限公司向西藏泰豪智能技术 有限公司等发行股份购买资产并募集配套资金的批复》核准，非公开发行为定价发行，最终人民币普通股（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股）股票 </w:t>
            </w:r>
            <w:r>
              <w:rPr>
                <w:rFonts w:ascii="Times New Roman" w:hAnsi="Times New Roman" w:cs="Times New Roman" w:eastAsia="Times New Roman" w:hint="default"/>
                <w:sz w:val="18"/>
                <w:szCs w:val="18"/>
              </w:rPr>
              <w:t>58,558,558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股，发行股票价格为人民币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元，募集资金总额为人民币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1,299,999,987.60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元，扣除各项发行费用合计人民</w:t>
            </w:r>
          </w:p>
          <w:p>
            <w:pPr>
              <w:pStyle w:val="TableParagraph"/>
              <w:spacing w:line="240" w:lineRule="auto" w:before="13"/>
              <w:ind w:left="28" w:right="0"/>
              <w:jc w:val="both"/>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22,178,558.56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元，实际募集资金净额为人民币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1,277,821,429.04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元。上述募集资金到位情况已经立信会计师事务所（特</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殊普通合伙）验证，并出具</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信会师报字（</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t>《验资报告</w:t>
            </w:r>
            <w:r>
              <w:rPr>
                <w:rFonts w:ascii="宋体" w:hAnsi="宋体" w:cs="宋体" w:eastAsia="宋体" w:hint="default"/>
                <w:spacing w:val="-92"/>
                <w:sz w:val="18"/>
                <w:szCs w:val="18"/>
              </w:rPr>
              <w:t>》</w:t>
            </w:r>
            <w:r>
              <w:rPr>
                <w:rFonts w:ascii="宋体" w:hAnsi="宋体" w:cs="宋体" w:eastAsia="宋体" w:hint="default"/>
                <w:sz w:val="18"/>
                <w:szCs w:val="18"/>
              </w:rPr>
              <w:t>。公司对募集资</w:t>
            </w:r>
            <w:r>
              <w:rPr>
                <w:rFonts w:ascii="宋体" w:hAnsi="宋体" w:cs="宋体" w:eastAsia="宋体" w:hint="default"/>
                <w:spacing w:val="2"/>
                <w:sz w:val="18"/>
                <w:szCs w:val="18"/>
              </w:rPr>
              <w:t>金</w:t>
            </w:r>
            <w:r>
              <w:rPr>
                <w:rFonts w:ascii="宋体" w:hAnsi="宋体" w:cs="宋体" w:eastAsia="宋体" w:hint="default"/>
                <w:sz w:val="18"/>
                <w:szCs w:val="18"/>
              </w:rPr>
              <w:t>采取了专户存储制度。</w:t>
            </w:r>
          </w:p>
        </w:tc>
      </w:tr>
    </w:tbl>
    <w:p>
      <w:pPr>
        <w:spacing w:line="240" w:lineRule="auto" w:before="3"/>
        <w:rPr>
          <w:rFonts w:ascii="宋体" w:hAnsi="宋体" w:cs="宋体" w:eastAsia="宋体" w:hint="default"/>
          <w:sz w:val="19"/>
          <w:szCs w:val="19"/>
        </w:rPr>
      </w:pPr>
    </w:p>
    <w:p>
      <w:pPr>
        <w:pStyle w:val="Heading4"/>
        <w:spacing w:line="240" w:lineRule="auto" w:before="36"/>
        <w:ind w:left="134" w:right="8117"/>
        <w:jc w:val="center"/>
        <w:rPr>
          <w:b w:val="0"/>
          <w:bCs w:val="0"/>
        </w:rPr>
      </w:pPr>
      <w:bookmarkStart w:name="（2）募集资金承诺项目情况" w:id="77"/>
      <w:bookmarkEnd w:id="77"/>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34" w:right="8302"/>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18"/>
          <w:szCs w:val="18"/>
        </w:rPr>
      </w:pPr>
    </w:p>
    <w:p>
      <w:pPr>
        <w:pStyle w:val="BodyText"/>
        <w:spacing w:line="240" w:lineRule="auto" w:before="36"/>
        <w:ind w:left="0" w:right="1132"/>
        <w:jc w:val="right"/>
      </w:pPr>
      <w:r>
        <w:rPr>
          <w:spacing w:val="-1"/>
        </w:rPr>
        <w:t>单位：万元</w:t>
      </w:r>
    </w:p>
    <w:p>
      <w:pPr>
        <w:spacing w:line="240" w:lineRule="auto" w:before="5"/>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722"/>
        <w:gridCol w:w="725"/>
        <w:gridCol w:w="898"/>
        <w:gridCol w:w="895"/>
        <w:gridCol w:w="727"/>
        <w:gridCol w:w="898"/>
        <w:gridCol w:w="898"/>
        <w:gridCol w:w="727"/>
        <w:gridCol w:w="727"/>
        <w:gridCol w:w="898"/>
        <w:gridCol w:w="727"/>
        <w:gridCol w:w="727"/>
      </w:tblGrid>
      <w:tr>
        <w:trPr>
          <w:trHeight w:val="1757" w:hRule="exact"/>
        </w:trPr>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86" w:right="84"/>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312" w:lineRule="auto"/>
              <w:ind w:left="57" w:right="55"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83" w:right="8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316" w:lineRule="auto"/>
              <w:ind w:left="69" w:right="62"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83"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326" w:lineRule="auto"/>
              <w:ind w:left="83" w:right="8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8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83" w:right="83"/>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88" w:right="8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509"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975"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86" w:right="84" w:firstLine="2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新一 代装备 健康管 理产品 体系研 制及服</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39,000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39,000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2,183.9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15,630.34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40.08%</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3,954.63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13,391.56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footerReference w:type="default" r:id="rId27"/>
          <w:pgSz w:w="11910" w:h="16840"/>
          <w:pgMar w:footer="1134" w:header="882"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22"/>
        <w:gridCol w:w="413"/>
        <w:gridCol w:w="312"/>
        <w:gridCol w:w="898"/>
        <w:gridCol w:w="895"/>
        <w:gridCol w:w="727"/>
        <w:gridCol w:w="898"/>
        <w:gridCol w:w="897"/>
        <w:gridCol w:w="727"/>
        <w:gridCol w:w="727"/>
        <w:gridCol w:w="898"/>
        <w:gridCol w:w="727"/>
        <w:gridCol w:w="727"/>
      </w:tblGrid>
      <w:tr>
        <w:trPr>
          <w:trHeight w:val="1039"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86" w:right="84"/>
              <w:jc w:val="center"/>
              <w:rPr>
                <w:rFonts w:ascii="宋体" w:hAnsi="宋体" w:cs="宋体" w:eastAsia="宋体" w:hint="default"/>
                <w:sz w:val="18"/>
                <w:szCs w:val="18"/>
              </w:rPr>
            </w:pPr>
            <w:r>
              <w:rPr>
                <w:rFonts w:ascii="宋体" w:hAnsi="宋体" w:cs="宋体" w:eastAsia="宋体" w:hint="default"/>
                <w:sz w:val="18"/>
                <w:szCs w:val="18"/>
              </w:rPr>
              <w:t>务平台 建设项 目</w:t>
            </w:r>
          </w:p>
        </w:tc>
        <w:tc>
          <w:tcPr>
            <w:tcW w:w="725" w:type="dxa"/>
            <w:gridSpan w:val="2"/>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3005"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86" w:right="84" w:firstLine="24"/>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基于 全球时 空剖分 的大数 据高速 处理技 术与服 务平台 项目</w:t>
            </w:r>
          </w:p>
        </w:tc>
        <w:tc>
          <w:tcPr>
            <w:tcW w:w="7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96" w:right="0"/>
              <w:jc w:val="left"/>
              <w:rPr>
                <w:rFonts w:ascii="Times New Roman" w:hAnsi="Times New Roman" w:cs="Times New Roman" w:eastAsia="Times New Roman" w:hint="default"/>
                <w:sz w:val="18"/>
                <w:szCs w:val="18"/>
              </w:rPr>
            </w:pPr>
            <w:r>
              <w:rPr>
                <w:rFonts w:ascii="Times New Roman"/>
                <w:sz w:val="18"/>
              </w:rPr>
              <w:t>38,500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3" w:right="0"/>
              <w:jc w:val="center"/>
              <w:rPr>
                <w:rFonts w:ascii="Times New Roman" w:hAnsi="Times New Roman" w:cs="Times New Roman" w:eastAsia="Times New Roman" w:hint="default"/>
                <w:sz w:val="18"/>
                <w:szCs w:val="18"/>
              </w:rPr>
            </w:pPr>
            <w:r>
              <w:rPr>
                <w:rFonts w:ascii="Times New Roman"/>
                <w:sz w:val="18"/>
              </w:rPr>
              <w:t>38,500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 w:right="0"/>
              <w:jc w:val="center"/>
              <w:rPr>
                <w:rFonts w:ascii="Times New Roman" w:hAnsi="Times New Roman" w:cs="Times New Roman" w:eastAsia="Times New Roman" w:hint="default"/>
                <w:sz w:val="18"/>
                <w:szCs w:val="18"/>
              </w:rPr>
            </w:pPr>
            <w:r>
              <w:rPr>
                <w:rFonts w:ascii="Times New Roman"/>
                <w:sz w:val="18"/>
              </w:rPr>
              <w:t>75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29" w:right="0"/>
              <w:jc w:val="left"/>
              <w:rPr>
                <w:rFonts w:ascii="Times New Roman" w:hAnsi="Times New Roman" w:cs="Times New Roman" w:eastAsia="Times New Roman" w:hint="default"/>
                <w:sz w:val="18"/>
                <w:szCs w:val="18"/>
              </w:rPr>
            </w:pPr>
            <w:r>
              <w:rPr>
                <w:rFonts w:ascii="Times New Roman"/>
                <w:sz w:val="18"/>
              </w:rPr>
              <w:t>6,574.15</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6" w:right="0"/>
              <w:jc w:val="center"/>
              <w:rPr>
                <w:rFonts w:ascii="Times New Roman" w:hAnsi="Times New Roman" w:cs="Times New Roman" w:eastAsia="Times New Roman" w:hint="default"/>
                <w:sz w:val="18"/>
                <w:szCs w:val="18"/>
              </w:rPr>
            </w:pPr>
            <w:r>
              <w:rPr>
                <w:rFonts w:ascii="Times New Roman"/>
                <w:sz w:val="18"/>
              </w:rPr>
              <w:t>17.08%</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43" w:right="0"/>
              <w:jc w:val="left"/>
              <w:rPr>
                <w:rFonts w:ascii="Times New Roman" w:hAnsi="Times New Roman" w:cs="Times New Roman" w:eastAsia="Times New Roman" w:hint="default"/>
                <w:sz w:val="18"/>
                <w:szCs w:val="18"/>
              </w:rPr>
            </w:pPr>
            <w:r>
              <w:rPr>
                <w:rFonts w:ascii="Times New Roman"/>
                <w:sz w:val="18"/>
              </w:rPr>
              <w:t>1,623.28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29" w:right="0"/>
              <w:jc w:val="left"/>
              <w:rPr>
                <w:rFonts w:ascii="Times New Roman" w:hAnsi="Times New Roman" w:cs="Times New Roman" w:eastAsia="Times New Roman" w:hint="default"/>
                <w:sz w:val="18"/>
                <w:szCs w:val="18"/>
              </w:rPr>
            </w:pPr>
            <w:r>
              <w:rPr>
                <w:rFonts w:ascii="Times New Roman"/>
                <w:sz w:val="18"/>
              </w:rPr>
              <w:t>2,002.12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18"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86" w:right="84"/>
              <w:jc w:val="left"/>
              <w:rPr>
                <w:rFonts w:ascii="宋体" w:hAnsi="宋体" w:cs="宋体" w:eastAsia="宋体" w:hint="default"/>
                <w:sz w:val="18"/>
                <w:szCs w:val="18"/>
              </w:rPr>
            </w:pPr>
            <w:r>
              <w:rPr>
                <w:rFonts w:ascii="宋体" w:hAnsi="宋体" w:cs="宋体" w:eastAsia="宋体" w:hint="default"/>
                <w:sz w:val="18"/>
                <w:szCs w:val="18"/>
              </w:rPr>
              <w:t>补充流 动资金</w:t>
            </w:r>
          </w:p>
        </w:tc>
        <w:tc>
          <w:tcPr>
            <w:tcW w:w="7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50,282.14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35,108.0</w:t>
            </w:r>
          </w:p>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52,309.31</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104.03%</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7" w:hRule="exact"/>
        </w:trPr>
        <w:tc>
          <w:tcPr>
            <w:tcW w:w="72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101"/>
              <w:ind w:left="86" w:right="84"/>
              <w:jc w:val="both"/>
              <w:rPr>
                <w:rFonts w:ascii="宋体" w:hAnsi="宋体" w:cs="宋体" w:eastAsia="宋体" w:hint="default"/>
                <w:sz w:val="18"/>
                <w:szCs w:val="18"/>
              </w:rPr>
            </w:pPr>
            <w:r>
              <w:rPr>
                <w:rFonts w:ascii="宋体" w:hAnsi="宋体" w:cs="宋体" w:eastAsia="宋体" w:hint="default"/>
                <w:sz w:val="18"/>
                <w:szCs w:val="18"/>
              </w:rPr>
              <w:t>承诺投 资项目 小计</w:t>
            </w:r>
          </w:p>
        </w:tc>
        <w:tc>
          <w:tcPr>
            <w:tcW w:w="725"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898"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77,500</w:t>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127,782.14</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37,366.9</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7</w:t>
            </w:r>
          </w:p>
        </w:tc>
        <w:tc>
          <w:tcPr>
            <w:tcW w:w="898" w:type="dxa"/>
            <w:vMerge w:val="restart"/>
            <w:tcBorders>
              <w:top w:val="single" w:sz="4" w:space="0" w:color="000000"/>
              <w:left w:val="single" w:sz="4" w:space="0" w:color="000000"/>
              <w:right w:val="single" w:sz="9" w:space="0" w:color="D4D4D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74,513.8</w:t>
            </w:r>
          </w:p>
        </w:tc>
        <w:tc>
          <w:tcPr>
            <w:tcW w:w="8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27" w:type="dxa"/>
            <w:tcBorders>
              <w:top w:val="single" w:sz="4" w:space="0" w:color="000000"/>
              <w:left w:val="single" w:sz="4" w:space="0" w:color="000000"/>
              <w:bottom w:val="nil" w:sz="6" w:space="0" w:color="auto"/>
              <w:right w:val="single" w:sz="4" w:space="0" w:color="000000"/>
            </w:tcBorders>
            <w:shd w:val="clear" w:color="auto" w:fill="D4D4D4"/>
          </w:tcPr>
          <w:p>
            <w:pPr/>
          </w:p>
        </w:tc>
        <w:tc>
          <w:tcPr>
            <w:tcW w:w="727"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5,577.91</w:t>
            </w:r>
          </w:p>
        </w:tc>
        <w:tc>
          <w:tcPr>
            <w:tcW w:w="898" w:type="dxa"/>
            <w:vMerge w:val="restart"/>
            <w:tcBorders>
              <w:top w:val="single" w:sz="4" w:space="0" w:color="000000"/>
              <w:left w:val="single" w:sz="4" w:space="0" w:color="000000"/>
              <w:right w:val="single" w:sz="9" w:space="0" w:color="D4D4D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15,393.68</w:t>
            </w:r>
          </w:p>
        </w:tc>
        <w:tc>
          <w:tcPr>
            <w:tcW w:w="727" w:type="dxa"/>
            <w:tcBorders>
              <w:top w:val="single" w:sz="4" w:space="0" w:color="000000"/>
              <w:left w:val="single" w:sz="4" w:space="0" w:color="000000"/>
              <w:bottom w:val="nil" w:sz="6" w:space="0" w:color="auto"/>
              <w:right w:val="single" w:sz="4" w:space="0" w:color="000000"/>
            </w:tcBorders>
            <w:shd w:val="clear" w:color="auto" w:fill="D4D4D4"/>
          </w:tcPr>
          <w:p>
            <w:pPr/>
          </w:p>
        </w:tc>
        <w:tc>
          <w:tcPr>
            <w:tcW w:w="727"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499" w:hRule="exact"/>
        </w:trPr>
        <w:tc>
          <w:tcPr>
            <w:tcW w:w="722" w:type="dxa"/>
            <w:vMerge/>
            <w:tcBorders>
              <w:left w:val="single" w:sz="4" w:space="0" w:color="000000"/>
              <w:right w:val="single" w:sz="4" w:space="0" w:color="000000"/>
            </w:tcBorders>
            <w:shd w:val="clear" w:color="auto" w:fill="D4D4D4"/>
          </w:tcPr>
          <w:p>
            <w:pPr/>
          </w:p>
        </w:tc>
        <w:tc>
          <w:tcPr>
            <w:tcW w:w="725"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w:t>
            </w:r>
          </w:p>
        </w:tc>
        <w:tc>
          <w:tcPr>
            <w:tcW w:w="898" w:type="dxa"/>
            <w:vMerge/>
            <w:tcBorders>
              <w:left w:val="single" w:sz="10" w:space="0" w:color="D4D4D4"/>
              <w:right w:val="single" w:sz="4" w:space="0" w:color="000000"/>
            </w:tcBorders>
          </w:tcPr>
          <w:p>
            <w:pPr/>
          </w:p>
        </w:tc>
        <w:tc>
          <w:tcPr>
            <w:tcW w:w="89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9" w:space="0" w:color="D4D4D4"/>
            </w:tcBorders>
          </w:tcPr>
          <w:p>
            <w:pPr/>
          </w:p>
        </w:tc>
        <w:tc>
          <w:tcPr>
            <w:tcW w:w="8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vMerge/>
            <w:tcBorders>
              <w:left w:val="single" w:sz="10" w:space="0" w:color="D4D4D4"/>
              <w:right w:val="single" w:sz="4" w:space="0" w:color="000000"/>
            </w:tcBorders>
          </w:tcPr>
          <w:p>
            <w:pPr/>
          </w:p>
        </w:tc>
        <w:tc>
          <w:tcPr>
            <w:tcW w:w="898" w:type="dxa"/>
            <w:vMerge/>
            <w:tcBorders>
              <w:left w:val="single" w:sz="4" w:space="0" w:color="000000"/>
              <w:right w:val="single" w:sz="9" w:space="0" w:color="D4D4D4"/>
            </w:tcBorders>
          </w:tcPr>
          <w:p>
            <w:pPr/>
          </w:p>
        </w:tc>
        <w:tc>
          <w:tcPr>
            <w:tcW w:w="72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44"/>
              <w:ind w:left="300" w:right="0"/>
              <w:jc w:val="lef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722" w:type="dxa"/>
            <w:vMerge/>
            <w:tcBorders>
              <w:left w:val="single" w:sz="4" w:space="0" w:color="000000"/>
              <w:bottom w:val="single" w:sz="4" w:space="0" w:color="000000"/>
              <w:right w:val="single" w:sz="4" w:space="0" w:color="000000"/>
            </w:tcBorders>
            <w:shd w:val="clear" w:color="auto" w:fill="D4D4D4"/>
          </w:tcPr>
          <w:p>
            <w:pPr/>
          </w:p>
        </w:tc>
        <w:tc>
          <w:tcPr>
            <w:tcW w:w="725"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898" w:type="dxa"/>
            <w:vMerge/>
            <w:tcBorders>
              <w:left w:val="single" w:sz="10" w:space="0" w:color="D4D4D4"/>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4D4D4"/>
            </w:tcBorders>
          </w:tcPr>
          <w:p>
            <w:pPr/>
          </w:p>
        </w:tc>
        <w:tc>
          <w:tcPr>
            <w:tcW w:w="8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27" w:type="dxa"/>
            <w:tcBorders>
              <w:top w:val="nil" w:sz="6" w:space="0" w:color="auto"/>
              <w:left w:val="single" w:sz="4" w:space="0" w:color="000000"/>
              <w:bottom w:val="single" w:sz="4" w:space="0" w:color="000000"/>
              <w:right w:val="single" w:sz="4" w:space="0" w:color="000000"/>
            </w:tcBorders>
            <w:shd w:val="clear" w:color="auto" w:fill="D4D4D4"/>
          </w:tcPr>
          <w:p>
            <w:pPr/>
          </w:p>
        </w:tc>
        <w:tc>
          <w:tcPr>
            <w:tcW w:w="727" w:type="dxa"/>
            <w:vMerge/>
            <w:tcBorders>
              <w:left w:val="single" w:sz="10" w:space="0" w:color="D4D4D4"/>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4D4D4"/>
            </w:tcBorders>
          </w:tcPr>
          <w:p>
            <w:pPr/>
          </w:p>
        </w:tc>
        <w:tc>
          <w:tcPr>
            <w:tcW w:w="727" w:type="dxa"/>
            <w:tcBorders>
              <w:top w:val="nil" w:sz="6" w:space="0" w:color="auto"/>
              <w:left w:val="single" w:sz="4" w:space="0" w:color="000000"/>
              <w:bottom w:val="single" w:sz="4" w:space="0" w:color="000000"/>
              <w:right w:val="single" w:sz="4" w:space="0" w:color="000000"/>
            </w:tcBorders>
            <w:shd w:val="clear" w:color="auto" w:fill="D4D4D4"/>
          </w:tcPr>
          <w:p>
            <w:pPr/>
          </w:p>
        </w:tc>
        <w:tc>
          <w:tcPr>
            <w:tcW w:w="727"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504" w:hRule="exact"/>
        </w:trPr>
        <w:tc>
          <w:tcPr>
            <w:tcW w:w="9569"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506" w:hRule="exact"/>
        </w:trPr>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3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135"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12" w:type="dxa"/>
            <w:tcBorders>
              <w:top w:val="single" w:sz="4" w:space="0" w:color="000000"/>
              <w:left w:val="single" w:sz="4" w:space="0" w:color="000000"/>
              <w:bottom w:val="nil" w:sz="6" w:space="0" w:color="auto"/>
              <w:right w:val="single" w:sz="4" w:space="0" w:color="000000"/>
            </w:tcBorders>
            <w:shd w:val="clear" w:color="auto" w:fill="D4D4D4"/>
          </w:tcPr>
          <w:p>
            <w:pPr/>
          </w:p>
        </w:tc>
        <w:tc>
          <w:tcPr>
            <w:tcW w:w="898" w:type="dxa"/>
            <w:vMerge w:val="restart"/>
            <w:tcBorders>
              <w:top w:val="single" w:sz="4" w:space="0" w:color="000000"/>
              <w:left w:val="single" w:sz="10" w:space="0" w:color="D4D4D4"/>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77,500</w:t>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127,782.14</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37,366.9</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7</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74,513.8</w:t>
            </w:r>
          </w:p>
        </w:tc>
        <w:tc>
          <w:tcPr>
            <w:tcW w:w="8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5,577.91</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15,393.68</w:t>
            </w:r>
          </w:p>
        </w:tc>
        <w:tc>
          <w:tcPr>
            <w:tcW w:w="7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99" w:hRule="exact"/>
        </w:trPr>
        <w:tc>
          <w:tcPr>
            <w:tcW w:w="1135"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44"/>
              <w:ind w:left="91" w:right="0"/>
              <w:jc w:val="left"/>
              <w:rPr>
                <w:rFonts w:ascii="Times New Roman" w:hAnsi="Times New Roman" w:cs="Times New Roman" w:eastAsia="Times New Roman" w:hint="default"/>
                <w:sz w:val="18"/>
                <w:szCs w:val="18"/>
              </w:rPr>
            </w:pPr>
            <w:r>
              <w:rPr>
                <w:rFonts w:ascii="Times New Roman"/>
                <w:sz w:val="18"/>
              </w:rPr>
              <w:t>--</w:t>
            </w:r>
          </w:p>
        </w:tc>
        <w:tc>
          <w:tcPr>
            <w:tcW w:w="898" w:type="dxa"/>
            <w:vMerge/>
            <w:tcBorders>
              <w:left w:val="single" w:sz="10" w:space="0" w:color="D4D4D4"/>
              <w:right w:val="single" w:sz="4" w:space="0" w:color="000000"/>
            </w:tcBorders>
          </w:tcPr>
          <w:p>
            <w:pPr/>
          </w:p>
        </w:tc>
        <w:tc>
          <w:tcPr>
            <w:tcW w:w="89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897" w:type="dxa"/>
            <w:vMerge/>
            <w:tcBorders>
              <w:left w:val="single" w:sz="4" w:space="0" w:color="000000"/>
              <w:right w:val="single" w:sz="4" w:space="0" w:color="000000"/>
            </w:tcBorders>
            <w:shd w:val="clear" w:color="auto" w:fill="D4D4D4"/>
          </w:tcPr>
          <w:p>
            <w:pPr/>
          </w:p>
        </w:tc>
        <w:tc>
          <w:tcPr>
            <w:tcW w:w="727" w:type="dxa"/>
            <w:vMerge/>
            <w:tcBorders>
              <w:left w:val="single" w:sz="4" w:space="0" w:color="000000"/>
              <w:right w:val="single" w:sz="4" w:space="0" w:color="000000"/>
            </w:tcBorders>
            <w:shd w:val="clear" w:color="auto" w:fill="D4D4D4"/>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shd w:val="clear" w:color="auto" w:fill="D4D4D4"/>
          </w:tcPr>
          <w:p>
            <w:pPr/>
          </w:p>
        </w:tc>
        <w:tc>
          <w:tcPr>
            <w:tcW w:w="727" w:type="dxa"/>
            <w:vMerge/>
            <w:tcBorders>
              <w:left w:val="single" w:sz="4" w:space="0" w:color="000000"/>
              <w:right w:val="single" w:sz="4" w:space="0" w:color="000000"/>
            </w:tcBorders>
            <w:shd w:val="clear" w:color="auto" w:fill="D4D4D4"/>
          </w:tcPr>
          <w:p>
            <w:pPr/>
          </w:p>
        </w:tc>
      </w:tr>
      <w:tr>
        <w:trPr>
          <w:trHeight w:val="161" w:hRule="exact"/>
        </w:trPr>
        <w:tc>
          <w:tcPr>
            <w:tcW w:w="1135"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12" w:type="dxa"/>
            <w:tcBorders>
              <w:top w:val="nil" w:sz="6" w:space="0" w:color="auto"/>
              <w:left w:val="single" w:sz="4" w:space="0" w:color="000000"/>
              <w:bottom w:val="single" w:sz="4" w:space="0" w:color="000000"/>
              <w:right w:val="single" w:sz="4" w:space="0" w:color="000000"/>
            </w:tcBorders>
            <w:shd w:val="clear" w:color="auto" w:fill="D4D4D4"/>
          </w:tcPr>
          <w:p>
            <w:pPr/>
          </w:p>
        </w:tc>
        <w:tc>
          <w:tcPr>
            <w:tcW w:w="898" w:type="dxa"/>
            <w:vMerge/>
            <w:tcBorders>
              <w:left w:val="single" w:sz="10" w:space="0" w:color="D4D4D4"/>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897" w:type="dxa"/>
            <w:vMerge/>
            <w:tcBorders>
              <w:left w:val="single" w:sz="4" w:space="0" w:color="000000"/>
              <w:bottom w:val="single" w:sz="4" w:space="0" w:color="000000"/>
              <w:right w:val="single" w:sz="4" w:space="0" w:color="000000"/>
            </w:tcBorders>
            <w:shd w:val="clear" w:color="auto" w:fill="D4D4D4"/>
          </w:tcPr>
          <w:p>
            <w:pPr/>
          </w:p>
        </w:tc>
        <w:tc>
          <w:tcPr>
            <w:tcW w:w="727" w:type="dxa"/>
            <w:vMerge/>
            <w:tcBorders>
              <w:left w:val="single" w:sz="4" w:space="0" w:color="000000"/>
              <w:bottom w:val="single" w:sz="4" w:space="0" w:color="000000"/>
              <w:right w:val="single" w:sz="4" w:space="0" w:color="000000"/>
            </w:tcBorders>
            <w:shd w:val="clear" w:color="auto" w:fill="D4D4D4"/>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shd w:val="clear" w:color="auto" w:fill="D4D4D4"/>
          </w:tcPr>
          <w:p>
            <w:pPr/>
          </w:p>
        </w:tc>
        <w:tc>
          <w:tcPr>
            <w:tcW w:w="727" w:type="dxa"/>
            <w:vMerge/>
            <w:tcBorders>
              <w:left w:val="single" w:sz="4" w:space="0" w:color="000000"/>
              <w:bottom w:val="single" w:sz="4" w:space="0" w:color="000000"/>
              <w:right w:val="single" w:sz="4" w:space="0" w:color="000000"/>
            </w:tcBorders>
            <w:shd w:val="clear" w:color="auto" w:fill="D4D4D4"/>
          </w:tcPr>
          <w:p>
            <w:pPr/>
          </w:p>
        </w:tc>
      </w:tr>
      <w:tr>
        <w:trPr>
          <w:trHeight w:val="1757" w:hRule="exact"/>
        </w:trPr>
        <w:tc>
          <w:tcPr>
            <w:tcW w:w="113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24" w:right="23"/>
              <w:jc w:val="center"/>
              <w:rPr>
                <w:rFonts w:ascii="宋体" w:hAnsi="宋体" w:cs="宋体" w:eastAsia="宋体" w:hint="default"/>
                <w:sz w:val="18"/>
                <w:szCs w:val="18"/>
              </w:rPr>
            </w:pPr>
            <w:r>
              <w:rPr>
                <w:rFonts w:ascii="宋体" w:hAnsi="宋体" w:cs="宋体" w:eastAsia="宋体" w:hint="default"/>
                <w:sz w:val="18"/>
                <w:szCs w:val="18"/>
              </w:rPr>
              <w:t>未达到计划 进度或预计 收益的情况 和原因（分具 体项目）</w:t>
            </w:r>
          </w:p>
        </w:tc>
        <w:tc>
          <w:tcPr>
            <w:tcW w:w="8434" w:type="dxa"/>
            <w:gridSpan w:val="11"/>
            <w:tcBorders>
              <w:top w:val="single" w:sz="4" w:space="0" w:color="000000"/>
              <w:left w:val="single" w:sz="13" w:space="0" w:color="D4D4D4"/>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1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442" w:hRule="exact"/>
        </w:trPr>
        <w:tc>
          <w:tcPr>
            <w:tcW w:w="113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112" w:right="110"/>
              <w:jc w:val="center"/>
              <w:rPr>
                <w:rFonts w:ascii="宋体" w:hAnsi="宋体" w:cs="宋体" w:eastAsia="宋体" w:hint="default"/>
                <w:sz w:val="18"/>
                <w:szCs w:val="18"/>
              </w:rPr>
            </w:pPr>
            <w:r>
              <w:rPr>
                <w:rFonts w:ascii="宋体" w:hAnsi="宋体" w:cs="宋体" w:eastAsia="宋体" w:hint="default"/>
                <w:sz w:val="18"/>
                <w:szCs w:val="18"/>
              </w:rPr>
              <w:t>项目可行性 发生重大变 化的情况说 明</w:t>
            </w:r>
          </w:p>
        </w:tc>
        <w:tc>
          <w:tcPr>
            <w:tcW w:w="8434" w:type="dxa"/>
            <w:gridSpan w:val="11"/>
            <w:tcBorders>
              <w:top w:val="single" w:sz="4" w:space="0" w:color="000000"/>
              <w:left w:val="single" w:sz="13" w:space="0" w:color="D4D4D4"/>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17" w:hRule="exact"/>
        </w:trPr>
        <w:tc>
          <w:tcPr>
            <w:tcW w:w="1135"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8434" w:type="dxa"/>
            <w:gridSpan w:val="11"/>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435" w:hRule="exact"/>
        </w:trPr>
        <w:tc>
          <w:tcPr>
            <w:tcW w:w="1135"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101"/>
              <w:ind w:left="24" w:right="23"/>
              <w:jc w:val="center"/>
              <w:rPr>
                <w:rFonts w:ascii="宋体" w:hAnsi="宋体" w:cs="宋体" w:eastAsia="宋体" w:hint="default"/>
                <w:sz w:val="18"/>
                <w:szCs w:val="18"/>
              </w:rPr>
            </w:pPr>
            <w:r>
              <w:rPr>
                <w:rFonts w:ascii="宋体" w:hAnsi="宋体" w:cs="宋体" w:eastAsia="宋体" w:hint="default"/>
                <w:sz w:val="18"/>
                <w:szCs w:val="18"/>
              </w:rPr>
              <w:t>超募资金的 金额、用途及 使用进展情 况</w:t>
            </w:r>
          </w:p>
        </w:tc>
        <w:tc>
          <w:tcPr>
            <w:tcW w:w="8434" w:type="dxa"/>
            <w:gridSpan w:val="11"/>
            <w:vMerge/>
            <w:tcBorders>
              <w:left w:val="single" w:sz="10" w:space="0" w:color="D4D4D4"/>
              <w:right w:val="single" w:sz="4" w:space="0" w:color="000000"/>
            </w:tcBorders>
          </w:tcPr>
          <w:p>
            <w:pPr/>
          </w:p>
        </w:tc>
      </w:tr>
      <w:tr>
        <w:trPr>
          <w:trHeight w:val="317" w:hRule="exact"/>
        </w:trPr>
        <w:tc>
          <w:tcPr>
            <w:tcW w:w="1135"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8434" w:type="dxa"/>
            <w:gridSpan w:val="11"/>
            <w:vMerge/>
            <w:tcBorders>
              <w:left w:val="single" w:sz="10" w:space="0" w:color="D4D4D4"/>
              <w:bottom w:val="nil" w:sz="6" w:space="0" w:color="auto"/>
              <w:right w:val="single" w:sz="4" w:space="0" w:color="000000"/>
            </w:tcBorders>
          </w:tcPr>
          <w:p>
            <w:pPr/>
          </w:p>
        </w:tc>
      </w:tr>
    </w:tbl>
    <w:p>
      <w:pPr>
        <w:spacing w:after="0"/>
        <w:sectPr>
          <w:footerReference w:type="default" r:id="rId28"/>
          <w:pgSz w:w="11910" w:h="16840"/>
          <w:pgMar w:footer="1134" w:header="882" w:top="1280" w:bottom="1320" w:left="980" w:right="0"/>
          <w:pgNumType w:start="41"/>
        </w:sectPr>
      </w:pPr>
    </w:p>
    <w:p>
      <w:pPr>
        <w:spacing w:line="240" w:lineRule="auto" w:before="8"/>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434"/>
      </w:tblGrid>
      <w:tr>
        <w:trPr>
          <w:trHeight w:val="2069" w:hRule="exact"/>
        </w:trPr>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11" w:right="110"/>
              <w:jc w:val="center"/>
              <w:rPr>
                <w:rFonts w:ascii="宋体" w:hAnsi="宋体" w:cs="宋体" w:eastAsia="宋体" w:hint="default"/>
                <w:sz w:val="18"/>
                <w:szCs w:val="18"/>
              </w:rPr>
            </w:pPr>
            <w:r>
              <w:rPr>
                <w:rFonts w:ascii="宋体" w:hAnsi="宋体" w:cs="宋体" w:eastAsia="宋体" w:hint="default"/>
                <w:sz w:val="18"/>
                <w:szCs w:val="18"/>
              </w:rPr>
              <w:t>募集资金投 资项目实施 地点变更情 况</w:t>
            </w:r>
          </w:p>
        </w:tc>
        <w:tc>
          <w:tcPr>
            <w:tcW w:w="8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2066" w:hRule="exact"/>
        </w:trPr>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11" w:right="110"/>
              <w:jc w:val="center"/>
              <w:rPr>
                <w:rFonts w:ascii="宋体" w:hAnsi="宋体" w:cs="宋体" w:eastAsia="宋体" w:hint="default"/>
                <w:sz w:val="18"/>
                <w:szCs w:val="18"/>
              </w:rPr>
            </w:pPr>
            <w:r>
              <w:rPr>
                <w:rFonts w:ascii="宋体" w:hAnsi="宋体" w:cs="宋体" w:eastAsia="宋体" w:hint="default"/>
                <w:sz w:val="18"/>
                <w:szCs w:val="18"/>
              </w:rPr>
              <w:t>募集资金投 资项目实施 方式调整情 况</w:t>
            </w:r>
          </w:p>
        </w:tc>
        <w:tc>
          <w:tcPr>
            <w:tcW w:w="8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2069" w:hRule="exact"/>
        </w:trPr>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11" w:right="110"/>
              <w:jc w:val="center"/>
              <w:rPr>
                <w:rFonts w:ascii="宋体" w:hAnsi="宋体" w:cs="宋体" w:eastAsia="宋体" w:hint="default"/>
                <w:sz w:val="18"/>
                <w:szCs w:val="18"/>
              </w:rPr>
            </w:pPr>
            <w:r>
              <w:rPr>
                <w:rFonts w:ascii="宋体" w:hAnsi="宋体" w:cs="宋体" w:eastAsia="宋体" w:hint="default"/>
                <w:sz w:val="18"/>
                <w:szCs w:val="18"/>
              </w:rPr>
              <w:t>募集资金投 资项目先期 投入及置换 情况</w:t>
            </w:r>
          </w:p>
        </w:tc>
        <w:tc>
          <w:tcPr>
            <w:tcW w:w="8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445" w:hRule="exact"/>
        </w:trPr>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111" w:right="110"/>
              <w:jc w:val="center"/>
              <w:rPr>
                <w:rFonts w:ascii="宋体" w:hAnsi="宋体" w:cs="宋体" w:eastAsia="宋体" w:hint="default"/>
                <w:sz w:val="18"/>
                <w:szCs w:val="18"/>
              </w:rPr>
            </w:pPr>
            <w:r>
              <w:rPr>
                <w:rFonts w:ascii="宋体" w:hAnsi="宋体" w:cs="宋体" w:eastAsia="宋体" w:hint="default"/>
                <w:sz w:val="18"/>
                <w:szCs w:val="18"/>
              </w:rPr>
              <w:t>用闲置募集 资金暂时补 充流动资金 情况</w:t>
            </w:r>
          </w:p>
        </w:tc>
        <w:tc>
          <w:tcPr>
            <w:tcW w:w="8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442" w:hRule="exact"/>
        </w:trPr>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111" w:right="110"/>
              <w:jc w:val="center"/>
              <w:rPr>
                <w:rFonts w:ascii="宋体" w:hAnsi="宋体" w:cs="宋体" w:eastAsia="宋体" w:hint="default"/>
                <w:sz w:val="18"/>
                <w:szCs w:val="18"/>
              </w:rPr>
            </w:pPr>
            <w:r>
              <w:rPr>
                <w:rFonts w:ascii="宋体" w:hAnsi="宋体" w:cs="宋体" w:eastAsia="宋体" w:hint="default"/>
                <w:sz w:val="18"/>
                <w:szCs w:val="18"/>
              </w:rPr>
              <w:t>项目实施出 现募集资金 结余的金额 及原因</w:t>
            </w:r>
          </w:p>
        </w:tc>
        <w:tc>
          <w:tcPr>
            <w:tcW w:w="8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133" w:hRule="exact"/>
        </w:trPr>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111" w:right="110"/>
              <w:jc w:val="both"/>
              <w:rPr>
                <w:rFonts w:ascii="宋体" w:hAnsi="宋体" w:cs="宋体" w:eastAsia="宋体" w:hint="default"/>
                <w:sz w:val="18"/>
                <w:szCs w:val="18"/>
              </w:rPr>
            </w:pPr>
            <w:r>
              <w:rPr>
                <w:rFonts w:ascii="宋体" w:hAnsi="宋体" w:cs="宋体" w:eastAsia="宋体" w:hint="default"/>
                <w:sz w:val="18"/>
                <w:szCs w:val="18"/>
              </w:rPr>
              <w:t>尚未使用的 募集资金用 途及去向</w:t>
            </w:r>
          </w:p>
        </w:tc>
        <w:tc>
          <w:tcPr>
            <w:tcW w:w="8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公司尚未使用的募集资金存放于募集资金专户中，共计：</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63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8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宋体" w:hAnsi="宋体" w:cs="宋体" w:eastAsia="宋体" w:hint="default"/>
                <w:spacing w:val="-94"/>
                <w:sz w:val="18"/>
                <w:szCs w:val="18"/>
              </w:rPr>
              <w:t>）</w:t>
            </w:r>
            <w:r>
              <w:rPr>
                <w:rFonts w:ascii="宋体" w:hAnsi="宋体" w:cs="宋体" w:eastAsia="宋体" w:hint="default"/>
                <w:sz w:val="18"/>
                <w:szCs w:val="18"/>
              </w:rPr>
              <w:t>。</w:t>
            </w:r>
          </w:p>
        </w:tc>
      </w:tr>
      <w:tr>
        <w:trPr>
          <w:trHeight w:val="1445" w:hRule="exact"/>
        </w:trPr>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111" w:right="110"/>
              <w:jc w:val="both"/>
              <w:rPr>
                <w:rFonts w:ascii="宋体" w:hAnsi="宋体" w:cs="宋体" w:eastAsia="宋体" w:hint="default"/>
                <w:sz w:val="18"/>
                <w:szCs w:val="18"/>
              </w:rPr>
            </w:pPr>
            <w:r>
              <w:rPr>
                <w:rFonts w:ascii="宋体" w:hAnsi="宋体" w:cs="宋体" w:eastAsia="宋体" w:hint="default"/>
                <w:sz w:val="18"/>
                <w:szCs w:val="18"/>
              </w:rPr>
              <w:t>募集资金使 用及披露中 存在的问题 或其他情况</w:t>
            </w:r>
          </w:p>
        </w:tc>
        <w:tc>
          <w:tcPr>
            <w:tcW w:w="8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相关问题详见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日公告的 《中信建投证券股份有限公司关于北京旋极信息技术股份有限公司</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年度募集资金存放与使</w:t>
            </w:r>
            <w:r>
              <w:rPr>
                <w:rFonts w:ascii="宋体" w:hAnsi="宋体" w:cs="宋体" w:eastAsia="宋体" w:hint="default"/>
                <w:spacing w:val="-3"/>
                <w:sz w:val="18"/>
                <w:szCs w:val="18"/>
              </w:rPr>
              <w:t>用</w:t>
            </w:r>
            <w:r>
              <w:rPr>
                <w:rFonts w:ascii="宋体" w:hAnsi="宋体" w:cs="宋体" w:eastAsia="宋体" w:hint="default"/>
                <w:sz w:val="18"/>
                <w:szCs w:val="18"/>
              </w:rPr>
              <w:t>情况的核查意见</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27"/>
        <w:jc w:val="left"/>
        <w:rPr>
          <w:b w:val="0"/>
          <w:bCs w:val="0"/>
        </w:rPr>
      </w:pPr>
      <w:bookmarkStart w:name="（3）募集资金变更项目情况" w:id="78"/>
      <w:bookmarkEnd w:id="78"/>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5"/>
        <w:rPr>
          <w:rFonts w:ascii="宋体" w:hAnsi="宋体" w:cs="宋体" w:eastAsia="宋体" w:hint="default"/>
          <w:b/>
          <w:bCs/>
          <w:sz w:val="30"/>
          <w:szCs w:val="30"/>
        </w:rPr>
      </w:pPr>
    </w:p>
    <w:p>
      <w:pPr>
        <w:pStyle w:val="BodyText"/>
        <w:spacing w:line="470" w:lineRule="auto"/>
        <w:ind w:right="5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公司报告期不存在募集资金变更项目情况。</w:t>
      </w:r>
    </w:p>
    <w:p>
      <w:pPr>
        <w:spacing w:after="0" w:line="470" w:lineRule="auto"/>
        <w:jc w:val="left"/>
        <w:sectPr>
          <w:pgSz w:w="11910" w:h="16840"/>
          <w:pgMar w:header="882" w:footer="1134" w:top="1280" w:bottom="1320" w:left="980" w:right="0"/>
        </w:sectPr>
      </w:pPr>
    </w:p>
    <w:p>
      <w:pPr>
        <w:pStyle w:val="Heading2"/>
        <w:spacing w:line="240" w:lineRule="auto" w:before="108"/>
        <w:ind w:right="1127"/>
        <w:jc w:val="left"/>
        <w:rPr>
          <w:b w:val="0"/>
          <w:bCs w:val="0"/>
        </w:rPr>
      </w:pPr>
      <w:bookmarkStart w:name="六、重大资产和股权出售" w:id="79"/>
      <w:bookmarkEnd w:id="79"/>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7"/>
        <w:jc w:val="left"/>
        <w:rPr>
          <w:b w:val="0"/>
          <w:bCs w:val="0"/>
        </w:rPr>
      </w:pPr>
      <w:bookmarkStart w:name="1、出售重大资产情况" w:id="80"/>
      <w:bookmarkEnd w:id="80"/>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5"/>
        <w:rPr>
          <w:rFonts w:ascii="宋体" w:hAnsi="宋体" w:cs="宋体" w:eastAsia="宋体" w:hint="default"/>
          <w:b/>
          <w:bCs/>
          <w:sz w:val="30"/>
          <w:szCs w:val="30"/>
        </w:rPr>
      </w:pPr>
    </w:p>
    <w:p>
      <w:pPr>
        <w:pStyle w:val="BodyText"/>
        <w:spacing w:line="470" w:lineRule="auto"/>
        <w:ind w:right="72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公司报告期未出售重大资产。</w:t>
      </w:r>
    </w:p>
    <w:p>
      <w:pPr>
        <w:spacing w:after="0" w:line="470" w:lineRule="auto"/>
        <w:jc w:val="left"/>
        <w:sectPr>
          <w:pgSz w:w="11910" w:h="16840"/>
          <w:pgMar w:header="882" w:footer="1134" w:top="1280" w:bottom="1320" w:left="980" w:right="0"/>
        </w:sectPr>
      </w:pPr>
    </w:p>
    <w:p>
      <w:pPr>
        <w:spacing w:line="240" w:lineRule="auto" w:before="5"/>
        <w:rPr>
          <w:rFonts w:ascii="宋体" w:hAnsi="宋体" w:cs="宋体" w:eastAsia="宋体" w:hint="default"/>
          <w:sz w:val="13"/>
          <w:szCs w:val="1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4"/>
        <w:spacing w:line="240" w:lineRule="auto" w:before="36"/>
        <w:ind w:left="139" w:right="0"/>
        <w:jc w:val="left"/>
        <w:rPr>
          <w:b w:val="0"/>
          <w:bCs w:val="0"/>
        </w:rPr>
      </w:pPr>
      <w:bookmarkStart w:name="2、出售重大股权情况" w:id="81"/>
      <w:bookmarkEnd w:id="81"/>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59" w:right="0"/>
        <w:jc w:val="left"/>
      </w:pPr>
      <w:r>
        <w:rPr/>
        <w:pict>
          <v:shape style="position:absolute;margin-left:288.1203pt;margin-top:105.140778pt;width:82.8pt;height:39pt;mso-position-horizontal-relative:page;mso-position-vertical-relative:paragraph;z-index:-1427128" type="#_x0000_t202" filled="false" stroked="false">
            <v:textbox inset="0,0,0,0">
              <w:txbxContent>
                <w:p>
                  <w:pPr>
                    <w:spacing w:before="70"/>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1003"/>
        <w:gridCol w:w="1001"/>
        <w:gridCol w:w="1003"/>
        <w:gridCol w:w="1003"/>
        <w:gridCol w:w="1001"/>
        <w:gridCol w:w="1001"/>
        <w:gridCol w:w="1001"/>
        <w:gridCol w:w="1006"/>
        <w:gridCol w:w="1003"/>
        <w:gridCol w:w="1003"/>
        <w:gridCol w:w="1003"/>
        <w:gridCol w:w="1003"/>
        <w:gridCol w:w="1003"/>
        <w:gridCol w:w="982"/>
      </w:tblGrid>
      <w:tr>
        <w:trPr>
          <w:trHeight w:val="2378" w:hRule="exact"/>
        </w:trPr>
        <w:tc>
          <w:tcPr>
            <w:tcW w:w="10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交易对方</w:t>
            </w:r>
          </w:p>
        </w:tc>
        <w:tc>
          <w:tcPr>
            <w:tcW w:w="10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被出售股权</w:t>
            </w:r>
          </w:p>
        </w:tc>
        <w:tc>
          <w:tcPr>
            <w:tcW w:w="10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10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4"/>
              <w:ind w:left="13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1" w:right="47" w:firstLine="21"/>
              <w:jc w:val="both"/>
              <w:rPr>
                <w:rFonts w:ascii="宋体" w:hAnsi="宋体" w:cs="宋体" w:eastAsia="宋体" w:hint="default"/>
                <w:sz w:val="18"/>
                <w:szCs w:val="18"/>
              </w:rPr>
            </w:pPr>
            <w:r>
              <w:rPr>
                <w:rFonts w:ascii="宋体" w:hAnsi="宋体" w:cs="宋体" w:eastAsia="宋体" w:hint="default"/>
                <w:sz w:val="18"/>
                <w:szCs w:val="18"/>
              </w:rPr>
              <w:t>本期初起至 出售日该股 权为上市公 司贡献的净 利润</w:t>
            </w:r>
          </w:p>
        </w:tc>
        <w:tc>
          <w:tcPr>
            <w:tcW w:w="10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4"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出售对公司 的影响</w:t>
            </w:r>
          </w:p>
        </w:tc>
        <w:tc>
          <w:tcPr>
            <w:tcW w:w="10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45" w:right="43"/>
              <w:jc w:val="both"/>
              <w:rPr>
                <w:rFonts w:ascii="宋体" w:hAnsi="宋体" w:cs="宋体" w:eastAsia="宋体" w:hint="default"/>
                <w:sz w:val="18"/>
                <w:szCs w:val="18"/>
              </w:rPr>
            </w:pPr>
            <w:r>
              <w:rPr>
                <w:rFonts w:ascii="宋体" w:hAnsi="宋体" w:cs="宋体" w:eastAsia="宋体" w:hint="default"/>
                <w:sz w:val="18"/>
                <w:szCs w:val="18"/>
              </w:rPr>
              <w:t>股权出售为 上市公司贡 献的净利润 占净利润总 额的比例</w:t>
            </w:r>
          </w:p>
        </w:tc>
        <w:tc>
          <w:tcPr>
            <w:tcW w:w="1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4" w:lineRule="auto"/>
              <w:ind w:left="227" w:right="47" w:hanging="180"/>
              <w:jc w:val="left"/>
              <w:rPr>
                <w:rFonts w:ascii="宋体" w:hAnsi="宋体" w:cs="宋体" w:eastAsia="宋体" w:hint="default"/>
                <w:sz w:val="18"/>
                <w:szCs w:val="18"/>
              </w:rPr>
            </w:pPr>
            <w:r>
              <w:rPr>
                <w:rFonts w:ascii="宋体" w:hAnsi="宋体" w:cs="宋体" w:eastAsia="宋体" w:hint="default"/>
                <w:sz w:val="18"/>
                <w:szCs w:val="18"/>
              </w:rPr>
              <w:t>股权出售定 价原则</w:t>
            </w:r>
          </w:p>
        </w:tc>
        <w:tc>
          <w:tcPr>
            <w:tcW w:w="10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4" w:lineRule="auto"/>
              <w:ind w:left="316" w:right="43" w:hanging="269"/>
              <w:jc w:val="left"/>
              <w:rPr>
                <w:rFonts w:ascii="宋体" w:hAnsi="宋体" w:cs="宋体" w:eastAsia="宋体" w:hint="default"/>
                <w:sz w:val="18"/>
                <w:szCs w:val="18"/>
              </w:rPr>
            </w:pPr>
            <w:r>
              <w:rPr>
                <w:rFonts w:ascii="宋体" w:hAnsi="宋体" w:cs="宋体" w:eastAsia="宋体" w:hint="default"/>
                <w:sz w:val="18"/>
                <w:szCs w:val="18"/>
              </w:rPr>
              <w:t>是否为关联 交易</w:t>
            </w:r>
          </w:p>
        </w:tc>
        <w:tc>
          <w:tcPr>
            <w:tcW w:w="10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4" w:lineRule="auto"/>
              <w:ind w:left="47" w:right="43"/>
              <w:jc w:val="left"/>
              <w:rPr>
                <w:rFonts w:ascii="宋体" w:hAnsi="宋体" w:cs="宋体" w:eastAsia="宋体" w:hint="default"/>
                <w:sz w:val="18"/>
                <w:szCs w:val="18"/>
              </w:rPr>
            </w:pPr>
            <w:r>
              <w:rPr>
                <w:rFonts w:ascii="宋体" w:hAnsi="宋体" w:cs="宋体" w:eastAsia="宋体" w:hint="default"/>
                <w:sz w:val="18"/>
                <w:szCs w:val="18"/>
              </w:rPr>
              <w:t>与交易对方 的关联关系</w:t>
            </w:r>
          </w:p>
        </w:tc>
        <w:tc>
          <w:tcPr>
            <w:tcW w:w="10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48" w:right="43"/>
              <w:jc w:val="center"/>
              <w:rPr>
                <w:rFonts w:ascii="宋体" w:hAnsi="宋体" w:cs="宋体" w:eastAsia="宋体" w:hint="default"/>
                <w:sz w:val="18"/>
                <w:szCs w:val="18"/>
              </w:rPr>
            </w:pPr>
            <w:r>
              <w:rPr>
                <w:rFonts w:ascii="宋体" w:hAnsi="宋体" w:cs="宋体" w:eastAsia="宋体" w:hint="default"/>
                <w:sz w:val="18"/>
                <w:szCs w:val="18"/>
              </w:rPr>
              <w:t>所涉及的股 权是否已全 部过户</w:t>
            </w:r>
          </w:p>
        </w:tc>
        <w:tc>
          <w:tcPr>
            <w:tcW w:w="10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47" w:right="43"/>
              <w:jc w:val="center"/>
              <w:rPr>
                <w:rFonts w:ascii="宋体" w:hAnsi="宋体" w:cs="宋体" w:eastAsia="宋体" w:hint="default"/>
                <w:sz w:val="18"/>
                <w:szCs w:val="18"/>
              </w:rPr>
            </w:pPr>
            <w:r>
              <w:rPr>
                <w:rFonts w:ascii="宋体" w:hAnsi="宋体" w:cs="宋体" w:eastAsia="宋体" w:hint="default"/>
                <w:sz w:val="18"/>
                <w:szCs w:val="18"/>
              </w:rPr>
              <w:t>是否按计划 如期实施， 如未按计划 实施，应当 说明原因及 公司已采取 的措施</w:t>
            </w:r>
          </w:p>
        </w:tc>
        <w:tc>
          <w:tcPr>
            <w:tcW w:w="10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693"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张勇</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43" w:right="47"/>
              <w:jc w:val="both"/>
              <w:rPr>
                <w:rFonts w:ascii="宋体" w:hAnsi="宋体" w:cs="宋体" w:eastAsia="宋体" w:hint="default"/>
                <w:sz w:val="18"/>
                <w:szCs w:val="18"/>
              </w:rPr>
            </w:pPr>
            <w:r>
              <w:rPr>
                <w:rFonts w:ascii="宋体" w:hAnsi="宋体" w:cs="宋体" w:eastAsia="宋体" w:hint="default"/>
                <w:sz w:val="18"/>
                <w:szCs w:val="18"/>
              </w:rPr>
              <w:t>郑州众合景 轩信息技术 有限公司</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-288,860.04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45" w:right="43"/>
              <w:jc w:val="both"/>
              <w:rPr>
                <w:rFonts w:ascii="宋体" w:hAnsi="宋体" w:cs="宋体" w:eastAsia="宋体" w:hint="default"/>
                <w:sz w:val="18"/>
                <w:szCs w:val="18"/>
              </w:rPr>
            </w:pPr>
            <w:r>
              <w:rPr>
                <w:rFonts w:ascii="宋体" w:hAnsi="宋体" w:cs="宋体" w:eastAsia="宋体" w:hint="default"/>
                <w:sz w:val="18"/>
                <w:szCs w:val="18"/>
              </w:rPr>
              <w:t>出售事项对 公司业务连 续性、管理 层稳定性、 报告期财务 状况和经验 成果不构成 重大影响</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3.58%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09" w:lineRule="auto"/>
              <w:ind w:left="47" w:right="47"/>
              <w:jc w:val="both"/>
              <w:rPr>
                <w:rFonts w:ascii="宋体" w:hAnsi="宋体" w:cs="宋体" w:eastAsia="宋体" w:hint="default"/>
                <w:sz w:val="18"/>
                <w:szCs w:val="18"/>
              </w:rPr>
            </w:pPr>
            <w:r>
              <w:rPr>
                <w:rFonts w:ascii="宋体" w:hAnsi="宋体" w:cs="宋体" w:eastAsia="宋体" w:hint="default"/>
                <w:sz w:val="18"/>
                <w:szCs w:val="18"/>
              </w:rPr>
              <w:t>按注册资本 金加上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的溢价确定</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403"/>
              <w:jc w:val="right"/>
              <w:rPr>
                <w:rFonts w:ascii="宋体" w:hAnsi="宋体" w:cs="宋体" w:eastAsia="宋体" w:hint="default"/>
                <w:sz w:val="18"/>
                <w:szCs w:val="18"/>
              </w:rPr>
            </w:pPr>
            <w:r>
              <w:rPr>
                <w:rFonts w:ascii="宋体" w:hAnsi="宋体" w:cs="宋体" w:eastAsia="宋体" w:hint="default"/>
                <w:sz w:val="18"/>
                <w:szCs w:val="18"/>
              </w:rPr>
              <w:t>是</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975"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2"/>
              <w:ind w:left="45" w:right="47"/>
              <w:jc w:val="center"/>
              <w:rPr>
                <w:rFonts w:ascii="宋体" w:hAnsi="宋体" w:cs="宋体" w:eastAsia="宋体" w:hint="default"/>
                <w:sz w:val="18"/>
                <w:szCs w:val="18"/>
              </w:rPr>
            </w:pPr>
            <w:r>
              <w:rPr>
                <w:rFonts w:ascii="宋体" w:hAnsi="宋体" w:cs="宋体" w:eastAsia="宋体" w:hint="default"/>
                <w:sz w:val="18"/>
                <w:szCs w:val="18"/>
              </w:rPr>
              <w:t>杭州小旋科 技合伙企业</w:t>
            </w:r>
          </w:p>
          <w:p>
            <w:pPr>
              <w:pStyle w:val="TableParagraph"/>
              <w:spacing w:line="316" w:lineRule="auto" w:before="20"/>
              <w:ind w:left="136" w:right="134"/>
              <w:jc w:val="center"/>
              <w:rPr>
                <w:rFonts w:ascii="宋体" w:hAnsi="宋体" w:cs="宋体" w:eastAsia="宋体" w:hint="default"/>
                <w:sz w:val="18"/>
                <w:szCs w:val="18"/>
              </w:rPr>
            </w:pPr>
            <w:r>
              <w:rPr>
                <w:rFonts w:ascii="宋体" w:hAnsi="宋体" w:cs="宋体" w:eastAsia="宋体" w:hint="default"/>
                <w:sz w:val="18"/>
                <w:szCs w:val="18"/>
              </w:rPr>
              <w:t>（有限合 伙）</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314" w:lineRule="auto"/>
              <w:ind w:left="43" w:right="47"/>
              <w:jc w:val="left"/>
              <w:rPr>
                <w:rFonts w:ascii="宋体" w:hAnsi="宋体" w:cs="宋体" w:eastAsia="宋体" w:hint="default"/>
                <w:sz w:val="18"/>
                <w:szCs w:val="18"/>
              </w:rPr>
            </w:pPr>
            <w:r>
              <w:rPr>
                <w:rFonts w:ascii="宋体" w:hAnsi="宋体" w:cs="宋体" w:eastAsia="宋体" w:hint="default"/>
                <w:sz w:val="18"/>
                <w:szCs w:val="18"/>
              </w:rPr>
              <w:t>浙江小望科 技有限公司</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-282,702.04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45" w:right="43"/>
              <w:jc w:val="both"/>
              <w:rPr>
                <w:rFonts w:ascii="宋体" w:hAnsi="宋体" w:cs="宋体" w:eastAsia="宋体" w:hint="default"/>
                <w:sz w:val="18"/>
                <w:szCs w:val="18"/>
              </w:rPr>
            </w:pPr>
            <w:r>
              <w:rPr>
                <w:rFonts w:ascii="宋体" w:hAnsi="宋体" w:cs="宋体" w:eastAsia="宋体" w:hint="default"/>
                <w:sz w:val="18"/>
                <w:szCs w:val="18"/>
              </w:rPr>
              <w:t>出售事项对 公司业务连 续性、管理 层稳定性、 报告期财务 状况和经验</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0.17%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7" w:right="0"/>
              <w:jc w:val="left"/>
              <w:rPr>
                <w:rFonts w:ascii="宋体" w:hAnsi="宋体" w:cs="宋体" w:eastAsia="宋体" w:hint="default"/>
                <w:sz w:val="18"/>
                <w:szCs w:val="18"/>
              </w:rPr>
            </w:pPr>
            <w:r>
              <w:rPr>
                <w:rFonts w:ascii="宋体" w:hAnsi="宋体" w:cs="宋体" w:eastAsia="宋体" w:hint="default"/>
                <w:sz w:val="18"/>
                <w:szCs w:val="18"/>
              </w:rPr>
              <w:t>实际未出资</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03"/>
              <w:jc w:val="right"/>
              <w:rPr>
                <w:rFonts w:ascii="宋体" w:hAnsi="宋体" w:cs="宋体" w:eastAsia="宋体" w:hint="default"/>
                <w:sz w:val="18"/>
                <w:szCs w:val="18"/>
              </w:rPr>
            </w:pPr>
            <w:r>
              <w:rPr>
                <w:rFonts w:ascii="宋体" w:hAnsi="宋体" w:cs="宋体" w:eastAsia="宋体" w:hint="default"/>
                <w:sz w:val="18"/>
                <w:szCs w:val="18"/>
              </w:rPr>
              <w:t>是</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center"/>
        <w:rPr>
          <w:rFonts w:ascii="宋体" w:hAnsi="宋体" w:cs="宋体" w:eastAsia="宋体" w:hint="default"/>
          <w:sz w:val="18"/>
          <w:szCs w:val="18"/>
        </w:rPr>
        <w:sectPr>
          <w:headerReference w:type="default" r:id="rId29"/>
          <w:footerReference w:type="default" r:id="rId30"/>
          <w:pgSz w:w="16840" w:h="11910" w:orient="landscape"/>
          <w:pgMar w:header="882" w:footer="1134" w:top="1100" w:bottom="1320" w:left="1300" w:right="1300"/>
          <w:pgNumType w:start="44"/>
        </w:sectPr>
      </w:pPr>
    </w:p>
    <w:p>
      <w:pPr>
        <w:spacing w:line="240" w:lineRule="auto" w:before="9"/>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003"/>
        <w:gridCol w:w="1001"/>
        <w:gridCol w:w="1003"/>
        <w:gridCol w:w="1003"/>
        <w:gridCol w:w="1001"/>
        <w:gridCol w:w="1001"/>
        <w:gridCol w:w="1001"/>
        <w:gridCol w:w="1006"/>
        <w:gridCol w:w="1003"/>
        <w:gridCol w:w="1003"/>
        <w:gridCol w:w="1003"/>
        <w:gridCol w:w="1003"/>
        <w:gridCol w:w="1003"/>
        <w:gridCol w:w="982"/>
      </w:tblGrid>
      <w:tr>
        <w:trPr>
          <w:trHeight w:val="739" w:hRule="exact"/>
        </w:trPr>
        <w:tc>
          <w:tcPr>
            <w:tcW w:w="1003" w:type="dxa"/>
            <w:tcBorders>
              <w:top w:val="single" w:sz="10" w:space="0" w:color="000000"/>
              <w:left w:val="single" w:sz="4" w:space="0" w:color="000000"/>
              <w:bottom w:val="single" w:sz="4" w:space="0" w:color="000000"/>
              <w:right w:val="single" w:sz="4" w:space="0" w:color="000000"/>
            </w:tcBorders>
          </w:tcPr>
          <w:p>
            <w:pPr/>
          </w:p>
        </w:tc>
        <w:tc>
          <w:tcPr>
            <w:tcW w:w="1001" w:type="dxa"/>
            <w:tcBorders>
              <w:top w:val="single" w:sz="10" w:space="0" w:color="000000"/>
              <w:left w:val="single" w:sz="4" w:space="0" w:color="000000"/>
              <w:bottom w:val="single" w:sz="4" w:space="0" w:color="000000"/>
              <w:right w:val="single" w:sz="4" w:space="0" w:color="000000"/>
            </w:tcBorders>
          </w:tcPr>
          <w:p>
            <w:pPr/>
          </w:p>
        </w:tc>
        <w:tc>
          <w:tcPr>
            <w:tcW w:w="1003" w:type="dxa"/>
            <w:tcBorders>
              <w:top w:val="single" w:sz="10" w:space="0" w:color="000000"/>
              <w:left w:val="single" w:sz="4" w:space="0" w:color="000000"/>
              <w:bottom w:val="single" w:sz="4" w:space="0" w:color="000000"/>
              <w:right w:val="single" w:sz="4" w:space="0" w:color="000000"/>
            </w:tcBorders>
          </w:tcPr>
          <w:p>
            <w:pPr/>
          </w:p>
        </w:tc>
        <w:tc>
          <w:tcPr>
            <w:tcW w:w="1003" w:type="dxa"/>
            <w:tcBorders>
              <w:top w:val="single" w:sz="10" w:space="0" w:color="000000"/>
              <w:left w:val="single" w:sz="4" w:space="0" w:color="000000"/>
              <w:bottom w:val="single" w:sz="4" w:space="0" w:color="000000"/>
              <w:right w:val="single" w:sz="4" w:space="0" w:color="000000"/>
            </w:tcBorders>
          </w:tcPr>
          <w:p>
            <w:pPr/>
          </w:p>
        </w:tc>
        <w:tc>
          <w:tcPr>
            <w:tcW w:w="1001" w:type="dxa"/>
            <w:tcBorders>
              <w:top w:val="single" w:sz="10" w:space="0" w:color="000000"/>
              <w:left w:val="single" w:sz="4" w:space="0" w:color="000000"/>
              <w:bottom w:val="single" w:sz="4" w:space="0" w:color="000000"/>
              <w:right w:val="single" w:sz="4" w:space="0" w:color="000000"/>
            </w:tcBorders>
          </w:tcPr>
          <w:p>
            <w:pPr/>
          </w:p>
        </w:tc>
        <w:tc>
          <w:tcPr>
            <w:tcW w:w="1001"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15"/>
              <w:ind w:left="136" w:right="43" w:hanging="92"/>
              <w:jc w:val="left"/>
              <w:rPr>
                <w:rFonts w:ascii="宋体" w:hAnsi="宋体" w:cs="宋体" w:eastAsia="宋体" w:hint="default"/>
                <w:sz w:val="18"/>
                <w:szCs w:val="18"/>
              </w:rPr>
            </w:pPr>
            <w:r>
              <w:rPr>
                <w:rFonts w:ascii="宋体" w:hAnsi="宋体" w:cs="宋体" w:eastAsia="宋体" w:hint="default"/>
                <w:sz w:val="18"/>
                <w:szCs w:val="18"/>
              </w:rPr>
              <w:t>成果不构成 重大影响</w:t>
            </w:r>
          </w:p>
        </w:tc>
        <w:tc>
          <w:tcPr>
            <w:tcW w:w="1001" w:type="dxa"/>
            <w:tcBorders>
              <w:top w:val="single" w:sz="10" w:space="0" w:color="000000"/>
              <w:left w:val="single" w:sz="4" w:space="0" w:color="000000"/>
              <w:bottom w:val="single" w:sz="4" w:space="0" w:color="000000"/>
              <w:right w:val="single" w:sz="4" w:space="0" w:color="000000"/>
            </w:tcBorders>
          </w:tcPr>
          <w:p>
            <w:pPr/>
          </w:p>
        </w:tc>
        <w:tc>
          <w:tcPr>
            <w:tcW w:w="1006" w:type="dxa"/>
            <w:tcBorders>
              <w:top w:val="single" w:sz="10" w:space="0" w:color="000000"/>
              <w:left w:val="single" w:sz="4" w:space="0" w:color="000000"/>
              <w:bottom w:val="single" w:sz="4" w:space="0" w:color="000000"/>
              <w:right w:val="single" w:sz="4" w:space="0" w:color="000000"/>
            </w:tcBorders>
          </w:tcPr>
          <w:p>
            <w:pPr/>
          </w:p>
        </w:tc>
        <w:tc>
          <w:tcPr>
            <w:tcW w:w="1003" w:type="dxa"/>
            <w:tcBorders>
              <w:top w:val="single" w:sz="10" w:space="0" w:color="000000"/>
              <w:left w:val="single" w:sz="4" w:space="0" w:color="000000"/>
              <w:bottom w:val="single" w:sz="4" w:space="0" w:color="000000"/>
              <w:right w:val="single" w:sz="4" w:space="0" w:color="000000"/>
            </w:tcBorders>
          </w:tcPr>
          <w:p>
            <w:pPr/>
          </w:p>
        </w:tc>
        <w:tc>
          <w:tcPr>
            <w:tcW w:w="1003" w:type="dxa"/>
            <w:tcBorders>
              <w:top w:val="single" w:sz="10" w:space="0" w:color="000000"/>
              <w:left w:val="single" w:sz="4" w:space="0" w:color="000000"/>
              <w:bottom w:val="single" w:sz="4" w:space="0" w:color="000000"/>
              <w:right w:val="single" w:sz="4" w:space="0" w:color="000000"/>
            </w:tcBorders>
          </w:tcPr>
          <w:p>
            <w:pPr/>
          </w:p>
        </w:tc>
        <w:tc>
          <w:tcPr>
            <w:tcW w:w="1003" w:type="dxa"/>
            <w:tcBorders>
              <w:top w:val="single" w:sz="10" w:space="0" w:color="000000"/>
              <w:left w:val="single" w:sz="4" w:space="0" w:color="000000"/>
              <w:bottom w:val="single" w:sz="4" w:space="0" w:color="000000"/>
              <w:right w:val="single" w:sz="4" w:space="0" w:color="000000"/>
            </w:tcBorders>
          </w:tcPr>
          <w:p>
            <w:pPr/>
          </w:p>
        </w:tc>
        <w:tc>
          <w:tcPr>
            <w:tcW w:w="1003" w:type="dxa"/>
            <w:tcBorders>
              <w:top w:val="single" w:sz="10" w:space="0" w:color="000000"/>
              <w:left w:val="single" w:sz="4" w:space="0" w:color="000000"/>
              <w:bottom w:val="single" w:sz="4" w:space="0" w:color="000000"/>
              <w:right w:val="single" w:sz="4" w:space="0" w:color="000000"/>
            </w:tcBorders>
          </w:tcPr>
          <w:p>
            <w:pPr/>
          </w:p>
        </w:tc>
        <w:tc>
          <w:tcPr>
            <w:tcW w:w="1003" w:type="dxa"/>
            <w:tcBorders>
              <w:top w:val="single" w:sz="10" w:space="0" w:color="000000"/>
              <w:left w:val="single" w:sz="4" w:space="0" w:color="000000"/>
              <w:bottom w:val="single" w:sz="4" w:space="0" w:color="000000"/>
              <w:right w:val="single" w:sz="4" w:space="0" w:color="000000"/>
            </w:tcBorders>
          </w:tcPr>
          <w:p>
            <w:pPr/>
          </w:p>
        </w:tc>
        <w:tc>
          <w:tcPr>
            <w:tcW w:w="982" w:type="dxa"/>
            <w:tcBorders>
              <w:top w:val="single" w:sz="10"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34" w:top="1100" w:bottom="1320" w:left="1300" w:right="1300"/>
        </w:sectPr>
      </w:pPr>
    </w:p>
    <w:p>
      <w:pPr>
        <w:pStyle w:val="Heading2"/>
        <w:spacing w:line="240" w:lineRule="auto" w:before="108"/>
        <w:ind w:right="1127"/>
        <w:jc w:val="left"/>
        <w:rPr>
          <w:b w:val="0"/>
          <w:bCs w:val="0"/>
        </w:rPr>
      </w:pPr>
      <w:bookmarkStart w:name="七、主要控股参股公司分析" w:id="82"/>
      <w:bookmarkEnd w:id="82"/>
      <w:r>
        <w:rPr>
          <w:b w:val="0"/>
          <w:bCs w:val="0"/>
        </w:rPr>
      </w:r>
      <w:r>
        <w:rPr/>
        <w:t>七、主要控股参股公司分析</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BodyText"/>
        <w:spacing w:line="240" w:lineRule="auto"/>
        <w:ind w:right="1127"/>
        <w:jc w:val="left"/>
      </w:pPr>
      <w:r>
        <w:rPr>
          <w:spacing w:val="-2"/>
        </w:rPr>
        <w:t>主要子公司及对公司净利润影响达</w:t>
      </w:r>
      <w:r>
        <w:rPr>
          <w:spacing w:val="-5"/>
        </w:rPr>
        <w:t> </w:t>
      </w:r>
      <w:r>
        <w:rPr>
          <w:rFonts w:ascii="Times New Roman" w:hAnsi="Times New Roman" w:cs="Times New Roman" w:eastAsia="Times New Roman" w:hint="default"/>
          <w:spacing w:val="-2"/>
        </w:rPr>
        <w:t>10%</w:t>
      </w:r>
      <w:r>
        <w:rPr>
          <w:spacing w:val="-2"/>
        </w:rPr>
        <w:t>以上的参股公司情况</w:t>
      </w:r>
      <w:r>
        <w:rPr/>
      </w:r>
    </w:p>
    <w:p>
      <w:pPr>
        <w:spacing w:line="240" w:lineRule="auto" w:before="6"/>
        <w:rPr>
          <w:rFonts w:ascii="宋体" w:hAnsi="宋体" w:cs="宋体" w:eastAsia="宋体" w:hint="default"/>
          <w:sz w:val="18"/>
          <w:szCs w:val="18"/>
        </w:rPr>
      </w:pPr>
    </w:p>
    <w:p>
      <w:pPr>
        <w:pStyle w:val="BodyText"/>
        <w:spacing w:line="240" w:lineRule="auto" w:before="36"/>
        <w:ind w:left="0" w:right="1130"/>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506" w:hRule="exact"/>
        </w:trPr>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5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13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71" w:right="71"/>
              <w:jc w:val="center"/>
              <w:rPr>
                <w:rFonts w:ascii="宋体" w:hAnsi="宋体" w:cs="宋体" w:eastAsia="宋体" w:hint="default"/>
                <w:sz w:val="18"/>
                <w:szCs w:val="18"/>
              </w:rPr>
            </w:pPr>
            <w:r>
              <w:rPr>
                <w:rFonts w:ascii="宋体" w:hAnsi="宋体" w:cs="宋体" w:eastAsia="宋体" w:hint="default"/>
                <w:sz w:val="18"/>
                <w:szCs w:val="18"/>
              </w:rPr>
              <w:t>北京泰豪智 能工程有限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智慧城市</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105,887,336.</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3,119,655,98</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2.65</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1,148,258,04</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0.19</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2,172,958,94</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2.79</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208,065,737.</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175,960,047.</w:t>
            </w:r>
            <w:r>
              <w:rPr>
                <w:rFonts w:ascii="Times New Roman"/>
                <w:sz w:val="18"/>
              </w:rPr>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10</w:t>
            </w:r>
          </w:p>
        </w:tc>
      </w:tr>
      <w:tr>
        <w:trPr>
          <w:trHeight w:val="144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71" w:right="71"/>
              <w:jc w:val="center"/>
              <w:rPr>
                <w:rFonts w:ascii="宋体" w:hAnsi="宋体" w:cs="宋体" w:eastAsia="宋体" w:hint="default"/>
                <w:sz w:val="18"/>
                <w:szCs w:val="18"/>
              </w:rPr>
            </w:pPr>
            <w:r>
              <w:rPr>
                <w:rFonts w:ascii="宋体" w:hAnsi="宋体" w:cs="宋体" w:eastAsia="宋体" w:hint="default"/>
                <w:sz w:val="18"/>
                <w:szCs w:val="18"/>
              </w:rPr>
              <w:t>西安西谷微 电子有限责 任公司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67" w:right="65"/>
              <w:jc w:val="center"/>
              <w:rPr>
                <w:rFonts w:ascii="宋体" w:hAnsi="宋体" w:cs="宋体" w:eastAsia="宋体" w:hint="default"/>
                <w:sz w:val="18"/>
                <w:szCs w:val="18"/>
              </w:rPr>
            </w:pPr>
            <w:r>
              <w:rPr>
                <w:rFonts w:ascii="宋体" w:hAnsi="宋体" w:cs="宋体" w:eastAsia="宋体" w:hint="default"/>
                <w:sz w:val="18"/>
                <w:szCs w:val="18"/>
              </w:rPr>
              <w:t>电子元器件 测试、筛选 及可靠性保 证服务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418,724,664.</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385,590,027.</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166,992,342.</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56,594,660.3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49,507,268.8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r>
      <w:tr>
        <w:trPr>
          <w:trHeight w:val="113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71" w:right="71"/>
              <w:jc w:val="center"/>
              <w:rPr>
                <w:rFonts w:ascii="宋体" w:hAnsi="宋体" w:cs="宋体" w:eastAsia="宋体" w:hint="default"/>
                <w:sz w:val="18"/>
                <w:szCs w:val="18"/>
              </w:rPr>
            </w:pPr>
            <w:r>
              <w:rPr>
                <w:rFonts w:ascii="宋体" w:hAnsi="宋体" w:cs="宋体" w:eastAsia="宋体" w:hint="default"/>
                <w:sz w:val="18"/>
                <w:szCs w:val="18"/>
              </w:rPr>
              <w:t>北京旋极百 旺科技有限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税务信息化</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57,937,500.0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427,588,464.</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188,318,375.</w:t>
            </w:r>
            <w:r>
              <w:rPr>
                <w:rFonts w:ascii="Times New Roman"/>
                <w:sz w:val="18"/>
              </w:rPr>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337,834,182.</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46,915,628.6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46,301,978.7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11"/>
        <w:rPr>
          <w:rFonts w:ascii="宋体" w:hAnsi="宋体" w:cs="宋体" w:eastAsia="宋体" w:hint="default"/>
          <w:sz w:val="9"/>
          <w:szCs w:val="9"/>
        </w:rPr>
      </w:pPr>
    </w:p>
    <w:p>
      <w:pPr>
        <w:pStyle w:val="BodyText"/>
        <w:spacing w:line="240" w:lineRule="auto" w:before="36"/>
        <w:ind w:right="1127"/>
        <w:jc w:val="left"/>
      </w:pPr>
      <w:r>
        <w:rPr/>
        <w:t>报告期内取得和处置子公司的情况</w:t>
      </w:r>
    </w:p>
    <w:p>
      <w:pPr>
        <w:spacing w:line="240" w:lineRule="auto" w:before="6"/>
        <w:rPr>
          <w:rFonts w:ascii="宋体" w:hAnsi="宋体" w:cs="宋体" w:eastAsia="宋体" w:hint="default"/>
          <w:sz w:val="22"/>
          <w:szCs w:val="22"/>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6"/>
          <w:szCs w:val="16"/>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5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82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北京悦财亿华科技有限公司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1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北京合信财学科技有限公司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2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北京百旺众联科技有限公司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2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乌兰察布市百旺金赋信息技术有限公司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1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通辽市百旺金赋信息技术有限公司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2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鄂尔多斯市百旺金赋信息技术有限公司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5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赤峰市百旺金赋信息技术有限公司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对本报告期整体生产经营和业绩无明显</w:t>
            </w:r>
          </w:p>
        </w:tc>
      </w:tr>
    </w:tbl>
    <w:p>
      <w:pPr>
        <w:spacing w:after="0" w:line="240" w:lineRule="auto"/>
        <w:jc w:val="center"/>
        <w:rPr>
          <w:rFonts w:ascii="宋体" w:hAnsi="宋体" w:cs="宋体" w:eastAsia="宋体" w:hint="default"/>
          <w:sz w:val="18"/>
          <w:szCs w:val="18"/>
        </w:rPr>
        <w:sectPr>
          <w:headerReference w:type="default" r:id="rId31"/>
          <w:footerReference w:type="default" r:id="rId32"/>
          <w:pgSz w:w="11910" w:h="16840"/>
          <w:pgMar w:header="882" w:footer="1134" w:top="1280" w:bottom="1320" w:left="980" w:right="0"/>
          <w:pgNumType w:start="46"/>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15" w:hRule="exact"/>
        </w:trPr>
        <w:tc>
          <w:tcPr>
            <w:tcW w:w="3187"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影响</w:t>
            </w:r>
          </w:p>
        </w:tc>
      </w:tr>
      <w:tr>
        <w:trPr>
          <w:trHeight w:val="82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乌海市百旺金赋信息技术有限公司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1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巴彦淖尔市百旺金赋信息技术有限公司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2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呼伦贝尔市百旺金赋信息技术有限公司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2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包头市百旺金赋信息技术有限公司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1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兴安盟百旺金赋信息技术有限公司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2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锡林郭勒盟百旺金赋信息技术有限公司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2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郑州众合景轩信息技术有限公司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1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北京旋极百旺软件技术有限公司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2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杭州旋极同创科技有限公司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2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江西旋极共创科技有限公司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1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宁波旋极财税科技有限公司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2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宁波小望财税科技有限公司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2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慈溪小望财税科技有限公司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1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宁波海曙小望科技有限公司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2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象山小望科技有限公司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2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余姚小望科技有限公司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bl>
    <w:p>
      <w:pPr>
        <w:spacing w:after="0" w:line="316" w:lineRule="auto"/>
        <w:jc w:val="left"/>
        <w:rPr>
          <w:rFonts w:ascii="宋体" w:hAnsi="宋体" w:cs="宋体" w:eastAsia="宋体" w:hint="default"/>
          <w:sz w:val="18"/>
          <w:szCs w:val="18"/>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82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宁海小望科技有限公司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411"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1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北京泰豪智能科技有限公司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411"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2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四川旋极智能科技有限公司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411"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2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厦门同舟共创科技有限公司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411"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1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旋极伏羲（福州）大数据技术有限公司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379"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2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北京旋极百旺信息技术有限公司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379"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2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吉林省旋极共创科技有限公司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379"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r>
        <w:trPr>
          <w:trHeight w:val="81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浙江小望科技有限公司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411"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11" w:right="59" w:hanging="1352"/>
              <w:jc w:val="left"/>
              <w:rPr>
                <w:rFonts w:ascii="宋体" w:hAnsi="宋体" w:cs="宋体" w:eastAsia="宋体" w:hint="default"/>
                <w:sz w:val="18"/>
                <w:szCs w:val="18"/>
              </w:rPr>
            </w:pPr>
            <w:r>
              <w:rPr>
                <w:rFonts w:ascii="宋体" w:hAnsi="宋体" w:cs="宋体" w:eastAsia="宋体" w:hint="default"/>
                <w:sz w:val="18"/>
                <w:szCs w:val="18"/>
              </w:rPr>
              <w:t>对本报告期整体生产经营和业绩无明显 影响</w:t>
            </w:r>
          </w:p>
        </w:tc>
      </w:tr>
    </w:tbl>
    <w:p>
      <w:pPr>
        <w:spacing w:line="240" w:lineRule="auto" w:before="2"/>
        <w:rPr>
          <w:rFonts w:ascii="Times New Roman" w:hAnsi="Times New Roman" w:cs="Times New Roman" w:eastAsia="Times New Roman" w:hint="default"/>
          <w:sz w:val="11"/>
          <w:szCs w:val="11"/>
        </w:rPr>
      </w:pPr>
    </w:p>
    <w:p>
      <w:pPr>
        <w:pStyle w:val="BodyText"/>
        <w:spacing w:line="240" w:lineRule="auto" w:before="36"/>
        <w:ind w:right="1127"/>
        <w:jc w:val="left"/>
      </w:pPr>
      <w:r>
        <w:rPr/>
        <w:t>主要控股参股公司情况说明</w:t>
      </w:r>
    </w:p>
    <w:p>
      <w:pPr>
        <w:spacing w:line="240" w:lineRule="auto" w:before="2"/>
        <w:rPr>
          <w:rFonts w:ascii="宋体" w:hAnsi="宋体" w:cs="宋体" w:eastAsia="宋体" w:hint="default"/>
          <w:sz w:val="24"/>
          <w:szCs w:val="24"/>
        </w:rPr>
      </w:pPr>
    </w:p>
    <w:p>
      <w:pPr>
        <w:pStyle w:val="Heading4"/>
        <w:spacing w:line="240" w:lineRule="auto"/>
        <w:ind w:left="575" w:right="1127"/>
        <w:jc w:val="left"/>
        <w:rPr>
          <w:b w:val="0"/>
          <w:bCs w:val="0"/>
        </w:rPr>
      </w:pPr>
      <w:bookmarkStart w:name="1）北京泰豪智能工程有限公司" w:id="83"/>
      <w:bookmarkEnd w:id="83"/>
      <w:r>
        <w:rPr>
          <w:b w:val="0"/>
          <w:bCs w:val="0"/>
        </w:rPr>
      </w:r>
      <w:r>
        <w:rPr>
          <w:rFonts w:ascii="Times New Roman" w:hAnsi="Times New Roman" w:cs="Times New Roman" w:eastAsia="Times New Roman" w:hint="default"/>
        </w:rPr>
        <w:t>1</w:t>
      </w:r>
      <w:r>
        <w:rPr/>
        <w:t>）北京泰豪智能工程有限公司</w:t>
      </w:r>
      <w:r>
        <w:rPr>
          <w:b w:val="0"/>
          <w:bCs w:val="0"/>
        </w:rPr>
      </w:r>
    </w:p>
    <w:p>
      <w:pPr>
        <w:spacing w:line="240" w:lineRule="auto" w:before="7"/>
        <w:rPr>
          <w:rFonts w:ascii="宋体" w:hAnsi="宋体" w:cs="宋体" w:eastAsia="宋体" w:hint="default"/>
          <w:b/>
          <w:bCs/>
          <w:sz w:val="22"/>
          <w:szCs w:val="22"/>
        </w:rPr>
      </w:pPr>
    </w:p>
    <w:p>
      <w:pPr>
        <w:pStyle w:val="BodyText"/>
        <w:spacing w:line="398" w:lineRule="auto"/>
        <w:ind w:right="7290"/>
        <w:jc w:val="left"/>
      </w:pPr>
      <w:r>
        <w:rPr/>
        <w:t>法定代表人：邹卫明</w:t>
      </w:r>
      <w:r>
        <w:rPr>
          <w:w w:val="100"/>
        </w:rPr>
        <w:t> </w:t>
      </w:r>
      <w:r>
        <w:rPr/>
        <w:t>成立日期：</w:t>
      </w:r>
      <w:r>
        <w:rPr>
          <w:rFonts w:ascii="Times New Roman" w:hAnsi="Times New Roman" w:cs="Times New Roman" w:eastAsia="Times New Roman" w:hint="default"/>
        </w:rPr>
        <w:t>1997 </w:t>
      </w:r>
      <w:r>
        <w:rPr/>
        <w:t>年</w:t>
      </w:r>
      <w:r>
        <w:rPr>
          <w:rFonts w:ascii="Times New Roman" w:hAnsi="Times New Roman" w:cs="Times New Roman" w:eastAsia="Times New Roman" w:hint="default"/>
        </w:rPr>
        <w:t>09</w:t>
      </w:r>
      <w:r>
        <w:rPr/>
        <w:t>月</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日</w:t>
      </w:r>
      <w:r>
        <w:rPr>
          <w:w w:val="100"/>
        </w:rPr>
        <w:t> </w:t>
      </w:r>
      <w:r>
        <w:rPr/>
        <w:t>注册资金：</w:t>
      </w:r>
      <w:r>
        <w:rPr>
          <w:rFonts w:ascii="Times New Roman" w:hAnsi="Times New Roman" w:cs="Times New Roman" w:eastAsia="Times New Roman" w:hint="default"/>
        </w:rPr>
        <w:t>10,588.7336</w:t>
      </w:r>
      <w:r>
        <w:rPr/>
        <w:t>万元</w:t>
      </w:r>
    </w:p>
    <w:p>
      <w:pPr>
        <w:pStyle w:val="BodyText"/>
        <w:spacing w:line="408" w:lineRule="auto" w:before="24"/>
        <w:ind w:left="152" w:right="1108" w:firstLine="420"/>
        <w:jc w:val="both"/>
      </w:pPr>
      <w:r>
        <w:rPr>
          <w:spacing w:val="-2"/>
        </w:rPr>
        <w:t>经营范围：承包与其实力、规模、业绩相适应的国外工程项目；对外派遣实施上述境外工程所需的劳</w:t>
      </w:r>
      <w:r>
        <w:rPr>
          <w:w w:val="100"/>
        </w:rPr>
        <w:t> </w:t>
      </w:r>
      <w:r>
        <w:rPr>
          <w:spacing w:val="-2"/>
        </w:rPr>
        <w:t>务人员；专业承包；提供智能建筑产品、节能产品、水利监测及水文监测产品的系统集成方案的设计、安</w:t>
      </w:r>
      <w:r>
        <w:rPr>
          <w:spacing w:val="-43"/>
        </w:rPr>
        <w:t> </w:t>
      </w:r>
      <w:r>
        <w:rPr>
          <w:spacing w:val="-43"/>
        </w:rPr>
      </w:r>
      <w:r>
        <w:rPr>
          <w:spacing w:val="-2"/>
        </w:rPr>
        <w:t>装、调试、售后服务；技术服务、技术咨询、技术转让、安装工程技术培训；货物进出口、技术进出口；</w:t>
      </w:r>
      <w:r>
        <w:rPr>
          <w:spacing w:val="-25"/>
        </w:rPr>
        <w:t> </w:t>
      </w:r>
      <w:r>
        <w:rPr>
          <w:spacing w:val="-25"/>
        </w:rPr>
      </w:r>
      <w:r>
        <w:rPr/>
        <w:t>提供供热服务；暖通系统技术服务；软件技术开发、技术转让、技术咨询、技术服务。</w:t>
      </w:r>
    </w:p>
    <w:p>
      <w:pPr>
        <w:pStyle w:val="BodyText"/>
        <w:spacing w:line="240" w:lineRule="auto" w:before="46"/>
        <w:ind w:right="1127"/>
        <w:jc w:val="left"/>
        <w:rPr>
          <w:rFonts w:ascii="Times New Roman" w:hAnsi="Times New Roman" w:cs="Times New Roman" w:eastAsia="Times New Roman" w:hint="default"/>
        </w:rPr>
      </w:pPr>
      <w:r>
        <w:rPr/>
        <w:t>股东构成：本公司持股</w:t>
      </w:r>
      <w:r>
        <w:rPr>
          <w:spacing w:val="-23"/>
        </w:rPr>
        <w:t> </w:t>
      </w:r>
      <w:r>
        <w:rPr>
          <w:rFonts w:ascii="Times New Roman" w:hAnsi="Times New Roman" w:cs="Times New Roman" w:eastAsia="Times New Roman" w:hint="default"/>
        </w:rPr>
        <w:t>100%</w:t>
      </w:r>
    </w:p>
    <w:p>
      <w:pPr>
        <w:spacing w:line="391" w:lineRule="auto" w:before="177"/>
        <w:ind w:left="152" w:right="1229" w:firstLine="419"/>
        <w:jc w:val="left"/>
        <w:rPr>
          <w:rFonts w:ascii="宋体" w:hAnsi="宋体" w:cs="宋体" w:eastAsia="宋体" w:hint="default"/>
          <w:sz w:val="21"/>
          <w:szCs w:val="21"/>
        </w:rPr>
      </w:pPr>
      <w:r>
        <w:rPr>
          <w:rFonts w:ascii="宋体" w:hAnsi="宋体" w:cs="宋体" w:eastAsia="宋体" w:hint="default"/>
          <w:sz w:val="21"/>
          <w:szCs w:val="21"/>
        </w:rPr>
        <w:t>截至</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日，该公司总资产为</w:t>
      </w:r>
      <w:r>
        <w:rPr>
          <w:rFonts w:ascii="Times New Roman" w:hAnsi="Times New Roman" w:cs="Times New Roman" w:eastAsia="Times New Roman" w:hint="default"/>
          <w:sz w:val="21"/>
          <w:szCs w:val="21"/>
        </w:rPr>
        <w:t>3,119,655,982.65</w:t>
      </w:r>
      <w:r>
        <w:rPr>
          <w:rFonts w:ascii="宋体" w:hAnsi="宋体" w:cs="宋体" w:eastAsia="宋体" w:hint="default"/>
          <w:sz w:val="21"/>
          <w:szCs w:val="21"/>
        </w:rPr>
        <w:t>元，净资产</w:t>
      </w:r>
      <w:r>
        <w:rPr>
          <w:rFonts w:ascii="Times New Roman" w:hAnsi="Times New Roman" w:cs="Times New Roman" w:eastAsia="Times New Roman" w:hint="default"/>
          <w:sz w:val="21"/>
          <w:szCs w:val="21"/>
        </w:rPr>
        <w:t>1,148,258,040.19</w:t>
      </w:r>
      <w:r>
        <w:rPr>
          <w:rFonts w:ascii="宋体" w:hAnsi="宋体" w:cs="宋体" w:eastAsia="宋体" w:hint="default"/>
          <w:sz w:val="21"/>
          <w:szCs w:val="21"/>
        </w:rPr>
        <w:t>元，</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年实现</w:t>
      </w:r>
      <w:r>
        <w:rPr>
          <w:rFonts w:ascii="宋体" w:hAnsi="宋体" w:cs="宋体" w:eastAsia="宋体" w:hint="default"/>
          <w:w w:val="100"/>
          <w:sz w:val="21"/>
          <w:szCs w:val="21"/>
        </w:rPr>
        <w:t> </w:t>
      </w:r>
      <w:r>
        <w:rPr>
          <w:rFonts w:ascii="宋体" w:hAnsi="宋体" w:cs="宋体" w:eastAsia="宋体" w:hint="default"/>
          <w:sz w:val="21"/>
          <w:szCs w:val="21"/>
        </w:rPr>
        <w:t>营业收入</w:t>
      </w:r>
      <w:r>
        <w:rPr>
          <w:rFonts w:ascii="Times New Roman" w:hAnsi="Times New Roman" w:cs="Times New Roman" w:eastAsia="Times New Roman" w:hint="default"/>
          <w:sz w:val="21"/>
          <w:szCs w:val="21"/>
        </w:rPr>
        <w:t>2,172,958,942.79</w:t>
      </w:r>
      <w:r>
        <w:rPr>
          <w:rFonts w:ascii="宋体" w:hAnsi="宋体" w:cs="宋体" w:eastAsia="宋体" w:hint="default"/>
          <w:sz w:val="21"/>
          <w:szCs w:val="21"/>
        </w:rPr>
        <w:t>元 ，营业成本 </w:t>
      </w:r>
      <w:r>
        <w:rPr>
          <w:rFonts w:ascii="Times New Roman" w:hAnsi="Times New Roman" w:cs="Times New Roman" w:eastAsia="Times New Roman" w:hint="default"/>
          <w:sz w:val="24"/>
          <w:szCs w:val="24"/>
        </w:rPr>
        <w:t>1,793,830,632.97 </w:t>
      </w:r>
      <w:r>
        <w:rPr>
          <w:rFonts w:ascii="宋体" w:hAnsi="宋体" w:cs="宋体" w:eastAsia="宋体" w:hint="default"/>
          <w:sz w:val="21"/>
          <w:szCs w:val="21"/>
        </w:rPr>
        <w:t>元，账面净利润 </w:t>
      </w:r>
      <w:r>
        <w:rPr>
          <w:rFonts w:ascii="Times New Roman" w:hAnsi="Times New Roman" w:cs="Times New Roman" w:eastAsia="Times New Roman" w:hint="default"/>
          <w:sz w:val="24"/>
          <w:szCs w:val="24"/>
        </w:rPr>
        <w:t>175,960,047.10</w:t>
      </w:r>
      <w:r>
        <w:rPr>
          <w:rFonts w:ascii="Times New Roman" w:hAnsi="Times New Roman" w:cs="Times New Roman" w:eastAsia="Times New Roman" w:hint="default"/>
          <w:spacing w:val="30"/>
          <w:sz w:val="24"/>
          <w:szCs w:val="24"/>
        </w:rPr>
        <w:t> </w:t>
      </w:r>
      <w:r>
        <w:rPr>
          <w:rFonts w:ascii="宋体" w:hAnsi="宋体" w:cs="宋体" w:eastAsia="宋体" w:hint="default"/>
          <w:sz w:val="21"/>
          <w:szCs w:val="21"/>
        </w:rPr>
        <w:t>元。</w:t>
      </w:r>
    </w:p>
    <w:p>
      <w:pPr>
        <w:spacing w:line="484" w:lineRule="auto" w:before="116"/>
        <w:ind w:left="572" w:right="7290" w:firstLine="2"/>
        <w:jc w:val="left"/>
        <w:rPr>
          <w:rFonts w:ascii="宋体" w:hAnsi="宋体" w:cs="宋体" w:eastAsia="宋体" w:hint="default"/>
          <w:sz w:val="21"/>
          <w:szCs w:val="21"/>
        </w:rPr>
      </w:pPr>
      <w:bookmarkStart w:name="2）西安西谷微电子有限责任公司" w:id="84"/>
      <w:bookmarkEnd w:id="84"/>
      <w:r>
        <w:rPr/>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）西安西谷微电子有限责任公司</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21"/>
          <w:szCs w:val="21"/>
        </w:rPr>
        <w:t>法定代表人：董月芳</w:t>
      </w:r>
    </w:p>
    <w:p>
      <w:pPr>
        <w:spacing w:after="0" w:line="484" w:lineRule="auto"/>
        <w:jc w:val="left"/>
        <w:rPr>
          <w:rFonts w:ascii="宋体" w:hAnsi="宋体" w:cs="宋体" w:eastAsia="宋体" w:hint="default"/>
          <w:sz w:val="21"/>
          <w:szCs w:val="21"/>
        </w:rPr>
        <w:sectPr>
          <w:pgSz w:w="11910" w:h="16840"/>
          <w:pgMar w:header="882" w:footer="1134" w:top="1280" w:bottom="1320" w:left="980" w:right="0"/>
        </w:sectPr>
      </w:pPr>
    </w:p>
    <w:p>
      <w:pPr>
        <w:spacing w:line="240" w:lineRule="auto" w:before="4"/>
        <w:rPr>
          <w:rFonts w:ascii="宋体" w:hAnsi="宋体" w:cs="宋体" w:eastAsia="宋体" w:hint="default"/>
          <w:sz w:val="13"/>
          <w:szCs w:val="13"/>
        </w:rPr>
      </w:pPr>
    </w:p>
    <w:p>
      <w:pPr>
        <w:pStyle w:val="BodyText"/>
        <w:spacing w:line="386" w:lineRule="auto" w:before="36"/>
        <w:ind w:right="7395"/>
        <w:jc w:val="left"/>
      </w:pPr>
      <w:r>
        <w:rPr/>
        <w:t>成立日期：</w:t>
      </w:r>
      <w:r>
        <w:rPr>
          <w:rFonts w:ascii="Times New Roman" w:hAnsi="Times New Roman" w:cs="Times New Roman" w:eastAsia="Times New Roman" w:hint="default"/>
        </w:rPr>
        <w:t>2000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51"/>
        </w:rPr>
        <w:t> </w:t>
      </w:r>
      <w:r>
        <w:rPr/>
        <w:t>日</w:t>
      </w:r>
      <w:r>
        <w:rPr>
          <w:w w:val="100"/>
        </w:rPr>
        <w:t> </w:t>
      </w:r>
      <w:r>
        <w:rPr/>
        <w:t>注册资金：</w:t>
      </w:r>
      <w:r>
        <w:rPr>
          <w:rFonts w:ascii="Times New Roman" w:hAnsi="Times New Roman" w:cs="Times New Roman" w:eastAsia="Times New Roman" w:hint="default"/>
        </w:rPr>
        <w:t>1,000</w:t>
      </w:r>
      <w:r>
        <w:rPr>
          <w:rFonts w:ascii="Times New Roman" w:hAnsi="Times New Roman" w:cs="Times New Roman" w:eastAsia="Times New Roman" w:hint="default"/>
          <w:spacing w:val="32"/>
        </w:rPr>
        <w:t> </w:t>
      </w:r>
      <w:r>
        <w:rPr/>
        <w:t>万元</w:t>
      </w:r>
    </w:p>
    <w:p>
      <w:pPr>
        <w:pStyle w:val="BodyText"/>
        <w:spacing w:line="408" w:lineRule="auto" w:before="35"/>
        <w:ind w:left="152" w:right="1128" w:firstLine="420"/>
        <w:jc w:val="both"/>
      </w:pPr>
      <w:r>
        <w:rPr>
          <w:spacing w:val="-2"/>
        </w:rPr>
        <w:t>经营范围：半导体器件的检测、筛选与失效分析；集成电路、电子产品的设计、制造、销售与技术服</w:t>
      </w:r>
      <w:r>
        <w:rPr>
          <w:w w:val="100"/>
        </w:rPr>
        <w:t> </w:t>
      </w:r>
      <w:r>
        <w:rPr>
          <w:spacing w:val="-2"/>
        </w:rPr>
        <w:t>务；计算机软件的开发、销售与技术服务；电子设备及部件的设计、加工、制造和销售；围绕集成电路测</w:t>
      </w:r>
      <w:r>
        <w:rPr>
          <w:spacing w:val="-42"/>
        </w:rPr>
        <w:t> </w:t>
      </w:r>
      <w:r>
        <w:rPr>
          <w:spacing w:val="-42"/>
        </w:rPr>
      </w:r>
      <w:r>
        <w:rPr/>
        <w:t>试技术、集成电路组装技术、集成电路应用技术进行的技术开发、技术转让、技术咨询、技术服务。</w:t>
      </w:r>
    </w:p>
    <w:p>
      <w:pPr>
        <w:pStyle w:val="BodyText"/>
        <w:spacing w:line="240" w:lineRule="auto" w:before="46"/>
        <w:ind w:right="1127"/>
        <w:jc w:val="left"/>
        <w:rPr>
          <w:rFonts w:ascii="Times New Roman" w:hAnsi="Times New Roman" w:cs="Times New Roman" w:eastAsia="Times New Roman" w:hint="default"/>
        </w:rPr>
      </w:pPr>
      <w:r>
        <w:rPr/>
        <w:t>股东构成：本公司持股</w:t>
      </w:r>
      <w:r>
        <w:rPr>
          <w:spacing w:val="-23"/>
        </w:rPr>
        <w:t> </w:t>
      </w:r>
      <w:r>
        <w:rPr>
          <w:rFonts w:ascii="Times New Roman" w:hAnsi="Times New Roman" w:cs="Times New Roman" w:eastAsia="Times New Roman" w:hint="default"/>
        </w:rPr>
        <w:t>100%</w:t>
      </w:r>
    </w:p>
    <w:p>
      <w:pPr>
        <w:pStyle w:val="BodyText"/>
        <w:spacing w:line="240" w:lineRule="auto" w:before="177"/>
        <w:ind w:right="0"/>
        <w:jc w:val="left"/>
      </w:pPr>
      <w:r>
        <w:rPr/>
        <w:t>截至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日，该公司总资产</w:t>
      </w:r>
      <w:r>
        <w:rPr>
          <w:rFonts w:ascii="Times New Roman" w:hAnsi="Times New Roman" w:cs="Times New Roman" w:eastAsia="Times New Roman" w:hint="default"/>
        </w:rPr>
        <w:t>418,724,664.35</w:t>
      </w:r>
      <w:r>
        <w:rPr/>
        <w:t>元，净资</w:t>
      </w:r>
      <w:r>
        <w:rPr>
          <w:rFonts w:ascii="Times New Roman" w:hAnsi="Times New Roman" w:cs="Times New Roman" w:eastAsia="Times New Roman" w:hint="default"/>
        </w:rPr>
        <w:t>385,590,027.65</w:t>
      </w:r>
      <w:r>
        <w:rPr/>
        <w:t>元，</w:t>
      </w:r>
      <w:r>
        <w:rPr>
          <w:rFonts w:ascii="Times New Roman" w:hAnsi="Times New Roman" w:cs="Times New Roman" w:eastAsia="Times New Roman" w:hint="default"/>
        </w:rPr>
        <w:t>2019</w:t>
      </w:r>
      <w:r>
        <w:rPr/>
        <w:t>年实现营业</w:t>
      </w:r>
    </w:p>
    <w:p>
      <w:pPr>
        <w:spacing w:before="184"/>
        <w:ind w:left="152" w:right="1127" w:firstLine="0"/>
        <w:jc w:val="left"/>
        <w:rPr>
          <w:rFonts w:ascii="宋体" w:hAnsi="宋体" w:cs="宋体" w:eastAsia="宋体" w:hint="default"/>
          <w:sz w:val="21"/>
          <w:szCs w:val="21"/>
        </w:rPr>
      </w:pPr>
      <w:r>
        <w:rPr>
          <w:rFonts w:ascii="宋体" w:hAnsi="宋体" w:cs="宋体" w:eastAsia="宋体" w:hint="default"/>
          <w:sz w:val="21"/>
          <w:szCs w:val="21"/>
        </w:rPr>
        <w:t>收</w:t>
      </w:r>
      <w:r>
        <w:rPr>
          <w:rFonts w:ascii="Times New Roman" w:hAnsi="Times New Roman" w:cs="Times New Roman" w:eastAsia="Times New Roman" w:hint="default"/>
          <w:sz w:val="21"/>
          <w:szCs w:val="21"/>
        </w:rPr>
        <w:t>166,992,342.07</w:t>
      </w:r>
      <w:r>
        <w:rPr>
          <w:rFonts w:ascii="宋体" w:hAnsi="宋体" w:cs="宋体" w:eastAsia="宋体" w:hint="default"/>
          <w:sz w:val="21"/>
          <w:szCs w:val="21"/>
        </w:rPr>
        <w:t>元 ，营业成本  </w:t>
      </w:r>
      <w:r>
        <w:rPr>
          <w:rFonts w:ascii="Times New Roman" w:hAnsi="Times New Roman" w:cs="Times New Roman" w:eastAsia="Times New Roman" w:hint="default"/>
          <w:sz w:val="24"/>
          <w:szCs w:val="24"/>
        </w:rPr>
        <w:t>74,562,814.72 </w:t>
      </w:r>
      <w:r>
        <w:rPr>
          <w:rFonts w:ascii="宋体" w:hAnsi="宋体" w:cs="宋体" w:eastAsia="宋体" w:hint="default"/>
          <w:sz w:val="21"/>
          <w:szCs w:val="21"/>
        </w:rPr>
        <w:t>元，账面净利 </w:t>
      </w:r>
      <w:r>
        <w:rPr>
          <w:rFonts w:ascii="Times New Roman" w:hAnsi="Times New Roman" w:cs="Times New Roman" w:eastAsia="Times New Roman" w:hint="default"/>
          <w:sz w:val="24"/>
          <w:szCs w:val="24"/>
        </w:rPr>
        <w:t>49,507,268.87</w:t>
      </w:r>
      <w:r>
        <w:rPr>
          <w:rFonts w:ascii="Times New Roman" w:hAnsi="Times New Roman" w:cs="Times New Roman" w:eastAsia="Times New Roman" w:hint="default"/>
          <w:spacing w:val="13"/>
          <w:sz w:val="24"/>
          <w:szCs w:val="24"/>
        </w:rPr>
        <w:t> </w:t>
      </w:r>
      <w:r>
        <w:rPr>
          <w:rFonts w:ascii="宋体" w:hAnsi="宋体" w:cs="宋体" w:eastAsia="宋体" w:hint="default"/>
          <w:sz w:val="21"/>
          <w:szCs w:val="21"/>
        </w:rPr>
        <w:t>元。</w:t>
      </w:r>
    </w:p>
    <w:p>
      <w:pPr>
        <w:spacing w:line="240" w:lineRule="auto" w:before="9"/>
        <w:rPr>
          <w:rFonts w:ascii="宋体" w:hAnsi="宋体" w:cs="宋体" w:eastAsia="宋体" w:hint="default"/>
          <w:sz w:val="21"/>
          <w:szCs w:val="21"/>
        </w:rPr>
      </w:pPr>
    </w:p>
    <w:p>
      <w:pPr>
        <w:pStyle w:val="Heading4"/>
        <w:spacing w:line="240" w:lineRule="auto"/>
        <w:ind w:left="575" w:right="1127"/>
        <w:jc w:val="left"/>
        <w:rPr>
          <w:b w:val="0"/>
          <w:bCs w:val="0"/>
        </w:rPr>
      </w:pPr>
      <w:bookmarkStart w:name="3）北京旋极百旺科技有限公司" w:id="85"/>
      <w:bookmarkEnd w:id="85"/>
      <w:r>
        <w:rPr>
          <w:b w:val="0"/>
          <w:bCs w:val="0"/>
        </w:rPr>
      </w:r>
      <w:r>
        <w:rPr>
          <w:rFonts w:ascii="Times New Roman" w:hAnsi="Times New Roman" w:cs="Times New Roman" w:eastAsia="Times New Roman" w:hint="default"/>
        </w:rPr>
        <w:t>3</w:t>
      </w:r>
      <w:r>
        <w:rPr/>
        <w:t>）北京旋极百旺科技有限公司</w:t>
      </w:r>
      <w:r>
        <w:rPr>
          <w:b w:val="0"/>
          <w:bCs w:val="0"/>
        </w:rPr>
      </w:r>
    </w:p>
    <w:p>
      <w:pPr>
        <w:spacing w:line="240" w:lineRule="auto" w:before="9"/>
        <w:rPr>
          <w:rFonts w:ascii="宋体" w:hAnsi="宋体" w:cs="宋体" w:eastAsia="宋体" w:hint="default"/>
          <w:b/>
          <w:bCs/>
          <w:sz w:val="22"/>
          <w:szCs w:val="22"/>
        </w:rPr>
      </w:pPr>
    </w:p>
    <w:p>
      <w:pPr>
        <w:pStyle w:val="BodyText"/>
        <w:spacing w:line="398" w:lineRule="auto"/>
        <w:ind w:right="7395"/>
        <w:jc w:val="left"/>
      </w:pPr>
      <w:r>
        <w:rPr/>
        <w:t>法定代表人：周铂</w:t>
      </w:r>
      <w:r>
        <w:rPr>
          <w:w w:val="100"/>
        </w:rPr>
        <w:t> </w:t>
      </w:r>
      <w:r>
        <w:rPr/>
        <w:t>成立日期：</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04 </w:t>
      </w:r>
      <w:r>
        <w:rPr/>
        <w:t>月 </w:t>
      </w:r>
      <w:r>
        <w:rPr>
          <w:rFonts w:ascii="Times New Roman" w:hAnsi="Times New Roman" w:cs="Times New Roman" w:eastAsia="Times New Roman" w:hint="default"/>
        </w:rPr>
        <w:t>22</w:t>
      </w:r>
      <w:r>
        <w:rPr>
          <w:rFonts w:ascii="Times New Roman" w:hAnsi="Times New Roman" w:cs="Times New Roman" w:eastAsia="Times New Roman" w:hint="default"/>
          <w:spacing w:val="51"/>
        </w:rPr>
        <w:t> </w:t>
      </w:r>
      <w:r>
        <w:rPr/>
        <w:t>日</w:t>
      </w:r>
      <w:r>
        <w:rPr>
          <w:w w:val="100"/>
        </w:rPr>
        <w:t> </w:t>
      </w:r>
      <w:r>
        <w:rPr/>
        <w:t>注册资金：</w:t>
      </w:r>
      <w:r>
        <w:rPr>
          <w:rFonts w:ascii="Times New Roman" w:hAnsi="Times New Roman" w:cs="Times New Roman" w:eastAsia="Times New Roman" w:hint="default"/>
        </w:rPr>
        <w:t>5,793.75</w:t>
      </w:r>
      <w:r>
        <w:rPr/>
        <w:t>万元</w:t>
      </w:r>
    </w:p>
    <w:p>
      <w:pPr>
        <w:pStyle w:val="BodyText"/>
        <w:spacing w:line="408" w:lineRule="auto" w:before="24"/>
        <w:ind w:left="152" w:right="1106" w:firstLine="420"/>
        <w:jc w:val="both"/>
      </w:pPr>
      <w:r>
        <w:rPr>
          <w:spacing w:val="-2"/>
        </w:rPr>
        <w:t>经营范围：技术开发、技术转让、技术咨询、技术服务、技术推广；计算机系统服务；计算机维修；</w:t>
      </w:r>
      <w:r>
        <w:rPr>
          <w:w w:val="100"/>
        </w:rPr>
        <w:t> </w:t>
      </w:r>
      <w:r>
        <w:rPr>
          <w:spacing w:val="-2"/>
        </w:rPr>
        <w:t>基础软件服务；数据处理；计算机技术培训；销售家用电器、计算机、软件及辅助设备、通讯设备；国内</w:t>
      </w:r>
      <w:r>
        <w:rPr>
          <w:spacing w:val="-47"/>
        </w:rPr>
        <w:t> </w:t>
      </w:r>
      <w:r>
        <w:rPr>
          <w:spacing w:val="-47"/>
        </w:rPr>
      </w:r>
      <w:r>
        <w:rPr/>
        <w:t>呼叫中心业务（增值电信业务许可证有效至</w:t>
      </w:r>
      <w:r>
        <w:rPr>
          <w:rFonts w:ascii="Times New Roman" w:hAnsi="Times New Roman" w:cs="Times New Roman" w:eastAsia="Times New Roman" w:hint="default"/>
        </w:rPr>
        <w:t>2023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w:t>
      </w:r>
    </w:p>
    <w:p>
      <w:pPr>
        <w:spacing w:line="391" w:lineRule="auto" w:before="14"/>
        <w:ind w:left="152" w:right="1132" w:firstLine="419"/>
        <w:jc w:val="both"/>
        <w:rPr>
          <w:rFonts w:ascii="宋体" w:hAnsi="宋体" w:cs="宋体" w:eastAsia="宋体" w:hint="default"/>
          <w:sz w:val="21"/>
          <w:szCs w:val="21"/>
        </w:rPr>
      </w:pPr>
      <w:r>
        <w:rPr>
          <w:rFonts w:ascii="宋体" w:hAnsi="宋体" w:cs="宋体" w:eastAsia="宋体" w:hint="default"/>
          <w:sz w:val="21"/>
          <w:szCs w:val="21"/>
        </w:rPr>
        <w:t>截至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日，该公司总资产</w:t>
      </w:r>
      <w:r>
        <w:rPr>
          <w:rFonts w:ascii="Times New Roman" w:hAnsi="Times New Roman" w:cs="Times New Roman" w:eastAsia="Times New Roman" w:hint="default"/>
          <w:sz w:val="21"/>
          <w:szCs w:val="21"/>
        </w:rPr>
        <w:t>427,588,464.00</w:t>
      </w:r>
      <w:r>
        <w:rPr>
          <w:rFonts w:ascii="宋体" w:hAnsi="宋体" w:cs="宋体" w:eastAsia="宋体" w:hint="default"/>
          <w:sz w:val="21"/>
          <w:szCs w:val="21"/>
        </w:rPr>
        <w:t>元，净资</w:t>
      </w:r>
      <w:r>
        <w:rPr>
          <w:rFonts w:ascii="Times New Roman" w:hAnsi="Times New Roman" w:cs="Times New Roman" w:eastAsia="Times New Roman" w:hint="default"/>
          <w:sz w:val="21"/>
          <w:szCs w:val="21"/>
        </w:rPr>
        <w:t>188,318,375.31</w:t>
      </w:r>
      <w:r>
        <w:rPr>
          <w:rFonts w:ascii="宋体" w:hAnsi="宋体" w:cs="宋体" w:eastAsia="宋体" w:hint="default"/>
          <w:sz w:val="21"/>
          <w:szCs w:val="21"/>
        </w:rPr>
        <w:t>元，</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年实现营业</w:t>
      </w:r>
      <w:r>
        <w:rPr>
          <w:rFonts w:ascii="宋体" w:hAnsi="宋体" w:cs="宋体" w:eastAsia="宋体" w:hint="default"/>
          <w:spacing w:val="-3"/>
          <w:w w:val="100"/>
          <w:sz w:val="21"/>
          <w:szCs w:val="21"/>
        </w:rPr>
        <w:t> </w:t>
      </w:r>
      <w:r>
        <w:rPr>
          <w:rFonts w:ascii="宋体" w:hAnsi="宋体" w:cs="宋体" w:eastAsia="宋体" w:hint="default"/>
          <w:sz w:val="21"/>
          <w:szCs w:val="21"/>
        </w:rPr>
        <w:t>收入 </w:t>
      </w:r>
      <w:r>
        <w:rPr>
          <w:rFonts w:ascii="Times New Roman" w:hAnsi="Times New Roman" w:cs="Times New Roman" w:eastAsia="Times New Roman" w:hint="default"/>
          <w:sz w:val="21"/>
          <w:szCs w:val="21"/>
        </w:rPr>
        <w:t>337,834,182.91</w:t>
      </w:r>
      <w:r>
        <w:rPr>
          <w:rFonts w:ascii="宋体" w:hAnsi="宋体" w:cs="宋体" w:eastAsia="宋体" w:hint="default"/>
          <w:sz w:val="21"/>
          <w:szCs w:val="21"/>
        </w:rPr>
        <w:t>元 ，营业成本 </w:t>
      </w:r>
      <w:r>
        <w:rPr>
          <w:rFonts w:ascii="Times New Roman" w:hAnsi="Times New Roman" w:cs="Times New Roman" w:eastAsia="Times New Roman" w:hint="default"/>
          <w:sz w:val="24"/>
          <w:szCs w:val="24"/>
        </w:rPr>
        <w:t>117,276,478.46 </w:t>
      </w:r>
      <w:r>
        <w:rPr>
          <w:rFonts w:ascii="宋体" w:hAnsi="宋体" w:cs="宋体" w:eastAsia="宋体" w:hint="default"/>
          <w:sz w:val="21"/>
          <w:szCs w:val="21"/>
        </w:rPr>
        <w:t>元，账面净利润 </w:t>
      </w:r>
      <w:r>
        <w:rPr>
          <w:rFonts w:ascii="Times New Roman" w:hAnsi="Times New Roman" w:cs="Times New Roman" w:eastAsia="Times New Roman" w:hint="default"/>
          <w:sz w:val="24"/>
          <w:szCs w:val="24"/>
        </w:rPr>
        <w:t>46,301,978.71  </w:t>
      </w:r>
      <w:r>
        <w:rPr>
          <w:rFonts w:ascii="Times New Roman" w:hAnsi="Times New Roman" w:cs="Times New Roman" w:eastAsia="Times New Roman" w:hint="default"/>
          <w:spacing w:val="57"/>
          <w:sz w:val="24"/>
          <w:szCs w:val="24"/>
        </w:rPr>
        <w:t> </w:t>
      </w:r>
      <w:r>
        <w:rPr>
          <w:rFonts w:ascii="宋体" w:hAnsi="宋体" w:cs="宋体" w:eastAsia="宋体" w:hint="default"/>
          <w:sz w:val="21"/>
          <w:szCs w:val="21"/>
        </w:rPr>
        <w:t>元。</w:t>
      </w:r>
    </w:p>
    <w:p>
      <w:pPr>
        <w:pStyle w:val="Heading2"/>
        <w:spacing w:line="240" w:lineRule="auto" w:before="194"/>
        <w:ind w:right="1127"/>
        <w:jc w:val="left"/>
        <w:rPr>
          <w:b w:val="0"/>
          <w:bCs w:val="0"/>
        </w:rPr>
      </w:pPr>
      <w:bookmarkStart w:name="八、公司控制的结构化主体情况" w:id="86"/>
      <w:bookmarkEnd w:id="86"/>
      <w:r>
        <w:rPr>
          <w:b w:val="0"/>
          <w:bCs w:val="0"/>
        </w:rPr>
      </w:r>
      <w:r>
        <w:rPr/>
        <w:t>八、公司控制的结构化主体情况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ind w:right="1127"/>
        <w:jc w:val="left"/>
        <w:rPr>
          <w:b w:val="0"/>
          <w:bCs w:val="0"/>
        </w:rPr>
      </w:pPr>
      <w:bookmarkStart w:name="九、公司未来发展的展望" w:id="87"/>
      <w:bookmarkEnd w:id="87"/>
      <w:r>
        <w:rPr>
          <w:b w:val="0"/>
          <w:bCs w:val="0"/>
        </w:rPr>
      </w:r>
      <w:r>
        <w:rPr/>
        <w:t>九、公司未来发展的展望</w:t>
      </w:r>
      <w:r>
        <w:rPr>
          <w:b w:val="0"/>
          <w:bCs w:val="0"/>
        </w:rPr>
      </w:r>
    </w:p>
    <w:p>
      <w:pPr>
        <w:spacing w:line="240" w:lineRule="auto" w:before="7"/>
        <w:rPr>
          <w:rFonts w:ascii="宋体" w:hAnsi="宋体" w:cs="宋体" w:eastAsia="宋体" w:hint="default"/>
          <w:b/>
          <w:bCs/>
          <w:sz w:val="31"/>
          <w:szCs w:val="31"/>
        </w:rPr>
      </w:pPr>
    </w:p>
    <w:p>
      <w:pPr>
        <w:pStyle w:val="Heading3"/>
        <w:spacing w:line="240" w:lineRule="auto"/>
        <w:ind w:right="1127"/>
        <w:jc w:val="left"/>
      </w:pPr>
      <w:bookmarkStart w:name="（一）公司所处行业的发展趋势与机遇" w:id="88"/>
      <w:bookmarkEnd w:id="88"/>
      <w:r>
        <w:rPr/>
      </w:r>
      <w:r>
        <w:rPr/>
        <w:t>（一）公司所处行业的发展趋势与机遇</w:t>
      </w:r>
    </w:p>
    <w:p>
      <w:pPr>
        <w:spacing w:line="240" w:lineRule="auto" w:before="8"/>
        <w:rPr>
          <w:rFonts w:ascii="黑体" w:hAnsi="黑体" w:cs="黑体" w:eastAsia="黑体" w:hint="default"/>
          <w:sz w:val="25"/>
          <w:szCs w:val="25"/>
        </w:rPr>
      </w:pPr>
    </w:p>
    <w:p>
      <w:pPr>
        <w:pStyle w:val="Heading4"/>
        <w:spacing w:line="240" w:lineRule="auto"/>
        <w:ind w:left="575" w:right="1127"/>
        <w:jc w:val="left"/>
        <w:rPr>
          <w:b w:val="0"/>
          <w:bCs w:val="0"/>
        </w:rPr>
      </w:pPr>
      <w:bookmarkStart w:name="1、国家对民营企业发展的支持" w:id="89"/>
      <w:bookmarkEnd w:id="89"/>
      <w:r>
        <w:rPr>
          <w:b w:val="0"/>
          <w:bCs w:val="0"/>
        </w:rPr>
      </w:r>
      <w:r>
        <w:rPr>
          <w:rFonts w:ascii="Times New Roman" w:hAnsi="Times New Roman" w:cs="Times New Roman" w:eastAsia="Times New Roman" w:hint="default"/>
        </w:rPr>
        <w:t>1</w:t>
      </w:r>
      <w:r>
        <w:rPr/>
        <w:t>、国家对民营企业发展的支持</w:t>
      </w:r>
      <w:r>
        <w:rPr>
          <w:b w:val="0"/>
          <w:bCs w:val="0"/>
        </w:rPr>
      </w:r>
    </w:p>
    <w:p>
      <w:pPr>
        <w:spacing w:line="240" w:lineRule="auto" w:before="9"/>
        <w:rPr>
          <w:rFonts w:ascii="宋体" w:hAnsi="宋体" w:cs="宋体" w:eastAsia="宋体" w:hint="default"/>
          <w:b/>
          <w:bCs/>
          <w:sz w:val="22"/>
          <w:szCs w:val="22"/>
        </w:rPr>
      </w:pPr>
    </w:p>
    <w:p>
      <w:pPr>
        <w:pStyle w:val="BodyText"/>
        <w:spacing w:line="393" w:lineRule="auto"/>
        <w:ind w:left="152" w:right="1106" w:firstLine="420"/>
        <w:jc w:val="both"/>
      </w:pPr>
      <w:r>
        <w:rPr>
          <w:rFonts w:ascii="Times New Roman" w:hAnsi="Times New Roman" w:cs="Times New Roman" w:eastAsia="Times New Roman" w:hint="default"/>
          <w:spacing w:val="-2"/>
        </w:rPr>
        <w:t>2019</w:t>
      </w:r>
      <w:r>
        <w:rPr>
          <w:spacing w:val="-2"/>
        </w:rPr>
        <w:t>年全国两会政府工作报告提出一系列对民营企业的改革举措，包括积极推行适时减税降费、降低</w:t>
      </w:r>
      <w:r>
        <w:rPr>
          <w:w w:val="100"/>
        </w:rPr>
        <w:t> </w:t>
      </w:r>
      <w:r>
        <w:rPr>
          <w:spacing w:val="-2"/>
        </w:rPr>
        <w:t>工商业电价、缓解融资难融资贵、清收拖欠民企债务、加强民企产权保护、深入</w:t>
      </w:r>
      <w:r>
        <w:rPr>
          <w:rFonts w:ascii="Times New Roman" w:hAnsi="Times New Roman" w:cs="Times New Roman" w:eastAsia="Times New Roman" w:hint="default"/>
          <w:spacing w:val="-2"/>
        </w:rPr>
        <w:t>“</w:t>
      </w:r>
      <w:r>
        <w:rPr>
          <w:spacing w:val="-2"/>
        </w:rPr>
        <w:t>放管服</w:t>
      </w:r>
      <w:r>
        <w:rPr>
          <w:rFonts w:ascii="Times New Roman" w:hAnsi="Times New Roman" w:cs="Times New Roman" w:eastAsia="Times New Roman" w:hint="default"/>
          <w:spacing w:val="-2"/>
        </w:rPr>
        <w:t>”</w:t>
      </w:r>
      <w:r>
        <w:rPr>
          <w:spacing w:val="-2"/>
        </w:rPr>
        <w:t>改革等让民企切</w:t>
      </w:r>
      <w:r>
        <w:rPr>
          <w:spacing w:val="-17"/>
        </w:rPr>
        <w:t> </w:t>
      </w:r>
      <w:r>
        <w:rPr>
          <w:spacing w:val="-17"/>
        </w:rPr>
      </w:r>
      <w:r>
        <w:rPr>
          <w:spacing w:val="-2"/>
        </w:rPr>
        <w:t>实获得利益、便捷和安全感的政策，释放一连串政策红利，有效提振民企信心、激活民企持续奋斗动力，</w:t>
      </w:r>
      <w:r>
        <w:rPr>
          <w:spacing w:val="-21"/>
        </w:rPr>
        <w:t> </w:t>
      </w:r>
      <w:r>
        <w:rPr>
          <w:spacing w:val="-21"/>
        </w:rPr>
      </w:r>
      <w:r>
        <w:rPr>
          <w:spacing w:val="-2"/>
        </w:rPr>
        <w:t>为民营企业发展带来春的气息。民营企业发展离不开国家发展的战略大局，国家发展的战略大局也需要民</w:t>
      </w:r>
    </w:p>
    <w:p>
      <w:pPr>
        <w:spacing w:after="0" w:line="393" w:lineRule="auto"/>
        <w:jc w:val="both"/>
        <w:sectPr>
          <w:pgSz w:w="11910" w:h="16840"/>
          <w:pgMar w:header="882" w:footer="1134" w:top="1280" w:bottom="1320" w:left="980" w:right="0"/>
        </w:sectPr>
      </w:pPr>
    </w:p>
    <w:p>
      <w:pPr>
        <w:spacing w:line="240" w:lineRule="auto" w:before="4"/>
        <w:rPr>
          <w:rFonts w:ascii="宋体" w:hAnsi="宋体" w:cs="宋体" w:eastAsia="宋体" w:hint="default"/>
          <w:sz w:val="13"/>
          <w:szCs w:val="13"/>
        </w:rPr>
      </w:pPr>
    </w:p>
    <w:p>
      <w:pPr>
        <w:pStyle w:val="BodyText"/>
        <w:spacing w:line="403" w:lineRule="auto" w:before="36"/>
        <w:ind w:left="152" w:right="1108"/>
        <w:jc w:val="both"/>
      </w:pPr>
      <w:r>
        <w:rPr>
          <w:spacing w:val="-2"/>
        </w:rPr>
        <w:t>营企业的支持。如今，中国特色社会主义进入新时代，我国经济发展也进入了新时代，</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、自贸</w:t>
      </w:r>
      <w:r>
        <w:rPr>
          <w:spacing w:val="-19"/>
        </w:rPr>
        <w:t> </w:t>
      </w:r>
      <w:r>
        <w:rPr>
          <w:spacing w:val="-19"/>
        </w:rPr>
      </w:r>
      <w:r>
        <w:rPr>
          <w:spacing w:val="-2"/>
        </w:rPr>
        <w:t>区建设，为企业充分利用国内国际两种资源、开拓两个市场带来重大机遇，京津冀协同发展、长江经济带</w:t>
      </w:r>
      <w:r>
        <w:rPr>
          <w:spacing w:val="-50"/>
        </w:rPr>
        <w:t> </w:t>
      </w:r>
      <w:r>
        <w:rPr>
          <w:spacing w:val="-50"/>
        </w:rPr>
      </w:r>
      <w:r>
        <w:rPr>
          <w:spacing w:val="-2"/>
        </w:rPr>
        <w:t>建设、城市群发展战略、乡村振兴等一系列重大战略使企业发展迎来诸多良机。我国民营经济从小到大、</w:t>
      </w:r>
      <w:r>
        <w:rPr>
          <w:spacing w:val="-24"/>
        </w:rPr>
        <w:t> </w:t>
      </w:r>
      <w:r>
        <w:rPr>
          <w:spacing w:val="-24"/>
        </w:rPr>
      </w:r>
      <w:r>
        <w:rPr>
          <w:spacing w:val="-2"/>
        </w:rPr>
        <w:t>从弱到强，不断发展壮大，为推动经济发展、深化经济体制改革、维护社会和谐稳定作出重要贡献，已经</w:t>
      </w:r>
      <w:r>
        <w:rPr>
          <w:spacing w:val="-43"/>
        </w:rPr>
        <w:t> </w:t>
      </w:r>
      <w:r>
        <w:rPr>
          <w:spacing w:val="-43"/>
        </w:rPr>
      </w:r>
      <w:r>
        <w:rPr/>
        <w:t>成为我国经济制度的内在要素和推动发展不可或缺的力量。</w:t>
      </w:r>
    </w:p>
    <w:p>
      <w:pPr>
        <w:pStyle w:val="BodyText"/>
        <w:spacing w:line="408" w:lineRule="auto" w:before="50"/>
        <w:ind w:left="152" w:right="1128" w:firstLine="420"/>
        <w:jc w:val="both"/>
      </w:pPr>
      <w:r>
        <w:rPr>
          <w:spacing w:val="-2"/>
        </w:rPr>
        <w:t>当前，我国经济正向高质量发展目标坚定前行。在这样的发展态势中，蕴含着民营企业发展的巨大机</w:t>
      </w:r>
      <w:r>
        <w:rPr>
          <w:w w:val="100"/>
        </w:rPr>
        <w:t> </w:t>
      </w:r>
      <w:r>
        <w:rPr>
          <w:spacing w:val="-2"/>
        </w:rPr>
        <w:t>遇。随着全面深化改革和供给侧结构性改革的深入推进，鼓励、支持、引导民营经济发展的政策体系更加</w:t>
      </w:r>
      <w:r>
        <w:rPr>
          <w:spacing w:val="-44"/>
        </w:rPr>
        <w:t> </w:t>
      </w:r>
      <w:r>
        <w:rPr>
          <w:spacing w:val="-44"/>
        </w:rPr>
      </w:r>
      <w:r>
        <w:rPr>
          <w:spacing w:val="-2"/>
        </w:rPr>
        <w:t>完善，政策环境和社会氛围更加良好。公司作为民营上市企业，将积极克服传统思维惯性和路径依赖，主</w:t>
      </w:r>
      <w:r>
        <w:rPr>
          <w:spacing w:val="-48"/>
        </w:rPr>
        <w:t> </w:t>
      </w:r>
      <w:r>
        <w:rPr>
          <w:spacing w:val="-48"/>
        </w:rPr>
      </w:r>
      <w:r>
        <w:rPr/>
        <w:t>动适应国际和国内发展环境新变化，加快科技创新和管理创新，努力把企业做优做强。</w:t>
      </w:r>
    </w:p>
    <w:p>
      <w:pPr>
        <w:spacing w:line="484" w:lineRule="auto" w:before="166"/>
        <w:ind w:left="572" w:right="1127" w:firstLine="2"/>
        <w:jc w:val="left"/>
        <w:rPr>
          <w:rFonts w:ascii="宋体" w:hAnsi="宋体" w:cs="宋体" w:eastAsia="宋体" w:hint="default"/>
          <w:sz w:val="21"/>
          <w:szCs w:val="21"/>
        </w:rPr>
      </w:pPr>
      <w:bookmarkStart w:name="2、军民融合发展战略的趋势与机遇" w:id="90"/>
      <w:bookmarkEnd w:id="9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、军民融合发展战略的趋势与机遇</w:t>
      </w:r>
      <w:r>
        <w:rPr>
          <w:rFonts w:ascii="宋体" w:hAnsi="宋体" w:cs="宋体" w:eastAsia="宋体" w:hint="default"/>
          <w:b/>
          <w:bCs/>
          <w:w w:val="100"/>
          <w:sz w:val="21"/>
          <w:szCs w:val="21"/>
        </w:rPr>
        <w:t> </w:t>
      </w:r>
      <w:r>
        <w:rPr>
          <w:rFonts w:ascii="宋体" w:hAnsi="宋体" w:cs="宋体" w:eastAsia="宋体" w:hint="default"/>
          <w:spacing w:val="-2"/>
          <w:sz w:val="21"/>
          <w:szCs w:val="21"/>
        </w:rPr>
        <w:t>军民融合发展作为一项国家战略，关乎国家安全和发展全局，既是兴国之举，又是强军之策。军民融</w:t>
      </w:r>
    </w:p>
    <w:p>
      <w:pPr>
        <w:pStyle w:val="BodyText"/>
        <w:spacing w:line="254" w:lineRule="exact"/>
        <w:ind w:left="152" w:right="0"/>
        <w:jc w:val="both"/>
      </w:pPr>
      <w:r>
        <w:rPr/>
        <w:t>合产业是将军民两用技术应用于生产以及应用于经济社会军事各相关领域，为其提供商品和服务的统称。</w:t>
      </w:r>
    </w:p>
    <w:p>
      <w:pPr>
        <w:spacing w:line="240" w:lineRule="auto" w:before="10"/>
        <w:rPr>
          <w:rFonts w:ascii="宋体" w:hAnsi="宋体" w:cs="宋体" w:eastAsia="宋体" w:hint="default"/>
          <w:sz w:val="14"/>
          <w:szCs w:val="14"/>
        </w:rPr>
      </w:pPr>
    </w:p>
    <w:p>
      <w:pPr>
        <w:pStyle w:val="BodyText"/>
        <w:spacing w:line="391" w:lineRule="auto"/>
        <w:ind w:left="152" w:right="1025"/>
        <w:jc w:val="both"/>
      </w:pPr>
      <w:r>
        <w:rPr>
          <w:spacing w:val="-2"/>
        </w:rPr>
        <w:t>它是以国防科技工业在经济技术方面的优势为核心和依托，通过军、民领域间的双向交流互动所形成的产</w:t>
      </w:r>
      <w:r>
        <w:rPr>
          <w:spacing w:val="-42"/>
        </w:rPr>
        <w:t> </w:t>
      </w:r>
      <w:r>
        <w:rPr>
          <w:spacing w:val="-42"/>
        </w:rPr>
      </w:r>
      <w:r>
        <w:rPr/>
        <w:t>业，是实现军民融合发展的基础和重要途径。军民融合产业既承担国防军事等涉</w:t>
      </w:r>
      <w:r>
        <w:rPr>
          <w:rFonts w:ascii="Times New Roman" w:hAnsi="Times New Roman" w:cs="Times New Roman" w:eastAsia="Times New Roman" w:hint="default"/>
        </w:rPr>
        <w:t>“</w:t>
      </w:r>
      <w:r>
        <w:rPr/>
        <w:t>军</w:t>
      </w:r>
      <w:r>
        <w:rPr>
          <w:rFonts w:ascii="Times New Roman" w:hAnsi="Times New Roman" w:cs="Times New Roman" w:eastAsia="Times New Roman" w:hint="default"/>
        </w:rPr>
        <w:t>”</w:t>
      </w:r>
      <w:r>
        <w:rPr/>
        <w:t>任务，又参与</w:t>
      </w:r>
      <w:r>
        <w:rPr>
          <w:rFonts w:ascii="Times New Roman" w:hAnsi="Times New Roman" w:cs="Times New Roman" w:eastAsia="Times New Roman" w:hint="default"/>
        </w:rPr>
        <w:t>“</w:t>
      </w:r>
      <w:r>
        <w:rPr/>
        <w:t>民用</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市场经济活动。从军民融合本质内涵来看，军民融合产业不是独立于</w:t>
      </w:r>
      <w:r>
        <w:rPr>
          <w:rFonts w:ascii="Times New Roman" w:hAnsi="Times New Roman" w:cs="Times New Roman" w:eastAsia="Times New Roman" w:hint="default"/>
        </w:rPr>
        <w:t>“</w:t>
      </w:r>
      <w:r>
        <w:rPr/>
        <w:t>军</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民</w:t>
      </w:r>
      <w:r>
        <w:rPr>
          <w:rFonts w:ascii="Times New Roman" w:hAnsi="Times New Roman" w:cs="Times New Roman" w:eastAsia="Times New Roman" w:hint="default"/>
        </w:rPr>
        <w:t>”</w:t>
      </w:r>
      <w:r>
        <w:rPr/>
        <w:t>的产业，而是广泛分布在</w:t>
      </w:r>
      <w:r>
        <w:rPr>
          <w:spacing w:val="-3"/>
          <w:w w:val="100"/>
        </w:rPr>
        <w:t> </w:t>
      </w:r>
      <w:r>
        <w:rPr/>
        <w:t>国民经济体系之中，同时服务</w:t>
      </w:r>
      <w:r>
        <w:rPr>
          <w:rFonts w:ascii="Times New Roman" w:hAnsi="Times New Roman" w:cs="Times New Roman" w:eastAsia="Times New Roman" w:hint="default"/>
        </w:rPr>
        <w:t>“</w:t>
      </w:r>
      <w:r>
        <w:rPr/>
        <w:t>军</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民</w:t>
      </w:r>
      <w:r>
        <w:rPr>
          <w:rFonts w:ascii="Times New Roman" w:hAnsi="Times New Roman" w:cs="Times New Roman" w:eastAsia="Times New Roman" w:hint="default"/>
        </w:rPr>
        <w:t>”</w:t>
      </w:r>
      <w:r>
        <w:rPr/>
        <w:t>双方市场需求的产业。军民融合产业发展有利于为国防和军队现</w:t>
      </w:r>
      <w:r>
        <w:rPr>
          <w:w w:val="100"/>
        </w:rPr>
        <w:t> </w:t>
      </w:r>
      <w:r>
        <w:rPr>
          <w:spacing w:val="-5"/>
        </w:rPr>
        <w:t>代化建设提供坚强的物质技术支撑，对于打造经济发展新动能、构建现代化经济体系具有重要的促进作用。</w:t>
      </w:r>
      <w:r>
        <w:rPr/>
      </w:r>
    </w:p>
    <w:p>
      <w:pPr>
        <w:pStyle w:val="BodyText"/>
        <w:spacing w:line="408" w:lineRule="auto" w:before="61"/>
        <w:ind w:left="152" w:right="0" w:firstLine="420"/>
        <w:jc w:val="left"/>
      </w:pPr>
      <w:r>
        <w:rPr>
          <w:spacing w:val="-3"/>
        </w:rPr>
        <w:t>随着科学技术快速发展，国家战略竞争力、社会生产力、军队战斗力的耦合关联越来越紧，军用技术</w:t>
      </w:r>
      <w:r>
        <w:rPr>
          <w:spacing w:val="-3"/>
          <w:w w:val="100"/>
        </w:rPr>
        <w:t> </w:t>
      </w:r>
      <w:r>
        <w:rPr>
          <w:spacing w:val="-5"/>
        </w:rPr>
        <w:t>和民用技术彼此融合、相互转化，军用技术和民用技术的融合越来越深，高技术两用化的趋势越来越明显。</w:t>
      </w:r>
      <w:r>
        <w:rPr>
          <w:spacing w:val="-6"/>
        </w:rPr>
        <w:t> </w:t>
      </w:r>
      <w:r>
        <w:rPr>
          <w:spacing w:val="-6"/>
        </w:rPr>
      </w:r>
      <w:r>
        <w:rPr>
          <w:spacing w:val="-5"/>
        </w:rPr>
        <w:t>军用融合产业技术既满足国防军工需要，又能使技术商业化，满足市场经济需要。通用技术涉及军民市场，</w:t>
      </w:r>
      <w:r>
        <w:rPr>
          <w:spacing w:val="-3"/>
        </w:rPr>
        <w:t> </w:t>
      </w:r>
      <w:r>
        <w:rPr>
          <w:spacing w:val="-3"/>
        </w:rPr>
      </w:r>
      <w:r>
        <w:rPr>
          <w:spacing w:val="-2"/>
        </w:rPr>
        <w:t>存在巨大市场商业价值潜力，能够为军民企业带来新的利润增长点。在信息化时代，安全与发展、经济建</w:t>
      </w:r>
      <w:r>
        <w:rPr>
          <w:spacing w:val="-47"/>
        </w:rPr>
        <w:t> </w:t>
      </w:r>
      <w:r>
        <w:rPr>
          <w:spacing w:val="-47"/>
        </w:rPr>
      </w:r>
      <w:r>
        <w:rPr>
          <w:spacing w:val="-2"/>
        </w:rPr>
        <w:t>设和国防建设、军与民、平与战、前线与后方、军用与民用的界限越来越模糊，呈现不断融合的趋势。在</w:t>
      </w:r>
      <w:r>
        <w:rPr>
          <w:spacing w:val="-42"/>
        </w:rPr>
        <w:t> </w:t>
      </w:r>
      <w:r>
        <w:rPr>
          <w:spacing w:val="-42"/>
        </w:rPr>
      </w:r>
      <w:r>
        <w:rPr>
          <w:spacing w:val="-2"/>
        </w:rPr>
        <w:t>许多新兴领域，民营企业在技术等方面已经走在前列，民营企业的参与有利于形成全要素、多领域、高效</w:t>
      </w:r>
      <w:r>
        <w:rPr>
          <w:spacing w:val="-47"/>
        </w:rPr>
        <w:t> </w:t>
      </w:r>
      <w:r>
        <w:rPr>
          <w:spacing w:val="-47"/>
        </w:rPr>
      </w:r>
      <w:r>
        <w:rPr/>
        <w:t>益的军民融合深度发展格局。</w:t>
      </w:r>
    </w:p>
    <w:p>
      <w:pPr>
        <w:pStyle w:val="BodyText"/>
        <w:spacing w:line="408" w:lineRule="auto" w:before="46"/>
        <w:ind w:left="152" w:right="1107" w:firstLine="420"/>
        <w:jc w:val="both"/>
      </w:pPr>
      <w:r>
        <w:rPr>
          <w:spacing w:val="-2"/>
        </w:rPr>
        <w:t>公司作为国内知名的军民融合高科技企业，不仅具有国防科工局准入资质，同时也是武器装备采购信</w:t>
      </w:r>
      <w:r>
        <w:rPr>
          <w:w w:val="100"/>
        </w:rPr>
        <w:t> </w:t>
      </w:r>
      <w:r>
        <w:rPr>
          <w:spacing w:val="-2"/>
        </w:rPr>
        <w:t>息网注册企业，多年来为国防军工提供定制和配套信息化嵌入式产品与服务，在装备保障、国防大数据、</w:t>
      </w:r>
      <w:r>
        <w:rPr>
          <w:spacing w:val="-21"/>
        </w:rPr>
        <w:t> </w:t>
      </w:r>
      <w:r>
        <w:rPr>
          <w:spacing w:val="-21"/>
        </w:rPr>
      </w:r>
      <w:r>
        <w:rPr>
          <w:spacing w:val="-2"/>
        </w:rPr>
        <w:t>智能平台、复杂通信等领域积累了丰富的经验，公司将继续深入实施军民融合发展战略，推动军民融合体</w:t>
      </w:r>
      <w:r>
        <w:rPr>
          <w:spacing w:val="-47"/>
        </w:rPr>
        <w:t> </w:t>
      </w:r>
      <w:r>
        <w:rPr>
          <w:spacing w:val="-47"/>
        </w:rPr>
      </w:r>
      <w:r>
        <w:rPr/>
        <w:t>系发展，协同技术创新应用，为军民建设提供强大科技支撑。</w:t>
      </w:r>
    </w:p>
    <w:p>
      <w:pPr>
        <w:pStyle w:val="Heading4"/>
        <w:spacing w:line="240" w:lineRule="auto" w:before="166"/>
        <w:ind w:left="575" w:right="1127"/>
        <w:jc w:val="left"/>
        <w:rPr>
          <w:b w:val="0"/>
          <w:bCs w:val="0"/>
        </w:rPr>
      </w:pPr>
      <w:bookmarkStart w:name="3、产业数字化发展的趋势与机遇" w:id="91"/>
      <w:bookmarkEnd w:id="91"/>
      <w:r>
        <w:rPr>
          <w:b w:val="0"/>
          <w:bCs w:val="0"/>
        </w:rPr>
      </w:r>
      <w:r>
        <w:rPr>
          <w:rFonts w:ascii="Times New Roman" w:hAnsi="Times New Roman" w:cs="Times New Roman" w:eastAsia="Times New Roman" w:hint="default"/>
        </w:rPr>
        <w:t>3</w:t>
      </w:r>
      <w:r>
        <w:rPr/>
        <w:t>、产业数字化发展的趋势与机遇</w:t>
      </w:r>
      <w:r>
        <w:rPr>
          <w:b w:val="0"/>
          <w:bCs w:val="0"/>
        </w:rPr>
      </w:r>
    </w:p>
    <w:p>
      <w:pPr>
        <w:spacing w:after="0" w:line="240" w:lineRule="auto"/>
        <w:jc w:val="left"/>
        <w:sectPr>
          <w:footerReference w:type="default" r:id="rId33"/>
          <w:pgSz w:w="11910" w:h="16840"/>
          <w:pgMar w:footer="1134" w:header="882" w:top="1280" w:bottom="1320" w:left="980" w:right="0"/>
        </w:sectPr>
      </w:pPr>
    </w:p>
    <w:p>
      <w:pPr>
        <w:spacing w:line="240" w:lineRule="auto" w:before="4"/>
        <w:rPr>
          <w:rFonts w:ascii="宋体" w:hAnsi="宋体" w:cs="宋体" w:eastAsia="宋体" w:hint="default"/>
          <w:b/>
          <w:bCs/>
          <w:sz w:val="13"/>
          <w:szCs w:val="13"/>
        </w:rPr>
      </w:pPr>
    </w:p>
    <w:p>
      <w:pPr>
        <w:pStyle w:val="BodyText"/>
        <w:spacing w:line="240" w:lineRule="auto" w:before="36"/>
        <w:ind w:right="0"/>
        <w:jc w:val="left"/>
      </w:pPr>
      <w:r>
        <w:rPr>
          <w:rFonts w:ascii="Times New Roman" w:hAnsi="Times New Roman" w:cs="Times New Roman" w:eastAsia="Times New Roman" w:hint="default"/>
        </w:rPr>
        <w:t>2019</w:t>
      </w:r>
      <w:r>
        <w:rPr/>
        <w:t>年第六届世界互联网大会成功召开，习近平主席在为本届大会的贺信中指出，今年是互联网诞生</w:t>
      </w:r>
    </w:p>
    <w:p>
      <w:pPr>
        <w:pStyle w:val="BodyText"/>
        <w:spacing w:line="391" w:lineRule="auto" w:before="177"/>
        <w:ind w:left="152" w:right="1128"/>
        <w:jc w:val="both"/>
      </w:pPr>
      <w:r>
        <w:rPr>
          <w:rFonts w:ascii="Times New Roman" w:hAnsi="Times New Roman" w:cs="Times New Roman" w:eastAsia="Times New Roman" w:hint="default"/>
          <w:spacing w:val="-2"/>
        </w:rPr>
        <w:t>50</w:t>
      </w:r>
      <w:r>
        <w:rPr>
          <w:spacing w:val="-2"/>
        </w:rPr>
        <w:t>周年，当前，新一轮科技革命和产业变革加速演进，人工智能、大数据、物联网等新技术新应用新业态</w:t>
      </w:r>
      <w:r>
        <w:rPr>
          <w:spacing w:val="-41"/>
        </w:rPr>
        <w:t> </w:t>
      </w:r>
      <w:r>
        <w:rPr>
          <w:spacing w:val="-41"/>
        </w:rPr>
      </w:r>
      <w:r>
        <w:rPr>
          <w:spacing w:val="-2"/>
        </w:rPr>
        <w:t>方兴未艾，互联网迎来了更加强劲的发展动能和更加广阔的发展空间。</w:t>
      </w:r>
      <w:r>
        <w:rPr>
          <w:rFonts w:ascii="Times New Roman" w:hAnsi="Times New Roman" w:cs="Times New Roman" w:eastAsia="Times New Roman" w:hint="default"/>
          <w:spacing w:val="-2"/>
        </w:rPr>
        <w:t>“</w:t>
      </w:r>
      <w:r>
        <w:rPr>
          <w:spacing w:val="-2"/>
        </w:rPr>
        <w:t>产业数字化</w:t>
      </w:r>
      <w:r>
        <w:rPr>
          <w:rFonts w:ascii="Times New Roman" w:hAnsi="Times New Roman" w:cs="Times New Roman" w:eastAsia="Times New Roman" w:hint="default"/>
          <w:spacing w:val="-2"/>
        </w:rPr>
        <w:t>”</w:t>
      </w:r>
      <w:r>
        <w:rPr>
          <w:spacing w:val="-2"/>
        </w:rPr>
        <w:t>已成为数字经济新阶</w:t>
      </w:r>
      <w:r>
        <w:rPr>
          <w:spacing w:val="-27"/>
        </w:rPr>
        <w:t> </w:t>
      </w:r>
      <w:r>
        <w:rPr>
          <w:spacing w:val="-27"/>
        </w:rPr>
      </w:r>
      <w:r>
        <w:rPr>
          <w:spacing w:val="-2"/>
        </w:rPr>
        <w:t>段的重要内容，新模式、新业态、新理念正在形成，并逐渐演变成全球产业数字化经济发展的</w:t>
      </w:r>
      <w:r>
        <w:rPr>
          <w:rFonts w:ascii="Times New Roman" w:hAnsi="Times New Roman" w:cs="Times New Roman" w:eastAsia="Times New Roman" w:hint="default"/>
          <w:spacing w:val="-2"/>
        </w:rPr>
        <w:t>“</w:t>
      </w:r>
      <w:r>
        <w:rPr>
          <w:spacing w:val="-2"/>
        </w:rPr>
        <w:t>新动能</w:t>
      </w:r>
      <w:r>
        <w:rPr>
          <w:rFonts w:ascii="Times New Roman" w:hAnsi="Times New Roman" w:cs="Times New Roman" w:eastAsia="Times New Roman" w:hint="default"/>
          <w:spacing w:val="-2"/>
        </w:rPr>
        <w:t>”</w:t>
      </w:r>
      <w:r>
        <w:rPr>
          <w:spacing w:val="-2"/>
        </w:rPr>
        <w:t>。</w:t>
      </w:r>
      <w:r>
        <w:rPr>
          <w:spacing w:val="-20"/>
        </w:rPr>
        <w:t> </w:t>
      </w:r>
      <w:r>
        <w:rPr>
          <w:spacing w:val="-2"/>
        </w:rPr>
        <w:t>促进数字经济和实体经济融合发展，加快新旧发展动能接续转换，打造新产业新业态，是未来产业发展的</w:t>
      </w:r>
      <w:r>
        <w:rPr>
          <w:spacing w:val="-48"/>
        </w:rPr>
        <w:t> </w:t>
      </w:r>
      <w:r>
        <w:rPr>
          <w:spacing w:val="-48"/>
        </w:rPr>
      </w:r>
      <w:r>
        <w:rPr/>
        <w:t>方向趋势。</w:t>
      </w:r>
    </w:p>
    <w:p>
      <w:pPr>
        <w:pStyle w:val="BodyText"/>
        <w:spacing w:line="408" w:lineRule="auto" w:before="61"/>
        <w:ind w:left="152" w:right="1128" w:firstLine="420"/>
        <w:jc w:val="both"/>
      </w:pPr>
      <w:r>
        <w:rPr>
          <w:spacing w:val="-2"/>
        </w:rPr>
        <w:t>随着物联网、移动互联网、云计算、数据仓库、信息安全等新一代信息技术的基础支撑，工业产业正</w:t>
      </w:r>
      <w:r>
        <w:rPr>
          <w:w w:val="100"/>
        </w:rPr>
        <w:t> </w:t>
      </w:r>
      <w:r>
        <w:rPr>
          <w:spacing w:val="-2"/>
        </w:rPr>
        <w:t>在朝着全面信息化、数字化、智能化方向发展。通过数字技术的深入运用，构建一个全感知、全联接、全</w:t>
      </w:r>
      <w:r>
        <w:rPr>
          <w:spacing w:val="-45"/>
        </w:rPr>
        <w:t> </w:t>
      </w:r>
      <w:r>
        <w:rPr>
          <w:spacing w:val="-45"/>
        </w:rPr>
      </w:r>
      <w:r>
        <w:rPr>
          <w:spacing w:val="-2"/>
        </w:rPr>
        <w:t>场景、全智能的数字世界，进而优化再造物理世界的业务，对传统管理模式、业务模式、商业模式进行创</w:t>
      </w:r>
      <w:r>
        <w:rPr>
          <w:spacing w:val="-43"/>
        </w:rPr>
        <w:t> </w:t>
      </w:r>
      <w:r>
        <w:rPr>
          <w:spacing w:val="-43"/>
        </w:rPr>
      </w:r>
      <w:r>
        <w:rPr>
          <w:spacing w:val="-2"/>
        </w:rPr>
        <w:t>新和重塑，实现业务成功。数字化转型本质上是业务转型，数字化转型本质上是信息技术驱动下的一场业</w:t>
      </w:r>
      <w:r>
        <w:rPr>
          <w:spacing w:val="-44"/>
        </w:rPr>
        <w:t> </w:t>
      </w:r>
      <w:r>
        <w:rPr>
          <w:spacing w:val="-44"/>
        </w:rPr>
      </w:r>
      <w:r>
        <w:rPr/>
        <w:t>务、管理和商业模式的深度变革重构，技术是支点，业务是内核。</w:t>
      </w:r>
    </w:p>
    <w:p>
      <w:pPr>
        <w:pStyle w:val="BodyText"/>
        <w:spacing w:line="408" w:lineRule="auto" w:before="46"/>
        <w:ind w:left="152" w:right="1107" w:firstLine="420"/>
        <w:jc w:val="both"/>
      </w:pPr>
      <w:r>
        <w:rPr>
          <w:spacing w:val="-2"/>
        </w:rPr>
        <w:t>数字化已经逐渐融入到各个行业当中，在两化融合战略的带动下，嵌入式技术与自动化技术、现代管</w:t>
      </w:r>
      <w:r>
        <w:rPr>
          <w:w w:val="100"/>
        </w:rPr>
        <w:t> </w:t>
      </w:r>
      <w:r>
        <w:rPr>
          <w:spacing w:val="-2"/>
        </w:rPr>
        <w:t>理技术、制造技术互相渗透力度正在加大。公司将结合自身技术、产品、平台优势，在城市管理智能化、</w:t>
      </w:r>
      <w:r>
        <w:rPr>
          <w:spacing w:val="-21"/>
        </w:rPr>
        <w:t> </w:t>
      </w:r>
      <w:r>
        <w:rPr>
          <w:spacing w:val="-21"/>
        </w:rPr>
      </w:r>
      <w:r>
        <w:rPr>
          <w:spacing w:val="-2"/>
        </w:rPr>
        <w:t>生产过程控制智能化、制造装备数字化、金融及物流服务信息化的变革中，通过数字智能服务发挥企业的</w:t>
      </w:r>
      <w:r>
        <w:rPr>
          <w:spacing w:val="-44"/>
        </w:rPr>
        <w:t> </w:t>
      </w:r>
      <w:r>
        <w:rPr>
          <w:spacing w:val="-44"/>
        </w:rPr>
      </w:r>
      <w:r>
        <w:rPr/>
        <w:t>巨大价值。</w:t>
      </w:r>
    </w:p>
    <w:p>
      <w:pPr>
        <w:spacing w:line="484" w:lineRule="auto" w:before="166"/>
        <w:ind w:left="572" w:right="1127" w:firstLine="2"/>
        <w:jc w:val="left"/>
        <w:rPr>
          <w:rFonts w:ascii="宋体" w:hAnsi="宋体" w:cs="宋体" w:eastAsia="宋体" w:hint="default"/>
          <w:sz w:val="21"/>
          <w:szCs w:val="21"/>
        </w:rPr>
      </w:pPr>
      <w:bookmarkStart w:name="4、嵌入式技术发展的趋势与机遇" w:id="92"/>
      <w:bookmarkEnd w:id="9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、嵌入式技术发展的趋势与机遇</w:t>
      </w:r>
      <w:r>
        <w:rPr>
          <w:rFonts w:ascii="宋体" w:hAnsi="宋体" w:cs="宋体" w:eastAsia="宋体" w:hint="default"/>
          <w:b/>
          <w:bCs/>
          <w:w w:val="100"/>
          <w:sz w:val="21"/>
          <w:szCs w:val="21"/>
        </w:rPr>
        <w:t> </w:t>
      </w:r>
      <w:r>
        <w:rPr>
          <w:rFonts w:ascii="宋体" w:hAnsi="宋体" w:cs="宋体" w:eastAsia="宋体" w:hint="default"/>
          <w:spacing w:val="-2"/>
          <w:sz w:val="21"/>
          <w:szCs w:val="21"/>
        </w:rPr>
        <w:t>随着科学技术的发展，嵌入式系统的应用几乎无处不在，制造工业、过程控制、网络、通讯、仪器、</w:t>
      </w:r>
    </w:p>
    <w:p>
      <w:pPr>
        <w:pStyle w:val="BodyText"/>
        <w:spacing w:line="254" w:lineRule="exact"/>
        <w:ind w:left="152" w:right="0"/>
        <w:jc w:val="left"/>
      </w:pPr>
      <w:r>
        <w:rPr/>
        <w:t>仪表、汽车、船舶、航空、航天、军事装备、消费类产品等均是嵌入式系统的应用领域。凭借其体积小、</w:t>
      </w:r>
    </w:p>
    <w:p>
      <w:pPr>
        <w:spacing w:line="240" w:lineRule="auto" w:before="10"/>
        <w:rPr>
          <w:rFonts w:ascii="宋体" w:hAnsi="宋体" w:cs="宋体" w:eastAsia="宋体" w:hint="default"/>
          <w:sz w:val="14"/>
          <w:szCs w:val="14"/>
        </w:rPr>
      </w:pPr>
    </w:p>
    <w:p>
      <w:pPr>
        <w:pStyle w:val="BodyText"/>
        <w:spacing w:line="398" w:lineRule="auto"/>
        <w:ind w:left="152" w:right="1022"/>
        <w:jc w:val="left"/>
      </w:pPr>
      <w:r>
        <w:rPr>
          <w:spacing w:val="-2"/>
        </w:rPr>
        <w:t>可靠性高、功能强、灵活方便等许多优点，嵌入式系统对各行各业的技术改造、产品更新换代、自动化进</w:t>
      </w:r>
      <w:r>
        <w:rPr>
          <w:spacing w:val="-43"/>
        </w:rPr>
        <w:t> </w:t>
      </w:r>
      <w:r>
        <w:rPr>
          <w:spacing w:val="-43"/>
        </w:rPr>
      </w:r>
      <w:r>
        <w:rPr>
          <w:spacing w:val="-4"/>
        </w:rPr>
        <w:t>程加速、生产率提高等方面起到了极其重要的推动作用，我们可以把嵌入式系统称为是构成未来世界的</w:t>
      </w:r>
      <w:r>
        <w:rPr>
          <w:rFonts w:ascii="Times New Roman" w:hAnsi="Times New Roman" w:cs="Times New Roman" w:eastAsia="Times New Roman" w:hint="default"/>
          <w:spacing w:val="-4"/>
        </w:rPr>
        <w:t>“</w:t>
      </w:r>
      <w:r>
        <w:rPr>
          <w:spacing w:val="-4"/>
        </w:rPr>
        <w:t>数</w:t>
      </w:r>
      <w:r>
        <w:rPr>
          <w:spacing w:val="-40"/>
        </w:rPr>
        <w:t> </w:t>
      </w:r>
      <w:r>
        <w:rPr>
          <w:spacing w:val="-2"/>
        </w:rPr>
        <w:t>字基因</w:t>
      </w:r>
      <w:r>
        <w:rPr>
          <w:rFonts w:ascii="Times New Roman" w:hAnsi="Times New Roman" w:cs="Times New Roman" w:eastAsia="Times New Roman" w:hint="default"/>
          <w:spacing w:val="-2"/>
        </w:rPr>
        <w:t>”</w:t>
      </w:r>
      <w:r>
        <w:rPr>
          <w:spacing w:val="-2"/>
        </w:rPr>
        <w:t>。目前，随着硬件设备爆炸式增长及其对信息处理需求的提高，嵌入式系统正在从传统的弱计算、</w:t>
      </w:r>
      <w:r>
        <w:rPr>
          <w:spacing w:val="-30"/>
        </w:rPr>
        <w:t> </w:t>
      </w:r>
      <w:r>
        <w:rPr>
          <w:spacing w:val="-30"/>
        </w:rPr>
      </w:r>
      <w:r>
        <w:rPr>
          <w:spacing w:val="-2"/>
        </w:rPr>
        <w:t>弱控制、弱通信向具备更强能力的信息物理系统转变。信息物理系统是集计算、通信与控制于一体的下一</w:t>
      </w:r>
      <w:r>
        <w:rPr>
          <w:spacing w:val="-42"/>
        </w:rPr>
        <w:t> </w:t>
      </w:r>
      <w:r>
        <w:rPr>
          <w:spacing w:val="-42"/>
        </w:rPr>
      </w:r>
      <w:r>
        <w:rPr>
          <w:spacing w:val="-2"/>
        </w:rPr>
        <w:t>代智能系统，通过人机交互接口实现和物理进程的交互，使用网络化空间以远程的、可靠的、实时的、安</w:t>
      </w:r>
      <w:r>
        <w:rPr>
          <w:spacing w:val="-43"/>
        </w:rPr>
        <w:t> </w:t>
      </w:r>
      <w:r>
        <w:rPr>
          <w:spacing w:val="-43"/>
        </w:rPr>
      </w:r>
      <w:r>
        <w:rPr>
          <w:spacing w:val="-2"/>
        </w:rPr>
        <w:t>全的、协作的方式操控一个物理实体，即形成信息采集</w:t>
      </w:r>
      <w:r>
        <w:rPr>
          <w:rFonts w:ascii="Times New Roman" w:hAnsi="Times New Roman" w:cs="Times New Roman" w:eastAsia="Times New Roman" w:hint="default"/>
          <w:spacing w:val="-2"/>
        </w:rPr>
        <w:t>—</w:t>
      </w:r>
      <w:r>
        <w:rPr>
          <w:spacing w:val="-2"/>
        </w:rPr>
        <w:t>传输</w:t>
      </w:r>
      <w:r>
        <w:rPr>
          <w:rFonts w:ascii="Times New Roman" w:hAnsi="Times New Roman" w:cs="Times New Roman" w:eastAsia="Times New Roman" w:hint="default"/>
          <w:spacing w:val="-2"/>
        </w:rPr>
        <w:t>—</w:t>
      </w:r>
      <w:r>
        <w:rPr>
          <w:spacing w:val="-2"/>
        </w:rPr>
        <w:t>处理</w:t>
      </w:r>
      <w:r>
        <w:rPr>
          <w:rFonts w:ascii="Times New Roman" w:hAnsi="Times New Roman" w:cs="Times New Roman" w:eastAsia="Times New Roman" w:hint="default"/>
          <w:spacing w:val="-2"/>
        </w:rPr>
        <w:t>—</w:t>
      </w:r>
      <w:r>
        <w:rPr>
          <w:spacing w:val="-2"/>
        </w:rPr>
        <w:t>控制的闭环智能系统。如同互联网</w:t>
      </w:r>
      <w:r>
        <w:rPr>
          <w:spacing w:val="-48"/>
        </w:rPr>
        <w:t> </w:t>
      </w:r>
      <w:r>
        <w:rPr>
          <w:spacing w:val="-48"/>
        </w:rPr>
      </w:r>
      <w:r>
        <w:rPr>
          <w:spacing w:val="-2"/>
        </w:rPr>
        <w:t>改变了人与人的通信和互动方式一样，嵌入式系统和其更高形态的信息物理系统，将会改变物理空间与信</w:t>
      </w:r>
      <w:r>
        <w:rPr>
          <w:spacing w:val="-42"/>
        </w:rPr>
        <w:t> </w:t>
      </w:r>
      <w:r>
        <w:rPr>
          <w:spacing w:val="-42"/>
        </w:rPr>
      </w:r>
      <w:r>
        <w:rPr>
          <w:spacing w:val="-2"/>
        </w:rPr>
        <w:t>息空间、以及物理空间与物理空间、信息空间与信息空间之间的通信和互动方式，为我们提供无限的发展</w:t>
      </w:r>
      <w:r>
        <w:rPr>
          <w:spacing w:val="-44"/>
        </w:rPr>
        <w:t> </w:t>
      </w:r>
      <w:r>
        <w:rPr>
          <w:spacing w:val="-44"/>
        </w:rPr>
      </w:r>
      <w:r>
        <w:rPr>
          <w:spacing w:val="-4"/>
        </w:rPr>
        <w:t>空间，从而极大地提高汽车、航空航天、国防、工业自动化、健康</w:t>
      </w:r>
      <w:r>
        <w:rPr>
          <w:rFonts w:ascii="Times New Roman" w:hAnsi="Times New Roman" w:cs="Times New Roman" w:eastAsia="Times New Roman" w:hint="default"/>
          <w:spacing w:val="-4"/>
        </w:rPr>
        <w:t>/</w:t>
      </w:r>
      <w:r>
        <w:rPr>
          <w:spacing w:val="-4"/>
        </w:rPr>
        <w:t>医疗设备、重大基础设施等主要工业领</w:t>
      </w:r>
      <w:r>
        <w:rPr>
          <w:spacing w:val="-9"/>
        </w:rPr>
        <w:t> </w:t>
      </w:r>
      <w:r>
        <w:rPr>
          <w:spacing w:val="-9"/>
        </w:rPr>
      </w:r>
      <w:r>
        <w:rPr/>
        <w:t>域的竞争力。</w:t>
      </w:r>
    </w:p>
    <w:p>
      <w:pPr>
        <w:pStyle w:val="BodyText"/>
        <w:spacing w:line="240" w:lineRule="auto" w:before="54"/>
        <w:ind w:left="573" w:right="0"/>
        <w:jc w:val="left"/>
      </w:pPr>
      <w:r>
        <w:rPr/>
        <w:t>未来几年，由于大飞机、高铁等国家重点项目测试与量产装备的需求加大，我国嵌入式系统测试市场</w:t>
      </w:r>
    </w:p>
    <w:p>
      <w:pPr>
        <w:spacing w:after="0" w:line="240" w:lineRule="auto"/>
        <w:jc w:val="left"/>
        <w:sectPr>
          <w:footerReference w:type="default" r:id="rId34"/>
          <w:pgSz w:w="11910" w:h="16840"/>
          <w:pgMar w:footer="1134" w:header="882" w:top="1280" w:bottom="1320" w:left="980" w:right="0"/>
          <w:pgNumType w:start="51"/>
        </w:sectPr>
      </w:pPr>
    </w:p>
    <w:p>
      <w:pPr>
        <w:spacing w:line="240" w:lineRule="auto" w:before="4"/>
        <w:rPr>
          <w:rFonts w:ascii="宋体" w:hAnsi="宋体" w:cs="宋体" w:eastAsia="宋体" w:hint="default"/>
          <w:sz w:val="13"/>
          <w:szCs w:val="13"/>
        </w:rPr>
      </w:pPr>
    </w:p>
    <w:p>
      <w:pPr>
        <w:pStyle w:val="BodyText"/>
        <w:spacing w:line="408" w:lineRule="auto" w:before="36"/>
        <w:ind w:left="152" w:right="1128"/>
        <w:jc w:val="both"/>
      </w:pPr>
      <w:r>
        <w:rPr>
          <w:spacing w:val="-2"/>
        </w:rPr>
        <w:t>仍将快速增长。嵌入式产业的发展重点出现了由重视嵌入式基础软硬件向重视嵌入式技术的行业化应用渗</w:t>
      </w:r>
      <w:r>
        <w:rPr>
          <w:spacing w:val="-43"/>
        </w:rPr>
        <w:t> </w:t>
      </w:r>
      <w:r>
        <w:rPr>
          <w:spacing w:val="-43"/>
        </w:rPr>
      </w:r>
      <w:r>
        <w:rPr>
          <w:spacing w:val="-2"/>
        </w:rPr>
        <w:t>透的趋势，公司作为国内嵌入式系统测试的领军企业，将在国防军工和其他关键行业的嵌入式测试获得较</w:t>
      </w:r>
      <w:r>
        <w:rPr>
          <w:spacing w:val="-42"/>
        </w:rPr>
        <w:t> </w:t>
      </w:r>
      <w:r>
        <w:rPr>
          <w:spacing w:val="-42"/>
        </w:rPr>
      </w:r>
      <w:r>
        <w:rPr/>
        <w:t>大的市场份额。</w:t>
      </w:r>
    </w:p>
    <w:p>
      <w:pPr>
        <w:spacing w:line="484" w:lineRule="auto" w:before="166"/>
        <w:ind w:left="572" w:right="1127" w:firstLine="2"/>
        <w:jc w:val="left"/>
        <w:rPr>
          <w:rFonts w:ascii="宋体" w:hAnsi="宋体" w:cs="宋体" w:eastAsia="宋体" w:hint="default"/>
          <w:sz w:val="21"/>
          <w:szCs w:val="21"/>
        </w:rPr>
      </w:pPr>
      <w:bookmarkStart w:name="5、税务信息化发展的趋势与机遇" w:id="93"/>
      <w:bookmarkEnd w:id="9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、税务信息化发展的趋势与机遇</w:t>
      </w:r>
      <w:r>
        <w:rPr>
          <w:rFonts w:ascii="宋体" w:hAnsi="宋体" w:cs="宋体" w:eastAsia="宋体" w:hint="default"/>
          <w:b/>
          <w:bCs/>
          <w:w w:val="100"/>
          <w:sz w:val="21"/>
          <w:szCs w:val="21"/>
        </w:rPr>
        <w:t> </w:t>
      </w:r>
      <w:r>
        <w:rPr>
          <w:rFonts w:ascii="宋体" w:hAnsi="宋体" w:cs="宋体" w:eastAsia="宋体" w:hint="default"/>
          <w:spacing w:val="-2"/>
          <w:sz w:val="21"/>
          <w:szCs w:val="21"/>
        </w:rPr>
        <w:t>税务信息化的发展趋势不仅是提供优质的税务信息化产品，更是要提供优质的税务信息化服务，在万</w:t>
      </w:r>
    </w:p>
    <w:p>
      <w:pPr>
        <w:pStyle w:val="BodyText"/>
        <w:spacing w:line="270" w:lineRule="exact"/>
        <w:ind w:left="152" w:right="1127"/>
        <w:jc w:val="left"/>
      </w:pPr>
      <w:r>
        <w:rPr/>
        <w:t>物互联的大趋势下，</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税务</w:t>
      </w:r>
      <w:r>
        <w:rPr>
          <w:rFonts w:ascii="Times New Roman" w:hAnsi="Times New Roman" w:cs="Times New Roman" w:eastAsia="Times New Roman" w:hint="default"/>
        </w:rPr>
        <w:t>”</w:t>
      </w:r>
      <w:r>
        <w:rPr/>
        <w:t>思维和不断出现的互联网新技术，为税务机关加强信息管税能力、推</w:t>
      </w:r>
    </w:p>
    <w:p>
      <w:pPr>
        <w:pStyle w:val="BodyText"/>
        <w:spacing w:line="400" w:lineRule="auto" w:before="177"/>
        <w:ind w:left="152" w:right="0"/>
        <w:jc w:val="left"/>
      </w:pPr>
      <w:r>
        <w:rPr>
          <w:spacing w:val="-2"/>
        </w:rPr>
        <w:t>进税务信息化提供了无限的想象和创新空间。</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税务</w:t>
      </w:r>
      <w:r>
        <w:rPr>
          <w:rFonts w:ascii="Times New Roman" w:hAnsi="Times New Roman" w:cs="Times New Roman" w:eastAsia="Times New Roman" w:hint="default"/>
          <w:spacing w:val="-2"/>
        </w:rPr>
        <w:t>”</w:t>
      </w:r>
      <w:r>
        <w:rPr>
          <w:spacing w:val="-2"/>
        </w:rPr>
        <w:t>是把互联网的创新成果与税收工作深度融合，</w:t>
      </w:r>
      <w:r>
        <w:rPr>
          <w:spacing w:val="-33"/>
        </w:rPr>
        <w:t> </w:t>
      </w:r>
      <w:r>
        <w:rPr>
          <w:spacing w:val="-33"/>
        </w:rPr>
      </w:r>
      <w:r>
        <w:rPr>
          <w:spacing w:val="-2"/>
        </w:rPr>
        <w:t>拓展信息化应用领域，推动效率提升和管理变革，是实现税收现代化的必由之路。税务信息化的发展即就</w:t>
      </w:r>
      <w:r>
        <w:rPr>
          <w:spacing w:val="-44"/>
        </w:rPr>
        <w:t> </w:t>
      </w:r>
      <w:r>
        <w:rPr>
          <w:spacing w:val="-44"/>
        </w:rPr>
      </w:r>
      <w:r>
        <w:rPr/>
        <w:t>是通过信息化手段配合国税总局简化办税、强化服务的</w:t>
      </w:r>
      <w:r>
        <w:rPr>
          <w:rFonts w:ascii="Times New Roman" w:hAnsi="Times New Roman" w:cs="Times New Roman" w:eastAsia="Times New Roman" w:hint="default"/>
        </w:rPr>
        <w:t>“</w:t>
      </w:r>
      <w:r>
        <w:rPr/>
        <w:t>放管服</w:t>
      </w:r>
      <w:r>
        <w:rPr>
          <w:rFonts w:ascii="Times New Roman" w:hAnsi="Times New Roman" w:cs="Times New Roman" w:eastAsia="Times New Roman" w:hint="default"/>
        </w:rPr>
        <w:t>”</w:t>
      </w:r>
      <w:r>
        <w:rPr/>
        <w:t>要求，通过网上办税、互联网税务等为纳</w:t>
      </w:r>
      <w:r>
        <w:rPr>
          <w:w w:val="100"/>
        </w:rPr>
        <w:t> </w:t>
      </w:r>
      <w:r>
        <w:rPr/>
        <w:t>税户提供更好的服务，为税务部门工作提供便利从而达到更高的效率。税务信息化将与财务信息化联动，</w:t>
      </w:r>
      <w:r>
        <w:rPr>
          <w:w w:val="100"/>
        </w:rPr>
        <w:t> </w:t>
      </w:r>
      <w:r>
        <w:rPr>
          <w:spacing w:val="-2"/>
        </w:rPr>
        <w:t>形成整体的财税服务生态体系，提高国家财税管理效率和财税服务效率，优化企业财税业务实施、税收筹</w:t>
      </w:r>
      <w:r>
        <w:rPr>
          <w:spacing w:val="-48"/>
        </w:rPr>
        <w:t> </w:t>
      </w:r>
      <w:r>
        <w:rPr>
          <w:spacing w:val="-48"/>
        </w:rPr>
      </w:r>
      <w:r>
        <w:rPr/>
        <w:t>划等体验，提高国家和企业的竞争力。</w:t>
      </w:r>
    </w:p>
    <w:p>
      <w:pPr>
        <w:pStyle w:val="BodyText"/>
        <w:spacing w:line="393" w:lineRule="auto" w:before="52"/>
        <w:ind w:left="152" w:right="1128" w:firstLine="419"/>
        <w:jc w:val="both"/>
      </w:pPr>
      <w:r>
        <w:rPr>
          <w:spacing w:val="-4"/>
        </w:rPr>
        <w:t>公司依托多年的税务信息化产品研发积累，紧跟</w:t>
      </w:r>
      <w:r>
        <w:rPr>
          <w:rFonts w:ascii="Times New Roman" w:hAnsi="Times New Roman" w:cs="Times New Roman" w:eastAsia="Times New Roman" w:hint="default"/>
          <w:spacing w:val="-4"/>
        </w:rPr>
        <w:t>5G</w:t>
      </w:r>
      <w:r>
        <w:rPr>
          <w:spacing w:val="-4"/>
        </w:rPr>
        <w:t>通信、人工智能、区块链等技术发展趋势，紧抓企</w:t>
      </w:r>
      <w:r>
        <w:rPr>
          <w:spacing w:val="-3"/>
          <w:w w:val="100"/>
        </w:rPr>
        <w:t> </w:t>
      </w:r>
      <w:r>
        <w:rPr>
          <w:spacing w:val="-2"/>
        </w:rPr>
        <w:t>业端和税局端两大税务信息化服务对象，重点布局企业财税一体化服务和税局端智慧办税大厅，公司将不</w:t>
      </w:r>
      <w:r>
        <w:rPr>
          <w:spacing w:val="-42"/>
        </w:rPr>
        <w:t> </w:t>
      </w:r>
      <w:r>
        <w:rPr>
          <w:spacing w:val="-42"/>
        </w:rPr>
      </w:r>
      <w:r>
        <w:rPr>
          <w:spacing w:val="-2"/>
        </w:rPr>
        <w:t>断完善涉税产业链，打造</w:t>
      </w:r>
      <w:r>
        <w:rPr>
          <w:rFonts w:ascii="Times New Roman" w:hAnsi="Times New Roman" w:cs="Times New Roman" w:eastAsia="Times New Roman" w:hint="default"/>
          <w:spacing w:val="-2"/>
        </w:rPr>
        <w:t>“</w:t>
      </w:r>
      <w:r>
        <w:rPr>
          <w:spacing w:val="-2"/>
        </w:rPr>
        <w:t>服务</w:t>
      </w:r>
      <w:r>
        <w:rPr>
          <w:rFonts w:ascii="Times New Roman" w:hAnsi="Times New Roman" w:cs="Times New Roman" w:eastAsia="Times New Roman" w:hint="default"/>
          <w:spacing w:val="-2"/>
        </w:rPr>
        <w:t>+</w:t>
      </w:r>
      <w:r>
        <w:rPr>
          <w:spacing w:val="-2"/>
        </w:rPr>
        <w:t>产品</w:t>
      </w:r>
      <w:r>
        <w:rPr>
          <w:rFonts w:ascii="Times New Roman" w:hAnsi="Times New Roman" w:cs="Times New Roman" w:eastAsia="Times New Roman" w:hint="default"/>
          <w:spacing w:val="-2"/>
        </w:rPr>
        <w:t>+</w:t>
      </w:r>
      <w:r>
        <w:rPr>
          <w:spacing w:val="-2"/>
        </w:rPr>
        <w:t>云平台</w:t>
      </w:r>
      <w:r>
        <w:rPr>
          <w:rFonts w:ascii="Times New Roman" w:hAnsi="Times New Roman" w:cs="Times New Roman" w:eastAsia="Times New Roman" w:hint="default"/>
          <w:spacing w:val="-2"/>
        </w:rPr>
        <w:t>”</w:t>
      </w:r>
      <w:r>
        <w:rPr>
          <w:spacing w:val="-2"/>
        </w:rPr>
        <w:t>的生态型财税服务体系，不断推陈出新，做好基础服务，拓</w:t>
      </w:r>
      <w:r>
        <w:rPr>
          <w:spacing w:val="-48"/>
        </w:rPr>
        <w:t> </w:t>
      </w:r>
      <w:r>
        <w:rPr>
          <w:spacing w:val="-48"/>
        </w:rPr>
      </w:r>
      <w:r>
        <w:rPr/>
        <w:t>展增值服务，将以更具竞争力的创新产品和服务进一步扩大税务信息化市场份额。</w:t>
      </w:r>
    </w:p>
    <w:p>
      <w:pPr>
        <w:spacing w:line="484" w:lineRule="auto" w:before="178"/>
        <w:ind w:left="572" w:right="0" w:firstLine="2"/>
        <w:jc w:val="left"/>
        <w:rPr>
          <w:rFonts w:ascii="宋体" w:hAnsi="宋体" w:cs="宋体" w:eastAsia="宋体" w:hint="default"/>
          <w:sz w:val="21"/>
          <w:szCs w:val="21"/>
        </w:rPr>
      </w:pPr>
      <w:bookmarkStart w:name="6、新型智慧城市发展的趋势与机遇" w:id="94"/>
      <w:bookmarkEnd w:id="94"/>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、新型智慧城市发展的趋势与机遇</w:t>
      </w:r>
      <w:r>
        <w:rPr>
          <w:rFonts w:ascii="宋体" w:hAnsi="宋体" w:cs="宋体" w:eastAsia="宋体" w:hint="default"/>
          <w:b/>
          <w:bCs/>
          <w:w w:val="100"/>
          <w:sz w:val="21"/>
          <w:szCs w:val="21"/>
        </w:rPr>
        <w:t> </w:t>
      </w:r>
      <w:r>
        <w:rPr>
          <w:rFonts w:ascii="宋体" w:hAnsi="宋体" w:cs="宋体" w:eastAsia="宋体" w:hint="default"/>
          <w:spacing w:val="-5"/>
          <w:sz w:val="21"/>
          <w:szCs w:val="21"/>
        </w:rPr>
        <w:t>当前，我国正处于全面建成小康社会的关键阶段，智慧城市、智慧社会的建设发展仍面临着巨大挑战。</w:t>
      </w:r>
    </w:p>
    <w:p>
      <w:pPr>
        <w:pStyle w:val="BodyText"/>
        <w:spacing w:line="270" w:lineRule="exact"/>
        <w:ind w:left="152" w:right="0"/>
        <w:jc w:val="left"/>
      </w:pPr>
      <w:r>
        <w:rPr/>
        <w:t>党的十九大报告提出的</w:t>
      </w:r>
      <w:r>
        <w:rPr>
          <w:rFonts w:ascii="Times New Roman" w:hAnsi="Times New Roman" w:cs="Times New Roman" w:eastAsia="Times New Roman" w:hint="default"/>
        </w:rPr>
        <w:t>“</w:t>
      </w:r>
      <w:r>
        <w:rPr/>
        <w:t>数字中国</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智慧社会</w:t>
      </w:r>
      <w:r>
        <w:rPr>
          <w:rFonts w:ascii="Times New Roman" w:hAnsi="Times New Roman" w:cs="Times New Roman" w:eastAsia="Times New Roman" w:hint="default"/>
        </w:rPr>
        <w:t>”</w:t>
      </w:r>
      <w:r>
        <w:rPr/>
        <w:t>是新型智慧城市发展历程中具有里程碑意义的概念，为新</w:t>
      </w:r>
    </w:p>
    <w:p>
      <w:pPr>
        <w:pStyle w:val="BodyText"/>
        <w:spacing w:line="393" w:lineRule="auto" w:before="177"/>
        <w:ind w:left="152" w:right="1023"/>
        <w:jc w:val="left"/>
      </w:pPr>
      <w:r>
        <w:rPr/>
        <w:t>型智慧城市的建设发展指明了方向。随着</w:t>
      </w: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t>概念在高级别机构文件与会议上反复被提及，国内政</w:t>
      </w:r>
      <w:r>
        <w:rPr>
          <w:spacing w:val="-3"/>
          <w:w w:val="100"/>
        </w:rPr>
        <w:t> </w:t>
      </w:r>
      <w:r>
        <w:rPr>
          <w:spacing w:val="-3"/>
        </w:rPr>
        <w:t>策红利进一步释放，资金大量涌入，智慧城市产业将迎来新的发展高潮。一方面，数据智能是智慧城市的</w:t>
      </w:r>
      <w:r>
        <w:rPr>
          <w:spacing w:val="-6"/>
        </w:rPr>
        <w:t> </w:t>
      </w:r>
      <w:r>
        <w:rPr>
          <w:spacing w:val="-6"/>
        </w:rPr>
      </w:r>
      <w:r>
        <w:rPr>
          <w:spacing w:val="-3"/>
        </w:rPr>
        <w:t>首要诉求，而云计算、大数据、量子计算、物联网、</w:t>
      </w:r>
      <w:r>
        <w:rPr>
          <w:rFonts w:ascii="Times New Roman" w:hAnsi="Times New Roman" w:cs="Times New Roman" w:eastAsia="Times New Roman" w:hint="default"/>
          <w:spacing w:val="-3"/>
        </w:rPr>
        <w:t>5G</w:t>
      </w:r>
      <w:r>
        <w:rPr>
          <w:spacing w:val="-3"/>
        </w:rPr>
        <w:t>、人工智能带来的数据技术红利，将对新型智慧城</w:t>
      </w:r>
      <w:r>
        <w:rPr>
          <w:spacing w:val="-47"/>
        </w:rPr>
        <w:t> </w:t>
      </w:r>
      <w:r>
        <w:rPr>
          <w:spacing w:val="-47"/>
        </w:rPr>
      </w:r>
      <w:r>
        <w:rPr>
          <w:spacing w:val="-2"/>
        </w:rPr>
        <w:t>市的建设发挥重要作用。另一方面，基于大数据的智慧城市运营机制，未来围绕政府治理、治安防务、企</w:t>
      </w:r>
      <w:r>
        <w:rPr>
          <w:spacing w:val="-43"/>
        </w:rPr>
        <w:t> </w:t>
      </w:r>
      <w:r>
        <w:rPr>
          <w:spacing w:val="-43"/>
        </w:rPr>
      </w:r>
      <w:r>
        <w:rPr>
          <w:spacing w:val="-2"/>
        </w:rPr>
        <w:t>业服务、园区节能、社区服务、新型电子商务、各类</w:t>
      </w:r>
      <w:r>
        <w:rPr>
          <w:rFonts w:ascii="Times New Roman" w:hAnsi="Times New Roman" w:cs="Times New Roman" w:eastAsia="Times New Roman" w:hint="default"/>
          <w:spacing w:val="-2"/>
        </w:rPr>
        <w:t>“</w:t>
      </w:r>
      <w:r>
        <w:rPr>
          <w:spacing w:val="-2"/>
        </w:rPr>
        <w:t>智能</w:t>
      </w:r>
      <w:r>
        <w:rPr>
          <w:rFonts w:ascii="Times New Roman" w:hAnsi="Times New Roman" w:cs="Times New Roman" w:eastAsia="Times New Roman" w:hint="default"/>
          <w:spacing w:val="-2"/>
        </w:rPr>
        <w:t>+”</w:t>
      </w:r>
      <w:r>
        <w:rPr>
          <w:spacing w:val="-2"/>
        </w:rPr>
        <w:t>等，智慧城市将催生大量的新兴服务业形态，</w:t>
      </w:r>
      <w:r>
        <w:rPr>
          <w:spacing w:val="-31"/>
        </w:rPr>
        <w:t> </w:t>
      </w:r>
      <w:r>
        <w:rPr>
          <w:spacing w:val="-31"/>
        </w:rPr>
      </w:r>
      <w:r>
        <w:rPr>
          <w:spacing w:val="-4"/>
        </w:rPr>
        <w:t>增加其价值，并形成积极的反馈，进一步推动智慧城市业务的发展。主流机构预计</w:t>
      </w:r>
      <w:r>
        <w:rPr>
          <w:rFonts w:ascii="Times New Roman" w:hAnsi="Times New Roman" w:cs="Times New Roman" w:eastAsia="Times New Roman" w:hint="default"/>
          <w:spacing w:val="-4"/>
        </w:rPr>
        <w:t>2019-2023</w:t>
      </w:r>
      <w:r>
        <w:rPr>
          <w:spacing w:val="-4"/>
        </w:rPr>
        <w:t>年年均复合增</w:t>
      </w:r>
      <w:r>
        <w:rPr>
          <w:spacing w:val="-3"/>
        </w:rPr>
        <w:t> </w:t>
      </w:r>
      <w:r>
        <w:rPr>
          <w:spacing w:val="-3"/>
        </w:rPr>
      </w:r>
      <w:r>
        <w:rPr/>
        <w:t>长率约为</w:t>
      </w:r>
      <w:r>
        <w:rPr>
          <w:rFonts w:ascii="Times New Roman" w:hAnsi="Times New Roman" w:cs="Times New Roman" w:eastAsia="Times New Roman" w:hint="default"/>
        </w:rPr>
        <w:t>33.38%</w:t>
      </w:r>
      <w:r>
        <w:rPr/>
        <w:t>，并预测</w:t>
      </w:r>
      <w:r>
        <w:rPr>
          <w:rFonts w:ascii="Times New Roman" w:hAnsi="Times New Roman" w:cs="Times New Roman" w:eastAsia="Times New Roman" w:hint="default"/>
        </w:rPr>
        <w:t>2023</w:t>
      </w:r>
      <w:r>
        <w:rPr/>
        <w:t>年中国智慧城市市场规模将达到</w:t>
      </w:r>
      <w:r>
        <w:rPr>
          <w:rFonts w:ascii="Times New Roman" w:hAnsi="Times New Roman" w:cs="Times New Roman" w:eastAsia="Times New Roman" w:hint="default"/>
        </w:rPr>
        <w:t>25</w:t>
      </w:r>
      <w:r>
        <w:rPr/>
        <w:t>万亿元。</w:t>
      </w:r>
    </w:p>
    <w:p>
      <w:pPr>
        <w:pStyle w:val="BodyText"/>
        <w:spacing w:line="408" w:lineRule="auto" w:before="28"/>
        <w:ind w:left="152" w:right="1128" w:firstLine="420"/>
        <w:jc w:val="both"/>
      </w:pPr>
      <w:r>
        <w:rPr>
          <w:spacing w:val="-3"/>
        </w:rPr>
        <w:t>公司是国内领先的智慧城市规划、建设、运营整体解决方案提供商，公司将发挥自身竞争优势，以新</w:t>
      </w:r>
      <w:r>
        <w:rPr>
          <w:spacing w:val="-3"/>
          <w:w w:val="100"/>
        </w:rPr>
        <w:t> </w:t>
      </w:r>
      <w:r>
        <w:rPr>
          <w:spacing w:val="-2"/>
        </w:rPr>
        <w:t>一代信息技术为依托，结合公司在智慧城市建设领域的丰富工程实践经验，实现对城市运行情况的全面感</w:t>
      </w:r>
    </w:p>
    <w:p>
      <w:pPr>
        <w:pStyle w:val="BodyText"/>
        <w:spacing w:line="240" w:lineRule="auto" w:before="46"/>
        <w:ind w:left="152" w:right="0"/>
        <w:jc w:val="left"/>
      </w:pPr>
      <w:r>
        <w:rPr/>
        <w:t>知，并通过大数据分析等技术手段挖掘数据在城市规划、建设和运营过程中的价值，打造新型智慧城市智</w:t>
      </w:r>
    </w:p>
    <w:p>
      <w:pPr>
        <w:spacing w:after="0" w:line="240" w:lineRule="auto"/>
        <w:jc w:val="left"/>
        <w:sectPr>
          <w:pgSz w:w="11910" w:h="16840"/>
          <w:pgMar w:header="882" w:footer="1134" w:top="1280" w:bottom="1320" w:left="980" w:right="0"/>
        </w:sectPr>
      </w:pPr>
    </w:p>
    <w:p>
      <w:pPr>
        <w:spacing w:line="240" w:lineRule="auto" w:before="4"/>
        <w:rPr>
          <w:rFonts w:ascii="宋体" w:hAnsi="宋体" w:cs="宋体" w:eastAsia="宋体" w:hint="default"/>
          <w:sz w:val="13"/>
          <w:szCs w:val="13"/>
        </w:rPr>
      </w:pPr>
    </w:p>
    <w:p>
      <w:pPr>
        <w:spacing w:line="499" w:lineRule="auto" w:before="36"/>
        <w:ind w:left="572" w:right="1127" w:hanging="420"/>
        <w:jc w:val="left"/>
        <w:rPr>
          <w:rFonts w:ascii="宋体" w:hAnsi="宋体" w:cs="宋体" w:eastAsia="宋体" w:hint="default"/>
          <w:sz w:val="21"/>
          <w:szCs w:val="21"/>
        </w:rPr>
      </w:pPr>
      <w:r>
        <w:rPr>
          <w:rFonts w:ascii="宋体" w:hAnsi="宋体" w:cs="宋体" w:eastAsia="宋体" w:hint="default"/>
          <w:sz w:val="21"/>
          <w:szCs w:val="21"/>
        </w:rPr>
        <w:t>能设备与信息服务平台系列产品，实现智慧城市业务持续快速增长。</w:t>
      </w:r>
      <w:r>
        <w:rPr>
          <w:rFonts w:ascii="宋体" w:hAnsi="宋体" w:cs="宋体" w:eastAsia="宋体" w:hint="default"/>
          <w:w w:val="100"/>
          <w:sz w:val="21"/>
          <w:szCs w:val="21"/>
        </w:rPr>
        <w:t> </w:t>
      </w:r>
      <w:bookmarkStart w:name="7、大数据在行业应用发展的趋势与机遇" w:id="95"/>
      <w:bookmarkEnd w:id="95"/>
      <w:r>
        <w:rPr>
          <w:rFonts w:ascii="宋体" w:hAnsi="宋体" w:cs="宋体" w:eastAsia="宋体" w:hint="default"/>
          <w:w w:val="100"/>
          <w:sz w:val="21"/>
          <w:szCs w:val="21"/>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、大数据在行业应用发展的趋势与机遇</w:t>
      </w:r>
      <w:r>
        <w:rPr>
          <w:rFonts w:ascii="宋体" w:hAnsi="宋体" w:cs="宋体" w:eastAsia="宋体" w:hint="default"/>
          <w:b/>
          <w:bCs/>
          <w:w w:val="100"/>
          <w:sz w:val="21"/>
          <w:szCs w:val="21"/>
        </w:rPr>
        <w:t> </w:t>
      </w:r>
      <w:r>
        <w:rPr>
          <w:rFonts w:ascii="宋体" w:hAnsi="宋体" w:cs="宋体" w:eastAsia="宋体" w:hint="default"/>
          <w:spacing w:val="-2"/>
          <w:sz w:val="21"/>
          <w:szCs w:val="21"/>
        </w:rPr>
        <w:t>伴随用户个性化需求的增长，大数据在各个领域的应用逐步显现，已经开始并正在改变着大多数企业</w:t>
      </w:r>
    </w:p>
    <w:p>
      <w:pPr>
        <w:pStyle w:val="BodyText"/>
        <w:spacing w:line="241" w:lineRule="exact"/>
        <w:ind w:left="152" w:right="0"/>
        <w:jc w:val="left"/>
      </w:pPr>
      <w:r>
        <w:rPr/>
        <w:t>的发展途径及商业模式，并且在未来一段时间内，大数据将成为企业、社会和国家层面重要的战略资源。</w:t>
      </w:r>
    </w:p>
    <w:p>
      <w:pPr>
        <w:spacing w:line="240" w:lineRule="auto" w:before="10"/>
        <w:rPr>
          <w:rFonts w:ascii="宋体" w:hAnsi="宋体" w:cs="宋体" w:eastAsia="宋体" w:hint="default"/>
          <w:sz w:val="14"/>
          <w:szCs w:val="14"/>
        </w:rPr>
      </w:pPr>
    </w:p>
    <w:p>
      <w:pPr>
        <w:pStyle w:val="BodyText"/>
        <w:spacing w:line="408" w:lineRule="auto"/>
        <w:ind w:left="152" w:right="0"/>
        <w:jc w:val="left"/>
      </w:pPr>
      <w:r>
        <w:rPr>
          <w:spacing w:val="-2"/>
        </w:rPr>
        <w:t>大数据将不断成为各类机构，尤其是企业的重要资产，成为提升机构和公司竞争力的有力武器。随着行业</w:t>
      </w:r>
      <w:r>
        <w:rPr>
          <w:spacing w:val="-42"/>
        </w:rPr>
        <w:t> </w:t>
      </w:r>
      <w:r>
        <w:rPr>
          <w:spacing w:val="-42"/>
        </w:rPr>
      </w:r>
      <w:r>
        <w:rPr>
          <w:spacing w:val="-2"/>
        </w:rPr>
        <w:t>用户对数据价值认可程度的增加，市场需求将出现井喷，面向市场的新技术、新产品、新服务、新业态会</w:t>
      </w:r>
      <w:r>
        <w:rPr>
          <w:spacing w:val="-43"/>
        </w:rPr>
        <w:t> </w:t>
      </w:r>
      <w:r>
        <w:rPr>
          <w:spacing w:val="-43"/>
        </w:rPr>
      </w:r>
      <w:r>
        <w:rPr>
          <w:spacing w:val="-2"/>
        </w:rPr>
        <w:t>不断涌现。时空大数据技术不仅在民用领域快速发展，在军用领域也正得到迅速广泛的发展应用。统一时</w:t>
      </w:r>
      <w:r>
        <w:rPr>
          <w:spacing w:val="-44"/>
        </w:rPr>
        <w:t> </w:t>
      </w:r>
      <w:r>
        <w:rPr>
          <w:spacing w:val="-44"/>
        </w:rPr>
      </w:r>
      <w:r>
        <w:rPr>
          <w:spacing w:val="-2"/>
        </w:rPr>
        <w:t>空基准下的军事大数据高效应用，是未来决定联合指挥与一体化作战的核心要素，是取得信息化战争优势</w:t>
      </w:r>
      <w:r>
        <w:rPr>
          <w:spacing w:val="-42"/>
        </w:rPr>
        <w:t> </w:t>
      </w:r>
      <w:r>
        <w:rPr>
          <w:spacing w:val="-42"/>
        </w:rPr>
      </w:r>
      <w:r>
        <w:rPr>
          <w:spacing w:val="-2"/>
        </w:rPr>
        <w:t>的关键。在指挥控制领域，时空大数据的统一关联、高效索引与计算分析能极大提高各级指挥信息系统的</w:t>
      </w:r>
      <w:r>
        <w:rPr>
          <w:spacing w:val="-44"/>
        </w:rPr>
        <w:t> </w:t>
      </w:r>
      <w:r>
        <w:rPr>
          <w:spacing w:val="-44"/>
        </w:rPr>
      </w:r>
      <w:r>
        <w:rPr>
          <w:spacing w:val="-2"/>
        </w:rPr>
        <w:t>智能化水平和辅助决策能力；在态势感知领域，大数据技术可将陆海空天电多域战场环境与多维作战要素</w:t>
      </w:r>
      <w:r>
        <w:rPr>
          <w:spacing w:val="-42"/>
        </w:rPr>
        <w:t> </w:t>
      </w:r>
      <w:r>
        <w:rPr>
          <w:spacing w:val="-42"/>
        </w:rPr>
      </w:r>
      <w:r>
        <w:rPr>
          <w:spacing w:val="-2"/>
        </w:rPr>
        <w:t>统一组织与智能聚合，从而极大提高多源侦察感知、战略指挥预警和目标能力分析等业务应用能力；在联</w:t>
      </w:r>
      <w:r>
        <w:rPr>
          <w:spacing w:val="-44"/>
        </w:rPr>
        <w:t> </w:t>
      </w:r>
      <w:r>
        <w:rPr>
          <w:spacing w:val="-44"/>
        </w:rPr>
      </w:r>
      <w:r>
        <w:rPr>
          <w:spacing w:val="-5"/>
        </w:rPr>
        <w:t>合作战、模拟训练、后勤保障等领域，时空大数据带来的技术变革同样影响深远。面对大数据时代的来临，</w:t>
      </w:r>
      <w:r>
        <w:rPr>
          <w:spacing w:val="-9"/>
        </w:rPr>
        <w:t> </w:t>
      </w:r>
      <w:r>
        <w:rPr>
          <w:spacing w:val="-9"/>
        </w:rPr>
      </w:r>
      <w:r>
        <w:rPr>
          <w:spacing w:val="-2"/>
        </w:rPr>
        <w:t>我们必须认清特点，把握走向，积极应对，高度重视其潜在战略价值，时刻关注其前沿技术，加快推进其</w:t>
      </w:r>
      <w:r>
        <w:rPr>
          <w:spacing w:val="-43"/>
        </w:rPr>
        <w:t> </w:t>
      </w:r>
      <w:r>
        <w:rPr>
          <w:spacing w:val="-43"/>
        </w:rPr>
      </w:r>
      <w:r>
        <w:rPr/>
        <w:t>实际应用，确保在新一轮信息化浪潮中赢得主动，占得先机。</w:t>
      </w:r>
    </w:p>
    <w:p>
      <w:pPr>
        <w:pStyle w:val="BodyText"/>
        <w:spacing w:line="408" w:lineRule="auto" w:before="46"/>
        <w:ind w:left="152" w:right="1106" w:firstLine="420"/>
        <w:jc w:val="both"/>
      </w:pPr>
      <w:r>
        <w:rPr>
          <w:spacing w:val="-2"/>
        </w:rPr>
        <w:t>公司拥有全球领先的时空网格编码等核心技术，凭借自身的技术优势，在北斗、探测、测试、通信、</w:t>
      </w:r>
      <w:r>
        <w:rPr>
          <w:w w:val="100"/>
        </w:rPr>
        <w:t> </w:t>
      </w:r>
      <w:r>
        <w:rPr>
          <w:spacing w:val="-2"/>
        </w:rPr>
        <w:t>保障等领域，服务了许多关系到国防安全的重大项目，以及参与了智慧城市领域相关的国家民生的重点项</w:t>
      </w:r>
      <w:r>
        <w:rPr>
          <w:spacing w:val="-42"/>
        </w:rPr>
        <w:t> </w:t>
      </w:r>
      <w:r>
        <w:rPr>
          <w:spacing w:val="-42"/>
        </w:rPr>
      </w:r>
      <w:r>
        <w:rPr>
          <w:spacing w:val="-2"/>
        </w:rPr>
        <w:t>目，积累了大量优质客户。随着业务的发展，这些客户不仅对嵌入式数据获取、数据测试和数据传输设备</w:t>
      </w:r>
      <w:r>
        <w:rPr>
          <w:spacing w:val="-47"/>
        </w:rPr>
        <w:t> </w:t>
      </w:r>
      <w:r>
        <w:rPr>
          <w:spacing w:val="-47"/>
        </w:rPr>
      </w:r>
      <w:r>
        <w:rPr>
          <w:spacing w:val="-2"/>
        </w:rPr>
        <w:t>有需求，对数据存储、管理、查询、分析、挖掘、服务和应用也有迫切的需要，这将是公司发展大数据技</w:t>
      </w:r>
      <w:r>
        <w:rPr>
          <w:spacing w:val="-46"/>
        </w:rPr>
        <w:t> </w:t>
      </w:r>
      <w:r>
        <w:rPr>
          <w:spacing w:val="-46"/>
        </w:rPr>
      </w:r>
      <w:r>
        <w:rPr/>
        <w:t>术与产品的先天优势。</w:t>
      </w:r>
    </w:p>
    <w:p>
      <w:pPr>
        <w:pStyle w:val="Heading3"/>
        <w:spacing w:line="240" w:lineRule="auto" w:before="176"/>
        <w:ind w:right="1127"/>
        <w:jc w:val="left"/>
      </w:pPr>
      <w:bookmarkStart w:name="（二）公司面临的挑战和应对措施" w:id="96"/>
      <w:bookmarkEnd w:id="96"/>
      <w:r>
        <w:rPr/>
      </w:r>
      <w:r>
        <w:rPr/>
        <w:t>（二）公司面临的挑战和应对措施</w:t>
      </w:r>
    </w:p>
    <w:p>
      <w:pPr>
        <w:spacing w:line="240" w:lineRule="auto" w:before="8"/>
        <w:rPr>
          <w:rFonts w:ascii="黑体" w:hAnsi="黑体" w:cs="黑体" w:eastAsia="黑体" w:hint="default"/>
          <w:sz w:val="25"/>
          <w:szCs w:val="25"/>
        </w:rPr>
      </w:pPr>
    </w:p>
    <w:p>
      <w:pPr>
        <w:pStyle w:val="BodyText"/>
        <w:spacing w:line="484" w:lineRule="auto"/>
        <w:ind w:right="1127" w:firstLine="2"/>
        <w:jc w:val="left"/>
      </w:pPr>
      <w:bookmarkStart w:name="1、市场竞争方面" w:id="97"/>
      <w:bookmarkEnd w:id="97"/>
      <w:r>
        <w:rPr/>
      </w:r>
      <w:r>
        <w:rPr>
          <w:rFonts w:ascii="Times New Roman" w:hAnsi="Times New Roman" w:cs="Times New Roman" w:eastAsia="Times New Roman" w:hint="default"/>
          <w:b/>
          <w:bCs/>
        </w:rPr>
        <w:t>1</w:t>
      </w:r>
      <w:r>
        <w:rPr>
          <w:rFonts w:ascii="宋体" w:hAnsi="宋体" w:cs="宋体" w:eastAsia="宋体" w:hint="default"/>
          <w:b/>
          <w:bCs/>
        </w:rPr>
        <w:t>、市场竞争方面</w:t>
      </w:r>
      <w:r>
        <w:rPr>
          <w:rFonts w:ascii="宋体" w:hAnsi="宋体" w:cs="宋体" w:eastAsia="宋体" w:hint="default"/>
          <w:b/>
          <w:bCs/>
          <w:w w:val="100"/>
        </w:rPr>
        <w:t> </w:t>
      </w:r>
      <w:r>
        <w:rPr>
          <w:spacing w:val="-2"/>
        </w:rPr>
        <w:t>公司属于军民融合高科技企业，在民用行业板块，由于是完全的市场化竞争，需要在产品的质量、先</w:t>
      </w:r>
    </w:p>
    <w:p>
      <w:pPr>
        <w:pStyle w:val="BodyText"/>
        <w:spacing w:line="254" w:lineRule="exact"/>
        <w:ind w:left="152" w:right="0"/>
        <w:jc w:val="left"/>
      </w:pPr>
      <w:r>
        <w:rPr/>
        <w:t>进性和价格等方面有差异化优势才能获得竞争优势，公司必须在创新方面必须保证有高强度的投入赢得市</w:t>
      </w:r>
    </w:p>
    <w:p>
      <w:pPr>
        <w:spacing w:line="240" w:lineRule="auto" w:before="10"/>
        <w:rPr>
          <w:rFonts w:ascii="宋体" w:hAnsi="宋体" w:cs="宋体" w:eastAsia="宋体" w:hint="default"/>
          <w:sz w:val="14"/>
          <w:szCs w:val="14"/>
        </w:rPr>
      </w:pPr>
    </w:p>
    <w:p>
      <w:pPr>
        <w:pStyle w:val="BodyText"/>
        <w:spacing w:line="408" w:lineRule="auto"/>
        <w:ind w:left="152" w:right="1128"/>
        <w:jc w:val="both"/>
      </w:pPr>
      <w:r>
        <w:rPr>
          <w:spacing w:val="-2"/>
        </w:rPr>
        <w:t>场。在军工业务板块，涉及的军方型号产品研制需经过立项、方案论证、工程研制、设计定型与生产定型</w:t>
      </w:r>
      <w:r>
        <w:rPr>
          <w:spacing w:val="-43"/>
        </w:rPr>
        <w:t> </w:t>
      </w:r>
      <w:r>
        <w:rPr>
          <w:spacing w:val="-43"/>
        </w:rPr>
      </w:r>
      <w:r>
        <w:rPr>
          <w:spacing w:val="-2"/>
        </w:rPr>
        <w:t>等阶段，从研制到实现销售的周期较长，而且根据军方现行武器装备采购体制，只有通过军方设计定型批</w:t>
      </w:r>
      <w:r>
        <w:rPr>
          <w:spacing w:val="-43"/>
        </w:rPr>
        <w:t> </w:t>
      </w:r>
      <w:r>
        <w:rPr>
          <w:spacing w:val="-43"/>
        </w:rPr>
      </w:r>
      <w:r>
        <w:rPr>
          <w:spacing w:val="-2"/>
        </w:rPr>
        <w:t>准的产品才可实现向军方销售，门槛较高，产品和服务的投入周期较长。公司所处信息化和数字化市场竞</w:t>
      </w:r>
      <w:r>
        <w:rPr>
          <w:spacing w:val="-44"/>
        </w:rPr>
        <w:t> </w:t>
      </w:r>
      <w:r>
        <w:rPr>
          <w:spacing w:val="-44"/>
        </w:rPr>
      </w:r>
      <w:r>
        <w:rPr/>
        <w:t>争激烈，客户需求变化迭代较快，对于公司技术、产品和业务模式创新有较高的要求。</w:t>
      </w:r>
    </w:p>
    <w:p>
      <w:pPr>
        <w:pStyle w:val="BodyText"/>
        <w:spacing w:line="240" w:lineRule="auto" w:before="46"/>
        <w:ind w:right="0"/>
        <w:jc w:val="left"/>
      </w:pPr>
      <w:r>
        <w:rPr/>
        <w:t>公司在产品研制过程中严格按照质量管理体系及国军标的要求进行，每个环节均由公司组织的专家组</w:t>
      </w:r>
    </w:p>
    <w:p>
      <w:pPr>
        <w:spacing w:after="0" w:line="240" w:lineRule="auto"/>
        <w:jc w:val="left"/>
        <w:sectPr>
          <w:pgSz w:w="11910" w:h="16840"/>
          <w:pgMar w:header="882" w:footer="1134" w:top="1280" w:bottom="1320" w:left="980" w:right="0"/>
        </w:sectPr>
      </w:pPr>
    </w:p>
    <w:p>
      <w:pPr>
        <w:spacing w:line="240" w:lineRule="auto" w:before="4"/>
        <w:rPr>
          <w:rFonts w:ascii="宋体" w:hAnsi="宋体" w:cs="宋体" w:eastAsia="宋体" w:hint="default"/>
          <w:sz w:val="13"/>
          <w:szCs w:val="13"/>
        </w:rPr>
      </w:pPr>
    </w:p>
    <w:p>
      <w:pPr>
        <w:pStyle w:val="BodyText"/>
        <w:spacing w:line="408" w:lineRule="auto" w:before="36"/>
        <w:ind w:left="152" w:right="1128"/>
        <w:jc w:val="both"/>
      </w:pPr>
      <w:r>
        <w:rPr>
          <w:spacing w:val="-2"/>
        </w:rPr>
        <w:t>对结果、文件和过程进行审核并给出评审意见，国军标评审组和军代表会对整个军品研制过程进行严格检</w:t>
      </w:r>
      <w:r>
        <w:rPr>
          <w:spacing w:val="-42"/>
        </w:rPr>
        <w:t> </w:t>
      </w:r>
      <w:r>
        <w:rPr>
          <w:spacing w:val="-42"/>
        </w:rPr>
      </w:r>
      <w:r>
        <w:rPr>
          <w:spacing w:val="-2"/>
        </w:rPr>
        <w:t>查和归零处理，确保产品研发过程和结果可控。同时，公司积极与潜在客户进行有效沟通，及时掌握需求</w:t>
      </w:r>
      <w:r>
        <w:rPr>
          <w:spacing w:val="-50"/>
        </w:rPr>
        <w:t> </w:t>
      </w:r>
      <w:r>
        <w:rPr>
          <w:spacing w:val="-50"/>
        </w:rPr>
      </w:r>
      <w:r>
        <w:rPr/>
        <w:t>变化和市场动态，确保市场渠道的畅通。公司通过上述措施，尽量降低市场风险。</w:t>
      </w:r>
    </w:p>
    <w:p>
      <w:pPr>
        <w:pStyle w:val="BodyText"/>
        <w:spacing w:line="484" w:lineRule="auto" w:before="166"/>
        <w:ind w:right="1127" w:firstLine="2"/>
        <w:jc w:val="left"/>
      </w:pPr>
      <w:bookmarkStart w:name="2、宏观政策方面" w:id="98"/>
      <w:bookmarkEnd w:id="98"/>
      <w:r>
        <w:rPr/>
      </w:r>
      <w:r>
        <w:rPr>
          <w:rFonts w:ascii="Times New Roman" w:hAnsi="Times New Roman" w:cs="Times New Roman" w:eastAsia="Times New Roman" w:hint="default"/>
          <w:b/>
          <w:bCs/>
        </w:rPr>
        <w:t>2</w:t>
      </w:r>
      <w:r>
        <w:rPr>
          <w:rFonts w:ascii="宋体" w:hAnsi="宋体" w:cs="宋体" w:eastAsia="宋体" w:hint="default"/>
          <w:b/>
          <w:bCs/>
        </w:rPr>
        <w:t>、宏观政策方面</w:t>
      </w:r>
      <w:r>
        <w:rPr>
          <w:rFonts w:ascii="宋体" w:hAnsi="宋体" w:cs="宋体" w:eastAsia="宋体" w:hint="default"/>
          <w:b/>
          <w:bCs/>
          <w:w w:val="100"/>
        </w:rPr>
        <w:t> </w:t>
      </w:r>
      <w:r>
        <w:rPr>
          <w:spacing w:val="-2"/>
        </w:rPr>
        <w:t>公司所处的行业属于国家重点扶持和发展的高新技术产业，国家在产业政策方面给予了积极的支持和</w:t>
      </w:r>
    </w:p>
    <w:p>
      <w:pPr>
        <w:pStyle w:val="BodyText"/>
        <w:spacing w:line="254" w:lineRule="exact"/>
        <w:ind w:left="152" w:right="0"/>
        <w:jc w:val="both"/>
      </w:pPr>
      <w:r>
        <w:rPr/>
        <w:t>鼓励。从目前情况看，该行业发展出现不利政策性变化的可能性很小。但公司从事的嵌入式系统和测试、</w:t>
      </w:r>
    </w:p>
    <w:p>
      <w:pPr>
        <w:spacing w:line="240" w:lineRule="auto" w:before="10"/>
        <w:rPr>
          <w:rFonts w:ascii="宋体" w:hAnsi="宋体" w:cs="宋体" w:eastAsia="宋体" w:hint="default"/>
          <w:sz w:val="14"/>
          <w:szCs w:val="14"/>
        </w:rPr>
      </w:pPr>
    </w:p>
    <w:p>
      <w:pPr>
        <w:pStyle w:val="BodyText"/>
        <w:spacing w:line="408" w:lineRule="auto"/>
        <w:ind w:left="152" w:right="1128"/>
        <w:jc w:val="both"/>
      </w:pPr>
      <w:r>
        <w:rPr>
          <w:spacing w:val="-2"/>
        </w:rPr>
        <w:t>信息安全和行业信息化等行业属于快速发展的行业，行业相关的宏观政策环境正处于不断调整和完善的过</w:t>
      </w:r>
      <w:r>
        <w:rPr>
          <w:spacing w:val="-43"/>
        </w:rPr>
        <w:t> </w:t>
      </w:r>
      <w:r>
        <w:rPr>
          <w:spacing w:val="-43"/>
        </w:rPr>
      </w:r>
      <w:r>
        <w:rPr/>
        <w:t>程中，在一定特殊时期内可能会存在宏观调控以及政策不确定性风险，从而对公司的经营带来影响。</w:t>
      </w:r>
    </w:p>
    <w:p>
      <w:pPr>
        <w:pStyle w:val="BodyText"/>
        <w:spacing w:line="408" w:lineRule="auto" w:before="46"/>
        <w:ind w:left="152" w:right="1128" w:firstLine="420"/>
        <w:jc w:val="both"/>
      </w:pPr>
      <w:r>
        <w:rPr>
          <w:spacing w:val="-2"/>
        </w:rPr>
        <w:t>公司将依据在行业的地位和技术积累，积极贯彻落实国家各项政策法规，根据国家战略及宏观政策进</w:t>
      </w:r>
      <w:r>
        <w:rPr>
          <w:w w:val="100"/>
        </w:rPr>
        <w:t> </w:t>
      </w:r>
      <w:r>
        <w:rPr/>
        <w:t>行及时调整，优化业务结构，以应对由政策变化产生的不利影响。</w:t>
      </w:r>
    </w:p>
    <w:p>
      <w:pPr>
        <w:pStyle w:val="BodyText"/>
        <w:spacing w:line="484" w:lineRule="auto" w:before="166"/>
        <w:ind w:right="1127" w:firstLine="2"/>
        <w:jc w:val="left"/>
      </w:pPr>
      <w:bookmarkStart w:name="3、经营管理方面" w:id="99"/>
      <w:bookmarkEnd w:id="99"/>
      <w:r>
        <w:rPr/>
      </w:r>
      <w:r>
        <w:rPr>
          <w:rFonts w:ascii="Times New Roman" w:hAnsi="Times New Roman" w:cs="Times New Roman" w:eastAsia="Times New Roman" w:hint="default"/>
          <w:b/>
          <w:bCs/>
        </w:rPr>
        <w:t>3</w:t>
      </w:r>
      <w:r>
        <w:rPr>
          <w:rFonts w:ascii="宋体" w:hAnsi="宋体" w:cs="宋体" w:eastAsia="宋体" w:hint="default"/>
          <w:b/>
          <w:bCs/>
        </w:rPr>
        <w:t>、经营管理方面</w:t>
      </w:r>
      <w:r>
        <w:rPr>
          <w:rFonts w:ascii="宋体" w:hAnsi="宋体" w:cs="宋体" w:eastAsia="宋体" w:hint="default"/>
          <w:b/>
          <w:bCs/>
          <w:w w:val="100"/>
        </w:rPr>
        <w:t> </w:t>
      </w:r>
      <w:r>
        <w:rPr>
          <w:spacing w:val="-2"/>
        </w:rPr>
        <w:t>公司近几年各业务板块迅速增长，一系列的并购重组逐步完成，经营发展已初具规模，随着业务规模</w:t>
      </w:r>
    </w:p>
    <w:p>
      <w:pPr>
        <w:pStyle w:val="BodyText"/>
        <w:spacing w:line="254" w:lineRule="exact"/>
        <w:ind w:left="152" w:right="0"/>
        <w:jc w:val="both"/>
      </w:pPr>
      <w:r>
        <w:rPr/>
        <w:t>扩大和投融资项目的增加，新业务的拓展以及募投项目的实施，公司的资产规模不断扩张，管理的深度和</w:t>
      </w:r>
    </w:p>
    <w:p>
      <w:pPr>
        <w:spacing w:line="240" w:lineRule="auto" w:before="10"/>
        <w:rPr>
          <w:rFonts w:ascii="宋体" w:hAnsi="宋体" w:cs="宋体" w:eastAsia="宋体" w:hint="default"/>
          <w:sz w:val="14"/>
          <w:szCs w:val="14"/>
        </w:rPr>
      </w:pPr>
    </w:p>
    <w:p>
      <w:pPr>
        <w:pStyle w:val="BodyText"/>
        <w:spacing w:line="408" w:lineRule="auto"/>
        <w:ind w:left="152" w:right="1128"/>
        <w:jc w:val="both"/>
      </w:pPr>
      <w:r>
        <w:rPr>
          <w:spacing w:val="-2"/>
        </w:rPr>
        <w:t>广度不断扩大，人员规模不断增高，需要公司在资源整合、市场开拓、研发和质量管理、内控制度、组织</w:t>
      </w:r>
      <w:r>
        <w:rPr>
          <w:spacing w:val="-42"/>
        </w:rPr>
        <w:t> </w:t>
      </w:r>
      <w:r>
        <w:rPr>
          <w:spacing w:val="-42"/>
        </w:rPr>
      </w:r>
      <w:r>
        <w:rPr>
          <w:spacing w:val="-2"/>
        </w:rPr>
        <w:t>架构等方面做相应的改进和调整。同时，公司在分子公司业绩实现、业务体系、组织机构、管理制度、企</w:t>
      </w:r>
      <w:r>
        <w:rPr>
          <w:spacing w:val="-42"/>
        </w:rPr>
        <w:t> </w:t>
      </w:r>
      <w:r>
        <w:rPr>
          <w:spacing w:val="-42"/>
        </w:rPr>
      </w:r>
      <w:r>
        <w:rPr/>
        <w:t>业文化等方面的管理及业务融合等方面，对经营管理层提出了更高的要求。</w:t>
      </w:r>
    </w:p>
    <w:p>
      <w:pPr>
        <w:pStyle w:val="BodyText"/>
        <w:spacing w:line="408" w:lineRule="auto" w:before="46"/>
        <w:ind w:left="152" w:right="1128" w:firstLine="420"/>
        <w:jc w:val="both"/>
      </w:pPr>
      <w:r>
        <w:rPr>
          <w:spacing w:val="-2"/>
        </w:rPr>
        <w:t>公司将通过持续完善法人治理结构及内控制度、规范公司运作体系、修订各项管理制度、提高核心管</w:t>
      </w:r>
      <w:r>
        <w:rPr>
          <w:w w:val="100"/>
        </w:rPr>
        <w:t> </w:t>
      </w:r>
      <w:r>
        <w:rPr>
          <w:spacing w:val="-2"/>
        </w:rPr>
        <w:t>理团队的管理素质和决策能力、聘请专业的管理咨询公司和行业专家协助公司进一步完善管理体系，提升</w:t>
      </w:r>
      <w:r>
        <w:rPr>
          <w:spacing w:val="-42"/>
        </w:rPr>
        <w:t> </w:t>
      </w:r>
      <w:r>
        <w:rPr>
          <w:spacing w:val="-42"/>
        </w:rPr>
      </w:r>
      <w:r>
        <w:rPr/>
        <w:t>管理水平，降低管理风险，以满足公司业务规模快速增长以及公司长远的发展需要。</w:t>
      </w:r>
    </w:p>
    <w:p>
      <w:pPr>
        <w:pStyle w:val="BodyText"/>
        <w:spacing w:line="484" w:lineRule="auto" w:before="166"/>
        <w:ind w:right="1127" w:firstLine="2"/>
        <w:jc w:val="left"/>
      </w:pPr>
      <w:bookmarkStart w:name="4、人员技术方面" w:id="100"/>
      <w:bookmarkEnd w:id="100"/>
      <w:r>
        <w:rPr/>
      </w:r>
      <w:r>
        <w:rPr>
          <w:rFonts w:ascii="Times New Roman" w:hAnsi="Times New Roman" w:cs="Times New Roman" w:eastAsia="Times New Roman" w:hint="default"/>
          <w:b/>
          <w:bCs/>
        </w:rPr>
        <w:t>4</w:t>
      </w:r>
      <w:r>
        <w:rPr>
          <w:rFonts w:ascii="宋体" w:hAnsi="宋体" w:cs="宋体" w:eastAsia="宋体" w:hint="default"/>
          <w:b/>
          <w:bCs/>
        </w:rPr>
        <w:t>、人员技术方面</w:t>
      </w:r>
      <w:r>
        <w:rPr>
          <w:rFonts w:ascii="宋体" w:hAnsi="宋体" w:cs="宋体" w:eastAsia="宋体" w:hint="default"/>
          <w:b/>
          <w:bCs/>
          <w:w w:val="100"/>
        </w:rPr>
        <w:t> </w:t>
      </w:r>
      <w:r>
        <w:rPr>
          <w:spacing w:val="-2"/>
        </w:rPr>
        <w:t>公司属于技术密集型企业，必须保持技术领先地位及进行持续创新。拥有一支稳定的高水平的管理及</w:t>
      </w:r>
    </w:p>
    <w:p>
      <w:pPr>
        <w:pStyle w:val="BodyText"/>
        <w:spacing w:line="254" w:lineRule="exact"/>
        <w:ind w:left="152" w:right="0"/>
        <w:jc w:val="both"/>
      </w:pPr>
      <w:r>
        <w:rPr/>
        <w:t>核心研发队伍，以及对核心技术的全面管控将是公司生存和发展的关键，也必将对公司在生产经营管理产</w:t>
      </w:r>
    </w:p>
    <w:p>
      <w:pPr>
        <w:spacing w:line="240" w:lineRule="auto" w:before="10"/>
        <w:rPr>
          <w:rFonts w:ascii="宋体" w:hAnsi="宋体" w:cs="宋体" w:eastAsia="宋体" w:hint="default"/>
          <w:sz w:val="14"/>
          <w:szCs w:val="14"/>
        </w:rPr>
      </w:pPr>
    </w:p>
    <w:p>
      <w:pPr>
        <w:pStyle w:val="BodyText"/>
        <w:spacing w:line="408" w:lineRule="auto"/>
        <w:ind w:left="152" w:right="1128"/>
        <w:jc w:val="both"/>
      </w:pPr>
      <w:r>
        <w:rPr>
          <w:spacing w:val="-2"/>
        </w:rPr>
        <w:t>生一定影响。在长期科研生产实践中，通过反复探索、论证、设计、实验、测试，在对嵌入式系统和软件</w:t>
      </w:r>
      <w:r>
        <w:rPr>
          <w:spacing w:val="-49"/>
        </w:rPr>
        <w:t> </w:t>
      </w:r>
      <w:r>
        <w:rPr>
          <w:spacing w:val="-49"/>
        </w:rPr>
      </w:r>
      <w:r>
        <w:rPr>
          <w:spacing w:val="-2"/>
        </w:rPr>
        <w:t>测试、高速总线、数据采集、信息安全、行业应用相关产品的设计开发领域取得重大突破，公司形成了多</w:t>
      </w:r>
      <w:r>
        <w:rPr>
          <w:spacing w:val="-43"/>
        </w:rPr>
        <w:t> </w:t>
      </w:r>
      <w:r>
        <w:rPr>
          <w:spacing w:val="-43"/>
        </w:rPr>
      </w:r>
      <w:r>
        <w:rPr>
          <w:spacing w:val="-2"/>
        </w:rPr>
        <w:t>项关键技术成果，构成了目前的核心技术体系。这些核心技术目前多处于国内领先水平，是公司核心竞争</w:t>
      </w:r>
      <w:r>
        <w:rPr>
          <w:spacing w:val="-44"/>
        </w:rPr>
        <w:t> </w:t>
      </w:r>
      <w:r>
        <w:rPr>
          <w:spacing w:val="-44"/>
        </w:rPr>
      </w:r>
      <w:r>
        <w:rPr>
          <w:spacing w:val="-2"/>
        </w:rPr>
        <w:t>力的集中体现。随着信息化行业的快速发展，人才争夺也必将日益激烈，公司可能存在管理人员、核心技</w:t>
      </w:r>
      <w:r>
        <w:rPr>
          <w:spacing w:val="-50"/>
        </w:rPr>
        <w:t> </w:t>
      </w:r>
      <w:r>
        <w:rPr>
          <w:spacing w:val="-50"/>
        </w:rPr>
      </w:r>
      <w:r>
        <w:rPr/>
        <w:t>术人员流失以及技术泄密的风险。</w:t>
      </w:r>
    </w:p>
    <w:p>
      <w:pPr>
        <w:pStyle w:val="BodyText"/>
        <w:spacing w:line="240" w:lineRule="auto" w:before="46"/>
        <w:ind w:right="1127"/>
        <w:jc w:val="left"/>
      </w:pPr>
      <w:r>
        <w:rPr>
          <w:spacing w:val="-3"/>
        </w:rPr>
        <w:t>公司建立了公正、公平的绩效评估体系，不断完善科研创新激励机制，报告期内，公司推出限制性股</w:t>
      </w:r>
      <w:r>
        <w:rPr/>
      </w:r>
    </w:p>
    <w:p>
      <w:pPr>
        <w:spacing w:after="0" w:line="240" w:lineRule="auto"/>
        <w:jc w:val="left"/>
        <w:sectPr>
          <w:pgSz w:w="11910" w:h="16840"/>
          <w:pgMar w:header="882" w:footer="1134" w:top="1280" w:bottom="1320" w:left="980" w:right="0"/>
        </w:sectPr>
      </w:pPr>
    </w:p>
    <w:p>
      <w:pPr>
        <w:spacing w:line="240" w:lineRule="auto" w:before="4"/>
        <w:rPr>
          <w:rFonts w:ascii="宋体" w:hAnsi="宋体" w:cs="宋体" w:eastAsia="宋体" w:hint="default"/>
          <w:sz w:val="13"/>
          <w:szCs w:val="13"/>
        </w:rPr>
      </w:pPr>
    </w:p>
    <w:p>
      <w:pPr>
        <w:pStyle w:val="BodyText"/>
        <w:spacing w:line="408" w:lineRule="auto" w:before="36"/>
        <w:ind w:left="152" w:right="1128"/>
        <w:jc w:val="both"/>
      </w:pPr>
      <w:r>
        <w:rPr>
          <w:spacing w:val="-2"/>
        </w:rPr>
        <w:t>票激励计划，提高核心业务、技术、管理骨干人员对公司的归属感，同时，公司在技术成果保密管理、员</w:t>
      </w:r>
      <w:r>
        <w:rPr>
          <w:spacing w:val="-42"/>
        </w:rPr>
        <w:t> </w:t>
      </w:r>
      <w:r>
        <w:rPr>
          <w:spacing w:val="-42"/>
        </w:rPr>
      </w:r>
      <w:r>
        <w:rPr>
          <w:spacing w:val="-2"/>
        </w:rPr>
        <w:t>工签订保密协议等方面制定了完善的规章制度，最大限度的降低核心技术人员流失及技术泄密给公司生产</w:t>
      </w:r>
      <w:r>
        <w:rPr>
          <w:spacing w:val="-42"/>
        </w:rPr>
        <w:t> </w:t>
      </w:r>
      <w:r>
        <w:rPr>
          <w:spacing w:val="-42"/>
        </w:rPr>
      </w:r>
      <w:r>
        <w:rPr/>
        <w:t>经营带来的风险。</w:t>
      </w:r>
    </w:p>
    <w:p>
      <w:pPr>
        <w:pStyle w:val="Heading3"/>
        <w:spacing w:line="240" w:lineRule="auto" w:before="176"/>
        <w:ind w:right="1127"/>
        <w:jc w:val="left"/>
      </w:pPr>
      <w:bookmarkStart w:name="（三）公司发展战略" w:id="101"/>
      <w:bookmarkEnd w:id="101"/>
      <w:r>
        <w:rPr/>
      </w:r>
      <w:r>
        <w:rPr/>
        <w:t>（三）公司发展战略</w:t>
      </w:r>
    </w:p>
    <w:p>
      <w:pPr>
        <w:spacing w:line="240" w:lineRule="auto" w:before="8"/>
        <w:rPr>
          <w:rFonts w:ascii="黑体" w:hAnsi="黑体" w:cs="黑体" w:eastAsia="黑体" w:hint="default"/>
          <w:sz w:val="25"/>
          <w:szCs w:val="25"/>
        </w:rPr>
      </w:pPr>
    </w:p>
    <w:p>
      <w:pPr>
        <w:pStyle w:val="BodyText"/>
        <w:spacing w:line="408" w:lineRule="auto"/>
        <w:ind w:left="152" w:right="1128" w:firstLine="420"/>
        <w:jc w:val="both"/>
      </w:pPr>
      <w:r>
        <w:rPr>
          <w:spacing w:val="-2"/>
        </w:rPr>
        <w:t>公司依托长期积累的嵌入式系统开发测试、时空信息网格大数据和信息安全三大核心技术，积极布局</w:t>
      </w:r>
      <w:r>
        <w:rPr>
          <w:w w:val="100"/>
        </w:rPr>
        <w:t> </w:t>
      </w:r>
      <w:r>
        <w:rPr>
          <w:spacing w:val="-2"/>
        </w:rPr>
        <w:t>万物互联、数字孪生、区块链等新一代信息技术，打造服务于智慧防务、智慧城市、智慧税务、时空大数</w:t>
      </w:r>
      <w:r>
        <w:rPr>
          <w:spacing w:val="-42"/>
        </w:rPr>
        <w:t> </w:t>
      </w:r>
      <w:r>
        <w:rPr>
          <w:spacing w:val="-42"/>
        </w:rPr>
      </w:r>
      <w:r>
        <w:rPr/>
        <w:t>据应用的产业智能化业务体系，力争发展成为国际知名的行业智能服务构建者。</w:t>
      </w:r>
    </w:p>
    <w:p>
      <w:pPr>
        <w:pStyle w:val="Heading3"/>
        <w:spacing w:line="240" w:lineRule="auto" w:before="176"/>
        <w:ind w:right="1127"/>
        <w:jc w:val="left"/>
      </w:pPr>
      <w:bookmarkStart w:name="（四）2020年度经营计划" w:id="102"/>
      <w:bookmarkEnd w:id="102"/>
      <w:r>
        <w:rPr/>
      </w:r>
      <w:r>
        <w:rPr/>
        <w:t>（四）</w:t>
      </w:r>
      <w:r>
        <w:rPr>
          <w:rFonts w:ascii="Times New Roman" w:hAnsi="Times New Roman" w:cs="Times New Roman" w:eastAsia="Times New Roman" w:hint="default"/>
        </w:rPr>
        <w:t>2020</w:t>
      </w:r>
      <w:r>
        <w:rPr>
          <w:rFonts w:ascii="Times New Roman" w:hAnsi="Times New Roman" w:cs="Times New Roman" w:eastAsia="Times New Roman" w:hint="default"/>
          <w:spacing w:val="-12"/>
        </w:rPr>
        <w:t> </w:t>
      </w:r>
      <w:r>
        <w:rPr/>
        <w:t>年度经营计划</w:t>
      </w:r>
    </w:p>
    <w:p>
      <w:pPr>
        <w:spacing w:line="240" w:lineRule="auto" w:before="3"/>
        <w:rPr>
          <w:rFonts w:ascii="黑体" w:hAnsi="黑体" w:cs="黑体" w:eastAsia="黑体" w:hint="default"/>
          <w:sz w:val="24"/>
          <w:szCs w:val="24"/>
        </w:rPr>
      </w:pPr>
    </w:p>
    <w:p>
      <w:pPr>
        <w:spacing w:line="484" w:lineRule="auto" w:before="0"/>
        <w:ind w:left="572" w:right="1127" w:firstLine="2"/>
        <w:jc w:val="left"/>
        <w:rPr>
          <w:rFonts w:ascii="宋体" w:hAnsi="宋体" w:cs="宋体" w:eastAsia="宋体" w:hint="default"/>
          <w:sz w:val="21"/>
          <w:szCs w:val="21"/>
        </w:rPr>
      </w:pPr>
      <w:bookmarkStart w:name="1、推进业务融合，实现稳健发展" w:id="103"/>
      <w:bookmarkEnd w:id="10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、推进业务融合，实现稳健发展</w:t>
      </w:r>
      <w:r>
        <w:rPr>
          <w:rFonts w:ascii="宋体" w:hAnsi="宋体" w:cs="宋体" w:eastAsia="宋体" w:hint="default"/>
          <w:b/>
          <w:bCs/>
          <w:w w:val="100"/>
          <w:sz w:val="21"/>
          <w:szCs w:val="21"/>
        </w:rPr>
        <w:t> </w:t>
      </w:r>
      <w:r>
        <w:rPr>
          <w:rFonts w:ascii="宋体" w:hAnsi="宋体" w:cs="宋体" w:eastAsia="宋体" w:hint="default"/>
          <w:spacing w:val="-2"/>
          <w:sz w:val="21"/>
          <w:szCs w:val="21"/>
        </w:rPr>
        <w:t>在公司总体发展战略的前提下，根据各板块方向的具体规划，推进各业务领域高效融合，做好各成员</w:t>
      </w:r>
    </w:p>
    <w:p>
      <w:pPr>
        <w:pStyle w:val="BodyText"/>
        <w:spacing w:line="254" w:lineRule="exact"/>
        <w:ind w:left="152" w:right="0"/>
        <w:jc w:val="left"/>
      </w:pPr>
      <w:r>
        <w:rPr/>
        <w:t>单位优势资源互补，实现稳健发展。并且持续优化企业文化战略、产业发展布局、人力资源战略、经营管</w:t>
      </w:r>
    </w:p>
    <w:p>
      <w:pPr>
        <w:spacing w:line="240" w:lineRule="auto" w:before="10"/>
        <w:rPr>
          <w:rFonts w:ascii="宋体" w:hAnsi="宋体" w:cs="宋体" w:eastAsia="宋体" w:hint="default"/>
          <w:sz w:val="14"/>
          <w:szCs w:val="14"/>
        </w:rPr>
      </w:pPr>
    </w:p>
    <w:p>
      <w:pPr>
        <w:pStyle w:val="BodyText"/>
        <w:spacing w:line="240" w:lineRule="auto"/>
        <w:ind w:left="152" w:right="1127"/>
        <w:jc w:val="left"/>
      </w:pPr>
      <w:r>
        <w:rPr/>
        <w:t>理战略、投融资方向、财务管理制度等内容，使得业务规划全面落地。</w:t>
      </w:r>
    </w:p>
    <w:p>
      <w:pPr>
        <w:spacing w:line="240" w:lineRule="auto" w:before="12"/>
        <w:rPr>
          <w:rFonts w:ascii="宋体" w:hAnsi="宋体" w:cs="宋体" w:eastAsia="宋体" w:hint="default"/>
          <w:sz w:val="23"/>
          <w:szCs w:val="23"/>
        </w:rPr>
      </w:pPr>
    </w:p>
    <w:p>
      <w:pPr>
        <w:spacing w:line="484" w:lineRule="auto" w:before="0"/>
        <w:ind w:left="572" w:right="1127" w:firstLine="2"/>
        <w:jc w:val="left"/>
        <w:rPr>
          <w:rFonts w:ascii="宋体" w:hAnsi="宋体" w:cs="宋体" w:eastAsia="宋体" w:hint="default"/>
          <w:sz w:val="21"/>
          <w:szCs w:val="21"/>
        </w:rPr>
      </w:pPr>
      <w:bookmarkStart w:name="2、优化组织结构，强化职能管控" w:id="104"/>
      <w:bookmarkEnd w:id="10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、优化组织结构，强化职能管控</w:t>
      </w:r>
      <w:r>
        <w:rPr>
          <w:rFonts w:ascii="宋体" w:hAnsi="宋体" w:cs="宋体" w:eastAsia="宋体" w:hint="default"/>
          <w:b/>
          <w:bCs/>
          <w:w w:val="100"/>
          <w:sz w:val="21"/>
          <w:szCs w:val="21"/>
        </w:rPr>
        <w:t> </w:t>
      </w:r>
      <w:r>
        <w:rPr>
          <w:rFonts w:ascii="宋体" w:hAnsi="宋体" w:cs="宋体" w:eastAsia="宋体" w:hint="default"/>
          <w:spacing w:val="-2"/>
          <w:sz w:val="21"/>
          <w:szCs w:val="21"/>
        </w:rPr>
        <w:t>公司根据内外部条件的变化，优化关键性职能设置，按照管理高效、节约资源、适应外部环境、集权</w:t>
      </w:r>
    </w:p>
    <w:p>
      <w:pPr>
        <w:pStyle w:val="BodyText"/>
        <w:spacing w:line="254" w:lineRule="exact"/>
        <w:ind w:left="152" w:right="0"/>
        <w:jc w:val="left"/>
      </w:pPr>
      <w:r>
        <w:rPr>
          <w:spacing w:val="-5"/>
        </w:rPr>
        <w:t>与分权相结合的原则，对各成员单位、职能部门和岗位设置进行再设计，并做出必要的调整，调优，整合，</w:t>
      </w:r>
    </w:p>
    <w:p>
      <w:pPr>
        <w:spacing w:line="240" w:lineRule="auto" w:before="10"/>
        <w:rPr>
          <w:rFonts w:ascii="宋体" w:hAnsi="宋体" w:cs="宋体" w:eastAsia="宋体" w:hint="default"/>
          <w:sz w:val="14"/>
          <w:szCs w:val="14"/>
        </w:rPr>
      </w:pPr>
    </w:p>
    <w:p>
      <w:pPr>
        <w:pStyle w:val="BodyText"/>
        <w:spacing w:line="499" w:lineRule="auto"/>
        <w:ind w:right="1127" w:hanging="421"/>
        <w:jc w:val="left"/>
      </w:pPr>
      <w:r>
        <w:rPr/>
        <w:t>增减，建设一个机构简练、人员精干、管理规范的管理组织，最大限度发挥公司管理职能核心作用。</w:t>
      </w:r>
      <w:r>
        <w:rPr>
          <w:w w:val="100"/>
        </w:rPr>
        <w:t> </w:t>
      </w:r>
      <w:bookmarkStart w:name="3、加大研发投入，提升整体创新" w:id="105"/>
      <w:bookmarkEnd w:id="105"/>
      <w:r>
        <w:rPr>
          <w:w w:val="100"/>
        </w:rPr>
      </w:r>
      <w:r>
        <w:rPr>
          <w:rFonts w:ascii="Times New Roman" w:hAnsi="Times New Roman" w:cs="Times New Roman" w:eastAsia="Times New Roman" w:hint="default"/>
          <w:b/>
          <w:bCs/>
        </w:rPr>
        <w:t>3</w:t>
      </w:r>
      <w:r>
        <w:rPr>
          <w:rFonts w:ascii="宋体" w:hAnsi="宋体" w:cs="宋体" w:eastAsia="宋体" w:hint="default"/>
          <w:b/>
          <w:bCs/>
        </w:rPr>
        <w:t>、加大研发投入，提升整体创新</w:t>
      </w:r>
      <w:r>
        <w:rPr>
          <w:rFonts w:ascii="宋体" w:hAnsi="宋体" w:cs="宋体" w:eastAsia="宋体" w:hint="default"/>
          <w:b/>
          <w:bCs/>
          <w:w w:val="100"/>
        </w:rPr>
        <w:t> </w:t>
      </w:r>
      <w:r>
        <w:rPr>
          <w:spacing w:val="-2"/>
        </w:rPr>
        <w:t>公司以国家政策为导向，根据总体战略规划，围绕业务方向，在研发投入、产业培育上给予政策和资</w:t>
      </w:r>
    </w:p>
    <w:p>
      <w:pPr>
        <w:pStyle w:val="BodyText"/>
        <w:spacing w:line="241" w:lineRule="exact"/>
        <w:ind w:left="152" w:right="0"/>
        <w:jc w:val="left"/>
      </w:pPr>
      <w:r>
        <w:rPr/>
        <w:t>金倾斜，研发具有核心竞争力的产品，推动各业务板块高效发展。并且通过建立研究院的方式，培育孵化</w:t>
      </w:r>
    </w:p>
    <w:p>
      <w:pPr>
        <w:spacing w:line="240" w:lineRule="auto" w:before="10"/>
        <w:rPr>
          <w:rFonts w:ascii="宋体" w:hAnsi="宋体" w:cs="宋体" w:eastAsia="宋体" w:hint="default"/>
          <w:sz w:val="14"/>
          <w:szCs w:val="14"/>
        </w:rPr>
      </w:pPr>
    </w:p>
    <w:p>
      <w:pPr>
        <w:pStyle w:val="BodyText"/>
        <w:spacing w:line="240" w:lineRule="auto"/>
        <w:ind w:left="152" w:right="0"/>
        <w:jc w:val="left"/>
      </w:pPr>
      <w:r>
        <w:rPr>
          <w:spacing w:val="-5"/>
        </w:rPr>
        <w:t>出更多的符合市场方向的新产品新技术，以及通过重大募投项目规划，科技成果申报，提升公司整体力量。</w:t>
      </w:r>
    </w:p>
    <w:p>
      <w:pPr>
        <w:spacing w:line="590" w:lineRule="atLeast" w:before="14"/>
        <w:ind w:left="572" w:right="1127" w:firstLine="2"/>
        <w:jc w:val="left"/>
        <w:rPr>
          <w:rFonts w:ascii="宋体" w:hAnsi="宋体" w:cs="宋体" w:eastAsia="宋体" w:hint="default"/>
          <w:sz w:val="21"/>
          <w:szCs w:val="21"/>
        </w:rPr>
      </w:pPr>
      <w:bookmarkStart w:name="4、建设人才队伍，保证持续发展" w:id="106"/>
      <w:bookmarkEnd w:id="10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、建设人才队伍，保证持续发展</w:t>
      </w:r>
      <w:r>
        <w:rPr>
          <w:rFonts w:ascii="宋体" w:hAnsi="宋体" w:cs="宋体" w:eastAsia="宋体" w:hint="default"/>
          <w:b/>
          <w:bCs/>
          <w:w w:val="100"/>
          <w:sz w:val="21"/>
          <w:szCs w:val="21"/>
        </w:rPr>
        <w:t> </w:t>
      </w:r>
      <w:r>
        <w:rPr>
          <w:rFonts w:ascii="宋体" w:hAnsi="宋体" w:cs="宋体" w:eastAsia="宋体" w:hint="default"/>
          <w:spacing w:val="-2"/>
          <w:sz w:val="21"/>
          <w:szCs w:val="21"/>
        </w:rPr>
        <w:t>人才是企业发展的根本，更是企业保持核心竞争力的关键。</w:t>
      </w:r>
      <w:r>
        <w:rPr>
          <w:rFonts w:ascii="Times New Roman" w:hAnsi="Times New Roman" w:cs="Times New Roman" w:eastAsia="Times New Roman" w:hint="default"/>
          <w:spacing w:val="-2"/>
          <w:sz w:val="21"/>
          <w:szCs w:val="21"/>
        </w:rPr>
        <w:t>2020</w:t>
      </w:r>
      <w:r>
        <w:rPr>
          <w:rFonts w:ascii="宋体" w:hAnsi="宋体" w:cs="宋体" w:eastAsia="宋体" w:hint="default"/>
          <w:spacing w:val="-2"/>
          <w:sz w:val="21"/>
          <w:szCs w:val="21"/>
        </w:rPr>
        <w:t>年，在人才队伍建设方面，公司将健</w:t>
      </w:r>
      <w:r>
        <w:rPr>
          <w:rFonts w:ascii="宋体" w:hAnsi="宋体" w:cs="宋体" w:eastAsia="宋体" w:hint="default"/>
          <w:sz w:val="21"/>
          <w:szCs w:val="21"/>
        </w:rPr>
      </w:r>
    </w:p>
    <w:p>
      <w:pPr>
        <w:pStyle w:val="BodyText"/>
        <w:spacing w:line="408" w:lineRule="auto" w:before="177"/>
        <w:ind w:left="152" w:right="0"/>
        <w:jc w:val="left"/>
      </w:pPr>
      <w:r>
        <w:rPr>
          <w:spacing w:val="-5"/>
        </w:rPr>
        <w:t>全人才队伍培养规划，协同各分子公司，共建一套行之有效的识才、选才、育才、用才、留才的保障措施。</w:t>
      </w:r>
      <w:r>
        <w:rPr>
          <w:spacing w:val="-3"/>
        </w:rPr>
        <w:t> </w:t>
      </w:r>
      <w:r>
        <w:rPr>
          <w:spacing w:val="-3"/>
        </w:rPr>
      </w:r>
      <w:r>
        <w:rPr>
          <w:spacing w:val="-2"/>
        </w:rPr>
        <w:t>通过岗位轮换、送学进修、重大项目历练等办法，不断提高员工的整体素质业务能力，做好人才选拔与储</w:t>
      </w:r>
      <w:r>
        <w:rPr>
          <w:spacing w:val="-47"/>
        </w:rPr>
        <w:t> </w:t>
      </w:r>
      <w:r>
        <w:rPr>
          <w:spacing w:val="-47"/>
        </w:rPr>
      </w:r>
      <w:r>
        <w:rPr/>
        <w:t>备，构建合理的人才梯队，保证公司人才的可持续发展。</w:t>
      </w:r>
    </w:p>
    <w:p>
      <w:pPr>
        <w:pStyle w:val="Heading4"/>
        <w:spacing w:line="240" w:lineRule="auto" w:before="166"/>
        <w:ind w:left="575" w:right="1127"/>
        <w:jc w:val="left"/>
        <w:rPr>
          <w:b w:val="0"/>
          <w:bCs w:val="0"/>
        </w:rPr>
      </w:pPr>
      <w:bookmarkStart w:name="5、完善体制机制，提高治理能力" w:id="107"/>
      <w:bookmarkEnd w:id="107"/>
      <w:r>
        <w:rPr>
          <w:b w:val="0"/>
          <w:bCs w:val="0"/>
        </w:rPr>
      </w:r>
      <w:r>
        <w:rPr>
          <w:rFonts w:ascii="Times New Roman" w:hAnsi="Times New Roman" w:cs="Times New Roman" w:eastAsia="Times New Roman" w:hint="default"/>
        </w:rPr>
        <w:t>5</w:t>
      </w:r>
      <w:r>
        <w:rPr/>
        <w:t>、完善体制机制，提高治理能力</w:t>
      </w:r>
      <w:r>
        <w:rPr>
          <w:b w:val="0"/>
          <w:bCs w:val="0"/>
        </w:rPr>
      </w:r>
    </w:p>
    <w:p>
      <w:pPr>
        <w:spacing w:after="0" w:line="240" w:lineRule="auto"/>
        <w:jc w:val="left"/>
        <w:sectPr>
          <w:pgSz w:w="11910" w:h="16840"/>
          <w:pgMar w:header="882" w:footer="1134" w:top="1280" w:bottom="1320" w:left="980" w:right="0"/>
        </w:sectPr>
      </w:pPr>
    </w:p>
    <w:p>
      <w:pPr>
        <w:spacing w:line="240" w:lineRule="auto" w:before="4"/>
        <w:rPr>
          <w:rFonts w:ascii="宋体" w:hAnsi="宋体" w:cs="宋体" w:eastAsia="宋体" w:hint="default"/>
          <w:b/>
          <w:bCs/>
          <w:sz w:val="13"/>
          <w:szCs w:val="13"/>
        </w:rPr>
      </w:pPr>
    </w:p>
    <w:p>
      <w:pPr>
        <w:pStyle w:val="BodyText"/>
        <w:spacing w:line="408" w:lineRule="auto" w:before="36"/>
        <w:ind w:left="152" w:right="1127" w:firstLine="420"/>
        <w:jc w:val="both"/>
      </w:pPr>
      <w:r>
        <w:rPr>
          <w:spacing w:val="-3"/>
        </w:rPr>
        <w:t>健全有效的制度体系，是企业规范管理、高效运作的根本保障。公司将以市场为导向，以经营业绩为</w:t>
      </w:r>
      <w:r>
        <w:rPr>
          <w:spacing w:val="-3"/>
          <w:w w:val="100"/>
        </w:rPr>
        <w:t> </w:t>
      </w:r>
      <w:r>
        <w:rPr>
          <w:spacing w:val="-2"/>
        </w:rPr>
        <w:t>总目标，修订并完善内控制度，投融资制度，薪酬福利制度等内容，围绕各控股子公司整体经营情况，建</w:t>
      </w:r>
      <w:r>
        <w:rPr>
          <w:spacing w:val="-43"/>
        </w:rPr>
        <w:t> </w:t>
      </w:r>
      <w:r>
        <w:rPr>
          <w:spacing w:val="-43"/>
        </w:rPr>
      </w:r>
      <w:r>
        <w:rPr>
          <w:spacing w:val="-2"/>
        </w:rPr>
        <w:t>立健全经营业绩评价问责机制，考核机制，激励机制，并且积极布局未来产业，内生与外延并举，提高公</w:t>
      </w:r>
      <w:r>
        <w:rPr>
          <w:spacing w:val="-43"/>
        </w:rPr>
        <w:t> </w:t>
      </w:r>
      <w:r>
        <w:rPr>
          <w:spacing w:val="-43"/>
        </w:rPr>
      </w:r>
      <w:r>
        <w:rPr/>
        <w:t>司整体运行效率。</w:t>
      </w:r>
    </w:p>
    <w:p>
      <w:pPr>
        <w:spacing w:line="240" w:lineRule="auto" w:before="8"/>
        <w:rPr>
          <w:rFonts w:ascii="宋体" w:hAnsi="宋体" w:cs="宋体" w:eastAsia="宋体" w:hint="default"/>
          <w:sz w:val="18"/>
          <w:szCs w:val="18"/>
        </w:rPr>
      </w:pPr>
    </w:p>
    <w:p>
      <w:pPr>
        <w:pStyle w:val="Heading2"/>
        <w:spacing w:line="240" w:lineRule="auto"/>
        <w:ind w:right="1127"/>
        <w:jc w:val="left"/>
        <w:rPr>
          <w:b w:val="0"/>
          <w:bCs w:val="0"/>
        </w:rPr>
      </w:pPr>
      <w:bookmarkStart w:name="十、接待调研、沟通、采访等活动登记表" w:id="108"/>
      <w:bookmarkEnd w:id="108"/>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7"/>
        <w:jc w:val="left"/>
        <w:rPr>
          <w:b w:val="0"/>
          <w:bCs w:val="0"/>
        </w:rPr>
      </w:pPr>
      <w:bookmarkStart w:name="1、报告期内接待调研、沟通、采访等活动登记表" w:id="109"/>
      <w:bookmarkEnd w:id="10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5"/>
        <w:rPr>
          <w:rFonts w:ascii="宋体" w:hAnsi="宋体" w:cs="宋体" w:eastAsia="宋体" w:hint="default"/>
          <w:b/>
          <w:bCs/>
          <w:sz w:val="30"/>
          <w:szCs w:val="30"/>
        </w:rPr>
      </w:pPr>
    </w:p>
    <w:p>
      <w:pPr>
        <w:pStyle w:val="BodyText"/>
        <w:spacing w:line="470" w:lineRule="auto"/>
        <w:ind w:right="5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公司报告期内未发生接待调研、沟通、采访等活动。</w:t>
      </w:r>
    </w:p>
    <w:p>
      <w:pPr>
        <w:spacing w:after="0" w:line="470" w:lineRule="auto"/>
        <w:jc w:val="left"/>
        <w:sectPr>
          <w:pgSz w:w="11910" w:h="16840"/>
          <w:pgMar w:header="882" w:footer="1134" w:top="1280" w:bottom="132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1"/>
        <w:spacing w:line="240" w:lineRule="auto"/>
        <w:ind w:right="1114"/>
        <w:jc w:val="center"/>
      </w:pPr>
      <w:bookmarkStart w:name="_TOC_250008" w:id="110"/>
      <w:bookmarkStart w:name="第五节 重要事项" w:id="111"/>
      <w:r>
        <w:rPr/>
      </w:r>
      <w:r>
        <w:rPr/>
        <w:t>第五节</w:t>
      </w:r>
      <w:r>
        <w:rPr>
          <w:spacing w:val="-2"/>
        </w:rPr>
        <w:t> </w:t>
      </w:r>
      <w:bookmarkEnd w:id="110"/>
      <w:r>
        <w:rPr/>
        <w:t>重要事项</w:t>
      </w:r>
    </w:p>
    <w:p>
      <w:pPr>
        <w:spacing w:line="240" w:lineRule="auto" w:before="2"/>
        <w:rPr>
          <w:rFonts w:ascii="黑体" w:hAnsi="黑体" w:cs="黑体" w:eastAsia="黑体" w:hint="default"/>
          <w:sz w:val="39"/>
          <w:szCs w:val="39"/>
        </w:rPr>
      </w:pPr>
    </w:p>
    <w:p>
      <w:pPr>
        <w:pStyle w:val="Heading2"/>
        <w:spacing w:line="240" w:lineRule="auto"/>
        <w:ind w:right="1127"/>
        <w:jc w:val="left"/>
        <w:rPr>
          <w:b w:val="0"/>
          <w:bCs w:val="0"/>
        </w:rPr>
      </w:pPr>
      <w:bookmarkStart w:name="一、公司普通股利润分配及资本公积金转增股本情况" w:id="112"/>
      <w:bookmarkEnd w:id="112"/>
      <w:r>
        <w:rPr>
          <w:b w:val="0"/>
          <w:bCs w:val="0"/>
        </w:rPr>
      </w:r>
      <w:r>
        <w:rPr/>
        <w:t>一、公司普通股利润分配及资本公积金转增股本情况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27"/>
        <w:jc w:val="left"/>
      </w:pPr>
      <w:r>
        <w:rPr/>
        <w:t>报告期内普通股利润分配政策，特别是现金分红政策的制定、执行或调整情况</w:t>
      </w:r>
    </w:p>
    <w:p>
      <w:pPr>
        <w:spacing w:line="240" w:lineRule="auto" w:before="6"/>
        <w:rPr>
          <w:rFonts w:ascii="宋体" w:hAnsi="宋体" w:cs="宋体" w:eastAsia="宋体" w:hint="default"/>
          <w:sz w:val="22"/>
          <w:szCs w:val="22"/>
        </w:rPr>
      </w:pPr>
    </w:p>
    <w:p>
      <w:pPr>
        <w:pStyle w:val="BodyText"/>
        <w:spacing w:line="468"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经公司第四届董事会第十九次会议、</w:t>
      </w:r>
      <w:r>
        <w:rPr>
          <w:rFonts w:ascii="Times New Roman" w:hAnsi="Times New Roman" w:cs="Times New Roman" w:eastAsia="Times New Roman" w:hint="default"/>
          <w:spacing w:val="-2"/>
        </w:rPr>
        <w:t>2018</w:t>
      </w:r>
      <w:r>
        <w:rPr>
          <w:spacing w:val="-2"/>
        </w:rPr>
        <w:t>年年度股东大会审议通过，由于母公司报表</w:t>
      </w:r>
      <w:r>
        <w:rPr>
          <w:rFonts w:ascii="Times New Roman" w:hAnsi="Times New Roman" w:cs="Times New Roman" w:eastAsia="Times New Roman" w:hint="default"/>
          <w:spacing w:val="-2"/>
        </w:rPr>
        <w:t>2018</w:t>
      </w:r>
      <w:r>
        <w:rPr>
          <w:spacing w:val="-2"/>
        </w:rPr>
        <w:t>年实现的现</w:t>
      </w:r>
    </w:p>
    <w:p>
      <w:pPr>
        <w:pStyle w:val="BodyText"/>
        <w:spacing w:line="231" w:lineRule="exact"/>
        <w:ind w:left="152" w:right="0"/>
        <w:jc w:val="left"/>
      </w:pPr>
      <w:r>
        <w:rPr/>
        <w:t>金流为负数，在保证公司正常经营和长远发展的前提下，结合公司当前实际经营情况，根据《公司章程》</w:t>
      </w:r>
    </w:p>
    <w:p>
      <w:pPr>
        <w:spacing w:line="240" w:lineRule="auto" w:before="10"/>
        <w:rPr>
          <w:rFonts w:ascii="宋体" w:hAnsi="宋体" w:cs="宋体" w:eastAsia="宋体" w:hint="default"/>
          <w:sz w:val="14"/>
          <w:szCs w:val="14"/>
        </w:rPr>
      </w:pPr>
    </w:p>
    <w:p>
      <w:pPr>
        <w:pStyle w:val="BodyText"/>
        <w:spacing w:line="240" w:lineRule="auto"/>
        <w:ind w:left="152" w:right="1127"/>
        <w:jc w:val="left"/>
      </w:pPr>
      <w:r>
        <w:rPr/>
        <w:t>等相关规定，公司</w:t>
      </w:r>
      <w:r>
        <w:rPr>
          <w:rFonts w:ascii="Times New Roman" w:hAnsi="Times New Roman" w:cs="Times New Roman" w:eastAsia="Times New Roman" w:hint="default"/>
        </w:rPr>
        <w:t>2018</w:t>
      </w:r>
      <w:r>
        <w:rPr/>
        <w:t>年度不进行利润分配，亦不进行资本公积转增股本。</w:t>
      </w:r>
    </w:p>
    <w:p>
      <w:pPr>
        <w:spacing w:line="240" w:lineRule="auto" w:before="9"/>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0"/>
        <w:gridCol w:w="4796"/>
      </w:tblGrid>
      <w:tr>
        <w:trPr>
          <w:trHeight w:val="50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3"/>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51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6"/>
              <w:ind w:left="1" w:right="0"/>
              <w:jc w:val="center"/>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08"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08"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09"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20"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1564" w:right="32" w:hanging="152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20"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103"/>
              <w:ind w:left="2196" w:right="32" w:hanging="216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1"/>
        <w:rPr>
          <w:rFonts w:ascii="宋体" w:hAnsi="宋体" w:cs="宋体" w:eastAsia="宋体" w:hint="default"/>
          <w:sz w:val="9"/>
          <w:szCs w:val="9"/>
        </w:rPr>
      </w:pPr>
    </w:p>
    <w:p>
      <w:pPr>
        <w:pStyle w:val="BodyText"/>
        <w:spacing w:line="240" w:lineRule="auto" w:before="36"/>
        <w:ind w:right="1127"/>
        <w:jc w:val="left"/>
      </w:pPr>
      <w:r>
        <w:rPr/>
        <w:t>公司报告期利润分配预案及资本公积金转增股本预案与公司章程和分红管理办法等的相关规定一致</w:t>
      </w:r>
    </w:p>
    <w:p>
      <w:pPr>
        <w:spacing w:line="240" w:lineRule="auto" w:before="6"/>
        <w:rPr>
          <w:rFonts w:ascii="宋体" w:hAnsi="宋体" w:cs="宋体" w:eastAsia="宋体" w:hint="default"/>
          <w:sz w:val="22"/>
          <w:szCs w:val="22"/>
        </w:rPr>
      </w:pPr>
    </w:p>
    <w:p>
      <w:pPr>
        <w:pStyle w:val="BodyText"/>
        <w:spacing w:line="482" w:lineRule="auto"/>
        <w:ind w:right="11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不适用</w:t>
      </w:r>
      <w:r>
        <w:rPr>
          <w:spacing w:val="-3"/>
          <w:w w:val="100"/>
        </w:rPr>
        <w:t> </w:t>
      </w:r>
      <w:r>
        <w:rPr>
          <w:spacing w:val="-2"/>
        </w:rPr>
        <w:t>公司报告期利润分配预案及资本公积金转增股本预案符合公司章程等的相关规定。</w:t>
      </w:r>
      <w:r>
        <w:rPr>
          <w:spacing w:val="-35"/>
        </w:rPr>
        <w:t> </w:t>
      </w:r>
      <w:r>
        <w:rPr>
          <w:spacing w:val="-35"/>
        </w:rPr>
      </w:r>
      <w:r>
        <w:rPr/>
        <w:t>本年度利润分配及资本公积金转增股本情况</w:t>
      </w:r>
    </w:p>
    <w:tbl>
      <w:tblPr>
        <w:tblW w:w="0" w:type="auto"/>
        <w:jc w:val="left"/>
        <w:tblInd w:w="149" w:type="dxa"/>
        <w:tblLayout w:type="fixed"/>
        <w:tblCellMar>
          <w:top w:w="0" w:type="dxa"/>
          <w:left w:w="0" w:type="dxa"/>
          <w:bottom w:w="0" w:type="dxa"/>
          <w:right w:w="0" w:type="dxa"/>
        </w:tblCellMar>
        <w:tblLook w:val="01E0"/>
      </w:tblPr>
      <w:tblGrid>
        <w:gridCol w:w="3716"/>
        <w:gridCol w:w="5851"/>
      </w:tblGrid>
      <w:tr>
        <w:trPr>
          <w:trHeight w:val="506"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0</w:t>
            </w:r>
          </w:p>
        </w:tc>
      </w:tr>
      <w:tr>
        <w:trPr>
          <w:trHeight w:val="509"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0.45</w:t>
            </w:r>
          </w:p>
        </w:tc>
      </w:tr>
      <w:tr>
        <w:trPr>
          <w:trHeight w:val="509"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0</w:t>
            </w:r>
          </w:p>
        </w:tc>
      </w:tr>
      <w:tr>
        <w:trPr>
          <w:trHeight w:val="506"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1,753,014,595</w:t>
            </w:r>
          </w:p>
        </w:tc>
      </w:tr>
      <w:tr>
        <w:trPr>
          <w:trHeight w:val="509"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4"/>
              <w:jc w:val="center"/>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78,885,656.78</w:t>
            </w:r>
          </w:p>
        </w:tc>
      </w:tr>
    </w:tbl>
    <w:p>
      <w:pPr>
        <w:spacing w:after="0" w:line="240" w:lineRule="auto"/>
        <w:jc w:val="center"/>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r>
        <w:rPr/>
        <w:pict>
          <v:group style="position:absolute;margin-left:243.960007pt;margin-top:72.47998pt;width:289.7pt;height:25pt;mso-position-horizontal-relative:page;mso-position-vertical-relative:page;z-index:-1427104" coordorigin="4879,1450" coordsize="5794,500">
            <v:shape style="position:absolute;left:4879;top:1450;width:5794;height:500" coordorigin="4879,1450" coordsize="5794,500" path="m4879,1949l10673,1949,10673,1450,4879,1450,4879,1949xe" filled="true" fillcolor="#ffffff" stroked="false">
              <v:path arrowok="t"/>
              <v:fill type="solid"/>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3695"/>
        <w:gridCol w:w="5862"/>
      </w:tblGrid>
      <w:tr>
        <w:trPr>
          <w:trHeight w:val="509" w:hRule="exact"/>
        </w:trPr>
        <w:tc>
          <w:tcPr>
            <w:tcW w:w="3695"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240" w:lineRule="auto" w:before="101"/>
              <w:ind w:right="77"/>
              <w:jc w:val="center"/>
              <w:rPr>
                <w:rFonts w:ascii="宋体" w:hAnsi="宋体" w:cs="宋体" w:eastAsia="宋体" w:hint="default"/>
                <w:sz w:val="18"/>
                <w:szCs w:val="18"/>
              </w:rPr>
            </w:pPr>
            <w:r>
              <w:rPr>
                <w:rFonts w:ascii="宋体" w:hAnsi="宋体" w:cs="宋体" w:eastAsia="宋体" w:hint="default"/>
                <w:spacing w:val="-2"/>
                <w:sz w:val="18"/>
                <w:szCs w:val="18"/>
              </w:rPr>
              <w:t>以其他方式（如回购股份）现金分红金额（元</w:t>
            </w:r>
          </w:p>
        </w:tc>
        <w:tc>
          <w:tcPr>
            <w:tcW w:w="5862" w:type="dxa"/>
            <w:tcBorders>
              <w:top w:val="single" w:sz="4" w:space="0" w:color="000000"/>
              <w:left w:val="single" w:sz="22" w:space="0" w:color="FFFFFF"/>
              <w:bottom w:val="single" w:sz="4" w:space="0" w:color="000000"/>
              <w:right w:val="single" w:sz="4" w:space="0" w:color="000000"/>
            </w:tcBorders>
          </w:tcPr>
          <w:p>
            <w:pPr>
              <w:pStyle w:val="TableParagraph"/>
              <w:tabs>
                <w:tab w:pos="2752" w:val="left" w:leader="none"/>
              </w:tabs>
              <w:spacing w:line="240" w:lineRule="auto" w:before="101"/>
              <w:ind w:left="-1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506"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4"/>
              <w:ind w:right="2400"/>
              <w:jc w:val="right"/>
              <w:rPr>
                <w:rFonts w:ascii="Times New Roman" w:hAnsi="Times New Roman" w:cs="Times New Roman" w:eastAsia="Times New Roman" w:hint="default"/>
                <w:sz w:val="18"/>
                <w:szCs w:val="18"/>
              </w:rPr>
            </w:pPr>
            <w:r>
              <w:rPr>
                <w:rFonts w:ascii="Times New Roman"/>
                <w:spacing w:val="-1"/>
                <w:sz w:val="18"/>
              </w:rPr>
              <w:t>78,885,656.78</w:t>
            </w:r>
            <w:r>
              <w:rPr>
                <w:rFonts w:ascii="Times New Roman"/>
                <w:sz w:val="18"/>
              </w:rPr>
            </w:r>
          </w:p>
        </w:tc>
      </w:tr>
      <w:tr>
        <w:trPr>
          <w:trHeight w:val="509"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4"/>
              <w:ind w:right="2351"/>
              <w:jc w:val="right"/>
              <w:rPr>
                <w:rFonts w:ascii="Times New Roman" w:hAnsi="Times New Roman" w:cs="Times New Roman" w:eastAsia="Times New Roman" w:hint="default"/>
                <w:sz w:val="18"/>
                <w:szCs w:val="18"/>
              </w:rPr>
            </w:pPr>
            <w:r>
              <w:rPr>
                <w:rFonts w:ascii="Times New Roman"/>
                <w:spacing w:val="-1"/>
                <w:sz w:val="18"/>
              </w:rPr>
              <w:t>160,931,566.92</w:t>
            </w:r>
            <w:r>
              <w:rPr>
                <w:rFonts w:ascii="Times New Roman"/>
                <w:sz w:val="18"/>
              </w:rPr>
            </w:r>
          </w:p>
        </w:tc>
      </w:tr>
      <w:tr>
        <w:trPr>
          <w:trHeight w:val="821"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1572" w:right="42" w:hanging="153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100.00%</w:t>
            </w:r>
          </w:p>
        </w:tc>
      </w:tr>
      <w:tr>
        <w:trPr>
          <w:trHeight w:val="506"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509"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3"/>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509"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818"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
              <w:jc w:val="center"/>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年年度利润分配方案为</w:t>
            </w:r>
            <w:r>
              <w:rPr>
                <w:rFonts w:ascii="宋体" w:hAnsi="宋体" w:cs="宋体" w:eastAsia="宋体" w:hint="default"/>
                <w:spacing w:val="-87"/>
                <w:sz w:val="18"/>
                <w:szCs w:val="18"/>
              </w:rPr>
              <w:t>：</w:t>
            </w:r>
            <w:r>
              <w:rPr>
                <w:rFonts w:ascii="宋体" w:hAnsi="宋体" w:cs="宋体" w:eastAsia="宋体" w:hint="default"/>
                <w:sz w:val="18"/>
                <w:szCs w:val="18"/>
              </w:rPr>
              <w:t>以公司现有总股本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84"/>
                <w:sz w:val="18"/>
                <w:szCs w:val="18"/>
              </w:rPr>
              <w:t>，</w:t>
            </w:r>
            <w:r>
              <w:rPr>
                <w:rFonts w:ascii="宋体" w:hAnsi="宋体" w:cs="宋体" w:eastAsia="宋体" w:hint="default"/>
                <w:sz w:val="18"/>
                <w:szCs w:val="18"/>
              </w:rPr>
              <w:t>向全体股东每</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87"/>
                <w:sz w:val="18"/>
                <w:szCs w:val="18"/>
              </w:rPr>
              <w:t>元</w:t>
            </w:r>
            <w:r>
              <w:rPr>
                <w:rFonts w:ascii="宋体" w:hAnsi="宋体" w:cs="宋体" w:eastAsia="宋体" w:hint="default"/>
                <w:spacing w:val="-3"/>
                <w:sz w:val="18"/>
                <w:szCs w:val="18"/>
              </w:rPr>
              <w:t>（</w:t>
            </w:r>
            <w:r>
              <w:rPr>
                <w:rFonts w:ascii="宋体" w:hAnsi="宋体" w:cs="宋体" w:eastAsia="宋体" w:hint="default"/>
                <w:sz w:val="18"/>
                <w:szCs w:val="18"/>
              </w:rPr>
              <w:t>含</w:t>
            </w:r>
          </w:p>
          <w:p>
            <w:pPr>
              <w:pStyle w:val="TableParagraph"/>
              <w:spacing w:line="240" w:lineRule="auto" w:before="63"/>
              <w:ind w:right="7"/>
              <w:jc w:val="center"/>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92"/>
                <w:sz w:val="18"/>
                <w:szCs w:val="18"/>
              </w:rPr>
              <w:t>）</w:t>
            </w:r>
            <w:r>
              <w:rPr>
                <w:rFonts w:ascii="宋体" w:hAnsi="宋体" w:cs="宋体" w:eastAsia="宋体" w:hint="default"/>
                <w:sz w:val="18"/>
                <w:szCs w:val="18"/>
              </w:rPr>
              <w:t>，共计派发现金股利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78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，占</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归属于上市公司股东净利润的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50</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p>
        </w:tc>
      </w:tr>
    </w:tbl>
    <w:p>
      <w:pPr>
        <w:spacing w:line="240" w:lineRule="auto" w:before="11"/>
        <w:rPr>
          <w:rFonts w:ascii="宋体" w:hAnsi="宋体" w:cs="宋体" w:eastAsia="宋体" w:hint="default"/>
          <w:sz w:val="9"/>
          <w:szCs w:val="9"/>
        </w:rPr>
      </w:pPr>
    </w:p>
    <w:p>
      <w:pPr>
        <w:pStyle w:val="BodyText"/>
        <w:spacing w:line="240" w:lineRule="auto" w:before="36"/>
        <w:ind w:right="1127"/>
        <w:jc w:val="left"/>
      </w:pPr>
      <w:r>
        <w:rPr>
          <w:w w:val="100"/>
        </w:rPr>
        <w:t>公</w:t>
      </w:r>
      <w:r>
        <w:rPr>
          <w:spacing w:val="-3"/>
          <w:w w:val="100"/>
        </w:rPr>
        <w:t>司</w:t>
      </w:r>
      <w:r>
        <w:rPr>
          <w:w w:val="100"/>
        </w:rPr>
        <w:t>近</w:t>
      </w:r>
      <w:r>
        <w:rPr>
          <w:spacing w:val="-53"/>
        </w:rPr>
        <w:t> </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spacing w:val="-3"/>
          <w:w w:val="100"/>
        </w:rPr>
        <w:t>年</w:t>
      </w:r>
      <w:r>
        <w:rPr>
          <w:w w:val="100"/>
        </w:rPr>
        <w:t>（</w:t>
      </w:r>
      <w:r>
        <w:rPr>
          <w:spacing w:val="-3"/>
          <w:w w:val="100"/>
        </w:rPr>
        <w:t>包</w:t>
      </w:r>
      <w:r>
        <w:rPr>
          <w:w w:val="100"/>
        </w:rPr>
        <w:t>括</w:t>
      </w:r>
      <w:r>
        <w:rPr>
          <w:spacing w:val="-3"/>
          <w:w w:val="100"/>
        </w:rPr>
        <w:t>本</w:t>
      </w:r>
      <w:r>
        <w:rPr>
          <w:w w:val="100"/>
        </w:rPr>
        <w:t>报</w:t>
      </w:r>
      <w:r>
        <w:rPr>
          <w:spacing w:val="-3"/>
          <w:w w:val="100"/>
        </w:rPr>
        <w:t>告</w:t>
      </w:r>
      <w:r>
        <w:rPr>
          <w:w w:val="100"/>
        </w:rPr>
        <w:t>期）</w:t>
      </w:r>
      <w:r>
        <w:rPr>
          <w:spacing w:val="-3"/>
          <w:w w:val="100"/>
        </w:rPr>
        <w:t>的</w:t>
      </w:r>
      <w:r>
        <w:rPr>
          <w:w w:val="100"/>
        </w:rPr>
        <w:t>普</w:t>
      </w:r>
      <w:r>
        <w:rPr>
          <w:spacing w:val="-3"/>
          <w:w w:val="100"/>
        </w:rPr>
        <w:t>通</w:t>
      </w:r>
      <w:r>
        <w:rPr>
          <w:w w:val="100"/>
        </w:rPr>
        <w:t>股</w:t>
      </w:r>
      <w:r>
        <w:rPr>
          <w:spacing w:val="-3"/>
          <w:w w:val="100"/>
        </w:rPr>
        <w:t>股</w:t>
      </w:r>
      <w:r>
        <w:rPr>
          <w:w w:val="100"/>
        </w:rPr>
        <w:t>利</w:t>
      </w:r>
      <w:r>
        <w:rPr>
          <w:spacing w:val="-3"/>
          <w:w w:val="100"/>
        </w:rPr>
        <w:t>分</w:t>
      </w:r>
      <w:r>
        <w:rPr>
          <w:w w:val="100"/>
        </w:rPr>
        <w:t>配</w:t>
      </w:r>
      <w:r>
        <w:rPr>
          <w:spacing w:val="-3"/>
          <w:w w:val="100"/>
        </w:rPr>
        <w:t>方</w:t>
      </w:r>
      <w:r>
        <w:rPr>
          <w:w w:val="100"/>
        </w:rPr>
        <w:t>案（</w:t>
      </w:r>
      <w:r>
        <w:rPr>
          <w:spacing w:val="-3"/>
          <w:w w:val="100"/>
        </w:rPr>
        <w:t>预</w:t>
      </w:r>
      <w:r>
        <w:rPr>
          <w:w w:val="100"/>
        </w:rPr>
        <w:t>案</w:t>
      </w:r>
      <w:r>
        <w:rPr>
          <w:spacing w:val="-108"/>
          <w:w w:val="100"/>
        </w:rPr>
        <w:t>）</w:t>
      </w:r>
      <w:r>
        <w:rPr>
          <w:w w:val="100"/>
        </w:rPr>
        <w:t>、</w:t>
      </w:r>
      <w:r>
        <w:rPr>
          <w:spacing w:val="-3"/>
          <w:w w:val="100"/>
        </w:rPr>
        <w:t>资</w:t>
      </w:r>
      <w:r>
        <w:rPr>
          <w:w w:val="100"/>
        </w:rPr>
        <w:t>本</w:t>
      </w:r>
      <w:r>
        <w:rPr>
          <w:spacing w:val="-3"/>
          <w:w w:val="100"/>
        </w:rPr>
        <w:t>公</w:t>
      </w:r>
      <w:r>
        <w:rPr>
          <w:w w:val="100"/>
        </w:rPr>
        <w:t>积</w:t>
      </w:r>
      <w:r>
        <w:rPr>
          <w:spacing w:val="-3"/>
          <w:w w:val="100"/>
        </w:rPr>
        <w:t>金转</w:t>
      </w:r>
      <w:r>
        <w:rPr>
          <w:w w:val="100"/>
        </w:rPr>
        <w:t>增股</w:t>
      </w:r>
      <w:r>
        <w:rPr>
          <w:spacing w:val="-3"/>
          <w:w w:val="100"/>
        </w:rPr>
        <w:t>本</w:t>
      </w:r>
      <w:r>
        <w:rPr>
          <w:w w:val="100"/>
        </w:rPr>
        <w:t>方</w:t>
      </w:r>
      <w:r>
        <w:rPr>
          <w:spacing w:val="-3"/>
          <w:w w:val="100"/>
        </w:rPr>
        <w:t>案</w:t>
      </w:r>
      <w:r>
        <w:rPr>
          <w:w w:val="100"/>
        </w:rPr>
        <w:t>（</w:t>
      </w:r>
      <w:r>
        <w:rPr>
          <w:spacing w:val="-3"/>
          <w:w w:val="100"/>
        </w:rPr>
        <w:t>预</w:t>
      </w:r>
      <w:r>
        <w:rPr>
          <w:w w:val="100"/>
        </w:rPr>
        <w:t>案</w:t>
      </w:r>
      <w:r>
        <w:rPr>
          <w:spacing w:val="-3"/>
          <w:w w:val="100"/>
        </w:rPr>
        <w:t>）</w:t>
      </w:r>
      <w:r>
        <w:rPr>
          <w:w w:val="100"/>
        </w:rPr>
        <w:t>情</w:t>
      </w:r>
    </w:p>
    <w:p>
      <w:pPr>
        <w:spacing w:line="240" w:lineRule="auto" w:before="10"/>
        <w:rPr>
          <w:rFonts w:ascii="宋体" w:hAnsi="宋体" w:cs="宋体" w:eastAsia="宋体" w:hint="default"/>
          <w:sz w:val="10"/>
          <w:szCs w:val="10"/>
        </w:rPr>
      </w:pPr>
    </w:p>
    <w:p>
      <w:pPr>
        <w:pStyle w:val="BodyText"/>
        <w:spacing w:line="240" w:lineRule="auto" w:before="36"/>
        <w:ind w:left="152" w:right="1127"/>
        <w:jc w:val="left"/>
      </w:pPr>
      <w:r>
        <w:rPr>
          <w:w w:val="100"/>
        </w:rPr>
        <w:t>况</w:t>
      </w:r>
    </w:p>
    <w:p>
      <w:pPr>
        <w:spacing w:line="240" w:lineRule="auto" w:before="9"/>
        <w:rPr>
          <w:rFonts w:ascii="宋体" w:hAnsi="宋体" w:cs="宋体" w:eastAsia="宋体" w:hint="default"/>
          <w:sz w:val="19"/>
          <w:szCs w:val="19"/>
        </w:rPr>
      </w:pPr>
    </w:p>
    <w:p>
      <w:pPr>
        <w:pStyle w:val="BodyText"/>
        <w:spacing w:line="386" w:lineRule="auto" w:before="36"/>
        <w:ind w:left="153" w:right="1127" w:firstLine="419"/>
        <w:jc w:val="left"/>
      </w:pPr>
      <w:r>
        <w:rPr>
          <w:spacing w:val="-2"/>
        </w:rPr>
        <w:t>经公司第四届董事会第三次会议、</w:t>
      </w:r>
      <w:r>
        <w:rPr>
          <w:rFonts w:ascii="Times New Roman" w:hAnsi="Times New Roman" w:cs="Times New Roman" w:eastAsia="Times New Roman" w:hint="default"/>
          <w:spacing w:val="-2"/>
        </w:rPr>
        <w:t>2017</w:t>
      </w:r>
      <w:r>
        <w:rPr>
          <w:spacing w:val="-2"/>
        </w:rPr>
        <w:t>年年度股东大会审议通过，</w:t>
      </w:r>
      <w:r>
        <w:rPr>
          <w:rFonts w:ascii="Times New Roman" w:hAnsi="Times New Roman" w:cs="Times New Roman" w:eastAsia="Times New Roman" w:hint="default"/>
          <w:spacing w:val="-2"/>
        </w:rPr>
        <w:t>2017</w:t>
      </w:r>
      <w:r>
        <w:rPr>
          <w:spacing w:val="-2"/>
        </w:rPr>
        <w:t>年年度利润分配方案为：以公</w:t>
      </w:r>
      <w:r>
        <w:rPr>
          <w:w w:val="100"/>
        </w:rPr>
        <w:t> </w:t>
      </w:r>
      <w:r>
        <w:rPr>
          <w:spacing w:val="-2"/>
        </w:rPr>
        <w:t>司扣除已回购社会公众股、扣除即将回购注销的限制性股票后现有股份总数</w:t>
      </w:r>
      <w:r>
        <w:rPr>
          <w:rFonts w:ascii="Times New Roman" w:hAnsi="Times New Roman" w:cs="Times New Roman" w:eastAsia="Times New Roman" w:hint="default"/>
          <w:spacing w:val="-2"/>
        </w:rPr>
        <w:t>1,165,647,898</w:t>
      </w:r>
      <w:r>
        <w:rPr>
          <w:spacing w:val="-2"/>
        </w:rPr>
        <w:t>股为基数，向全</w:t>
      </w:r>
      <w:r>
        <w:rPr>
          <w:spacing w:val="-13"/>
        </w:rPr>
        <w:t> </w:t>
      </w:r>
      <w:r>
        <w:rPr>
          <w:spacing w:val="-13"/>
        </w:rPr>
      </w:r>
      <w:r>
        <w:rPr/>
        <w:t>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0.70</w:t>
      </w:r>
      <w:r>
        <w:rPr/>
        <w:t>元（含税），共计派发现金股利</w:t>
      </w:r>
      <w:r>
        <w:rPr>
          <w:rFonts w:ascii="Times New Roman" w:hAnsi="Times New Roman" w:cs="Times New Roman" w:eastAsia="Times New Roman" w:hint="default"/>
        </w:rPr>
        <w:t>81,595,352.86</w:t>
      </w:r>
      <w:r>
        <w:rPr/>
        <w:t>元（含税），占</w:t>
      </w:r>
      <w:r>
        <w:rPr>
          <w:rFonts w:ascii="Times New Roman" w:hAnsi="Times New Roman" w:cs="Times New Roman" w:eastAsia="Times New Roman" w:hint="default"/>
        </w:rPr>
        <w:t>2017</w:t>
      </w:r>
      <w:r>
        <w:rPr/>
        <w:t>年归属</w:t>
      </w:r>
      <w:r>
        <w:rPr>
          <w:spacing w:val="-3"/>
          <w:w w:val="100"/>
        </w:rPr>
        <w:t> </w:t>
      </w:r>
      <w:r>
        <w:rPr>
          <w:spacing w:val="-2"/>
        </w:rPr>
        <w:t>于上市公司股东净利润的</w:t>
      </w:r>
      <w:r>
        <w:rPr>
          <w:rFonts w:ascii="Times New Roman" w:hAnsi="Times New Roman" w:cs="Times New Roman" w:eastAsia="Times New Roman" w:hint="default"/>
          <w:spacing w:val="-2"/>
        </w:rPr>
        <w:t>20.96%</w:t>
      </w:r>
      <w:r>
        <w:rPr>
          <w:spacing w:val="-2"/>
        </w:rPr>
        <w:t>；同时进行资本公积金转增股本，向全体股东每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股，共计转增</w:t>
      </w:r>
      <w:r>
        <w:rPr>
          <w:spacing w:val="-20"/>
        </w:rPr>
        <w:t> </w:t>
      </w:r>
      <w:r>
        <w:rPr>
          <w:spacing w:val="-20"/>
        </w:rPr>
      </w:r>
      <w:r>
        <w:rPr>
          <w:rFonts w:ascii="Times New Roman" w:hAnsi="Times New Roman" w:cs="Times New Roman" w:eastAsia="Times New Roman" w:hint="default"/>
          <w:spacing w:val="-3"/>
        </w:rPr>
        <w:t>582,823,949</w:t>
      </w:r>
      <w:r>
        <w:rPr>
          <w:spacing w:val="-3"/>
        </w:rPr>
        <w:t>股，转增后公司总股本将增加至</w:t>
      </w:r>
      <w:r>
        <w:rPr>
          <w:rFonts w:ascii="Times New Roman" w:hAnsi="Times New Roman" w:cs="Times New Roman" w:eastAsia="Times New Roman" w:hint="default"/>
          <w:spacing w:val="-3"/>
        </w:rPr>
        <w:t>1,748,471,847</w:t>
      </w:r>
      <w:r>
        <w:rPr>
          <w:spacing w:val="-3"/>
        </w:rPr>
        <w:t>股。</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25</w:t>
      </w:r>
      <w:r>
        <w:rPr>
          <w:spacing w:val="-3"/>
        </w:rPr>
        <w:t>日，公司</w:t>
      </w:r>
      <w:r>
        <w:rPr>
          <w:rFonts w:ascii="Times New Roman" w:hAnsi="Times New Roman" w:cs="Times New Roman" w:eastAsia="Times New Roman" w:hint="default"/>
          <w:spacing w:val="-3"/>
        </w:rPr>
        <w:t>2017</w:t>
      </w:r>
      <w:r>
        <w:rPr>
          <w:spacing w:val="-3"/>
        </w:rPr>
        <w:t>年年度利润分配方</w:t>
      </w:r>
      <w:r>
        <w:rPr/>
        <w:t> </w:t>
      </w:r>
      <w:r>
        <w:rPr/>
        <w:t>案已实施完毕。</w:t>
      </w:r>
    </w:p>
    <w:p>
      <w:pPr>
        <w:pStyle w:val="BodyText"/>
        <w:spacing w:line="398" w:lineRule="auto" w:before="65"/>
        <w:ind w:left="153" w:right="1106" w:firstLine="420"/>
        <w:jc w:val="both"/>
      </w:pPr>
      <w:r>
        <w:rPr>
          <w:spacing w:val="-2"/>
        </w:rPr>
        <w:t>经公司第四届董事会第十九次会议、</w:t>
      </w:r>
      <w:r>
        <w:rPr>
          <w:rFonts w:ascii="Times New Roman" w:hAnsi="Times New Roman" w:cs="Times New Roman" w:eastAsia="Times New Roman" w:hint="default"/>
          <w:spacing w:val="-2"/>
        </w:rPr>
        <w:t>2018</w:t>
      </w:r>
      <w:r>
        <w:rPr>
          <w:spacing w:val="-2"/>
        </w:rPr>
        <w:t>年年度股东大会审议通过，由于母公司报表</w:t>
      </w:r>
      <w:r>
        <w:rPr>
          <w:rFonts w:ascii="Times New Roman" w:hAnsi="Times New Roman" w:cs="Times New Roman" w:eastAsia="Times New Roman" w:hint="default"/>
          <w:spacing w:val="-2"/>
        </w:rPr>
        <w:t>2018</w:t>
      </w:r>
      <w:r>
        <w:rPr>
          <w:spacing w:val="-2"/>
        </w:rPr>
        <w:t>年实现的现</w:t>
      </w:r>
      <w:r>
        <w:rPr>
          <w:w w:val="100"/>
        </w:rPr>
        <w:t> </w:t>
      </w:r>
      <w:r>
        <w:rPr>
          <w:spacing w:val="-2"/>
        </w:rPr>
        <w:t>金流为负数，在保证公司正常经营和长远发展的前提下，结合公司当前实际经营情况，根据《公司章程》</w:t>
      </w:r>
      <w:r>
        <w:rPr>
          <w:spacing w:val="-21"/>
        </w:rPr>
        <w:t> </w:t>
      </w:r>
      <w:r>
        <w:rPr>
          <w:spacing w:val="-21"/>
        </w:rPr>
      </w:r>
      <w:r>
        <w:rPr/>
        <w:t>等相关规定，公司</w:t>
      </w:r>
      <w:r>
        <w:rPr>
          <w:rFonts w:ascii="Times New Roman" w:hAnsi="Times New Roman" w:cs="Times New Roman" w:eastAsia="Times New Roman" w:hint="default"/>
        </w:rPr>
        <w:t>2018</w:t>
      </w:r>
      <w:r>
        <w:rPr/>
        <w:t>年度不进行利润分配，亦不进行资本公积转增股本。</w:t>
      </w:r>
    </w:p>
    <w:p>
      <w:pPr>
        <w:pStyle w:val="BodyText"/>
        <w:spacing w:line="240" w:lineRule="auto" w:before="24"/>
        <w:ind w:left="573" w:right="1127"/>
        <w:jc w:val="left"/>
      </w:pPr>
      <w:r>
        <w:rPr/>
        <w:t>经公司第四届董事会第三十七次会议审议通过，</w:t>
      </w:r>
      <w:r>
        <w:rPr>
          <w:rFonts w:ascii="Times New Roman" w:hAnsi="Times New Roman" w:cs="Times New Roman" w:eastAsia="Times New Roman" w:hint="default"/>
        </w:rPr>
        <w:t>2019</w:t>
      </w:r>
      <w:r>
        <w:rPr/>
        <w:t>年年度利润分配方案为：以公司现有总股本</w:t>
      </w:r>
    </w:p>
    <w:p>
      <w:pPr>
        <w:pStyle w:val="BodyText"/>
        <w:spacing w:line="240" w:lineRule="auto" w:before="177"/>
        <w:ind w:left="153" w:right="1127"/>
        <w:jc w:val="left"/>
      </w:pPr>
      <w:r>
        <w:rPr>
          <w:rFonts w:ascii="Times New Roman" w:hAnsi="Times New Roman" w:cs="Times New Roman" w:eastAsia="Times New Roman" w:hint="default"/>
        </w:rPr>
        <w:t>1,753,014,595</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0.450000</w:t>
      </w:r>
      <w:r>
        <w:rPr/>
        <w:t>元（含税），共计派发现金股利</w:t>
      </w:r>
    </w:p>
    <w:p>
      <w:pPr>
        <w:pStyle w:val="BodyText"/>
        <w:spacing w:line="470" w:lineRule="auto" w:before="177"/>
        <w:ind w:left="573" w:right="0" w:hanging="420"/>
        <w:jc w:val="left"/>
      </w:pPr>
      <w:r>
        <w:rPr>
          <w:rFonts w:ascii="Times New Roman" w:hAnsi="Times New Roman" w:cs="Times New Roman" w:eastAsia="Times New Roman" w:hint="default"/>
          <w:spacing w:val="-3"/>
        </w:rPr>
        <w:t>78,885,656.78</w:t>
      </w:r>
      <w:r>
        <w:rPr>
          <w:spacing w:val="-3"/>
        </w:rPr>
        <w:t>元（含税），占</w:t>
      </w:r>
      <w:r>
        <w:rPr>
          <w:rFonts w:ascii="Times New Roman" w:hAnsi="Times New Roman" w:cs="Times New Roman" w:eastAsia="Times New Roman" w:hint="default"/>
          <w:spacing w:val="-3"/>
        </w:rPr>
        <w:t>2019</w:t>
      </w:r>
      <w:r>
        <w:rPr>
          <w:spacing w:val="-3"/>
        </w:rPr>
        <w:t>年归属于上市公司股东净利润的</w:t>
      </w:r>
      <w:r>
        <w:rPr>
          <w:rFonts w:ascii="Times New Roman" w:hAnsi="Times New Roman" w:cs="Times New Roman" w:eastAsia="Times New Roman" w:hint="default"/>
          <w:spacing w:val="-3"/>
        </w:rPr>
        <w:t>30.50%</w:t>
      </w:r>
      <w:r>
        <w:rPr>
          <w:spacing w:val="-3"/>
        </w:rPr>
        <w:t>。本议案尚需提交股东大会审议。</w:t>
      </w:r>
      <w:r>
        <w:rPr>
          <w:spacing w:val="-30"/>
        </w:rPr>
        <w:t> </w:t>
      </w:r>
      <w:r>
        <w:rPr>
          <w:spacing w:val="-30"/>
        </w:rPr>
      </w:r>
      <w:r>
        <w:rPr/>
        <w:t>公司近三年（包括本报告期）普通股现金分红情况表</w:t>
      </w:r>
    </w:p>
    <w:p>
      <w:pPr>
        <w:pStyle w:val="BodyText"/>
        <w:spacing w:line="240" w:lineRule="auto" w:before="90"/>
        <w:ind w:left="0" w:right="1130"/>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5"/>
        <w:gridCol w:w="1195"/>
        <w:gridCol w:w="1198"/>
        <w:gridCol w:w="1195"/>
        <w:gridCol w:w="1195"/>
        <w:gridCol w:w="1198"/>
      </w:tblGrid>
      <w:tr>
        <w:trPr>
          <w:trHeight w:val="1132" w:hRule="exact"/>
        </w:trPr>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47"/>
              <w:ind w:left="52" w:right="50"/>
              <w:jc w:val="both"/>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47"/>
              <w:ind w:left="52" w:right="50"/>
              <w:jc w:val="both"/>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7"/>
              <w:ind w:left="143" w:right="0"/>
              <w:jc w:val="left"/>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91"/>
              <w:jc w:val="left"/>
              <w:rPr>
                <w:rFonts w:ascii="宋体" w:hAnsi="宋体" w:cs="宋体" w:eastAsia="宋体" w:hint="default"/>
                <w:sz w:val="18"/>
                <w:szCs w:val="18"/>
              </w:rPr>
            </w:pPr>
            <w:r>
              <w:rPr>
                <w:rFonts w:ascii="宋体" w:hAnsi="宋体" w:cs="宋体" w:eastAsia="宋体" w:hint="default"/>
                <w:sz w:val="18"/>
                <w:szCs w:val="18"/>
              </w:rPr>
              <w:t>（如回购股 份）现金分红</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47"/>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39"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7"/>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3" w:firstLine="91"/>
              <w:jc w:val="left"/>
              <w:rPr>
                <w:rFonts w:ascii="宋体" w:hAnsi="宋体" w:cs="宋体" w:eastAsia="宋体" w:hint="default"/>
                <w:sz w:val="18"/>
                <w:szCs w:val="18"/>
              </w:rPr>
            </w:pPr>
            <w:r>
              <w:rPr>
                <w:rFonts w:ascii="宋体" w:hAnsi="宋体" w:cs="宋体" w:eastAsia="宋体" w:hint="default"/>
                <w:sz w:val="18"/>
                <w:szCs w:val="18"/>
              </w:rPr>
              <w:t>（含其他方 式）占合并报</w:t>
            </w:r>
          </w:p>
        </w:tc>
      </w:tr>
    </w:tbl>
    <w:p>
      <w:pPr>
        <w:spacing w:after="0" w:line="316" w:lineRule="auto"/>
        <w:jc w:val="left"/>
        <w:rPr>
          <w:rFonts w:ascii="宋体" w:hAnsi="宋体" w:cs="宋体" w:eastAsia="宋体"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5"/>
        <w:gridCol w:w="1195"/>
        <w:gridCol w:w="1198"/>
        <w:gridCol w:w="1195"/>
        <w:gridCol w:w="1195"/>
        <w:gridCol w:w="1198"/>
      </w:tblGrid>
      <w:tr>
        <w:trPr>
          <w:trHeight w:val="410" w:hRule="exact"/>
        </w:trPr>
        <w:tc>
          <w:tcPr>
            <w:tcW w:w="1198" w:type="dxa"/>
            <w:vMerge w:val="restart"/>
            <w:tcBorders>
              <w:top w:val="single" w:sz="4" w:space="0" w:color="000000"/>
              <w:left w:val="single" w:sz="4" w:space="0" w:color="000000"/>
              <w:right w:val="single" w:sz="4" w:space="0" w:color="000000"/>
            </w:tcBorders>
            <w:shd w:val="clear" w:color="auto" w:fill="D4D4D4"/>
          </w:tcPr>
          <w:p>
            <w:pPr/>
          </w:p>
        </w:tc>
        <w:tc>
          <w:tcPr>
            <w:tcW w:w="1195" w:type="dxa"/>
            <w:vMerge w:val="restart"/>
            <w:tcBorders>
              <w:top w:val="single" w:sz="4" w:space="0" w:color="000000"/>
              <w:left w:val="single" w:sz="4" w:space="0" w:color="000000"/>
              <w:right w:val="single" w:sz="4" w:space="0" w:color="000000"/>
            </w:tcBorders>
            <w:shd w:val="clear" w:color="auto" w:fill="D4D4D4"/>
          </w:tcPr>
          <w:p>
            <w:pP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8"/>
              <w:ind w:left="504" w:right="50" w:hanging="452"/>
              <w:jc w:val="left"/>
              <w:rPr>
                <w:rFonts w:ascii="宋体" w:hAnsi="宋体" w:cs="宋体" w:eastAsia="宋体" w:hint="default"/>
                <w:sz w:val="18"/>
                <w:szCs w:val="18"/>
              </w:rPr>
            </w:pPr>
            <w:r>
              <w:rPr>
                <w:rFonts w:ascii="宋体" w:hAnsi="宋体" w:cs="宋体" w:eastAsia="宋体" w:hint="default"/>
                <w:sz w:val="18"/>
                <w:szCs w:val="18"/>
              </w:rPr>
              <w:t>股股东的净利 润</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8"/>
              <w:ind w:left="52" w:right="50"/>
              <w:jc w:val="center"/>
              <w:rPr>
                <w:rFonts w:ascii="宋体" w:hAnsi="宋体" w:cs="宋体" w:eastAsia="宋体" w:hint="default"/>
                <w:sz w:val="18"/>
                <w:szCs w:val="18"/>
              </w:rPr>
            </w:pPr>
            <w:r>
              <w:rPr>
                <w:rFonts w:ascii="宋体" w:hAnsi="宋体" w:cs="宋体" w:eastAsia="宋体" w:hint="default"/>
                <w:sz w:val="18"/>
                <w:szCs w:val="18"/>
              </w:rPr>
              <w:t>司普通股股东 的净利润的比 率</w:t>
            </w:r>
          </w:p>
        </w:tc>
        <w:tc>
          <w:tcPr>
            <w:tcW w:w="1198" w:type="dxa"/>
            <w:tcBorders>
              <w:top w:val="single" w:sz="4" w:space="0" w:color="000000"/>
              <w:left w:val="single" w:sz="4" w:space="0" w:color="000000"/>
              <w:bottom w:val="nil" w:sz="6" w:space="0" w:color="auto"/>
              <w:right w:val="single" w:sz="4" w:space="0" w:color="000000"/>
            </w:tcBorders>
            <w:shd w:val="clear" w:color="auto" w:fill="D4D4D4"/>
          </w:tcPr>
          <w:p>
            <w:pPr>
              <w:pStyle w:val="TableParagraph"/>
              <w:spacing w:line="240" w:lineRule="auto" w:before="8"/>
              <w:ind w:left="32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8"/>
              <w:ind w:left="52" w:right="50"/>
              <w:jc w:val="both"/>
              <w:rPr>
                <w:rFonts w:ascii="宋体" w:hAnsi="宋体" w:cs="宋体" w:eastAsia="宋体" w:hint="default"/>
                <w:sz w:val="18"/>
                <w:szCs w:val="18"/>
              </w:rPr>
            </w:pPr>
            <w:r>
              <w:rPr>
                <w:rFonts w:ascii="宋体" w:hAnsi="宋体" w:cs="宋体" w:eastAsia="宋体" w:hint="default"/>
                <w:sz w:val="18"/>
                <w:szCs w:val="18"/>
              </w:rPr>
              <w:t>属于上市公司 普通股股东的 净利润的比例</w:t>
            </w:r>
          </w:p>
        </w:tc>
        <w:tc>
          <w:tcPr>
            <w:tcW w:w="1195" w:type="dxa"/>
            <w:vMerge w:val="restart"/>
            <w:tcBorders>
              <w:top w:val="single" w:sz="4" w:space="0" w:color="000000"/>
              <w:left w:val="single" w:sz="4" w:space="0" w:color="000000"/>
              <w:right w:val="single" w:sz="4" w:space="0" w:color="000000"/>
            </w:tcBorders>
            <w:shd w:val="clear" w:color="auto" w:fill="D4D4D4"/>
          </w:tcPr>
          <w:p>
            <w:pP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8"/>
              <w:ind w:left="52" w:right="53"/>
              <w:jc w:val="center"/>
              <w:rPr>
                <w:rFonts w:ascii="宋体" w:hAnsi="宋体" w:cs="宋体" w:eastAsia="宋体" w:hint="default"/>
                <w:sz w:val="18"/>
                <w:szCs w:val="18"/>
              </w:rPr>
            </w:pPr>
            <w:r>
              <w:rPr>
                <w:rFonts w:ascii="宋体" w:hAnsi="宋体" w:cs="宋体" w:eastAsia="宋体" w:hint="default"/>
                <w:sz w:val="18"/>
                <w:szCs w:val="18"/>
              </w:rPr>
              <w:t>表中归属于上 市公司普通股 股东的净利润 的比率</w:t>
            </w:r>
          </w:p>
        </w:tc>
      </w:tr>
      <w:tr>
        <w:trPr>
          <w:trHeight w:val="312" w:hRule="exact"/>
        </w:trPr>
        <w:tc>
          <w:tcPr>
            <w:tcW w:w="1198"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8" w:type="dxa"/>
            <w:vMerge w:val="restart"/>
            <w:tcBorders>
              <w:top w:val="nil" w:sz="6" w:space="0" w:color="auto"/>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8" w:type="dxa"/>
            <w:vMerge/>
            <w:tcBorders>
              <w:left w:val="single" w:sz="4" w:space="0" w:color="000000"/>
              <w:right w:val="single" w:sz="4" w:space="0" w:color="000000"/>
            </w:tcBorders>
            <w:shd w:val="clear" w:color="auto" w:fill="D4D4D4"/>
          </w:tcPr>
          <w:p>
            <w:pPr/>
          </w:p>
        </w:tc>
      </w:tr>
      <w:tr>
        <w:trPr>
          <w:trHeight w:val="312" w:hRule="exact"/>
        </w:trPr>
        <w:tc>
          <w:tcPr>
            <w:tcW w:w="1198"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198"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8" w:type="dxa"/>
            <w:vMerge/>
            <w:tcBorders>
              <w:left w:val="single" w:sz="4" w:space="0" w:color="000000"/>
              <w:right w:val="single" w:sz="4" w:space="0" w:color="000000"/>
            </w:tcBorders>
            <w:shd w:val="clear" w:color="auto" w:fill="D4D4D4"/>
          </w:tcPr>
          <w:p>
            <w:pPr/>
          </w:p>
        </w:tc>
      </w:tr>
      <w:tr>
        <w:trPr>
          <w:trHeight w:val="317" w:hRule="exact"/>
        </w:trPr>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r>
      <w:tr>
        <w:trPr>
          <w:trHeight w:val="509" w:hRule="exact"/>
        </w:trPr>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78,885,656.78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258,641,760.54</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z w:val="18"/>
              </w:rPr>
              <w:t>30.50%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78,885,656.78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30.50%</w:t>
            </w:r>
          </w:p>
        </w:tc>
      </w:tr>
      <w:tr>
        <w:trPr>
          <w:trHeight w:val="506" w:hRule="exact"/>
        </w:trPr>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44,120,618.46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0.00%</w:t>
            </w:r>
          </w:p>
        </w:tc>
      </w:tr>
      <w:tr>
        <w:trPr>
          <w:trHeight w:val="509" w:hRule="exact"/>
        </w:trPr>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81,595,352.86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386,803,334.70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z w:val="18"/>
              </w:rPr>
              <w:t>21.09%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81,595,352.86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21.09%</w:t>
            </w:r>
          </w:p>
        </w:tc>
      </w:tr>
    </w:tbl>
    <w:p>
      <w:pPr>
        <w:spacing w:line="240" w:lineRule="auto" w:before="11"/>
        <w:rPr>
          <w:rFonts w:ascii="宋体" w:hAnsi="宋体" w:cs="宋体" w:eastAsia="宋体" w:hint="default"/>
          <w:sz w:val="9"/>
          <w:szCs w:val="9"/>
        </w:rPr>
      </w:pPr>
    </w:p>
    <w:p>
      <w:pPr>
        <w:pStyle w:val="BodyText"/>
        <w:spacing w:line="240" w:lineRule="auto" w:before="36"/>
        <w:ind w:right="1127"/>
        <w:jc w:val="left"/>
      </w:pPr>
      <w:r>
        <w:rPr/>
        <w:t>公司报告期内盈利且母公司可供普通股股东分配利润为正但未提出普通股现金红利分配预案</w:t>
      </w:r>
    </w:p>
    <w:p>
      <w:pPr>
        <w:spacing w:line="240" w:lineRule="auto" w:before="4"/>
        <w:rPr>
          <w:rFonts w:ascii="宋体" w:hAnsi="宋体" w:cs="宋体" w:eastAsia="宋体" w:hint="default"/>
          <w:sz w:val="22"/>
          <w:szCs w:val="22"/>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2" w:footer="1134" w:top="1280" w:bottom="1320" w:left="980" w:right="0"/>
        </w:sectPr>
      </w:pPr>
    </w:p>
    <w:p>
      <w:pPr>
        <w:spacing w:line="240" w:lineRule="auto" w:before="5"/>
        <w:rPr>
          <w:rFonts w:ascii="宋体" w:hAnsi="宋体" w:cs="宋体" w:eastAsia="宋体" w:hint="default"/>
          <w:sz w:val="13"/>
          <w:szCs w:val="1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9"/>
          <w:szCs w:val="9"/>
        </w:rPr>
      </w:pPr>
    </w:p>
    <w:p>
      <w:pPr>
        <w:pStyle w:val="Heading2"/>
        <w:spacing w:line="240" w:lineRule="auto" w:before="26"/>
        <w:ind w:left="140" w:right="0"/>
        <w:jc w:val="left"/>
        <w:rPr>
          <w:b w:val="0"/>
          <w:bCs w:val="0"/>
        </w:rPr>
      </w:pPr>
      <w:bookmarkStart w:name="二、承诺事项履行情况" w:id="113"/>
      <w:bookmarkEnd w:id="113"/>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40" w:right="0"/>
        <w:jc w:val="left"/>
        <w:rPr>
          <w:b w:val="0"/>
          <w:bCs w:val="0"/>
        </w:rPr>
      </w:pPr>
      <w:bookmarkStart w:name="1、公司实际控制人、股东、关联方、收购人以及公司等承诺相关方在报告期内履行完毕及" w:id="114"/>
      <w:bookmarkEnd w:id="11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42" w:right="12048"/>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2724"/>
        <w:gridCol w:w="2266"/>
        <w:gridCol w:w="1135"/>
        <w:gridCol w:w="3826"/>
        <w:gridCol w:w="1562"/>
        <w:gridCol w:w="876"/>
        <w:gridCol w:w="1627"/>
      </w:tblGrid>
      <w:tr>
        <w:trPr>
          <w:trHeight w:val="509" w:hRule="exact"/>
        </w:trPr>
        <w:tc>
          <w:tcPr>
            <w:tcW w:w="27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22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6"/>
              <w:ind w:left="20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8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8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6"/>
              <w:ind w:left="7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6"/>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821" w:hRule="exact"/>
        </w:trPr>
        <w:tc>
          <w:tcPr>
            <w:tcW w:w="27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13"/>
              <w:ind w:left="995" w:right="96" w:hanging="90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2266" w:type="dxa"/>
            <w:tcBorders>
              <w:top w:val="single" w:sz="4" w:space="0" w:color="000000"/>
              <w:left w:val="single" w:sz="13" w:space="0" w:color="D4D4D4"/>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1754" w:hRule="exact"/>
        </w:trPr>
        <w:tc>
          <w:tcPr>
            <w:tcW w:w="2724" w:type="dxa"/>
            <w:vMerge w:val="restart"/>
            <w:tcBorders>
              <w:top w:val="single" w:sz="4" w:space="0" w:color="000000"/>
              <w:left w:val="single" w:sz="4" w:space="0" w:color="000000"/>
              <w:right w:val="single" w:sz="4" w:space="0" w:color="000000"/>
            </w:tcBorders>
            <w:shd w:val="clear" w:color="auto" w:fill="D4D4D4"/>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45" w:right="48"/>
              <w:jc w:val="center"/>
              <w:rPr>
                <w:rFonts w:ascii="宋体" w:hAnsi="宋体" w:cs="宋体" w:eastAsia="宋体" w:hint="default"/>
                <w:sz w:val="18"/>
                <w:szCs w:val="18"/>
              </w:rPr>
            </w:pPr>
            <w:r>
              <w:rPr>
                <w:rFonts w:ascii="宋体" w:hAnsi="宋体" w:cs="宋体" w:eastAsia="宋体" w:hint="default"/>
                <w:sz w:val="18"/>
                <w:szCs w:val="18"/>
              </w:rPr>
              <w:t>汇达高新、西藏泰豪智能技 术有限公司、新疆恒通达泰 股权投资合伙企业（有限合 </w:t>
            </w:r>
            <w:r>
              <w:rPr>
                <w:rFonts w:ascii="宋体" w:hAnsi="宋体" w:cs="宋体" w:eastAsia="宋体" w:hint="default"/>
                <w:spacing w:val="-14"/>
                <w:sz w:val="18"/>
                <w:szCs w:val="18"/>
              </w:rPr>
              <w:t>伙）、新余京达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316" w:lineRule="auto"/>
              <w:ind w:left="472" w:right="110" w:hanging="36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3"/>
              <w:ind w:left="23" w:right="11" w:firstLine="3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、本企业所取得的上市公司本次发行的股份自 本次发行结束之日起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个月内不转让。</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、本承</w:t>
            </w:r>
            <w:r>
              <w:rPr>
                <w:rFonts w:ascii="宋体" w:hAnsi="宋体" w:cs="宋体" w:eastAsia="宋体" w:hint="default"/>
                <w:sz w:val="18"/>
                <w:szCs w:val="18"/>
              </w:rPr>
              <w:t> 诺函一经作出即生效并不可撤销。如果本企业违 反上述声明与承诺并造成上市公司经济损失的， 本企业将赔偿上市公司因此受到的全部损失。</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316" w:lineRule="auto"/>
              <w:ind w:left="340" w:right="72" w:hanging="269"/>
              <w:jc w:val="left"/>
              <w:rPr>
                <w:rFonts w:ascii="宋体" w:hAnsi="宋体" w:cs="宋体" w:eastAsia="宋体" w:hint="default"/>
                <w:sz w:val="18"/>
                <w:szCs w:val="18"/>
              </w:rPr>
            </w:pPr>
            <w:r>
              <w:rPr>
                <w:rFonts w:ascii="宋体" w:hAnsi="宋体" w:cs="宋体" w:eastAsia="宋体" w:hint="default"/>
                <w:sz w:val="18"/>
                <w:szCs w:val="18"/>
              </w:rPr>
              <w:t>三十六个 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24" w:right="23"/>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严格履行承诺，截至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本报告期末，无违反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承诺的事项发生。</w:t>
            </w:r>
          </w:p>
        </w:tc>
      </w:tr>
      <w:tr>
        <w:trPr>
          <w:trHeight w:val="953" w:hRule="exact"/>
        </w:trPr>
        <w:tc>
          <w:tcPr>
            <w:tcW w:w="2724" w:type="dxa"/>
            <w:vMerge/>
            <w:tcBorders>
              <w:left w:val="single" w:sz="4" w:space="0" w:color="000000"/>
              <w:bottom w:val="nil" w:sz="6" w:space="0" w:color="auto"/>
              <w:right w:val="single" w:sz="4" w:space="0" w:color="000000"/>
            </w:tcBorders>
            <w:shd w:val="clear" w:color="auto" w:fill="D4D4D4"/>
          </w:tcPr>
          <w:p>
            <w:pPr/>
          </w:p>
        </w:tc>
        <w:tc>
          <w:tcPr>
            <w:tcW w:w="2266"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316" w:lineRule="auto"/>
              <w:ind w:left="39" w:right="48"/>
              <w:jc w:val="center"/>
              <w:rPr>
                <w:rFonts w:ascii="宋体" w:hAnsi="宋体" w:cs="宋体" w:eastAsia="宋体" w:hint="default"/>
                <w:sz w:val="18"/>
                <w:szCs w:val="18"/>
              </w:rPr>
            </w:pPr>
            <w:r>
              <w:rPr>
                <w:rFonts w:ascii="宋体" w:hAnsi="宋体" w:cs="宋体" w:eastAsia="宋体" w:hint="default"/>
                <w:sz w:val="18"/>
                <w:szCs w:val="18"/>
              </w:rPr>
              <w:t>汇达高新、西藏泰豪智能技 术有限公司、新疆恒通达泰 股权投资合伙企业（有限合 </w:t>
            </w:r>
            <w:r>
              <w:rPr>
                <w:rFonts w:ascii="宋体" w:hAnsi="宋体" w:cs="宋体" w:eastAsia="宋体" w:hint="default"/>
                <w:spacing w:val="-14"/>
                <w:sz w:val="18"/>
                <w:szCs w:val="18"/>
              </w:rPr>
              <w:t>伙）、新余京达</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316" w:lineRule="auto"/>
              <w:ind w:left="23" w:right="19" w:hanging="3"/>
              <w:jc w:val="center"/>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826" w:type="dxa"/>
            <w:vMerge w:val="restart"/>
            <w:tcBorders>
              <w:top w:val="single" w:sz="4" w:space="0" w:color="000000"/>
              <w:left w:val="single" w:sz="4" w:space="0" w:color="000000"/>
              <w:right w:val="single" w:sz="4" w:space="0" w:color="000000"/>
            </w:tcBorders>
          </w:tcPr>
          <w:p>
            <w:pPr>
              <w:pStyle w:val="TableParagraph"/>
              <w:spacing w:line="314" w:lineRule="auto" w:before="116"/>
              <w:ind w:left="23" w:right="11" w:hanging="1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、本次交易完成后，在本企业作为上市公司股 </w:t>
            </w:r>
            <w:r>
              <w:rPr>
                <w:rFonts w:ascii="宋体" w:hAnsi="宋体" w:cs="宋体" w:eastAsia="宋体" w:hint="default"/>
                <w:spacing w:val="-1"/>
                <w:sz w:val="18"/>
                <w:szCs w:val="18"/>
              </w:rPr>
              <w:t>东期间，本企业及本企业控制的其他企业将尽量</w:t>
            </w:r>
            <w:r>
              <w:rPr>
                <w:rFonts w:ascii="宋体" w:hAnsi="宋体" w:cs="宋体" w:eastAsia="宋体" w:hint="default"/>
                <w:sz w:val="18"/>
                <w:szCs w:val="18"/>
              </w:rPr>
              <w:t> 避免或减少与上市公司及其子公司之间产生关 </w:t>
            </w:r>
            <w:r>
              <w:rPr>
                <w:rFonts w:ascii="宋体" w:hAnsi="宋体" w:cs="宋体" w:eastAsia="宋体" w:hint="default"/>
                <w:spacing w:val="-1"/>
                <w:sz w:val="18"/>
                <w:szCs w:val="18"/>
              </w:rPr>
              <w:t>联交易事项；对于不可避免发生的关联业务往来</w:t>
            </w:r>
            <w:r>
              <w:rPr>
                <w:rFonts w:ascii="宋体" w:hAnsi="宋体" w:cs="宋体" w:eastAsia="宋体" w:hint="default"/>
                <w:sz w:val="18"/>
                <w:szCs w:val="18"/>
              </w:rPr>
              <w:t> 或交易，将在平等、自愿的基础上，按照公平、 </w:t>
            </w:r>
            <w:r>
              <w:rPr>
                <w:rFonts w:ascii="宋体" w:hAnsi="宋体" w:cs="宋体" w:eastAsia="宋体" w:hint="default"/>
                <w:spacing w:val="-1"/>
                <w:sz w:val="18"/>
                <w:szCs w:val="18"/>
              </w:rPr>
              <w:t>公允和等价有偿的原则进行，交易价格将按照市</w:t>
            </w:r>
            <w:r>
              <w:rPr>
                <w:rFonts w:ascii="宋体" w:hAnsi="宋体" w:cs="宋体" w:eastAsia="宋体" w:hint="default"/>
                <w:sz w:val="18"/>
                <w:szCs w:val="18"/>
              </w:rPr>
              <w:t> 场公认的合理价格确定。</w:t>
            </w:r>
            <w:r>
              <w:rPr>
                <w:rFonts w:ascii="Times New Roman" w:hAnsi="Times New Roman" w:cs="Times New Roman" w:eastAsia="Times New Roman" w:hint="default"/>
                <w:sz w:val="18"/>
                <w:szCs w:val="18"/>
              </w:rPr>
              <w:t>2</w:t>
            </w:r>
            <w:r>
              <w:rPr>
                <w:rFonts w:ascii="宋体" w:hAnsi="宋体" w:cs="宋体" w:eastAsia="宋体" w:hint="default"/>
                <w:sz w:val="18"/>
                <w:szCs w:val="18"/>
              </w:rPr>
              <w:t>、在本企业作为上市 </w:t>
            </w:r>
            <w:r>
              <w:rPr>
                <w:rFonts w:ascii="宋体" w:hAnsi="宋体" w:cs="宋体" w:eastAsia="宋体" w:hint="default"/>
                <w:spacing w:val="-1"/>
                <w:sz w:val="18"/>
                <w:szCs w:val="18"/>
              </w:rPr>
              <w:t>公司股东期间，不利用股东地位及影响谋求上市</w:t>
            </w:r>
            <w:r>
              <w:rPr>
                <w:rFonts w:ascii="宋体" w:hAnsi="宋体" w:cs="宋体" w:eastAsia="宋体" w:hint="default"/>
                <w:sz w:val="18"/>
                <w:szCs w:val="18"/>
              </w:rPr>
              <w:t> 公司在业务合作等方面给予优于市场第三方的 </w:t>
            </w:r>
            <w:r>
              <w:rPr>
                <w:rFonts w:ascii="宋体" w:hAnsi="宋体" w:cs="宋体" w:eastAsia="宋体" w:hint="default"/>
                <w:spacing w:val="-1"/>
                <w:sz w:val="18"/>
                <w:szCs w:val="18"/>
              </w:rPr>
              <w:t>权利；不利用股东地位及影响谋求与公司达成交</w:t>
            </w:r>
            <w:r>
              <w:rPr>
                <w:rFonts w:ascii="宋体" w:hAnsi="宋体" w:cs="宋体" w:eastAsia="宋体" w:hint="default"/>
                <w:sz w:val="18"/>
                <w:szCs w:val="18"/>
              </w:rPr>
              <w:t> 易的优先权利。</w:t>
            </w:r>
            <w:r>
              <w:rPr>
                <w:rFonts w:ascii="Times New Roman" w:hAnsi="Times New Roman" w:cs="Times New Roman" w:eastAsia="Times New Roman" w:hint="default"/>
                <w:sz w:val="18"/>
                <w:szCs w:val="18"/>
              </w:rPr>
              <w:t>3</w:t>
            </w:r>
            <w:r>
              <w:rPr>
                <w:rFonts w:ascii="宋体" w:hAnsi="宋体" w:cs="宋体" w:eastAsia="宋体" w:hint="default"/>
                <w:sz w:val="18"/>
                <w:szCs w:val="18"/>
              </w:rPr>
              <w:t>、在本企业作为上市公司股东 </w:t>
            </w:r>
            <w:r>
              <w:rPr>
                <w:rFonts w:ascii="宋体" w:hAnsi="宋体" w:cs="宋体" w:eastAsia="宋体" w:hint="default"/>
                <w:spacing w:val="-1"/>
                <w:sz w:val="18"/>
                <w:szCs w:val="18"/>
              </w:rPr>
              <w:t>期间，本企业将严格遵守上市公司章程等规范性</w:t>
            </w:r>
            <w:r>
              <w:rPr>
                <w:rFonts w:ascii="宋体" w:hAnsi="宋体" w:cs="宋体" w:eastAsia="宋体" w:hint="default"/>
                <w:sz w:val="18"/>
                <w:szCs w:val="18"/>
              </w:rPr>
              <w:t> </w:t>
            </w:r>
            <w:r>
              <w:rPr>
                <w:rFonts w:ascii="宋体" w:hAnsi="宋体" w:cs="宋体" w:eastAsia="宋体" w:hint="default"/>
                <w:spacing w:val="-1"/>
                <w:sz w:val="18"/>
                <w:szCs w:val="18"/>
              </w:rPr>
              <w:t>文件中关于关联交易事项的回避规定，所涉及的</w:t>
            </w:r>
          </w:p>
        </w:tc>
        <w:tc>
          <w:tcPr>
            <w:tcW w:w="15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8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316" w:lineRule="auto"/>
              <w:ind w:left="24" w:right="23"/>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严格履行承诺，截至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本报告期末，无违反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承诺的事项发生。</w:t>
            </w:r>
          </w:p>
        </w:tc>
      </w:tr>
      <w:tr>
        <w:trPr>
          <w:trHeight w:val="499" w:hRule="exact"/>
        </w:trPr>
        <w:tc>
          <w:tcPr>
            <w:tcW w:w="27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2266" w:type="dxa"/>
            <w:vMerge/>
            <w:tcBorders>
              <w:left w:val="single" w:sz="9" w:space="0" w:color="D4D4D4"/>
              <w:right w:val="single" w:sz="4" w:space="0" w:color="000000"/>
            </w:tcBorders>
          </w:tcPr>
          <w:p>
            <w:pPr/>
          </w:p>
        </w:tc>
        <w:tc>
          <w:tcPr>
            <w:tcW w:w="1135" w:type="dxa"/>
            <w:vMerge/>
            <w:tcBorders>
              <w:left w:val="single" w:sz="4" w:space="0" w:color="000000"/>
              <w:right w:val="single" w:sz="4" w:space="0" w:color="000000"/>
            </w:tcBorders>
          </w:tcPr>
          <w:p>
            <w:pPr/>
          </w:p>
        </w:tc>
        <w:tc>
          <w:tcPr>
            <w:tcW w:w="3826" w:type="dxa"/>
            <w:vMerge/>
            <w:tcBorders>
              <w:left w:val="single" w:sz="4" w:space="0" w:color="000000"/>
              <w:right w:val="single" w:sz="4" w:space="0" w:color="000000"/>
            </w:tcBorders>
          </w:tcPr>
          <w:p>
            <w:pPr/>
          </w:p>
        </w:tc>
        <w:tc>
          <w:tcPr>
            <w:tcW w:w="1562" w:type="dxa"/>
            <w:vMerge/>
            <w:tcBorders>
              <w:left w:val="single" w:sz="4" w:space="0" w:color="000000"/>
              <w:right w:val="single" w:sz="4" w:space="0" w:color="000000"/>
            </w:tcBorders>
          </w:tcPr>
          <w:p>
            <w:pPr/>
          </w:p>
        </w:tc>
        <w:tc>
          <w:tcPr>
            <w:tcW w:w="876"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2710" w:hRule="exact"/>
        </w:trPr>
        <w:tc>
          <w:tcPr>
            <w:tcW w:w="2724" w:type="dxa"/>
            <w:tcBorders>
              <w:top w:val="nil" w:sz="6" w:space="0" w:color="auto"/>
              <w:left w:val="single" w:sz="4" w:space="0" w:color="000000"/>
              <w:bottom w:val="single" w:sz="4" w:space="0" w:color="000000"/>
              <w:right w:val="single" w:sz="4" w:space="0" w:color="000000"/>
            </w:tcBorders>
            <w:shd w:val="clear" w:color="auto" w:fill="D4D4D4"/>
          </w:tcPr>
          <w:p>
            <w:pPr/>
          </w:p>
        </w:tc>
        <w:tc>
          <w:tcPr>
            <w:tcW w:w="2266" w:type="dxa"/>
            <w:vMerge/>
            <w:tcBorders>
              <w:left w:val="single" w:sz="9" w:space="0" w:color="D4D4D4"/>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3826" w:type="dxa"/>
            <w:vMerge/>
            <w:tcBorders>
              <w:left w:val="single" w:sz="4" w:space="0" w:color="000000"/>
              <w:bottom w:val="single" w:sz="4" w:space="0" w:color="000000"/>
              <w:right w:val="single" w:sz="4" w:space="0" w:color="000000"/>
            </w:tcBorders>
          </w:tcPr>
          <w:p>
            <w:pPr/>
          </w:p>
        </w:tc>
        <w:tc>
          <w:tcPr>
            <w:tcW w:w="1562"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1627" w:type="dxa"/>
            <w:vMerge/>
            <w:tcBorders>
              <w:left w:val="single" w:sz="4" w:space="0" w:color="000000"/>
              <w:bottom w:val="single" w:sz="4" w:space="0" w:color="000000"/>
              <w:right w:val="single" w:sz="4" w:space="0" w:color="000000"/>
            </w:tcBorders>
          </w:tcPr>
          <w:p>
            <w:pPr/>
          </w:p>
        </w:tc>
      </w:tr>
    </w:tbl>
    <w:p>
      <w:pPr>
        <w:spacing w:after="0"/>
        <w:sectPr>
          <w:headerReference w:type="default" r:id="rId35"/>
          <w:footerReference w:type="default" r:id="rId36"/>
          <w:pgSz w:w="16840" w:h="11910" w:orient="landscape"/>
          <w:pgMar w:header="882" w:footer="1134" w:top="1100" w:bottom="1360" w:left="1300" w:right="1300"/>
          <w:pgNumType w:start="60"/>
        </w:sectPr>
      </w:pPr>
    </w:p>
    <w:p>
      <w:pPr>
        <w:spacing w:line="240" w:lineRule="auto" w:before="9"/>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723"/>
        <w:gridCol w:w="2267"/>
        <w:gridCol w:w="1135"/>
        <w:gridCol w:w="3826"/>
        <w:gridCol w:w="1562"/>
        <w:gridCol w:w="876"/>
        <w:gridCol w:w="1627"/>
      </w:tblGrid>
      <w:tr>
        <w:trPr>
          <w:trHeight w:val="2299" w:hRule="exact"/>
        </w:trPr>
        <w:tc>
          <w:tcPr>
            <w:tcW w:w="2723" w:type="dxa"/>
            <w:tcBorders>
              <w:top w:val="single" w:sz="10" w:space="0" w:color="000000"/>
              <w:left w:val="single" w:sz="4" w:space="0" w:color="000000"/>
              <w:bottom w:val="single" w:sz="4" w:space="0" w:color="000000"/>
              <w:right w:val="single" w:sz="4" w:space="0" w:color="000000"/>
            </w:tcBorders>
            <w:shd w:val="clear" w:color="auto" w:fill="D4D4D4"/>
          </w:tcPr>
          <w:p>
            <w:pPr/>
          </w:p>
        </w:tc>
        <w:tc>
          <w:tcPr>
            <w:tcW w:w="2267" w:type="dxa"/>
            <w:tcBorders>
              <w:top w:val="single" w:sz="10" w:space="0" w:color="000000"/>
              <w:left w:val="single" w:sz="4" w:space="0" w:color="000000"/>
              <w:bottom w:val="single" w:sz="4" w:space="0" w:color="000000"/>
              <w:right w:val="single" w:sz="4" w:space="0" w:color="000000"/>
            </w:tcBorders>
          </w:tcPr>
          <w:p>
            <w:pPr/>
          </w:p>
        </w:tc>
        <w:tc>
          <w:tcPr>
            <w:tcW w:w="1135" w:type="dxa"/>
            <w:tcBorders>
              <w:top w:val="single" w:sz="10" w:space="0" w:color="000000"/>
              <w:left w:val="single" w:sz="4" w:space="0" w:color="000000"/>
              <w:bottom w:val="single" w:sz="4" w:space="0" w:color="000000"/>
              <w:right w:val="single" w:sz="4" w:space="0" w:color="000000"/>
            </w:tcBorders>
          </w:tcPr>
          <w:p>
            <w:pPr/>
          </w:p>
        </w:tc>
        <w:tc>
          <w:tcPr>
            <w:tcW w:w="3826" w:type="dxa"/>
            <w:tcBorders>
              <w:top w:val="single" w:sz="10" w:space="0" w:color="000000"/>
              <w:left w:val="single" w:sz="4" w:space="0" w:color="000000"/>
              <w:bottom w:val="single" w:sz="4" w:space="0" w:color="000000"/>
              <w:right w:val="single" w:sz="4" w:space="0" w:color="000000"/>
            </w:tcBorders>
          </w:tcPr>
          <w:p>
            <w:pPr>
              <w:pStyle w:val="TableParagraph"/>
              <w:spacing w:line="314" w:lineRule="auto" w:before="15"/>
              <w:ind w:left="23" w:right="11" w:hanging="10"/>
              <w:jc w:val="center"/>
              <w:rPr>
                <w:rFonts w:ascii="宋体" w:hAnsi="宋体" w:cs="宋体" w:eastAsia="宋体" w:hint="default"/>
                <w:sz w:val="18"/>
                <w:szCs w:val="18"/>
              </w:rPr>
            </w:pPr>
            <w:r>
              <w:rPr>
                <w:rFonts w:ascii="宋体" w:hAnsi="宋体" w:cs="宋体" w:eastAsia="宋体" w:hint="default"/>
                <w:sz w:val="18"/>
                <w:szCs w:val="18"/>
              </w:rPr>
              <w:t>关联交易均按照规定的决策程序进行，并将履行 合法程序、及时对关联交易事项进行信息披露； </w:t>
            </w:r>
            <w:r>
              <w:rPr>
                <w:rFonts w:ascii="宋体" w:hAnsi="宋体" w:cs="宋体" w:eastAsia="宋体" w:hint="default"/>
                <w:spacing w:val="-1"/>
                <w:sz w:val="18"/>
                <w:szCs w:val="18"/>
              </w:rPr>
              <w:t>不利用关联交易转移、输送利润，损害上市公司</w:t>
            </w:r>
            <w:r>
              <w:rPr>
                <w:rFonts w:ascii="宋体" w:hAnsi="宋体" w:cs="宋体" w:eastAsia="宋体" w:hint="default"/>
                <w:sz w:val="18"/>
                <w:szCs w:val="18"/>
              </w:rPr>
              <w:t> 及其他股东的合法权益。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、本承诺函一经作出 </w:t>
            </w:r>
            <w:r>
              <w:rPr>
                <w:rFonts w:ascii="宋体" w:hAnsi="宋体" w:cs="宋体" w:eastAsia="宋体" w:hint="default"/>
                <w:spacing w:val="-1"/>
                <w:sz w:val="18"/>
                <w:szCs w:val="18"/>
              </w:rPr>
              <w:t>即生效并不可撤销。如果本企业违反上述声明与</w:t>
            </w:r>
            <w:r>
              <w:rPr>
                <w:rFonts w:ascii="宋体" w:hAnsi="宋体" w:cs="宋体" w:eastAsia="宋体" w:hint="default"/>
                <w:sz w:val="18"/>
                <w:szCs w:val="18"/>
              </w:rPr>
              <w:t> </w:t>
            </w:r>
            <w:r>
              <w:rPr>
                <w:rFonts w:ascii="宋体" w:hAnsi="宋体" w:cs="宋体" w:eastAsia="宋体" w:hint="default"/>
                <w:spacing w:val="-1"/>
                <w:sz w:val="18"/>
                <w:szCs w:val="18"/>
              </w:rPr>
              <w:t>承诺并造成上市公司经济损失的，本企业将赔偿</w:t>
            </w:r>
            <w:r>
              <w:rPr>
                <w:rFonts w:ascii="宋体" w:hAnsi="宋体" w:cs="宋体" w:eastAsia="宋体" w:hint="default"/>
                <w:sz w:val="18"/>
                <w:szCs w:val="18"/>
              </w:rPr>
              <w:t> 上市公司因此受到的全部损失。</w:t>
            </w:r>
          </w:p>
        </w:tc>
        <w:tc>
          <w:tcPr>
            <w:tcW w:w="1562" w:type="dxa"/>
            <w:tcBorders>
              <w:top w:val="single" w:sz="10" w:space="0" w:color="000000"/>
              <w:left w:val="single" w:sz="4" w:space="0" w:color="000000"/>
              <w:bottom w:val="single" w:sz="4" w:space="0" w:color="000000"/>
              <w:right w:val="single" w:sz="4" w:space="0" w:color="000000"/>
            </w:tcBorders>
          </w:tcPr>
          <w:p>
            <w:pPr/>
          </w:p>
        </w:tc>
        <w:tc>
          <w:tcPr>
            <w:tcW w:w="876" w:type="dxa"/>
            <w:tcBorders>
              <w:top w:val="single" w:sz="10" w:space="0" w:color="000000"/>
              <w:left w:val="single" w:sz="4" w:space="0" w:color="000000"/>
              <w:bottom w:val="single" w:sz="4" w:space="0" w:color="000000"/>
              <w:right w:val="single" w:sz="4" w:space="0" w:color="000000"/>
            </w:tcBorders>
          </w:tcPr>
          <w:p>
            <w:pPr/>
          </w:p>
        </w:tc>
        <w:tc>
          <w:tcPr>
            <w:tcW w:w="1627" w:type="dxa"/>
            <w:tcBorders>
              <w:top w:val="single" w:sz="10" w:space="0" w:color="000000"/>
              <w:left w:val="single" w:sz="4" w:space="0" w:color="000000"/>
              <w:bottom w:val="single" w:sz="4" w:space="0" w:color="000000"/>
              <w:right w:val="single" w:sz="4" w:space="0" w:color="000000"/>
            </w:tcBorders>
          </w:tcPr>
          <w:p>
            <w:pPr/>
          </w:p>
        </w:tc>
      </w:tr>
      <w:tr>
        <w:trPr>
          <w:trHeight w:val="4565" w:hRule="exact"/>
        </w:trPr>
        <w:tc>
          <w:tcPr>
            <w:tcW w:w="272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267" w:right="95" w:hanging="1172"/>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陈江涛</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19" w:hanging="3"/>
              <w:jc w:val="center"/>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23" w:right="19"/>
              <w:jc w:val="center"/>
              <w:rPr>
                <w:rFonts w:ascii="宋体" w:hAnsi="宋体" w:cs="宋体" w:eastAsia="宋体" w:hint="default"/>
                <w:sz w:val="18"/>
                <w:szCs w:val="18"/>
              </w:rPr>
            </w:pPr>
            <w:r>
              <w:rPr>
                <w:rFonts w:ascii="宋体" w:hAnsi="宋体" w:cs="宋体" w:eastAsia="宋体" w:hint="default"/>
                <w:spacing w:val="-1"/>
                <w:sz w:val="18"/>
                <w:szCs w:val="18"/>
              </w:rPr>
              <w:t>控股股东、实际控制人陈江涛先生关于避免同业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竞争作出以下承诺：</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、本人目前并没有直接或 间接地从事任何与旋极信息所从事的业务构成 同业竞争的任何业务活动；</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、本人保证今后的 </w:t>
            </w:r>
            <w:r>
              <w:rPr>
                <w:rFonts w:ascii="宋体" w:hAnsi="宋体" w:cs="宋体" w:eastAsia="宋体" w:hint="default"/>
                <w:spacing w:val="-1"/>
                <w:sz w:val="18"/>
                <w:szCs w:val="18"/>
              </w:rPr>
              <w:t>任何时间不会直接或间接地以任何方式（包括但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不限于独资、合资、合作和联营）从事、参与或</w:t>
            </w:r>
            <w:r>
              <w:rPr>
                <w:rFonts w:ascii="宋体" w:hAnsi="宋体" w:cs="宋体" w:eastAsia="宋体" w:hint="default"/>
                <w:sz w:val="18"/>
                <w:szCs w:val="18"/>
              </w:rPr>
              <w:t> </w:t>
            </w:r>
            <w:r>
              <w:rPr>
                <w:rFonts w:ascii="宋体" w:hAnsi="宋体" w:cs="宋体" w:eastAsia="宋体" w:hint="default"/>
                <w:spacing w:val="-1"/>
                <w:sz w:val="18"/>
                <w:szCs w:val="18"/>
              </w:rPr>
              <w:t>进行任何与旋极信息相同或类似的业务，以避免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与旋极信息的生产经营构成可能的直接的或间 接的业务竞争；</w:t>
            </w:r>
            <w:r>
              <w:rPr>
                <w:rFonts w:ascii="Times New Roman" w:hAnsi="Times New Roman" w:cs="Times New Roman" w:eastAsia="Times New Roman" w:hint="default"/>
                <w:sz w:val="18"/>
                <w:szCs w:val="18"/>
              </w:rPr>
              <w:t>3</w:t>
            </w:r>
            <w:r>
              <w:rPr>
                <w:rFonts w:ascii="宋体" w:hAnsi="宋体" w:cs="宋体" w:eastAsia="宋体" w:hint="default"/>
                <w:sz w:val="18"/>
                <w:szCs w:val="18"/>
              </w:rPr>
              <w:t>、如果本人有同旋极信息主营 </w:t>
            </w:r>
            <w:r>
              <w:rPr>
                <w:rFonts w:ascii="宋体" w:hAnsi="宋体" w:cs="宋体" w:eastAsia="宋体" w:hint="default"/>
                <w:spacing w:val="-1"/>
                <w:sz w:val="18"/>
                <w:szCs w:val="18"/>
              </w:rPr>
              <w:t>业务相同或类似的业务机会，应立即通知旋极信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息，并尽其最大努力，按旋极信息可接受的合理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条款与条件向旋极信息提供上述机会。无论旋极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信息是否放弃该业务机会，本人均不会自行从 事、发展、经营该等业务。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23"/>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严格履行承诺，截至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本报告期末，无违反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承诺的事项发生。</w:t>
            </w:r>
          </w:p>
        </w:tc>
      </w:tr>
      <w:tr>
        <w:trPr>
          <w:trHeight w:val="2069" w:hRule="exact"/>
        </w:trPr>
        <w:tc>
          <w:tcPr>
            <w:tcW w:w="2723" w:type="dxa"/>
            <w:vMerge/>
            <w:tcBorders>
              <w:left w:val="single" w:sz="4" w:space="0" w:color="000000"/>
              <w:bottom w:val="single" w:sz="4" w:space="0" w:color="000000"/>
              <w:right w:val="single" w:sz="4" w:space="0" w:color="000000"/>
            </w:tcBorders>
            <w:shd w:val="clear" w:color="auto" w:fill="D4D4D4"/>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46" w:right="48"/>
              <w:jc w:val="center"/>
              <w:rPr>
                <w:rFonts w:ascii="宋体" w:hAnsi="宋体" w:cs="宋体" w:eastAsia="宋体" w:hint="default"/>
                <w:sz w:val="18"/>
                <w:szCs w:val="18"/>
              </w:rPr>
            </w:pPr>
            <w:r>
              <w:rPr>
                <w:rFonts w:ascii="宋体" w:hAnsi="宋体" w:cs="宋体" w:eastAsia="宋体" w:hint="default"/>
                <w:sz w:val="18"/>
                <w:szCs w:val="18"/>
              </w:rPr>
              <w:t>蔡厚富、陈海涛、陈江涛、 储珺、盖峰、黄海涛、金春 保、李居庸、李强、刘明、 马海涛、阮亚占、王晓炜、 吴匀、熊焰、杨水华、岳庆 敏、周铂</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3" w:right="19" w:hanging="3"/>
              <w:jc w:val="center"/>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9"/>
              <w:jc w:val="center"/>
              <w:rPr>
                <w:rFonts w:ascii="宋体" w:hAnsi="宋体" w:cs="宋体" w:eastAsia="宋体" w:hint="default"/>
                <w:sz w:val="18"/>
                <w:szCs w:val="18"/>
              </w:rPr>
            </w:pPr>
            <w:r>
              <w:rPr>
                <w:rFonts w:ascii="宋体" w:hAnsi="宋体" w:cs="宋体" w:eastAsia="宋体" w:hint="default"/>
                <w:spacing w:val="-1"/>
                <w:sz w:val="18"/>
                <w:szCs w:val="18"/>
              </w:rPr>
              <w:t>关于避免同业竞争的承诺：本人不自营或者为他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人经营与本公司同类的业务或者从事损害本公 司利益的活动。</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4" w:right="23"/>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严格履行承诺，截至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本报告期末，无违反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承诺的事项发生。</w:t>
            </w:r>
          </w:p>
        </w:tc>
      </w:tr>
    </w:tbl>
    <w:p>
      <w:pPr>
        <w:spacing w:after="0" w:line="316" w:lineRule="auto"/>
        <w:jc w:val="both"/>
        <w:rPr>
          <w:rFonts w:ascii="宋体" w:hAnsi="宋体" w:cs="宋体" w:eastAsia="宋体" w:hint="default"/>
          <w:sz w:val="18"/>
          <w:szCs w:val="18"/>
        </w:rPr>
        <w:sectPr>
          <w:pgSz w:w="16840" w:h="11910" w:orient="landscape"/>
          <w:pgMar w:header="882" w:footer="1134" w:top="1100" w:bottom="1320" w:left="1300" w:right="1300"/>
        </w:sectPr>
      </w:pPr>
    </w:p>
    <w:p>
      <w:pPr>
        <w:spacing w:line="240" w:lineRule="auto" w:before="9"/>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723"/>
        <w:gridCol w:w="2267"/>
        <w:gridCol w:w="1135"/>
        <w:gridCol w:w="3826"/>
        <w:gridCol w:w="1562"/>
        <w:gridCol w:w="876"/>
        <w:gridCol w:w="1627"/>
      </w:tblGrid>
      <w:tr>
        <w:trPr>
          <w:trHeight w:val="2393" w:hRule="exact"/>
        </w:trPr>
        <w:tc>
          <w:tcPr>
            <w:tcW w:w="2723" w:type="dxa"/>
            <w:tcBorders>
              <w:top w:val="single" w:sz="10" w:space="0" w:color="000000"/>
              <w:left w:val="single" w:sz="4" w:space="0" w:color="000000"/>
              <w:bottom w:val="single" w:sz="4" w:space="0" w:color="000000"/>
              <w:right w:val="single" w:sz="4" w:space="0" w:color="000000"/>
            </w:tcBorders>
            <w:shd w:val="clear" w:color="auto" w:fill="D4D4D4"/>
          </w:tcPr>
          <w:p>
            <w:pPr/>
          </w:p>
        </w:tc>
        <w:tc>
          <w:tcPr>
            <w:tcW w:w="22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857"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13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10" w:space="0" w:color="000000"/>
              <w:left w:val="single" w:sz="4" w:space="0" w:color="000000"/>
              <w:bottom w:val="single" w:sz="4" w:space="0" w:color="000000"/>
              <w:right w:val="single" w:sz="4" w:space="0" w:color="000000"/>
            </w:tcBorders>
          </w:tcPr>
          <w:p>
            <w:pPr>
              <w:pStyle w:val="TableParagraph"/>
              <w:spacing w:line="314" w:lineRule="auto" w:before="109"/>
              <w:ind w:left="23" w:right="19"/>
              <w:jc w:val="center"/>
              <w:rPr>
                <w:rFonts w:ascii="宋体" w:hAnsi="宋体" w:cs="宋体" w:eastAsia="宋体" w:hint="default"/>
                <w:sz w:val="18"/>
                <w:szCs w:val="18"/>
              </w:rPr>
            </w:pPr>
            <w:r>
              <w:rPr>
                <w:rFonts w:ascii="宋体" w:hAnsi="宋体" w:cs="宋体" w:eastAsia="宋体" w:hint="default"/>
                <w:sz w:val="18"/>
                <w:szCs w:val="18"/>
              </w:rPr>
              <w:t>针对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年以前公司部分员工未在公司缴纳社 </w:t>
            </w:r>
            <w:r>
              <w:rPr>
                <w:rFonts w:ascii="宋体" w:hAnsi="宋体" w:cs="宋体" w:eastAsia="宋体" w:hint="default"/>
                <w:spacing w:val="-1"/>
                <w:sz w:val="18"/>
                <w:szCs w:val="18"/>
              </w:rPr>
              <w:t>保的情形，公司控股股东、实际控制人陈江涛先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生出具《承诺函》，承诺如果根据有权部门的要</w:t>
            </w:r>
            <w:r>
              <w:rPr>
                <w:rFonts w:ascii="宋体" w:hAnsi="宋体" w:cs="宋体" w:eastAsia="宋体" w:hint="default"/>
                <w:sz w:val="18"/>
                <w:szCs w:val="18"/>
              </w:rPr>
              <w:t> </w:t>
            </w:r>
            <w:r>
              <w:rPr>
                <w:rFonts w:ascii="宋体" w:hAnsi="宋体" w:cs="宋体" w:eastAsia="宋体" w:hint="default"/>
                <w:spacing w:val="-1"/>
                <w:sz w:val="18"/>
                <w:szCs w:val="18"/>
              </w:rPr>
              <w:t>求或决定，需要为员工补缴本承诺函签署之日前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应缴未缴的社会保险金或住房公积金，或因未足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额缴纳需承担任何罚款或损失，将足额补偿公司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因此发生的支出或所受损失。</w:t>
            </w:r>
          </w:p>
        </w:tc>
        <w:tc>
          <w:tcPr>
            <w:tcW w:w="15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7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4" w:right="23"/>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严格履行承诺，截至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本报告期末，无违反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承诺的事项发生。</w:t>
            </w:r>
          </w:p>
        </w:tc>
      </w:tr>
      <w:tr>
        <w:trPr>
          <w:trHeight w:val="509" w:hRule="exact"/>
        </w:trPr>
        <w:tc>
          <w:tcPr>
            <w:tcW w:w="2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815"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2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1442" w:hRule="exact"/>
        </w:trPr>
        <w:tc>
          <w:tcPr>
            <w:tcW w:w="272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586" w:right="48" w:hanging="540"/>
              <w:jc w:val="left"/>
              <w:rPr>
                <w:rFonts w:ascii="宋体" w:hAnsi="宋体" w:cs="宋体" w:eastAsia="宋体" w:hint="default"/>
                <w:sz w:val="18"/>
                <w:szCs w:val="18"/>
              </w:rPr>
            </w:pPr>
            <w:r>
              <w:rPr>
                <w:rFonts w:ascii="宋体" w:hAnsi="宋体" w:cs="宋体" w:eastAsia="宋体" w:hint="default"/>
                <w:sz w:val="18"/>
                <w:szCs w:val="18"/>
              </w:rPr>
              <w:t>陈江涛、北京众合高科信息 技术有限公司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03" w:right="110" w:hanging="92"/>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1"/>
              <w:ind w:left="23" w:right="17" w:hanging="3"/>
              <w:jc w:val="center"/>
              <w:rPr>
                <w:rFonts w:ascii="宋体" w:hAnsi="宋体" w:cs="宋体" w:eastAsia="宋体" w:hint="default"/>
                <w:sz w:val="18"/>
                <w:szCs w:val="18"/>
              </w:rPr>
            </w:pPr>
            <w:r>
              <w:rPr>
                <w:rFonts w:ascii="宋体" w:hAnsi="宋体" w:cs="宋体" w:eastAsia="宋体" w:hint="default"/>
                <w:spacing w:val="-1"/>
                <w:sz w:val="18"/>
                <w:szCs w:val="18"/>
              </w:rPr>
              <w:t>伏羲科技（原北京都在哪网讯科技有限公司）承</w:t>
            </w:r>
            <w:r>
              <w:rPr>
                <w:rFonts w:ascii="宋体" w:hAnsi="宋体" w:cs="宋体" w:eastAsia="宋体" w:hint="default"/>
                <w:sz w:val="18"/>
                <w:szCs w:val="18"/>
              </w:rPr>
              <w:t> 诺未来三年即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年分别完 成归母扣非净利润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万元或估值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340" w:right="72" w:hanging="269"/>
              <w:jc w:val="left"/>
              <w:rPr>
                <w:rFonts w:ascii="宋体" w:hAnsi="宋体" w:cs="宋体" w:eastAsia="宋体" w:hint="default"/>
                <w:sz w:val="18"/>
                <w:szCs w:val="18"/>
              </w:rPr>
            </w:pPr>
            <w:r>
              <w:rPr>
                <w:rFonts w:ascii="宋体" w:hAnsi="宋体" w:cs="宋体" w:eastAsia="宋体" w:hint="default"/>
                <w:sz w:val="18"/>
                <w:szCs w:val="18"/>
              </w:rPr>
              <w:t>三十六个 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3"/>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严格履行承诺，截至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本报告期末，无违反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承诺的事项发生。</w:t>
            </w:r>
          </w:p>
        </w:tc>
      </w:tr>
      <w:tr>
        <w:trPr>
          <w:trHeight w:val="1445" w:hRule="exact"/>
        </w:trPr>
        <w:tc>
          <w:tcPr>
            <w:tcW w:w="2723" w:type="dxa"/>
            <w:vMerge/>
            <w:tcBorders>
              <w:left w:val="single" w:sz="4" w:space="0" w:color="000000"/>
              <w:right w:val="single" w:sz="4" w:space="0" w:color="000000"/>
            </w:tcBorders>
            <w:shd w:val="clear" w:color="auto" w:fill="D4D4D4"/>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857"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4" w:lineRule="auto"/>
              <w:ind w:left="203" w:right="110" w:hanging="92"/>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4"/>
              <w:ind w:left="23" w:right="11" w:hanging="13"/>
              <w:jc w:val="center"/>
              <w:rPr>
                <w:rFonts w:ascii="宋体" w:hAnsi="宋体" w:cs="宋体" w:eastAsia="宋体" w:hint="default"/>
                <w:sz w:val="18"/>
                <w:szCs w:val="18"/>
              </w:rPr>
            </w:pPr>
            <w:r>
              <w:rPr>
                <w:rFonts w:ascii="宋体" w:hAnsi="宋体" w:cs="宋体" w:eastAsia="宋体" w:hint="default"/>
                <w:sz w:val="18"/>
                <w:szCs w:val="18"/>
              </w:rPr>
              <w:t>北京联合信标测试技术有限公司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年分别实现净利润（经具有相应从业 资质的会计师事务所审计扣除非经常性损益后） </w:t>
            </w:r>
            <w:r>
              <w:rPr>
                <w:rFonts w:ascii="Times New Roman" w:hAnsi="Times New Roman" w:cs="Times New Roman" w:eastAsia="Times New Roman" w:hint="default"/>
                <w:sz w:val="18"/>
                <w:szCs w:val="18"/>
              </w:rPr>
              <w:t>400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4" w:lineRule="auto"/>
              <w:ind w:left="340" w:right="72" w:hanging="269"/>
              <w:jc w:val="left"/>
              <w:rPr>
                <w:rFonts w:ascii="宋体" w:hAnsi="宋体" w:cs="宋体" w:eastAsia="宋体" w:hint="default"/>
                <w:sz w:val="18"/>
                <w:szCs w:val="18"/>
              </w:rPr>
            </w:pPr>
            <w:r>
              <w:rPr>
                <w:rFonts w:ascii="宋体" w:hAnsi="宋体" w:cs="宋体" w:eastAsia="宋体" w:hint="default"/>
                <w:sz w:val="18"/>
                <w:szCs w:val="18"/>
              </w:rPr>
              <w:t>三十六个 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4"/>
              <w:ind w:left="24" w:right="23"/>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严格履行承诺，截至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本报告期末，无违反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承诺的事项发生。</w:t>
            </w:r>
          </w:p>
        </w:tc>
      </w:tr>
      <w:tr>
        <w:trPr>
          <w:trHeight w:val="2381" w:hRule="exact"/>
        </w:trPr>
        <w:tc>
          <w:tcPr>
            <w:tcW w:w="2723" w:type="dxa"/>
            <w:vMerge/>
            <w:tcBorders>
              <w:left w:val="single" w:sz="4" w:space="0" w:color="000000"/>
              <w:right w:val="single" w:sz="4" w:space="0" w:color="000000"/>
            </w:tcBorders>
            <w:shd w:val="clear" w:color="auto" w:fill="D4D4D4"/>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857"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23" w:right="19"/>
              <w:jc w:val="center"/>
              <w:rPr>
                <w:rFonts w:ascii="宋体" w:hAnsi="宋体" w:cs="宋体" w:eastAsia="宋体" w:hint="default"/>
                <w:sz w:val="18"/>
                <w:szCs w:val="18"/>
              </w:rPr>
            </w:pPr>
            <w:r>
              <w:rPr>
                <w:rFonts w:ascii="宋体" w:hAnsi="宋体" w:cs="宋体" w:eastAsia="宋体" w:hint="default"/>
                <w:sz w:val="18"/>
                <w:szCs w:val="18"/>
              </w:rPr>
              <w:t>针对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年以前公司部分员工未在公司缴纳社 </w:t>
            </w:r>
            <w:r>
              <w:rPr>
                <w:rFonts w:ascii="宋体" w:hAnsi="宋体" w:cs="宋体" w:eastAsia="宋体" w:hint="default"/>
                <w:spacing w:val="-1"/>
                <w:sz w:val="18"/>
                <w:szCs w:val="18"/>
              </w:rPr>
              <w:t>保的情形，公司控股股东、实际控制人陈江涛先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生出具《承诺函》，承诺如果根据有权部门的要</w:t>
            </w:r>
            <w:r>
              <w:rPr>
                <w:rFonts w:ascii="宋体" w:hAnsi="宋体" w:cs="宋体" w:eastAsia="宋体" w:hint="default"/>
                <w:sz w:val="18"/>
                <w:szCs w:val="18"/>
              </w:rPr>
              <w:t> </w:t>
            </w:r>
            <w:r>
              <w:rPr>
                <w:rFonts w:ascii="宋体" w:hAnsi="宋体" w:cs="宋体" w:eastAsia="宋体" w:hint="default"/>
                <w:spacing w:val="-1"/>
                <w:sz w:val="18"/>
                <w:szCs w:val="18"/>
              </w:rPr>
              <w:t>求或决定，需要为员工补缴本承诺函签署之日前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应缴未缴的社会保险金或住房公积金，或因未足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额缴纳需承担任何罚款或损失，将足额补偿公司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因此发生的支出或所受损失。</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23"/>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严格履行承诺，截至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本报告期末，无违反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承诺的事项发生。</w:t>
            </w:r>
          </w:p>
        </w:tc>
      </w:tr>
      <w:tr>
        <w:trPr>
          <w:trHeight w:val="1039" w:hRule="exact"/>
        </w:trPr>
        <w:tc>
          <w:tcPr>
            <w:tcW w:w="2723" w:type="dxa"/>
            <w:vMerge/>
            <w:tcBorders>
              <w:left w:val="single" w:sz="4" w:space="0" w:color="000000"/>
              <w:bottom w:val="single" w:sz="4" w:space="0" w:color="000000"/>
              <w:right w:val="single" w:sz="4" w:space="0" w:color="000000"/>
            </w:tcBorders>
            <w:shd w:val="clear" w:color="auto" w:fill="D4D4D4"/>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857"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99"/>
              <w:jc w:val="righ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86" w:right="19" w:hanging="63"/>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陈江涛先生承诺，公司及全资子公司、控股子公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司员工在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8" w:lineRule="exact"/>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日期间完成净买入旋极信息股票，连续持有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3"/>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严格履行承诺，截至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本报告期末，无违反</w:t>
            </w:r>
          </w:p>
        </w:tc>
      </w:tr>
    </w:tbl>
    <w:p>
      <w:pPr>
        <w:spacing w:after="0" w:line="316" w:lineRule="auto"/>
        <w:jc w:val="both"/>
        <w:rPr>
          <w:rFonts w:ascii="宋体" w:hAnsi="宋体" w:cs="宋体" w:eastAsia="宋体" w:hint="default"/>
          <w:sz w:val="18"/>
          <w:szCs w:val="18"/>
        </w:rPr>
        <w:sectPr>
          <w:pgSz w:w="16840" w:h="11910" w:orient="landscape"/>
          <w:pgMar w:header="882" w:footer="1134" w:top="1100" w:bottom="1400" w:left="1300" w:right="1300"/>
        </w:sectPr>
      </w:pPr>
    </w:p>
    <w:p>
      <w:pPr>
        <w:spacing w:line="240" w:lineRule="auto" w:before="9"/>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723"/>
        <w:gridCol w:w="2267"/>
        <w:gridCol w:w="1135"/>
        <w:gridCol w:w="3826"/>
        <w:gridCol w:w="1562"/>
        <w:gridCol w:w="876"/>
        <w:gridCol w:w="1627"/>
      </w:tblGrid>
      <w:tr>
        <w:trPr>
          <w:trHeight w:val="1363" w:hRule="exact"/>
        </w:trPr>
        <w:tc>
          <w:tcPr>
            <w:tcW w:w="2723" w:type="dxa"/>
            <w:vMerge w:val="restart"/>
            <w:tcBorders>
              <w:top w:val="single" w:sz="10" w:space="0" w:color="000000"/>
              <w:left w:val="single" w:sz="4" w:space="0" w:color="000000"/>
              <w:right w:val="single" w:sz="4" w:space="0" w:color="000000"/>
            </w:tcBorders>
            <w:shd w:val="clear" w:color="auto" w:fill="D4D4D4"/>
          </w:tcPr>
          <w:p>
            <w:pPr/>
          </w:p>
        </w:tc>
        <w:tc>
          <w:tcPr>
            <w:tcW w:w="2267" w:type="dxa"/>
            <w:tcBorders>
              <w:top w:val="single" w:sz="10" w:space="0" w:color="000000"/>
              <w:left w:val="single" w:sz="4" w:space="0" w:color="000000"/>
              <w:bottom w:val="single" w:sz="4" w:space="0" w:color="000000"/>
              <w:right w:val="single" w:sz="4" w:space="0" w:color="000000"/>
            </w:tcBorders>
          </w:tcPr>
          <w:p>
            <w:pPr/>
          </w:p>
        </w:tc>
        <w:tc>
          <w:tcPr>
            <w:tcW w:w="1135" w:type="dxa"/>
            <w:tcBorders>
              <w:top w:val="single" w:sz="10" w:space="0" w:color="000000"/>
              <w:left w:val="single" w:sz="4" w:space="0" w:color="000000"/>
              <w:bottom w:val="single" w:sz="4" w:space="0" w:color="000000"/>
              <w:right w:val="single" w:sz="4" w:space="0" w:color="000000"/>
            </w:tcBorders>
          </w:tcPr>
          <w:p>
            <w:pPr/>
          </w:p>
        </w:tc>
        <w:tc>
          <w:tcPr>
            <w:tcW w:w="3826"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15"/>
              <w:ind w:left="23" w:right="19"/>
              <w:jc w:val="center"/>
              <w:rPr>
                <w:rFonts w:ascii="宋体" w:hAnsi="宋体" w:cs="宋体" w:eastAsia="宋体" w:hint="default"/>
                <w:sz w:val="18"/>
                <w:szCs w:val="18"/>
              </w:rPr>
            </w:pPr>
            <w:r>
              <w:rPr>
                <w:rFonts w:ascii="宋体" w:hAnsi="宋体" w:cs="宋体" w:eastAsia="宋体" w:hint="default"/>
                <w:spacing w:val="-1"/>
                <w:sz w:val="18"/>
                <w:szCs w:val="18"/>
              </w:rPr>
              <w:t>个月以上并在职的员工，若因在前述期间增持旋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极信息股票产生的亏损，陈江涛先生将以个人资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金予以全额补偿；若有股票增值收益则归员工个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人所有。</w:t>
            </w:r>
          </w:p>
        </w:tc>
        <w:tc>
          <w:tcPr>
            <w:tcW w:w="1562" w:type="dxa"/>
            <w:tcBorders>
              <w:top w:val="single" w:sz="10" w:space="0" w:color="000000"/>
              <w:left w:val="single" w:sz="4" w:space="0" w:color="000000"/>
              <w:bottom w:val="single" w:sz="4" w:space="0" w:color="000000"/>
              <w:right w:val="single" w:sz="4" w:space="0" w:color="000000"/>
            </w:tcBorders>
          </w:tcPr>
          <w:p>
            <w:pPr/>
          </w:p>
        </w:tc>
        <w:tc>
          <w:tcPr>
            <w:tcW w:w="876" w:type="dxa"/>
            <w:tcBorders>
              <w:top w:val="single" w:sz="10" w:space="0" w:color="000000"/>
              <w:left w:val="single" w:sz="4" w:space="0" w:color="000000"/>
              <w:bottom w:val="single" w:sz="4" w:space="0" w:color="000000"/>
              <w:right w:val="single" w:sz="4" w:space="0" w:color="000000"/>
            </w:tcBorders>
          </w:tcPr>
          <w:p>
            <w:pPr/>
          </w:p>
        </w:tc>
        <w:tc>
          <w:tcPr>
            <w:tcW w:w="16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
              <w:ind w:left="88" w:right="0"/>
              <w:jc w:val="left"/>
              <w:rPr>
                <w:rFonts w:ascii="宋体" w:hAnsi="宋体" w:cs="宋体" w:eastAsia="宋体" w:hint="default"/>
                <w:sz w:val="18"/>
                <w:szCs w:val="18"/>
              </w:rPr>
            </w:pPr>
            <w:r>
              <w:rPr>
                <w:rFonts w:ascii="宋体" w:hAnsi="宋体" w:cs="宋体" w:eastAsia="宋体" w:hint="default"/>
                <w:sz w:val="18"/>
                <w:szCs w:val="18"/>
              </w:rPr>
              <w:t>承诺的事项发生。</w:t>
            </w:r>
          </w:p>
        </w:tc>
      </w:tr>
      <w:tr>
        <w:trPr>
          <w:trHeight w:val="2381" w:hRule="exact"/>
        </w:trPr>
        <w:tc>
          <w:tcPr>
            <w:tcW w:w="2723" w:type="dxa"/>
            <w:vMerge/>
            <w:tcBorders>
              <w:left w:val="single" w:sz="4" w:space="0" w:color="000000"/>
              <w:bottom w:val="single" w:sz="4" w:space="0" w:color="000000"/>
              <w:right w:val="single" w:sz="4" w:space="0" w:color="000000"/>
            </w:tcBorders>
            <w:shd w:val="clear" w:color="auto" w:fill="D4D4D4"/>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陈江涛</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23" w:right="11" w:hanging="10"/>
              <w:jc w:val="center"/>
              <w:rPr>
                <w:rFonts w:ascii="宋体" w:hAnsi="宋体" w:cs="宋体" w:eastAsia="宋体" w:hint="default"/>
                <w:sz w:val="18"/>
                <w:szCs w:val="18"/>
              </w:rPr>
            </w:pPr>
            <w:r>
              <w:rPr>
                <w:rFonts w:ascii="宋体" w:hAnsi="宋体" w:cs="宋体" w:eastAsia="宋体" w:hint="default"/>
                <w:sz w:val="18"/>
                <w:szCs w:val="18"/>
              </w:rPr>
              <w:t>公司大股东、实际控制人陈江涛先生已针对朗科 科技诉本公司侵权案件向本公司做出书面承诺： </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如果公司因本次侵权案件最终败诉，并因此需要</w:t>
            </w:r>
            <w:r>
              <w:rPr>
                <w:rFonts w:ascii="宋体" w:hAnsi="宋体" w:cs="宋体" w:eastAsia="宋体" w:hint="default"/>
                <w:sz w:val="18"/>
                <w:szCs w:val="18"/>
              </w:rPr>
              <w:t> </w:t>
            </w:r>
            <w:r>
              <w:rPr>
                <w:rFonts w:ascii="宋体" w:hAnsi="宋体" w:cs="宋体" w:eastAsia="宋体" w:hint="default"/>
                <w:spacing w:val="-1"/>
                <w:sz w:val="18"/>
                <w:szCs w:val="18"/>
              </w:rPr>
              <w:t>支付任何侵权赔偿金、相关诉讼费用，或因本次</w:t>
            </w:r>
            <w:r>
              <w:rPr>
                <w:rFonts w:ascii="宋体" w:hAnsi="宋体" w:cs="宋体" w:eastAsia="宋体" w:hint="default"/>
                <w:sz w:val="18"/>
                <w:szCs w:val="18"/>
              </w:rPr>
              <w:t> </w:t>
            </w:r>
            <w:r>
              <w:rPr>
                <w:rFonts w:ascii="宋体" w:hAnsi="宋体" w:cs="宋体" w:eastAsia="宋体" w:hint="default"/>
                <w:spacing w:val="-1"/>
                <w:sz w:val="18"/>
                <w:szCs w:val="18"/>
              </w:rPr>
              <w:t>诉讼导致公司的生产、经营遭受损失，公司实际</w:t>
            </w:r>
            <w:r>
              <w:rPr>
                <w:rFonts w:ascii="宋体" w:hAnsi="宋体" w:cs="宋体" w:eastAsia="宋体" w:hint="default"/>
                <w:sz w:val="18"/>
                <w:szCs w:val="18"/>
              </w:rPr>
              <w:t> 控制人陈江涛先生将承担公司因本次诉讼产生 的侵权赔偿金、案件费用及生产、经营损失。</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71" w:right="72"/>
              <w:jc w:val="left"/>
              <w:rPr>
                <w:rFonts w:ascii="宋体" w:hAnsi="宋体" w:cs="宋体" w:eastAsia="宋体" w:hint="default"/>
                <w:sz w:val="18"/>
                <w:szCs w:val="18"/>
              </w:rPr>
            </w:pPr>
            <w:r>
              <w:rPr>
                <w:rFonts w:ascii="宋体" w:hAnsi="宋体" w:cs="宋体" w:eastAsia="宋体" w:hint="default"/>
                <w:sz w:val="18"/>
                <w:szCs w:val="18"/>
              </w:rPr>
              <w:t>承诺日至 本案结束</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23"/>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严格履行承诺，截至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本报告期末，无违反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承诺的事项发生。</w:t>
            </w:r>
          </w:p>
        </w:tc>
      </w:tr>
      <w:tr>
        <w:trPr>
          <w:trHeight w:val="509" w:hRule="exact"/>
        </w:trPr>
        <w:tc>
          <w:tcPr>
            <w:tcW w:w="2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635"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130" w:hRule="exact"/>
        </w:trPr>
        <w:tc>
          <w:tcPr>
            <w:tcW w:w="2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23" w:right="20"/>
              <w:jc w:val="center"/>
              <w:rPr>
                <w:rFonts w:ascii="宋体" w:hAnsi="宋体" w:cs="宋体" w:eastAsia="宋体" w:hint="default"/>
                <w:sz w:val="18"/>
                <w:szCs w:val="18"/>
              </w:rPr>
            </w:pPr>
            <w:r>
              <w:rPr>
                <w:rFonts w:ascii="宋体" w:hAnsi="宋体" w:cs="宋体" w:eastAsia="宋体" w:hint="default"/>
                <w:spacing w:val="-3"/>
                <w:sz w:val="18"/>
                <w:szCs w:val="18"/>
              </w:rPr>
              <w:t>如承诺超期未履行完毕的，应当详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细说明未完成履行的具体原因及 下一步的工作计划</w:t>
            </w:r>
          </w:p>
        </w:tc>
        <w:tc>
          <w:tcPr>
            <w:tcW w:w="112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center"/>
        <w:rPr>
          <w:rFonts w:ascii="宋体" w:hAnsi="宋体" w:cs="宋体" w:eastAsia="宋体" w:hint="default"/>
          <w:sz w:val="18"/>
          <w:szCs w:val="18"/>
        </w:rPr>
        <w:sectPr>
          <w:pgSz w:w="16840" w:h="11910" w:orient="landscape"/>
          <w:pgMar w:header="882" w:footer="1134" w:top="1100" w:bottom="1320" w:left="1300" w:right="1300"/>
        </w:sectPr>
      </w:pPr>
    </w:p>
    <w:p>
      <w:pPr>
        <w:pStyle w:val="Heading4"/>
        <w:spacing w:line="259" w:lineRule="auto" w:before="134"/>
        <w:ind w:right="1127"/>
        <w:jc w:val="left"/>
        <w:rPr>
          <w:b w:val="0"/>
          <w:bCs w:val="0"/>
        </w:rPr>
      </w:pPr>
      <w:bookmarkStart w:name="2、公司资产或项目存在盈利预测，且报告期仍处在盈利预测期间，公司就资产或项目达到" w:id="115"/>
      <w:bookmarkEnd w:id="11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6"/>
        </w:rPr>
        <w:t> </w:t>
      </w:r>
      <w:r>
        <w:rPr>
          <w:spacing w:val="-66"/>
        </w:rPr>
      </w:r>
      <w:r>
        <w:rPr/>
        <w:t>其原因做出说明</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35"/>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16"/>
          <w:szCs w:val="16"/>
        </w:rPr>
      </w:pPr>
    </w:p>
    <w:tbl>
      <w:tblPr>
        <w:tblW w:w="0" w:type="auto"/>
        <w:jc w:val="left"/>
        <w:tblInd w:w="148" w:type="dxa"/>
        <w:tblLayout w:type="fixed"/>
        <w:tblCellMar>
          <w:top w:w="0" w:type="dxa"/>
          <w:left w:w="0" w:type="dxa"/>
          <w:bottom w:w="0" w:type="dxa"/>
          <w:right w:w="0" w:type="dxa"/>
        </w:tblCellMar>
        <w:tblLook w:val="01E0"/>
      </w:tblPr>
      <w:tblGrid>
        <w:gridCol w:w="1195"/>
        <w:gridCol w:w="1195"/>
        <w:gridCol w:w="1195"/>
        <w:gridCol w:w="1198"/>
        <w:gridCol w:w="1195"/>
        <w:gridCol w:w="1195"/>
        <w:gridCol w:w="1198"/>
        <w:gridCol w:w="1198"/>
      </w:tblGrid>
      <w:tr>
        <w:trPr>
          <w:trHeight w:val="818"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141" w:right="50" w:hanging="89"/>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503" w:right="50" w:hanging="449"/>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503"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13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联合信标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677.19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04"/>
              <w:ind w:left="57" w:right="57"/>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pacing w:val="-2"/>
                <w:sz w:val="18"/>
                <w:szCs w:val="18"/>
              </w:rPr>
              <w:t>http://www.cni</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nfo.com.cn</w:t>
            </w:r>
          </w:p>
        </w:tc>
      </w:tr>
      <w:tr>
        <w:trPr>
          <w:trHeight w:val="821" w:hRule="exact"/>
        </w:trPr>
        <w:tc>
          <w:tcPr>
            <w:tcW w:w="119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6" w:lineRule="auto" w:before="101"/>
              <w:ind w:left="141" w:right="50" w:hanging="89"/>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当期预测估值</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当期实现估值</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6" w:lineRule="auto" w:before="101"/>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6" w:lineRule="auto" w:before="101"/>
              <w:ind w:left="503" w:right="50" w:hanging="449"/>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6" w:lineRule="auto" w:before="101"/>
              <w:ind w:left="503"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13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伏羲科技</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28,000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28,000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1"/>
              <w:ind w:left="57" w:right="57"/>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pacing w:val="-2"/>
                <w:sz w:val="18"/>
                <w:szCs w:val="18"/>
              </w:rPr>
              <w:t>http://www.cni</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nfo.com.cn</w:t>
            </w:r>
          </w:p>
        </w:tc>
      </w:tr>
    </w:tbl>
    <w:p>
      <w:pPr>
        <w:spacing w:line="240" w:lineRule="auto" w:before="11"/>
        <w:rPr>
          <w:rFonts w:ascii="宋体" w:hAnsi="宋体" w:cs="宋体" w:eastAsia="宋体" w:hint="default"/>
          <w:sz w:val="9"/>
          <w:szCs w:val="9"/>
        </w:rPr>
      </w:pPr>
    </w:p>
    <w:p>
      <w:pPr>
        <w:pStyle w:val="BodyText"/>
        <w:spacing w:line="240" w:lineRule="auto" w:before="36"/>
        <w:ind w:right="1127"/>
        <w:jc w:val="left"/>
      </w:pPr>
      <w:r>
        <w:rPr/>
        <w:t>公司股东、交易对手方对公司或相关资产年度经营业绩作出的承诺情况</w:t>
      </w:r>
    </w:p>
    <w:p>
      <w:pPr>
        <w:spacing w:line="240" w:lineRule="auto" w:before="4"/>
        <w:rPr>
          <w:rFonts w:ascii="宋体" w:hAnsi="宋体" w:cs="宋体" w:eastAsia="宋体" w:hint="default"/>
          <w:sz w:val="22"/>
          <w:szCs w:val="22"/>
        </w:rPr>
      </w:pPr>
    </w:p>
    <w:p>
      <w:pPr>
        <w:pStyle w:val="BodyText"/>
        <w:spacing w:line="482" w:lineRule="auto"/>
        <w:ind w:right="5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业绩承诺的完成情况及其对商誉减值测试的影响</w:t>
      </w:r>
      <w:r>
        <w:rPr>
          <w:spacing w:val="-65"/>
        </w:rPr>
        <w:t> </w:t>
      </w:r>
      <w:r>
        <w:rPr>
          <w:spacing w:val="-65"/>
        </w:rPr>
      </w:r>
      <w:r>
        <w:rPr/>
        <w:t>联合信标业绩达成，对商誉减值不产生影响。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74"/>
        <w:ind w:left="0" w:right="1133"/>
        <w:jc w:val="right"/>
        <w:rPr>
          <w:rFonts w:ascii="Times New Roman" w:hAnsi="Times New Roman" w:cs="Times New Roman" w:eastAsia="Times New Roman" w:hint="default"/>
        </w:rPr>
      </w:pPr>
      <w:r>
        <w:rPr/>
        <w:pict>
          <v:shape style="position:absolute;margin-left:535.634705pt;margin-top:36.503258pt;width:59.493346pt;height:26.794713pt;mso-position-horizontal-relative:page;mso-position-vertical-relative:paragraph;z-index:1528" type="#_x0000_t75" stroked="false">
            <v:imagedata r:id="rId39" o:title=""/>
          </v:shape>
        </w:pict>
      </w:r>
      <w:r>
        <w:rPr>
          <w:rFonts w:ascii="Times New Roman"/>
        </w:rPr>
        <w:t>64</w:t>
      </w:r>
    </w:p>
    <w:p>
      <w:pPr>
        <w:spacing w:after="0" w:line="240" w:lineRule="auto"/>
        <w:jc w:val="right"/>
        <w:rPr>
          <w:rFonts w:ascii="Times New Roman" w:hAnsi="Times New Roman" w:cs="Times New Roman" w:eastAsia="Times New Roman" w:hint="default"/>
        </w:rPr>
        <w:sectPr>
          <w:headerReference w:type="default" r:id="rId37"/>
          <w:footerReference w:type="default" r:id="rId38"/>
          <w:pgSz w:w="11910" w:h="16840"/>
          <w:pgMar w:header="882" w:footer="0" w:top="1280" w:bottom="0" w:left="980" w:right="0"/>
        </w:sectPr>
      </w:pPr>
    </w:p>
    <w:p>
      <w:pPr>
        <w:pStyle w:val="BodyText"/>
        <w:spacing w:line="240" w:lineRule="auto" w:before="11"/>
        <w:ind w:left="9561" w:right="0"/>
        <w:jc w:val="left"/>
      </w:pPr>
      <w:r>
        <w:rPr/>
        <w:t>北京旋极信息技术股份有限公司</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spacing w:val="-3"/>
        </w:rPr>
        <w:t>年年度报告全文</w:t>
      </w:r>
      <w:r>
        <w:rPr/>
      </w:r>
    </w:p>
    <w:p>
      <w:pPr>
        <w:spacing w:line="240" w:lineRule="auto" w:before="0"/>
        <w:rPr>
          <w:rFonts w:ascii="宋体" w:hAnsi="宋体" w:cs="宋体" w:eastAsia="宋体" w:hint="default"/>
          <w:sz w:val="13"/>
          <w:szCs w:val="13"/>
        </w:rPr>
      </w:pPr>
    </w:p>
    <w:p>
      <w:pPr>
        <w:spacing w:line="20" w:lineRule="exact"/>
        <w:ind w:left="5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7"/>
          <w:szCs w:val="17"/>
        </w:rPr>
      </w:pPr>
    </w:p>
    <w:p>
      <w:pPr>
        <w:pStyle w:val="Heading2"/>
        <w:spacing w:line="240" w:lineRule="auto" w:before="26"/>
        <w:ind w:left="540" w:right="0"/>
        <w:jc w:val="left"/>
        <w:rPr>
          <w:b w:val="0"/>
          <w:bCs w:val="0"/>
        </w:rPr>
      </w:pPr>
      <w:bookmarkStart w:name="三、控股股东及其关联方对上市公司的非经营性占用资金情况" w:id="116"/>
      <w:bookmarkEnd w:id="116"/>
      <w:r>
        <w:rPr>
          <w:b w:val="0"/>
          <w:bCs w:val="0"/>
        </w:rPr>
      </w:r>
      <w:r>
        <w:rPr/>
        <w:t>三、控股股东及其关联方对上市公司的非经营性占用资金情况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9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3"/>
          <w:szCs w:val="13"/>
        </w:rPr>
      </w:pPr>
    </w:p>
    <w:p>
      <w:pPr>
        <w:pStyle w:val="BodyText"/>
        <w:spacing w:line="240" w:lineRule="auto" w:before="36"/>
        <w:ind w:left="0" w:right="755"/>
        <w:jc w:val="right"/>
      </w:pPr>
      <w:r>
        <w:rPr>
          <w:spacing w:val="-1"/>
        </w:rPr>
        <w:t>单位：万元</w:t>
      </w:r>
    </w:p>
    <w:p>
      <w:pPr>
        <w:spacing w:line="240" w:lineRule="auto" w:before="10"/>
        <w:rPr>
          <w:rFonts w:ascii="宋体" w:hAnsi="宋体" w:cs="宋体" w:eastAsia="宋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994"/>
        <w:gridCol w:w="1418"/>
        <w:gridCol w:w="5813"/>
        <w:gridCol w:w="1001"/>
        <w:gridCol w:w="850"/>
        <w:gridCol w:w="991"/>
        <w:gridCol w:w="710"/>
        <w:gridCol w:w="852"/>
        <w:gridCol w:w="850"/>
        <w:gridCol w:w="1548"/>
      </w:tblGrid>
      <w:tr>
        <w:trPr>
          <w:trHeight w:val="853" w:hRule="exact"/>
        </w:trPr>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3"/>
                <w:szCs w:val="13"/>
              </w:rPr>
            </w:pPr>
          </w:p>
          <w:p>
            <w:pPr>
              <w:pStyle w:val="TableParagraph"/>
              <w:spacing w:line="232" w:lineRule="exact"/>
              <w:ind w:left="220" w:right="41" w:hanging="180"/>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58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发生原因</w:t>
            </w:r>
          </w:p>
        </w:tc>
        <w:tc>
          <w:tcPr>
            <w:tcW w:w="10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7"/>
              <w:ind w:left="57" w:right="60"/>
              <w:jc w:val="center"/>
              <w:rPr>
                <w:rFonts w:ascii="宋体" w:hAnsi="宋体" w:cs="宋体" w:eastAsia="宋体" w:hint="default"/>
                <w:sz w:val="18"/>
                <w:szCs w:val="18"/>
              </w:rPr>
            </w:pPr>
            <w:r>
              <w:rPr>
                <w:rFonts w:ascii="宋体" w:hAnsi="宋体" w:cs="宋体" w:eastAsia="宋体" w:hint="default"/>
                <w:sz w:val="18"/>
                <w:szCs w:val="18"/>
              </w:rPr>
              <w:t>报告期新 增占用金 额</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3"/>
                <w:szCs w:val="13"/>
              </w:rPr>
            </w:pPr>
          </w:p>
          <w:p>
            <w:pPr>
              <w:pStyle w:val="TableParagraph"/>
              <w:spacing w:line="232" w:lineRule="exact"/>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报告期偿还 总金额</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3"/>
                <w:szCs w:val="13"/>
              </w:rPr>
            </w:pPr>
          </w:p>
          <w:p>
            <w:pPr>
              <w:pStyle w:val="TableParagraph"/>
              <w:spacing w:line="232" w:lineRule="exact"/>
              <w:ind w:left="240" w:right="60" w:hanging="180"/>
              <w:jc w:val="left"/>
              <w:rPr>
                <w:rFonts w:ascii="宋体" w:hAnsi="宋体" w:cs="宋体" w:eastAsia="宋体" w:hint="default"/>
                <w:sz w:val="18"/>
                <w:szCs w:val="18"/>
              </w:rPr>
            </w:pPr>
            <w:r>
              <w:rPr>
                <w:rFonts w:ascii="宋体" w:hAnsi="宋体" w:cs="宋体" w:eastAsia="宋体" w:hint="default"/>
                <w:sz w:val="18"/>
                <w:szCs w:val="18"/>
              </w:rPr>
              <w:t>预计偿还 方式</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3"/>
                <w:szCs w:val="13"/>
              </w:rPr>
            </w:pPr>
          </w:p>
          <w:p>
            <w:pPr>
              <w:pStyle w:val="TableParagraph"/>
              <w:spacing w:line="232" w:lineRule="exact"/>
              <w:ind w:left="240" w:right="59" w:hanging="180"/>
              <w:jc w:val="left"/>
              <w:rPr>
                <w:rFonts w:ascii="宋体" w:hAnsi="宋体" w:cs="宋体" w:eastAsia="宋体" w:hint="default"/>
                <w:sz w:val="18"/>
                <w:szCs w:val="18"/>
              </w:rPr>
            </w:pPr>
            <w:r>
              <w:rPr>
                <w:rFonts w:ascii="宋体" w:hAnsi="宋体" w:cs="宋体" w:eastAsia="宋体" w:hint="default"/>
                <w:sz w:val="18"/>
                <w:szCs w:val="18"/>
              </w:rPr>
              <w:t>预计偿还 金额</w:t>
            </w:r>
          </w:p>
        </w:tc>
        <w:tc>
          <w:tcPr>
            <w:tcW w:w="15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3"/>
                <w:szCs w:val="13"/>
              </w:rPr>
            </w:pPr>
          </w:p>
          <w:p>
            <w:pPr>
              <w:pStyle w:val="TableParagraph"/>
              <w:spacing w:line="232" w:lineRule="exact"/>
              <w:ind w:left="590" w:right="47" w:hanging="540"/>
              <w:jc w:val="left"/>
              <w:rPr>
                <w:rFonts w:ascii="宋体" w:hAnsi="宋体" w:cs="宋体" w:eastAsia="宋体" w:hint="default"/>
                <w:sz w:val="18"/>
                <w:szCs w:val="18"/>
              </w:rPr>
            </w:pPr>
            <w:r>
              <w:rPr>
                <w:rFonts w:ascii="宋体" w:hAnsi="宋体" w:cs="宋体" w:eastAsia="宋体" w:hint="default"/>
                <w:sz w:val="18"/>
                <w:szCs w:val="18"/>
              </w:rPr>
              <w:t>预计偿还时间（月 份）</w:t>
            </w:r>
          </w:p>
        </w:tc>
      </w:tr>
      <w:tr>
        <w:trPr>
          <w:trHeight w:val="202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20"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2" w:lineRule="exact"/>
              <w:ind w:left="1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p>
          <w:p>
            <w:pPr>
              <w:pStyle w:val="TableParagraph"/>
              <w:spacing w:line="242" w:lineRule="exact"/>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5813"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48"/>
              <w:ind w:left="23" w:right="17" w:hanging="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pacing w:val="-2"/>
                <w:sz w:val="18"/>
                <w:szCs w:val="18"/>
              </w:rPr>
              <w:t>年起，在上市公司自有资金不足的情况下，陈江涛先生作为上市公司</w:t>
            </w:r>
            <w:r>
              <w:rPr>
                <w:rFonts w:ascii="宋体" w:hAnsi="宋体" w:cs="宋体" w:eastAsia="宋体" w:hint="default"/>
                <w:sz w:val="18"/>
                <w:szCs w:val="18"/>
              </w:rPr>
              <w:t> 大股东，本着为上市公司减少风险，尽快锁定优质资产，改善产业结构， </w:t>
            </w:r>
            <w:r>
              <w:rPr>
                <w:rFonts w:ascii="宋体" w:hAnsi="宋体" w:cs="宋体" w:eastAsia="宋体" w:hint="default"/>
                <w:spacing w:val="-3"/>
                <w:sz w:val="18"/>
                <w:szCs w:val="18"/>
              </w:rPr>
              <w:t>增加上市公司业绩等出发点，为上市公司并购泰豪智能、西安西谷等公司</w:t>
            </w:r>
            <w:r>
              <w:rPr>
                <w:rFonts w:ascii="宋体" w:hAnsi="宋体" w:cs="宋体" w:eastAsia="宋体" w:hint="default"/>
                <w:sz w:val="18"/>
                <w:szCs w:val="18"/>
              </w:rPr>
              <w:t> 公司业务发展需要以及上市公司其它类型的收购投资等使用较多自有资 金，在陈江涛先生未减持公司股票的情况下，采取质押股票方式解决上述 资金需求，而在中美贸易战，国家整体去杠杆的大背景下，二级市场剧烈 波动，造成陈江涛先生杠杆率不断攀升，出现流动性危机，债务较大，无 法在公开市场获得融资，最终出现占用上市公司资金的现象。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52"/>
              <w:ind w:left="134" w:right="0"/>
              <w:jc w:val="left"/>
              <w:rPr>
                <w:rFonts w:ascii="Times New Roman" w:hAnsi="Times New Roman" w:cs="Times New Roman" w:eastAsia="Times New Roman" w:hint="default"/>
                <w:sz w:val="18"/>
                <w:szCs w:val="18"/>
              </w:rPr>
            </w:pPr>
            <w:r>
              <w:rPr>
                <w:rFonts w:ascii="Times New Roman"/>
                <w:sz w:val="18"/>
              </w:rPr>
              <w:t>25,475.05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15,600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41,075.05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36" w:lineRule="exact"/>
              <w:ind w:left="590" w:right="23" w:hanging="56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月已全部 偿还</w:t>
            </w:r>
          </w:p>
        </w:tc>
      </w:tr>
      <w:tr>
        <w:trPr>
          <w:trHeight w:val="386" w:hRule="exact"/>
        </w:trPr>
        <w:tc>
          <w:tcPr>
            <w:tcW w:w="822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25,475.05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70" w:right="0"/>
              <w:jc w:val="left"/>
              <w:rPr>
                <w:rFonts w:ascii="Times New Roman" w:hAnsi="Times New Roman" w:cs="Times New Roman" w:eastAsia="Times New Roman" w:hint="default"/>
                <w:sz w:val="18"/>
                <w:szCs w:val="18"/>
              </w:rPr>
            </w:pPr>
            <w:r>
              <w:rPr>
                <w:rFonts w:ascii="Times New Roman"/>
                <w:sz w:val="18"/>
              </w:rPr>
              <w:t>15,600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31" w:right="0"/>
              <w:jc w:val="left"/>
              <w:rPr>
                <w:rFonts w:ascii="Times New Roman" w:hAnsi="Times New Roman" w:cs="Times New Roman" w:eastAsia="Times New Roman" w:hint="default"/>
                <w:sz w:val="18"/>
                <w:szCs w:val="18"/>
              </w:rPr>
            </w:pPr>
            <w:r>
              <w:rPr>
                <w:rFonts w:ascii="Times New Roman"/>
                <w:sz w:val="18"/>
              </w:rPr>
              <w:t>41,075.05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9"/>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822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397" w:right="0"/>
              <w:jc w:val="left"/>
              <w:rPr>
                <w:rFonts w:ascii="宋体" w:hAnsi="宋体" w:cs="宋体" w:eastAsia="宋体" w:hint="default"/>
                <w:sz w:val="18"/>
                <w:szCs w:val="18"/>
              </w:rPr>
            </w:pPr>
            <w:r>
              <w:rPr>
                <w:rFonts w:ascii="宋体" w:hAnsi="宋体" w:cs="宋体" w:eastAsia="宋体" w:hint="default"/>
                <w:sz w:val="18"/>
                <w:szCs w:val="18"/>
              </w:rPr>
              <w:t>期末合计值占最近一期经审计净资产的比例</w:t>
            </w:r>
          </w:p>
        </w:tc>
        <w:tc>
          <w:tcPr>
            <w:tcW w:w="6802" w:type="dxa"/>
            <w:gridSpan w:val="7"/>
            <w:tcBorders>
              <w:top w:val="single" w:sz="5" w:space="0" w:color="D4D4D4"/>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8"/>
                <w:szCs w:val="18"/>
              </w:rPr>
            </w:pPr>
            <w:r>
              <w:rPr>
                <w:rFonts w:ascii="Times New Roman"/>
                <w:sz w:val="18"/>
              </w:rPr>
              <w:t>0.00%</w:t>
            </w:r>
          </w:p>
        </w:tc>
      </w:tr>
      <w:tr>
        <w:trPr>
          <w:trHeight w:val="388" w:hRule="exact"/>
        </w:trPr>
        <w:tc>
          <w:tcPr>
            <w:tcW w:w="822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相关决策程序</w:t>
            </w:r>
          </w:p>
        </w:tc>
        <w:tc>
          <w:tcPr>
            <w:tcW w:w="680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2021" w:hRule="exact"/>
        </w:trPr>
        <w:tc>
          <w:tcPr>
            <w:tcW w:w="822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32" w:lineRule="exact"/>
              <w:ind w:left="3926" w:right="55" w:hanging="3869"/>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当期新增大股东及其附属企业非经营性资金占用情况的原因、责任人追究及董事会拟定采取措施的情况 说明</w:t>
            </w:r>
          </w:p>
        </w:tc>
        <w:tc>
          <w:tcPr>
            <w:tcW w:w="6802" w:type="dxa"/>
            <w:gridSpan w:val="7"/>
            <w:tcBorders>
              <w:top w:val="single" w:sz="4" w:space="0" w:color="000000"/>
              <w:left w:val="single" w:sz="4" w:space="0" w:color="000000"/>
              <w:bottom w:val="single" w:sz="4" w:space="0" w:color="000000"/>
              <w:right w:val="single" w:sz="4" w:space="0" w:color="000000"/>
            </w:tcBorders>
          </w:tcPr>
          <w:p>
            <w:pPr>
              <w:pStyle w:val="TableParagraph"/>
              <w:spacing w:line="235" w:lineRule="auto" w:before="46"/>
              <w:ind w:left="21" w:right="17" w:hanging="5"/>
              <w:jc w:val="center"/>
              <w:rPr>
                <w:rFonts w:ascii="宋体" w:hAnsi="宋体" w:cs="宋体" w:eastAsia="宋体" w:hint="default"/>
                <w:sz w:val="18"/>
                <w:szCs w:val="18"/>
              </w:rPr>
            </w:pPr>
            <w:r>
              <w:rPr>
                <w:rFonts w:ascii="宋体" w:hAnsi="宋体" w:cs="宋体" w:eastAsia="宋体" w:hint="default"/>
                <w:sz w:val="18"/>
                <w:szCs w:val="18"/>
              </w:rPr>
              <w:t>为支持上市公司发展，陈江涛先生在公司并购重组及业务发展中使用较多自有资金， 导致其出现债务危机，陈江涛先生所占用资金主要用于偿还其个人借款，本次发生资 金占用责任人包括时任董事长陈江涛，总经理谢军伟，财务总监陈为群，时任总经理 兼财务负责人刘明，时任监事会主席邹卫明予。截至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月，陈江涛先生占用资 金已全部归还，未来公司将加强内控管理，继续深入学习并严格执行《创业板股票上 </w:t>
            </w:r>
            <w:r>
              <w:rPr>
                <w:rFonts w:ascii="宋体" w:hAnsi="宋体" w:cs="宋体" w:eastAsia="宋体" w:hint="default"/>
                <w:spacing w:val="-5"/>
                <w:sz w:val="18"/>
                <w:szCs w:val="18"/>
              </w:rPr>
              <w:t>市规则》、《创业板上市公司规范运作指引》等相关法律法规及业务规则的要求，提高</w:t>
            </w:r>
            <w:r>
              <w:rPr>
                <w:rFonts w:ascii="宋体" w:hAnsi="宋体" w:cs="宋体" w:eastAsia="宋体" w:hint="default"/>
                <w:sz w:val="18"/>
                <w:szCs w:val="18"/>
              </w:rPr>
              <w:t> </w:t>
            </w:r>
            <w:r>
              <w:rPr>
                <w:rFonts w:ascii="宋体" w:hAnsi="宋体" w:cs="宋体" w:eastAsia="宋体" w:hint="default"/>
                <w:spacing w:val="-3"/>
                <w:sz w:val="18"/>
                <w:szCs w:val="18"/>
              </w:rPr>
              <w:t>规范运作水平，严格落实《规范与关联方资金往来的管理制度》，针对此类事项自查自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纠自改，杜绝类似违规事项的发生。</w:t>
            </w:r>
          </w:p>
        </w:tc>
      </w:tr>
      <w:tr>
        <w:trPr>
          <w:trHeight w:val="389" w:hRule="exact"/>
        </w:trPr>
        <w:tc>
          <w:tcPr>
            <w:tcW w:w="822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686" w:right="0"/>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未能按计划清偿非经营性资金占用的原因、责任追究情况及董事会拟定采取的措施说明</w:t>
            </w:r>
          </w:p>
        </w:tc>
        <w:tc>
          <w:tcPr>
            <w:tcW w:w="680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86" w:hRule="exact"/>
        </w:trPr>
        <w:tc>
          <w:tcPr>
            <w:tcW w:w="822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126" w:right="0"/>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注册会计师对资金占用的专项审核意见的披露日期</w:t>
            </w:r>
          </w:p>
        </w:tc>
        <w:tc>
          <w:tcPr>
            <w:tcW w:w="680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389" w:hRule="exact"/>
        </w:trPr>
        <w:tc>
          <w:tcPr>
            <w:tcW w:w="822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126" w:right="0"/>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注册会计师对资金占用的专项审核意见的披露索引</w:t>
            </w:r>
          </w:p>
        </w:tc>
        <w:tc>
          <w:tcPr>
            <w:tcW w:w="680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37"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8">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pStyle w:val="BodyText"/>
        <w:spacing w:line="240" w:lineRule="auto" w:before="89"/>
        <w:ind w:left="0" w:right="759"/>
        <w:jc w:val="right"/>
        <w:rPr>
          <w:rFonts w:ascii="Times New Roman" w:hAnsi="Times New Roman" w:cs="Times New Roman" w:eastAsia="Times New Roman" w:hint="default"/>
        </w:rPr>
      </w:pPr>
      <w:r>
        <w:rPr>
          <w:rFonts w:ascii="Times New Roman"/>
        </w:rPr>
        <w:t>65</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p>
      <w:pPr>
        <w:spacing w:line="371" w:lineRule="exact"/>
        <w:ind w:left="108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3" name="image10.jpeg" descr=""/>
            <wp:cNvGraphicFramePr>
              <a:graphicFrameLocks noChangeAspect="1"/>
            </wp:cNvGraphicFramePr>
            <a:graphic>
              <a:graphicData uri="http://schemas.openxmlformats.org/drawingml/2006/picture">
                <pic:pic>
                  <pic:nvPicPr>
                    <pic:cNvPr id="4" name="image10.jpeg"/>
                    <pic:cNvPicPr/>
                  </pic:nvPicPr>
                  <pic:blipFill>
                    <a:blip r:embed="rId39"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40"/>
          <w:footerReference w:type="default" r:id="rId41"/>
          <w:pgSz w:w="16840" w:h="11910" w:orient="landscape"/>
          <w:pgMar w:header="0" w:footer="0" w:top="800" w:bottom="0" w:left="900" w:right="680"/>
        </w:sectPr>
      </w:pPr>
    </w:p>
    <w:p>
      <w:pPr>
        <w:pStyle w:val="Heading2"/>
        <w:spacing w:line="240" w:lineRule="auto" w:before="106"/>
        <w:ind w:right="1127"/>
        <w:jc w:val="left"/>
        <w:rPr>
          <w:b w:val="0"/>
          <w:bCs w:val="0"/>
        </w:rPr>
      </w:pPr>
      <w:bookmarkStart w:name="四、董事会对最近一期“非标准审计报告”相关情况的说明" w:id="117"/>
      <w:bookmarkEnd w:id="11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9"/>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1"/>
          <w:szCs w:val="31"/>
        </w:rPr>
      </w:pPr>
    </w:p>
    <w:p>
      <w:pPr>
        <w:pStyle w:val="Heading2"/>
        <w:spacing w:line="240" w:lineRule="auto"/>
        <w:ind w:right="0"/>
        <w:jc w:val="left"/>
        <w:rPr>
          <w:b w:val="0"/>
          <w:bCs w:val="0"/>
        </w:rPr>
      </w:pPr>
      <w:bookmarkStart w:name="五、董事会、监事会、独立董事（如有）对会计师事务所本报告期“非标准审计报告”的说" w:id="118"/>
      <w:bookmarkEnd w:id="11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1"/>
          <w:szCs w:val="31"/>
        </w:rPr>
      </w:pPr>
    </w:p>
    <w:p>
      <w:pPr>
        <w:pStyle w:val="Heading2"/>
        <w:spacing w:line="240" w:lineRule="auto"/>
        <w:ind w:right="1127"/>
        <w:jc w:val="left"/>
        <w:rPr>
          <w:b w:val="0"/>
          <w:bCs w:val="0"/>
        </w:rPr>
      </w:pPr>
      <w:bookmarkStart w:name="六、董事会关于报告期会计政策、会计估计变更或重大会计差错更正的说明" w:id="119"/>
      <w:bookmarkEnd w:id="119"/>
      <w:r>
        <w:rPr>
          <w:b w:val="0"/>
          <w:bCs w:val="0"/>
        </w:rPr>
      </w:r>
      <w:r>
        <w:rPr/>
        <w:t>六、董事会关于报告期会计政策、会计估计变更或重大会计差错更正的说明</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16"/>
          <w:szCs w:val="16"/>
        </w:rPr>
      </w:pPr>
    </w:p>
    <w:p>
      <w:pPr>
        <w:pStyle w:val="BodyText"/>
        <w:spacing w:line="343" w:lineRule="auto"/>
        <w:ind w:left="152" w:right="1128" w:firstLine="419"/>
        <w:jc w:val="both"/>
      </w:pP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日召开的第四届董事会第十九次会议和第四届监事会第九次会议，分别审议通</w:t>
      </w:r>
      <w:r>
        <w:rPr>
          <w:w w:val="100"/>
        </w:rPr>
        <w:t> </w:t>
      </w:r>
      <w:r>
        <w:rPr>
          <w:spacing w:val="-2"/>
        </w:rPr>
        <w:t>过《关于会计政策变更的议案》，本次会计政策变更后，公司执行财政部修订并发布的《企业会计准则第</w:t>
      </w:r>
      <w:r>
        <w:rPr>
          <w:spacing w:val="-43"/>
        </w:rPr>
        <w:t> </w:t>
      </w:r>
      <w:r>
        <w:rPr>
          <w:spacing w:val="-43"/>
        </w:rPr>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金融工具确认和计量》、《企业会计准则第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w:t>
      </w:r>
      <w:r>
        <w:rPr>
          <w:spacing w:val="-43"/>
        </w:rPr>
        <w:t> </w:t>
      </w:r>
      <w:r>
        <w:rPr/>
        <w:t>会计》和《企业会计准则第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p>
    <w:p>
      <w:pPr>
        <w:pStyle w:val="BodyText"/>
        <w:spacing w:line="343" w:lineRule="auto" w:before="17"/>
        <w:ind w:left="153" w:right="1127" w:firstLine="419"/>
        <w:jc w:val="left"/>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08</w:t>
      </w:r>
      <w:r>
        <w:rPr/>
        <w:t>月</w:t>
      </w:r>
      <w:r>
        <w:rPr>
          <w:rFonts w:ascii="Times New Roman" w:hAnsi="Times New Roman" w:cs="Times New Roman" w:eastAsia="Times New Roman" w:hint="default"/>
        </w:rPr>
        <w:t>26</w:t>
      </w:r>
      <w:r>
        <w:rPr/>
        <w:t>日召开了第四届董事会第二十三次会议和第四届监事会第十二次会议，分别</w:t>
      </w:r>
      <w:r>
        <w:rPr>
          <w:w w:val="100"/>
        </w:rPr>
        <w:t> </w:t>
      </w:r>
      <w:r>
        <w:rPr>
          <w:spacing w:val="-2"/>
        </w:rPr>
        <w:t>审议通过了《关于前期会计差错更正的议案》，同意公司根据有关规定，对公司前期会计差错更正调整。</w:t>
      </w:r>
      <w:r>
        <w:rPr>
          <w:spacing w:val="-21"/>
        </w:rPr>
        <w:t> </w:t>
      </w:r>
      <w:r>
        <w:rPr>
          <w:spacing w:val="-21"/>
        </w:rPr>
      </w:r>
      <w:r>
        <w:rPr>
          <w:spacing w:val="-2"/>
        </w:rPr>
        <w:t>本次会计差错更正对</w:t>
      </w:r>
      <w:r>
        <w:rPr>
          <w:rFonts w:ascii="Times New Roman" w:hAnsi="Times New Roman" w:cs="Times New Roman" w:eastAsia="Times New Roman" w:hint="default"/>
          <w:spacing w:val="-2"/>
        </w:rPr>
        <w:t>2018</w:t>
      </w:r>
      <w:r>
        <w:rPr>
          <w:spacing w:val="-2"/>
        </w:rPr>
        <w:t>年半年度、</w:t>
      </w:r>
      <w:r>
        <w:rPr>
          <w:rFonts w:ascii="Times New Roman" w:hAnsi="Times New Roman" w:cs="Times New Roman" w:eastAsia="Times New Roman" w:hint="default"/>
          <w:spacing w:val="-2"/>
        </w:rPr>
        <w:t>2018</w:t>
      </w:r>
      <w:r>
        <w:rPr>
          <w:spacing w:val="-2"/>
        </w:rPr>
        <w:t>年第三季度、</w:t>
      </w:r>
      <w:r>
        <w:rPr>
          <w:rFonts w:ascii="Times New Roman" w:hAnsi="Times New Roman" w:cs="Times New Roman" w:eastAsia="Times New Roman" w:hint="default"/>
          <w:spacing w:val="-2"/>
        </w:rPr>
        <w:t>2018</w:t>
      </w:r>
      <w:r>
        <w:rPr>
          <w:spacing w:val="-2"/>
        </w:rPr>
        <w:t>年年度、</w:t>
      </w:r>
      <w:r>
        <w:rPr>
          <w:rFonts w:ascii="Times New Roman" w:hAnsi="Times New Roman" w:cs="Times New Roman" w:eastAsia="Times New Roman" w:hint="default"/>
          <w:spacing w:val="-2"/>
        </w:rPr>
        <w:t>2019</w:t>
      </w:r>
      <w:r>
        <w:rPr>
          <w:spacing w:val="-2"/>
        </w:rPr>
        <w:t>年第一季度合并资产负债表、合</w:t>
      </w:r>
      <w:r>
        <w:rPr>
          <w:spacing w:val="-28"/>
        </w:rPr>
        <w:t> </w:t>
      </w:r>
      <w:r>
        <w:rPr>
          <w:spacing w:val="-28"/>
        </w:rPr>
      </w:r>
      <w:r>
        <w:rPr>
          <w:spacing w:val="-2"/>
        </w:rPr>
        <w:t>并利润表产生影响；对</w:t>
      </w:r>
      <w:r>
        <w:rPr>
          <w:rFonts w:ascii="Times New Roman" w:hAnsi="Times New Roman" w:cs="Times New Roman" w:eastAsia="Times New Roman" w:hint="default"/>
          <w:spacing w:val="-2"/>
        </w:rPr>
        <w:t>2018</w:t>
      </w:r>
      <w:r>
        <w:rPr>
          <w:spacing w:val="-2"/>
        </w:rPr>
        <w:t>年第三季度、</w:t>
      </w:r>
      <w:r>
        <w:rPr>
          <w:rFonts w:ascii="Times New Roman" w:hAnsi="Times New Roman" w:cs="Times New Roman" w:eastAsia="Times New Roman" w:hint="default"/>
          <w:spacing w:val="-2"/>
        </w:rPr>
        <w:t>2018</w:t>
      </w:r>
      <w:r>
        <w:rPr>
          <w:spacing w:val="-2"/>
        </w:rPr>
        <w:t>年年度、</w:t>
      </w:r>
      <w:r>
        <w:rPr>
          <w:rFonts w:ascii="Times New Roman" w:hAnsi="Times New Roman" w:cs="Times New Roman" w:eastAsia="Times New Roman" w:hint="default"/>
          <w:spacing w:val="-2"/>
        </w:rPr>
        <w:t>2019</w:t>
      </w:r>
      <w:r>
        <w:rPr>
          <w:spacing w:val="-2"/>
        </w:rPr>
        <w:t>年第一季度母公司资产负债表、利润表产生影</w:t>
      </w:r>
      <w:r>
        <w:rPr>
          <w:spacing w:val="-43"/>
        </w:rPr>
        <w:t> </w:t>
      </w:r>
      <w:r>
        <w:rPr>
          <w:spacing w:val="-43"/>
        </w:rPr>
      </w:r>
      <w:r>
        <w:rPr/>
        <w:t>响；对合并及母公司现金流量表无影响。</w:t>
      </w:r>
    </w:p>
    <w:p>
      <w:pPr>
        <w:pStyle w:val="BodyText"/>
        <w:spacing w:line="336" w:lineRule="auto" w:before="43"/>
        <w:ind w:left="154" w:right="1126" w:firstLine="419"/>
        <w:jc w:val="both"/>
      </w:pP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日召开的第四届董事会第二十四次会议和第四届监事会第十三次会议，分别审</w:t>
      </w:r>
      <w:r>
        <w:rPr>
          <w:w w:val="100"/>
        </w:rPr>
        <w:t> </w:t>
      </w:r>
      <w:r>
        <w:rPr>
          <w:spacing w:val="-4"/>
        </w:rPr>
        <w:t>议通过《关于会计政策变更的议案》，本次会计政策变更后，公司执行财政部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 </w:t>
      </w:r>
      <w:r>
        <w:rPr>
          <w:spacing w:val="-3"/>
        </w:rPr>
        <w:t>月</w:t>
      </w:r>
      <w:r>
        <w:rPr>
          <w:rFonts w:ascii="Times New Roman" w:hAnsi="Times New Roman" w:cs="Times New Roman" w:eastAsia="Times New Roman" w:hint="default"/>
          <w:spacing w:val="-3"/>
        </w:rPr>
        <w:t>30</w:t>
      </w:r>
      <w:r>
        <w:rPr>
          <w:spacing w:val="-3"/>
        </w:rPr>
        <w:t>日发布的《关</w:t>
      </w:r>
      <w:r>
        <w:rPr>
          <w:spacing w:val="-81"/>
        </w:rPr>
        <w:t> </w:t>
      </w:r>
      <w:r>
        <w:rPr>
          <w:spacing w:val="-81"/>
        </w:rPr>
      </w:r>
      <w:r>
        <w:rPr/>
        <w:t>于修订印发</w:t>
      </w:r>
      <w:r>
        <w:rPr>
          <w:rFonts w:ascii="Times New Roman" w:hAnsi="Times New Roman" w:cs="Times New Roman" w:eastAsia="Times New Roman" w:hint="default"/>
        </w:rPr>
        <w:t>2019</w:t>
      </w:r>
      <w:r>
        <w:rPr/>
        <w:t>年度一般企业财务报表格式的通知》（财会</w:t>
      </w:r>
      <w:r>
        <w:rPr>
          <w:rFonts w:ascii="Times New Roman" w:hAnsi="Times New Roman" w:cs="Times New Roman" w:eastAsia="Times New Roman" w:hint="default"/>
        </w:rPr>
        <w:t>[2019]6</w:t>
      </w:r>
      <w:r>
        <w:rPr>
          <w:rFonts w:ascii="Times New Roman" w:hAnsi="Times New Roman" w:cs="Times New Roman" w:eastAsia="Times New Roman" w:hint="default"/>
          <w:spacing w:val="26"/>
        </w:rPr>
        <w:t> </w:t>
      </w:r>
      <w:r>
        <w:rPr/>
        <w:t>号）要求编制财务报表。</w:t>
      </w:r>
    </w:p>
    <w:p>
      <w:pPr>
        <w:pStyle w:val="BodyText"/>
        <w:spacing w:line="336" w:lineRule="auto" w:before="26"/>
        <w:ind w:left="154" w:right="0" w:firstLine="419"/>
        <w:jc w:val="left"/>
      </w:pPr>
      <w:r>
        <w:rPr>
          <w:rFonts w:ascii="Times New Roman" w:hAnsi="Times New Roman" w:cs="Times New Roman" w:eastAsia="Times New Roman" w:hint="default"/>
        </w:rPr>
        <w:t>4</w:t>
      </w:r>
      <w:r>
        <w:rPr/>
        <w:t>、公司于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日召开的第四届董事会第三十七次会议和第四届监事会第二十次会议，分别审</w:t>
      </w:r>
      <w:r>
        <w:rPr>
          <w:w w:val="100"/>
        </w:rPr>
        <w:t> </w:t>
      </w:r>
      <w:r>
        <w:rPr/>
        <w:t>议通过《关于会计政策变更的议案》，本次会计政策变更后，公司执行财政部</w:t>
      </w:r>
      <w:r>
        <w:rPr>
          <w:spacing w:val="-25"/>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日发布的《企</w:t>
      </w:r>
      <w:r>
        <w:rPr>
          <w:spacing w:val="-3"/>
          <w:w w:val="100"/>
        </w:rPr>
        <w:t> </w:t>
      </w:r>
      <w:r>
        <w:rPr>
          <w:spacing w:val="-7"/>
        </w:rPr>
        <w:t>业会计准则第</w:t>
      </w:r>
      <w:r>
        <w:rPr>
          <w:rFonts w:ascii="Times New Roman" w:hAnsi="Times New Roman" w:cs="Times New Roman" w:eastAsia="Times New Roman" w:hint="default"/>
          <w:spacing w:val="-7"/>
        </w:rPr>
        <w:t>14</w:t>
      </w:r>
      <w:r>
        <w:rPr>
          <w:spacing w:val="-7"/>
        </w:rPr>
        <w:t>号</w:t>
      </w:r>
      <w:r>
        <w:rPr>
          <w:rFonts w:ascii="Times New Roman" w:hAnsi="Times New Roman" w:cs="Times New Roman" w:eastAsia="Times New Roman" w:hint="default"/>
          <w:spacing w:val="-7"/>
        </w:rPr>
        <w:t>——</w:t>
      </w:r>
      <w:r>
        <w:rPr>
          <w:spacing w:val="-7"/>
        </w:rPr>
        <w:t>收入》（财会</w:t>
      </w:r>
      <w:r>
        <w:rPr>
          <w:rFonts w:ascii="Times New Roman" w:hAnsi="Times New Roman" w:cs="Times New Roman" w:eastAsia="Times New Roman" w:hint="default"/>
          <w:spacing w:val="-7"/>
        </w:rPr>
        <w:t>[2017]22</w:t>
      </w:r>
      <w:r>
        <w:rPr>
          <w:spacing w:val="-7"/>
        </w:rPr>
        <w:t>号）。同时，会议审议通过《关于前期会计差错更正的议案》，</w:t>
      </w:r>
      <w:r>
        <w:rPr>
          <w:spacing w:val="-11"/>
        </w:rPr>
        <w:t> </w:t>
      </w:r>
      <w:r>
        <w:rPr>
          <w:spacing w:val="-11"/>
        </w:rPr>
      </w:r>
      <w:r>
        <w:rPr>
          <w:spacing w:val="-6"/>
        </w:rPr>
        <w:t>同意公司根据有关规定，对公司前期会计差错更正调整。本次会计差错更正将影响</w:t>
      </w:r>
      <w:r>
        <w:rPr>
          <w:rFonts w:ascii="Times New Roman" w:hAnsi="Times New Roman" w:cs="Times New Roman" w:eastAsia="Times New Roman" w:hint="default"/>
          <w:spacing w:val="-6"/>
        </w:rPr>
        <w:t>2018</w:t>
      </w:r>
      <w:r>
        <w:rPr>
          <w:spacing w:val="-6"/>
        </w:rPr>
        <w:t>年半年度报告、</w:t>
      </w:r>
      <w:r>
        <w:rPr>
          <w:rFonts w:ascii="Times New Roman" w:hAnsi="Times New Roman" w:cs="Times New Roman" w:eastAsia="Times New Roman" w:hint="default"/>
          <w:spacing w:val="-6"/>
        </w:rPr>
        <w:t>2018</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年第三季度报告、</w:t>
      </w:r>
      <w:r>
        <w:rPr>
          <w:rFonts w:ascii="Times New Roman" w:hAnsi="Times New Roman" w:cs="Times New Roman" w:eastAsia="Times New Roman" w:hint="default"/>
        </w:rPr>
        <w:t>2018</w:t>
      </w:r>
      <w:r>
        <w:rPr/>
        <w:t>年年度报告、</w:t>
      </w:r>
      <w:r>
        <w:rPr>
          <w:rFonts w:ascii="Times New Roman" w:hAnsi="Times New Roman" w:cs="Times New Roman" w:eastAsia="Times New Roman" w:hint="default"/>
        </w:rPr>
        <w:t>2019</w:t>
      </w:r>
      <w:r>
        <w:rPr/>
        <w:t>年第一季度报告、</w:t>
      </w:r>
      <w:r>
        <w:rPr>
          <w:rFonts w:ascii="Times New Roman" w:hAnsi="Times New Roman" w:cs="Times New Roman" w:eastAsia="Times New Roman" w:hint="default"/>
        </w:rPr>
        <w:t>2019</w:t>
      </w:r>
      <w:r>
        <w:rPr/>
        <w:t>年半年度报告以及</w:t>
      </w:r>
      <w:r>
        <w:rPr>
          <w:rFonts w:ascii="Times New Roman" w:hAnsi="Times New Roman" w:cs="Times New Roman" w:eastAsia="Times New Roman" w:hint="default"/>
        </w:rPr>
        <w:t>2019</w:t>
      </w:r>
      <w:r>
        <w:rPr/>
        <w:t>年第三季度报告。</w:t>
      </w:r>
    </w:p>
    <w:p>
      <w:pPr>
        <w:pStyle w:val="BodyText"/>
        <w:spacing w:line="240" w:lineRule="auto" w:before="26"/>
        <w:ind w:left="574" w:right="1127"/>
        <w:jc w:val="left"/>
      </w:pPr>
      <w:r>
        <w:rPr/>
        <w:t>上述内容详见公司在巨潮资讯网披露的相关公告。</w:t>
      </w:r>
    </w:p>
    <w:p>
      <w:pPr>
        <w:spacing w:line="240" w:lineRule="auto" w:before="0"/>
        <w:rPr>
          <w:rFonts w:ascii="宋体" w:hAnsi="宋体" w:cs="宋体" w:eastAsia="宋体" w:hint="default"/>
          <w:sz w:val="20"/>
          <w:szCs w:val="20"/>
        </w:rPr>
      </w:pPr>
    </w:p>
    <w:p>
      <w:pPr>
        <w:pStyle w:val="Heading2"/>
        <w:spacing w:line="240" w:lineRule="auto" w:before="165"/>
        <w:ind w:right="1127"/>
        <w:jc w:val="left"/>
        <w:rPr>
          <w:b w:val="0"/>
          <w:bCs w:val="0"/>
        </w:rPr>
      </w:pPr>
      <w:bookmarkStart w:name="七、与上年度财务报告相比，合并报表范围发生变化的情况说明" w:id="120"/>
      <w:bookmarkEnd w:id="120"/>
      <w:r>
        <w:rPr>
          <w:b w:val="0"/>
          <w:bCs w:val="0"/>
        </w:rPr>
      </w:r>
      <w:r>
        <w:rPr/>
        <w:t>七、与上年度财务报告相比，合并报表范围发生变化的情况说明</w:t>
      </w:r>
      <w:r>
        <w:rPr>
          <w:b w:val="0"/>
          <w:bCs w:val="0"/>
        </w:rPr>
      </w:r>
    </w:p>
    <w:p>
      <w:pPr>
        <w:spacing w:line="240" w:lineRule="auto" w:before="1"/>
        <w:rPr>
          <w:rFonts w:ascii="宋体" w:hAnsi="宋体" w:cs="宋体" w:eastAsia="宋体" w:hint="default"/>
          <w:b/>
          <w:bCs/>
          <w:sz w:val="23"/>
          <w:szCs w:val="23"/>
        </w:rPr>
      </w:pPr>
    </w:p>
    <w:p>
      <w:pPr>
        <w:pStyle w:val="BodyText"/>
        <w:spacing w:line="422"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本期新增纳入合并的公司有二级子公司四川旋极智能信息技术有限公司（新设）；三级子公司：宁波</w:t>
      </w:r>
    </w:p>
    <w:p>
      <w:pPr>
        <w:pStyle w:val="BodyText"/>
        <w:spacing w:line="248" w:lineRule="exact"/>
        <w:ind w:left="152" w:right="0"/>
        <w:jc w:val="left"/>
      </w:pPr>
      <w:r>
        <w:rPr/>
        <w:t>旋极财税科技有限公司、北京旋极百旺软件技术有限公司、北京旋极百旺信息技术有限公司、杭州旋极同</w:t>
      </w:r>
    </w:p>
    <w:p>
      <w:pPr>
        <w:pStyle w:val="BodyText"/>
        <w:spacing w:line="240" w:lineRule="auto" w:before="133"/>
        <w:ind w:left="152" w:right="0"/>
        <w:jc w:val="left"/>
      </w:pPr>
      <w:r>
        <w:rPr/>
        <w:t>创科技有限公司、厦门同舟共创科技有限公司、江西旋极共创科技有限公司、吉林省旋极共创科技有限公</w:t>
      </w:r>
    </w:p>
    <w:p>
      <w:pPr>
        <w:spacing w:after="0" w:line="240" w:lineRule="auto"/>
        <w:jc w:val="left"/>
        <w:sectPr>
          <w:footerReference w:type="default" r:id="rId42"/>
          <w:pgSz w:w="11910" w:h="16840"/>
          <w:pgMar w:footer="1134" w:header="0" w:top="1280" w:bottom="1320" w:left="980" w:right="0"/>
          <w:pgNumType w:start="66"/>
        </w:sectPr>
      </w:pPr>
    </w:p>
    <w:p>
      <w:pPr>
        <w:pStyle w:val="BodyText"/>
        <w:spacing w:line="357" w:lineRule="auto" w:before="112"/>
        <w:ind w:left="152" w:right="1106"/>
        <w:jc w:val="both"/>
      </w:pPr>
      <w:r>
        <w:rPr>
          <w:spacing w:val="-7"/>
        </w:rPr>
        <w:t>司、北京合信财学科技有限公司、北京百旺众联科技有限公司、北京悦财亿华科技有限公司、旋极伏羲（福</w:t>
      </w:r>
      <w:r>
        <w:rPr>
          <w:spacing w:val="-24"/>
        </w:rPr>
        <w:t> </w:t>
      </w:r>
      <w:r>
        <w:rPr>
          <w:spacing w:val="-24"/>
        </w:rPr>
      </w:r>
      <w:r>
        <w:rPr>
          <w:spacing w:val="-2"/>
        </w:rPr>
        <w:t>州）大数据技术有限公司、北京泰豪智能科技有限公司；四级子公司：宁波小望财税科技有限公司、慈溪</w:t>
      </w:r>
      <w:r>
        <w:rPr>
          <w:spacing w:val="-43"/>
        </w:rPr>
        <w:t> </w:t>
      </w:r>
      <w:r>
        <w:rPr>
          <w:spacing w:val="-43"/>
        </w:rPr>
      </w:r>
      <w:r>
        <w:rPr>
          <w:spacing w:val="-2"/>
        </w:rPr>
        <w:t>小望财税科技有限公司、宁波海曙小望科技有限公司、象山小望科技有限公司、余姚小望科技有限公司、</w:t>
      </w:r>
      <w:r>
        <w:rPr>
          <w:spacing w:val="-21"/>
        </w:rPr>
        <w:t> </w:t>
      </w:r>
      <w:r>
        <w:rPr>
          <w:spacing w:val="-21"/>
        </w:rPr>
      </w:r>
      <w:r>
        <w:rPr>
          <w:spacing w:val="-2"/>
        </w:rPr>
        <w:t>宁海小望科技有限公司、包头市百旺金赋信息技术有限公司、赤峰市百旺金赋信息技术有限公司、兴安盟</w:t>
      </w:r>
      <w:r>
        <w:rPr>
          <w:spacing w:val="-44"/>
        </w:rPr>
        <w:t> </w:t>
      </w:r>
      <w:r>
        <w:rPr>
          <w:spacing w:val="-44"/>
        </w:rPr>
      </w:r>
      <w:r>
        <w:rPr>
          <w:spacing w:val="-2"/>
        </w:rPr>
        <w:t>百旺金赋信息技术有限公司、乌兰察布市百旺金赋信息技术有限公司、巴彦淖尔市百旺金赋信息技术有限</w:t>
      </w:r>
      <w:r>
        <w:rPr>
          <w:spacing w:val="-42"/>
        </w:rPr>
        <w:t> </w:t>
      </w:r>
      <w:r>
        <w:rPr>
          <w:spacing w:val="-42"/>
        </w:rPr>
      </w:r>
      <w:r>
        <w:rPr>
          <w:spacing w:val="-2"/>
        </w:rPr>
        <w:t>公司、鄂尔多斯市百旺金赋信息技术有限公司、通辽市百旺金赋信息技术有限公司、呼伦贝尔市百旺金赋</w:t>
      </w:r>
      <w:r>
        <w:rPr>
          <w:spacing w:val="-44"/>
        </w:rPr>
        <w:t> </w:t>
      </w:r>
      <w:r>
        <w:rPr>
          <w:spacing w:val="-44"/>
        </w:rPr>
      </w:r>
      <w:r>
        <w:rPr/>
        <w:t>信息技术有限公司、锡林郭勒盟百旺金赋信息技术有限公司、乌海市百旺金赋信息技术有限公司</w:t>
      </w:r>
    </w:p>
    <w:p>
      <w:pPr>
        <w:pStyle w:val="BodyText"/>
        <w:spacing w:line="355" w:lineRule="auto" w:before="32"/>
        <w:ind w:right="1127"/>
        <w:jc w:val="left"/>
      </w:pPr>
      <w:r>
        <w:rPr>
          <w:spacing w:val="-2"/>
        </w:rPr>
        <w:t>本期处置的子公司有浙江小望科技有限公司、郑州众合景轩信息技术有限公司</w:t>
      </w:r>
      <w:r>
        <w:rPr>
          <w:spacing w:val="-42"/>
        </w:rPr>
        <w:t> </w:t>
      </w:r>
      <w:r>
        <w:rPr>
          <w:spacing w:val="-42"/>
        </w:rPr>
      </w:r>
      <w:r>
        <w:rPr/>
        <w:t>本期二级子公司天津百望金赋科技有限公司变更为旋极百旺三级子公司</w:t>
      </w:r>
    </w:p>
    <w:p>
      <w:pPr>
        <w:spacing w:line="240" w:lineRule="auto" w:before="12"/>
        <w:rPr>
          <w:rFonts w:ascii="宋体" w:hAnsi="宋体" w:cs="宋体" w:eastAsia="宋体" w:hint="default"/>
          <w:sz w:val="24"/>
          <w:szCs w:val="24"/>
        </w:rPr>
      </w:pPr>
    </w:p>
    <w:p>
      <w:pPr>
        <w:pStyle w:val="Heading2"/>
        <w:spacing w:line="240" w:lineRule="auto"/>
        <w:ind w:right="0"/>
        <w:jc w:val="both"/>
        <w:rPr>
          <w:b w:val="0"/>
          <w:bCs w:val="0"/>
        </w:rPr>
      </w:pPr>
      <w:bookmarkStart w:name="八、聘任、解聘会计师事务所情况" w:id="121"/>
      <w:bookmarkEnd w:id="121"/>
      <w:r>
        <w:rPr>
          <w:b w:val="0"/>
          <w:bCs w:val="0"/>
        </w:rPr>
      </w:r>
      <w:r>
        <w:rPr/>
        <w:t>八、聘任、解聘会计师事务所情况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27"/>
        <w:jc w:val="left"/>
      </w:pPr>
      <w:r>
        <w:rPr/>
        <w:t>现聘任的会计事务所</w:t>
      </w:r>
    </w:p>
    <w:p>
      <w:pPr>
        <w:spacing w:line="240" w:lineRule="auto" w:before="9"/>
        <w:rPr>
          <w:rFonts w:ascii="宋体" w:hAnsi="宋体" w:cs="宋体" w:eastAsia="宋体"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4789"/>
        <w:gridCol w:w="4778"/>
      </w:tblGrid>
      <w:tr>
        <w:trPr>
          <w:trHeight w:val="388"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388"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Times New Roman" w:hAnsi="Times New Roman" w:cs="Times New Roman" w:eastAsia="Times New Roman" w:hint="default"/>
                <w:sz w:val="18"/>
                <w:szCs w:val="18"/>
              </w:rPr>
            </w:pPr>
            <w:r>
              <w:rPr>
                <w:rFonts w:ascii="Times New Roman"/>
                <w:sz w:val="18"/>
              </w:rPr>
              <w:t>260</w:t>
            </w:r>
          </w:p>
        </w:tc>
      </w:tr>
      <w:tr>
        <w:trPr>
          <w:trHeight w:val="388"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6</w:t>
            </w:r>
          </w:p>
        </w:tc>
      </w:tr>
      <w:tr>
        <w:trPr>
          <w:trHeight w:val="388"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left="1" w:right="0"/>
              <w:jc w:val="center"/>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王首一、刘宇</w:t>
            </w:r>
          </w:p>
        </w:tc>
      </w:tr>
      <w:tr>
        <w:trPr>
          <w:trHeight w:val="386"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64"/>
        <w:ind w:right="1127"/>
        <w:jc w:val="left"/>
      </w:pPr>
      <w:r>
        <w:rPr/>
        <w:t>是否改聘会计师事务所</w:t>
      </w:r>
    </w:p>
    <w:p>
      <w:pPr>
        <w:spacing w:line="240" w:lineRule="auto" w:before="12"/>
        <w:rPr>
          <w:rFonts w:ascii="宋体" w:hAnsi="宋体" w:cs="宋体" w:eastAsia="宋体" w:hint="default"/>
          <w:sz w:val="17"/>
          <w:szCs w:val="17"/>
        </w:rPr>
      </w:pPr>
    </w:p>
    <w:p>
      <w:pPr>
        <w:pStyle w:val="BodyText"/>
        <w:spacing w:line="420" w:lineRule="auto"/>
        <w:ind w:right="434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聘请内部控制审计会计师事务所、财务顾问或保荐人情况</w:t>
      </w:r>
    </w:p>
    <w:p>
      <w:pPr>
        <w:pStyle w:val="BodyText"/>
        <w:spacing w:line="240" w:lineRule="auto" w:before="76"/>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1"/>
          <w:szCs w:val="31"/>
        </w:rPr>
      </w:pPr>
    </w:p>
    <w:p>
      <w:pPr>
        <w:pStyle w:val="Heading2"/>
        <w:spacing w:line="240" w:lineRule="auto"/>
        <w:ind w:right="1127"/>
        <w:jc w:val="left"/>
        <w:rPr>
          <w:b w:val="0"/>
          <w:bCs w:val="0"/>
        </w:rPr>
      </w:pPr>
      <w:bookmarkStart w:name="九、年度报告披露后面临暂停上市和终止上市情况" w:id="122"/>
      <w:bookmarkEnd w:id="122"/>
      <w:r>
        <w:rPr>
          <w:b w:val="0"/>
          <w:bCs w:val="0"/>
        </w:rPr>
      </w:r>
      <w:r>
        <w:rPr/>
        <w:t>九、年度报告披露后面临暂停上市和终止上市情况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152" w:right="1127" w:firstLine="4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1"/>
          <w:szCs w:val="31"/>
        </w:rPr>
      </w:pPr>
    </w:p>
    <w:p>
      <w:pPr>
        <w:pStyle w:val="Heading2"/>
        <w:spacing w:line="240" w:lineRule="auto"/>
        <w:ind w:left="134" w:right="8343"/>
        <w:jc w:val="center"/>
        <w:rPr>
          <w:b w:val="0"/>
          <w:bCs w:val="0"/>
        </w:rPr>
      </w:pPr>
      <w:bookmarkStart w:name="十、破产重整相关事项" w:id="123"/>
      <w:bookmarkEnd w:id="123"/>
      <w:r>
        <w:rPr>
          <w:b w:val="0"/>
          <w:bCs w:val="0"/>
        </w:rPr>
      </w:r>
      <w:r>
        <w:rPr/>
        <w:t>十、破产重整相关事项</w:t>
      </w:r>
      <w:r>
        <w:rPr>
          <w:b w:val="0"/>
          <w:bCs w:val="0"/>
        </w:rPr>
      </w:r>
    </w:p>
    <w:p>
      <w:pPr>
        <w:spacing w:line="240" w:lineRule="auto" w:before="3"/>
        <w:rPr>
          <w:rFonts w:ascii="宋体" w:hAnsi="宋体" w:cs="宋体" w:eastAsia="宋体" w:hint="default"/>
          <w:b/>
          <w:bCs/>
          <w:sz w:val="23"/>
          <w:szCs w:val="23"/>
        </w:rPr>
      </w:pPr>
    </w:p>
    <w:p>
      <w:pPr>
        <w:pStyle w:val="BodyText"/>
        <w:spacing w:line="417" w:lineRule="auto"/>
        <w:ind w:right="5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公司报告期未发生破产重整相关事项。</w:t>
      </w:r>
    </w:p>
    <w:p>
      <w:pPr>
        <w:spacing w:after="0" w:line="417" w:lineRule="auto"/>
        <w:jc w:val="left"/>
        <w:sectPr>
          <w:pgSz w:w="11910" w:h="16840"/>
          <w:pgMar w:header="0" w:footer="1134" w:top="1280" w:bottom="1320" w:left="980" w:right="0"/>
        </w:sectPr>
      </w:pPr>
    </w:p>
    <w:p>
      <w:pPr>
        <w:spacing w:line="240" w:lineRule="auto" w:before="0"/>
        <w:rPr>
          <w:rFonts w:ascii="宋体" w:hAnsi="宋体" w:cs="宋体" w:eastAsia="宋体" w:hint="default"/>
          <w:sz w:val="20"/>
          <w:szCs w:val="20"/>
        </w:rPr>
      </w:pPr>
      <w:r>
        <w:rPr/>
        <w:pict>
          <v:shape style="position:absolute;margin-left:123.120003pt;margin-top:455.999969pt;width:85pt;height:222.5pt;mso-position-horizontal-relative:page;mso-position-vertical-relative:page;z-index:-14269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3"/>
                    <w:ind w:left="0" w:right="0" w:firstLine="0"/>
                    <w:jc w:val="left"/>
                    <w:rPr>
                      <w:rFonts w:ascii="宋体" w:hAnsi="宋体" w:cs="宋体" w:eastAsia="宋体" w:hint="default"/>
                      <w:sz w:val="18"/>
                      <w:szCs w:val="18"/>
                    </w:rPr>
                  </w:pPr>
                  <w:r>
                    <w:rPr>
                      <w:rFonts w:ascii="宋体" w:hAnsi="宋体" w:cs="宋体" w:eastAsia="宋体" w:hint="default"/>
                      <w:sz w:val="18"/>
                      <w:szCs w:val="18"/>
                    </w:rPr>
                    <w:t>日受理该案，</w:t>
                  </w:r>
                </w:p>
              </w:txbxContent>
            </v:textbox>
            <w10:wrap type="none"/>
          </v:shape>
        </w:pict>
      </w:r>
      <w:r>
        <w:rPr/>
        <w:pict>
          <v:shape style="position:absolute;margin-left:159.120300pt;margin-top:730.440002pt;width:49pt;height:33.85pt;mso-position-horizontal-relative:page;mso-position-vertical-relative:page;z-index:-1426888" type="#_x0000_t202" filled="false" stroked="false">
            <v:textbox inset="0,0,0,0">
              <w:txbxContent>
                <w:p>
                  <w:pPr>
                    <w:spacing w:line="181"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等，</w:t>
                  </w:r>
                </w:p>
              </w:txbxContent>
            </v:textbox>
            <w10:wrap type="none"/>
          </v:shape>
        </w:pict>
      </w:r>
      <w:r>
        <w:rPr/>
        <w:pict>
          <v:group style="position:absolute;margin-left:174.240005pt;margin-top:455.999969pt;width:33.85pt;height:222.5pt;mso-position-horizontal-relative:page;mso-position-vertical-relative:page;z-index:-1426864" coordorigin="3485,9120" coordsize="677,4450">
            <v:shape style="position:absolute;left:3485;top:9120;width:677;height:4450" coordorigin="3485,9120" coordsize="677,4450" path="m3485,13570l4162,13570,4162,9120,3485,9120,3485,13570xe" filled="true" fillcolor="#ffffff" stroked="false">
              <v:path arrowok="t"/>
              <v:fill type="solid"/>
            </v:shape>
            <w10:wrap type="none"/>
          </v:group>
        </w:pict>
      </w:r>
      <w:r>
        <w:rPr/>
        <w:pict>
          <v:group style="position:absolute;margin-left:174.240005pt;margin-top:730.440002pt;width:33.85pt;height:33.85pt;mso-position-horizontal-relative:page;mso-position-vertical-relative:page;z-index:-1426840" coordorigin="3485,14609" coordsize="677,677">
            <v:shape style="position:absolute;left:3485;top:14609;width:677;height:677" coordorigin="3485,14609" coordsize="677,677" path="m3485,15286l4162,15286,4162,14609,3485,14609,3485,15286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2"/>
        <w:spacing w:line="240" w:lineRule="auto" w:before="26"/>
        <w:ind w:right="1127"/>
        <w:jc w:val="left"/>
        <w:rPr>
          <w:b w:val="0"/>
          <w:bCs w:val="0"/>
        </w:rPr>
      </w:pPr>
      <w:bookmarkStart w:name="十一、重大诉讼、仲裁事项" w:id="124"/>
      <w:bookmarkEnd w:id="124"/>
      <w:r>
        <w:rPr>
          <w:b w:val="0"/>
          <w:bCs w:val="0"/>
        </w:rPr>
      </w:r>
      <w:r>
        <w:rPr/>
        <w:t>十一、重大诉讼、仲裁事项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27"/>
        <w:jc w:val="left"/>
      </w:pPr>
      <w:r>
        <w:rPr/>
        <w:pict>
          <v:shape style="position:absolute;margin-left:159.119995pt;margin-top:82.103683pt;width:49pt;height:224pt;mso-position-horizontal-relative:page;mso-position-vertical-relative:paragraph;z-index:-14269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spacing w:before="0"/>
                    <w:ind w:left="0" w:right="0" w:firstLine="177"/>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日，</w:t>
                  </w:r>
                </w:p>
              </w:txbxContent>
            </v:textbox>
            <w10:wrap type="none"/>
          </v:shape>
        </w:pict>
      </w:r>
      <w:r>
        <w:rPr/>
        <w:pict>
          <v:shape style="position:absolute;margin-left:418.200012pt;margin-top:82.103683pt;width:39.85pt;height:222.5pt;mso-position-horizontal-relative:page;mso-position-vertical-relative:paragraph;z-index:-142691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19"/>
          <w:szCs w:val="19"/>
        </w:rPr>
      </w:pPr>
    </w:p>
    <w:tbl>
      <w:tblPr>
        <w:tblW w:w="0" w:type="auto"/>
        <w:jc w:val="left"/>
        <w:tblInd w:w="119" w:type="dxa"/>
        <w:tblLayout w:type="fixed"/>
        <w:tblCellMar>
          <w:top w:w="0" w:type="dxa"/>
          <w:left w:w="0" w:type="dxa"/>
          <w:bottom w:w="0" w:type="dxa"/>
          <w:right w:w="0" w:type="dxa"/>
        </w:tblCellMar>
        <w:tblLook w:val="01E0"/>
      </w:tblPr>
      <w:tblGrid>
        <w:gridCol w:w="2376"/>
        <w:gridCol w:w="684"/>
        <w:gridCol w:w="792"/>
        <w:gridCol w:w="965"/>
        <w:gridCol w:w="2558"/>
        <w:gridCol w:w="686"/>
        <w:gridCol w:w="785"/>
        <w:gridCol w:w="850"/>
      </w:tblGrid>
      <w:tr>
        <w:trPr>
          <w:trHeight w:val="1082" w:hRule="exact"/>
        </w:trPr>
        <w:tc>
          <w:tcPr>
            <w:tcW w:w="23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403"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69" w:right="62"/>
              <w:jc w:val="both"/>
              <w:rPr>
                <w:rFonts w:ascii="宋体" w:hAnsi="宋体" w:cs="宋体" w:eastAsia="宋体" w:hint="default"/>
                <w:sz w:val="18"/>
                <w:szCs w:val="18"/>
              </w:rPr>
            </w:pPr>
            <w:r>
              <w:rPr>
                <w:rFonts w:ascii="宋体" w:hAnsi="宋体" w:cs="宋体" w:eastAsia="宋体" w:hint="default"/>
                <w:sz w:val="18"/>
                <w:szCs w:val="18"/>
              </w:rPr>
              <w:t>涉案金 额（万 元）</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1" w:right="29"/>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2"/>
                <w:szCs w:val="22"/>
              </w:rPr>
            </w:pPr>
          </w:p>
          <w:p>
            <w:pPr>
              <w:pStyle w:val="TableParagraph"/>
              <w:spacing w:line="236" w:lineRule="exact"/>
              <w:ind w:left="297" w:right="55"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2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审理结果及影响</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0" w:lineRule="auto" w:before="50"/>
              <w:ind w:left="38" w:right="36"/>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 况</w:t>
            </w:r>
          </w:p>
        </w:tc>
        <w:tc>
          <w:tcPr>
            <w:tcW w:w="7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926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55"/>
              <w:ind w:left="23" w:right="23" w:firstLine="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日，深圳市朗 </w:t>
            </w:r>
            <w:r>
              <w:rPr>
                <w:rFonts w:ascii="宋体" w:hAnsi="宋体" w:cs="宋体" w:eastAsia="宋体" w:hint="default"/>
                <w:spacing w:val="-2"/>
                <w:sz w:val="18"/>
                <w:szCs w:val="18"/>
              </w:rPr>
              <w:t>科科技股份有限公司（以下简</w:t>
            </w:r>
            <w:r>
              <w:rPr>
                <w:rFonts w:ascii="宋体" w:hAnsi="宋体" w:cs="宋体" w:eastAsia="宋体" w:hint="default"/>
                <w:sz w:val="18"/>
                <w:szCs w:val="18"/>
              </w:rPr>
              <w:t> 称</w:t>
            </w:r>
            <w:r>
              <w:rPr>
                <w:rFonts w:ascii="Times New Roman" w:hAnsi="Times New Roman" w:cs="Times New Roman" w:eastAsia="Times New Roman" w:hint="default"/>
                <w:sz w:val="18"/>
                <w:szCs w:val="18"/>
              </w:rPr>
              <w:t>"</w:t>
            </w:r>
            <w:r>
              <w:rPr>
                <w:rFonts w:ascii="宋体" w:hAnsi="宋体" w:cs="宋体" w:eastAsia="宋体" w:hint="default"/>
                <w:sz w:val="18"/>
                <w:szCs w:val="18"/>
              </w:rPr>
              <w:t>朗科科技</w:t>
            </w:r>
            <w:r>
              <w:rPr>
                <w:rFonts w:ascii="Times New Roman" w:hAnsi="Times New Roman" w:cs="Times New Roman" w:eastAsia="Times New Roman" w:hint="default"/>
                <w:sz w:val="18"/>
                <w:szCs w:val="18"/>
              </w:rPr>
              <w:t>"</w:t>
            </w:r>
            <w:r>
              <w:rPr>
                <w:rFonts w:ascii="宋体" w:hAnsi="宋体" w:cs="宋体" w:eastAsia="宋体" w:hint="default"/>
                <w:sz w:val="18"/>
                <w:szCs w:val="18"/>
              </w:rPr>
              <w:t>）向南宁市中级 </w:t>
            </w:r>
            <w:r>
              <w:rPr>
                <w:rFonts w:ascii="宋体" w:hAnsi="宋体" w:cs="宋体" w:eastAsia="宋体" w:hint="default"/>
                <w:spacing w:val="-2"/>
                <w:sz w:val="18"/>
                <w:szCs w:val="18"/>
              </w:rPr>
              <w:t>人民法院递交《民事起诉状》</w:t>
            </w:r>
            <w:r>
              <w:rPr>
                <w:rFonts w:ascii="宋体" w:hAnsi="宋体" w:cs="宋体" w:eastAsia="宋体" w:hint="default"/>
                <w:sz w:val="18"/>
                <w:szCs w:val="18"/>
              </w:rPr>
              <w:t> </w:t>
            </w:r>
            <w:r>
              <w:rPr>
                <w:rFonts w:ascii="宋体" w:hAnsi="宋体" w:cs="宋体" w:eastAsia="宋体" w:hint="default"/>
                <w:spacing w:val="-2"/>
                <w:sz w:val="18"/>
                <w:szCs w:val="18"/>
              </w:rPr>
              <w:t>起诉本公司、中国农业银行股</w:t>
            </w:r>
            <w:r>
              <w:rPr>
                <w:rFonts w:ascii="宋体" w:hAnsi="宋体" w:cs="宋体" w:eastAsia="宋体" w:hint="default"/>
                <w:sz w:val="18"/>
                <w:szCs w:val="18"/>
              </w:rPr>
              <w:t> 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农业 </w:t>
            </w:r>
            <w:r>
              <w:rPr>
                <w:rFonts w:ascii="宋体" w:hAnsi="宋体" w:cs="宋体" w:eastAsia="宋体" w:hint="default"/>
                <w:spacing w:val="-8"/>
                <w:w w:val="99"/>
                <w:sz w:val="18"/>
                <w:szCs w:val="18"/>
              </w:rPr>
              <w:t>银行</w:t>
            </w:r>
            <w:r>
              <w:rPr>
                <w:rFonts w:ascii="Times New Roman" w:hAnsi="Times New Roman" w:cs="Times New Roman" w:eastAsia="Times New Roman" w:hint="default"/>
                <w:spacing w:val="-8"/>
                <w:w w:val="99"/>
                <w:sz w:val="18"/>
                <w:szCs w:val="18"/>
              </w:rPr>
              <w:t>"</w:t>
            </w:r>
            <w:r>
              <w:rPr>
                <w:rFonts w:ascii="宋体" w:hAnsi="宋体" w:cs="宋体" w:eastAsia="宋体" w:hint="default"/>
                <w:spacing w:val="-8"/>
                <w:w w:val="99"/>
                <w:sz w:val="18"/>
                <w:szCs w:val="18"/>
              </w:rPr>
              <w:t>）、中国农业银行股份有</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pacing w:val="-2"/>
                <w:sz w:val="18"/>
                <w:szCs w:val="18"/>
              </w:rPr>
              <w:t>限公司北海工业园支行（以下</w:t>
            </w:r>
            <w:r>
              <w:rPr>
                <w:rFonts w:ascii="宋体" w:hAnsi="宋体" w:cs="宋体" w:eastAsia="宋体" w:hint="default"/>
                <w:sz w:val="18"/>
                <w:szCs w:val="18"/>
              </w:rPr>
              <w:t> 简称</w:t>
            </w:r>
            <w:r>
              <w:rPr>
                <w:rFonts w:ascii="Times New Roman" w:hAnsi="Times New Roman" w:cs="Times New Roman" w:eastAsia="Times New Roman" w:hint="default"/>
                <w:sz w:val="18"/>
                <w:szCs w:val="18"/>
              </w:rPr>
              <w:t>"</w:t>
            </w:r>
            <w:r>
              <w:rPr>
                <w:rFonts w:ascii="宋体" w:hAnsi="宋体" w:cs="宋体" w:eastAsia="宋体" w:hint="default"/>
                <w:sz w:val="18"/>
                <w:szCs w:val="18"/>
              </w:rPr>
              <w:t>农业银行北海支行</w:t>
            </w:r>
            <w:r>
              <w:rPr>
                <w:rFonts w:ascii="Times New Roman" w:hAnsi="Times New Roman" w:cs="Times New Roman" w:eastAsia="Times New Roman" w:hint="default"/>
                <w:sz w:val="18"/>
                <w:szCs w:val="18"/>
              </w:rPr>
              <w:t>"</w:t>
            </w:r>
            <w:r>
              <w:rPr>
                <w:rFonts w:ascii="宋体" w:hAnsi="宋体" w:cs="宋体" w:eastAsia="宋体" w:hint="default"/>
                <w:sz w:val="18"/>
                <w:szCs w:val="18"/>
              </w:rPr>
              <w:t>）侵 </w:t>
            </w:r>
            <w:r>
              <w:rPr>
                <w:rFonts w:ascii="宋体" w:hAnsi="宋体" w:cs="宋体" w:eastAsia="宋体" w:hint="default"/>
                <w:spacing w:val="-2"/>
                <w:sz w:val="18"/>
                <w:szCs w:val="18"/>
              </w:rPr>
              <w:t>犯朗科科技发明专利权（专利</w:t>
            </w:r>
            <w:r>
              <w:rPr>
                <w:rFonts w:ascii="宋体" w:hAnsi="宋体" w:cs="宋体" w:eastAsia="宋体" w:hint="default"/>
                <w:sz w:val="18"/>
                <w:szCs w:val="18"/>
              </w:rPr>
              <w:t> 名称为</w:t>
            </w:r>
            <w:r>
              <w:rPr>
                <w:rFonts w:ascii="Times New Roman" w:hAnsi="Times New Roman" w:cs="Times New Roman" w:eastAsia="Times New Roman" w:hint="default"/>
                <w:sz w:val="18"/>
                <w:szCs w:val="18"/>
              </w:rPr>
              <w:t>"</w:t>
            </w:r>
            <w:r>
              <w:rPr>
                <w:rFonts w:ascii="宋体" w:hAnsi="宋体" w:cs="宋体" w:eastAsia="宋体" w:hint="default"/>
                <w:sz w:val="18"/>
                <w:szCs w:val="18"/>
              </w:rPr>
              <w:t>用于数据处理系统的 快闪电子式外存储方法及其 </w:t>
            </w:r>
            <w:r>
              <w:rPr>
                <w:rFonts w:ascii="宋体" w:hAnsi="宋体" w:cs="宋体" w:eastAsia="宋体" w:hint="default"/>
                <w:spacing w:val="-12"/>
                <w:w w:val="99"/>
                <w:sz w:val="18"/>
                <w:szCs w:val="18"/>
              </w:rPr>
              <w:t>装置</w:t>
            </w:r>
            <w:r>
              <w:rPr>
                <w:rFonts w:ascii="Times New Roman" w:hAnsi="Times New Roman" w:cs="Times New Roman" w:eastAsia="Times New Roman" w:hint="default"/>
                <w:spacing w:val="-12"/>
                <w:w w:val="99"/>
                <w:sz w:val="18"/>
                <w:szCs w:val="18"/>
              </w:rPr>
              <w:t>"</w:t>
            </w:r>
            <w:r>
              <w:rPr>
                <w:rFonts w:ascii="宋体" w:hAnsi="宋体" w:cs="宋体" w:eastAsia="宋体" w:hint="default"/>
                <w:spacing w:val="-12"/>
                <w:w w:val="99"/>
                <w:sz w:val="18"/>
                <w:szCs w:val="18"/>
              </w:rPr>
              <w:t>，专利号：</w:t>
            </w:r>
            <w:r>
              <w:rPr>
                <w:rFonts w:ascii="Times New Roman" w:hAnsi="Times New Roman" w:cs="Times New Roman" w:eastAsia="Times New Roman" w:hint="default"/>
                <w:spacing w:val="-12"/>
                <w:w w:val="99"/>
                <w:sz w:val="18"/>
                <w:szCs w:val="18"/>
              </w:rPr>
              <w:t>99117225.6</w:t>
            </w:r>
            <w:r>
              <w:rPr>
                <w:rFonts w:ascii="宋体" w:hAnsi="宋体" w:cs="宋体" w:eastAsia="宋体" w:hint="default"/>
                <w:spacing w:val="-12"/>
                <w:w w:val="99"/>
                <w:sz w:val="18"/>
                <w:szCs w:val="18"/>
              </w:rPr>
              <w:t>）。</w:t>
            </w:r>
            <w:r>
              <w:rPr>
                <w:rFonts w:ascii="宋体" w:hAnsi="宋体" w:cs="宋体" w:eastAsia="宋体" w:hint="default"/>
                <w:spacing w:val="-92"/>
                <w:sz w:val="18"/>
                <w:szCs w:val="18"/>
              </w:rPr>
              <w:t> </w:t>
            </w:r>
            <w:r>
              <w:rPr>
                <w:rFonts w:ascii="宋体" w:hAnsi="宋体" w:cs="宋体" w:eastAsia="宋体" w:hint="default"/>
                <w:sz w:val="18"/>
                <w:szCs w:val="18"/>
              </w:rPr>
              <w:t>南宁市中级人民法院于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p>
          <w:p>
            <w:pPr>
              <w:pStyle w:val="TableParagraph"/>
              <w:spacing w:line="226" w:lineRule="exact"/>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日受理了该案</w:t>
            </w:r>
            <w:r>
              <w:rPr>
                <w:rFonts w:ascii="宋体" w:hAnsi="宋体" w:cs="宋体" w:eastAsia="宋体" w:hint="default"/>
                <w:spacing w:val="-92"/>
                <w:sz w:val="18"/>
                <w:szCs w:val="18"/>
              </w:rPr>
              <w:t>。</w:t>
            </w:r>
            <w:r>
              <w:rPr>
                <w:rFonts w:ascii="Times New Roman" w:hAnsi="Times New Roman" w:cs="Times New Roman" w:eastAsia="Times New Roman" w:hint="default"/>
                <w:spacing w:val="1"/>
                <w:sz w:val="18"/>
                <w:szCs w:val="18"/>
              </w:rPr>
              <w:t>2012</w:t>
            </w:r>
            <w:r>
              <w:rPr>
                <w:rFonts w:ascii="Times New Roman" w:hAnsi="Times New Roman" w:cs="Times New Roman" w:eastAsia="Times New Roman" w:hint="default"/>
                <w:sz w:val="18"/>
                <w:szCs w:val="18"/>
              </w:rPr>
            </w:r>
          </w:p>
          <w:p>
            <w:pPr>
              <w:pStyle w:val="TableParagraph"/>
              <w:spacing w:line="232" w:lineRule="auto"/>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 </w:t>
            </w:r>
            <w:r>
              <w:rPr>
                <w:rFonts w:ascii="宋体" w:hAnsi="宋体" w:cs="宋体" w:eastAsia="宋体" w:hint="default"/>
                <w:spacing w:val="-3"/>
                <w:sz w:val="18"/>
                <w:szCs w:val="18"/>
              </w:rPr>
              <w:t>日，公司收到广西</w:t>
            </w:r>
            <w:r>
              <w:rPr>
                <w:rFonts w:ascii="宋体" w:hAnsi="宋体" w:cs="宋体" w:eastAsia="宋体" w:hint="default"/>
                <w:sz w:val="18"/>
                <w:szCs w:val="18"/>
              </w:rPr>
              <w:t> 壮族自治区南宁市中级人民 </w:t>
            </w:r>
            <w:r>
              <w:rPr>
                <w:rFonts w:ascii="宋体" w:hAnsi="宋体" w:cs="宋体" w:eastAsia="宋体" w:hint="default"/>
                <w:spacing w:val="-2"/>
                <w:sz w:val="18"/>
                <w:szCs w:val="18"/>
              </w:rPr>
              <w:t>法院送达的《应诉通知书》等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诉讼文书。</w:t>
            </w:r>
            <w:r>
              <w:rPr>
                <w:rFonts w:ascii="Times New Roman" w:hAnsi="Times New Roman" w:cs="Times New Roman" w:eastAsia="Times New Roman" w:hint="default"/>
                <w:spacing w:val="-8"/>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公司收到南宁市中级人民法 </w:t>
            </w:r>
            <w:r>
              <w:rPr>
                <w:rFonts w:ascii="宋体" w:hAnsi="宋体" w:cs="宋体" w:eastAsia="宋体" w:hint="default"/>
                <w:spacing w:val="-5"/>
                <w:sz w:val="18"/>
                <w:szCs w:val="18"/>
              </w:rPr>
              <w:t>院（</w:t>
            </w:r>
            <w:r>
              <w:rPr>
                <w:rFonts w:ascii="Times New Roman" w:hAnsi="Times New Roman" w:cs="Times New Roman" w:eastAsia="Times New Roman" w:hint="default"/>
                <w:spacing w:val="-5"/>
                <w:sz w:val="18"/>
                <w:szCs w:val="18"/>
              </w:rPr>
              <w:t>2012</w:t>
            </w:r>
            <w:r>
              <w:rPr>
                <w:rFonts w:ascii="宋体" w:hAnsi="宋体" w:cs="宋体" w:eastAsia="宋体" w:hint="default"/>
                <w:spacing w:val="-5"/>
                <w:sz w:val="18"/>
                <w:szCs w:val="18"/>
              </w:rPr>
              <w:t>）南市民三初字第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 </w:t>
            </w:r>
            <w:r>
              <w:rPr>
                <w:rFonts w:ascii="宋体" w:hAnsi="宋体" w:cs="宋体" w:eastAsia="宋体" w:hint="default"/>
                <w:spacing w:val="-8"/>
                <w:sz w:val="18"/>
                <w:szCs w:val="18"/>
              </w:rPr>
              <w:t>号《民事判决书》，对本案作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出了一审判决。</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 </w:t>
            </w:r>
            <w:r>
              <w:rPr>
                <w:rFonts w:ascii="宋体" w:hAnsi="宋体" w:cs="宋体" w:eastAsia="宋体" w:hint="default"/>
                <w:spacing w:val="-2"/>
                <w:sz w:val="18"/>
                <w:szCs w:val="18"/>
              </w:rPr>
              <w:t>日，公司依法向广西壮族自治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区高级人民法院提起上诉，广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西壮族自治区高级人民法院 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w:t>
            </w:r>
          </w:p>
          <w:p>
            <w:pPr>
              <w:pStyle w:val="TableParagraph"/>
              <w:spacing w:line="228" w:lineRule="exact"/>
              <w:ind w:left="2" w:right="0"/>
              <w:jc w:val="center"/>
              <w:rPr>
                <w:rFonts w:ascii="宋体" w:hAnsi="宋体" w:cs="宋体" w:eastAsia="宋体" w:hint="default"/>
                <w:sz w:val="18"/>
                <w:szCs w:val="18"/>
              </w:rPr>
            </w:pPr>
            <w:r>
              <w:rPr>
                <w:rFonts w:ascii="宋体" w:hAnsi="宋体" w:cs="宋体" w:eastAsia="宋体" w:hint="default"/>
                <w:sz w:val="18"/>
                <w:szCs w:val="18"/>
              </w:rPr>
              <w:t>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日开庭审</w:t>
            </w:r>
          </w:p>
          <w:p>
            <w:pPr>
              <w:pStyle w:val="TableParagraph"/>
              <w:spacing w:line="230" w:lineRule="auto"/>
              <w:ind w:left="23" w:right="20" w:firstLine="1"/>
              <w:jc w:val="center"/>
              <w:rPr>
                <w:rFonts w:ascii="宋体" w:hAnsi="宋体" w:cs="宋体" w:eastAsia="宋体" w:hint="default"/>
                <w:sz w:val="18"/>
                <w:szCs w:val="18"/>
              </w:rPr>
            </w:pPr>
            <w:r>
              <w:rPr>
                <w:rFonts w:ascii="宋体" w:hAnsi="宋体" w:cs="宋体" w:eastAsia="宋体" w:hint="default"/>
                <w:sz w:val="18"/>
                <w:szCs w:val="18"/>
              </w:rPr>
              <w:t>理，公司于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收到广西壮族自治区高级人 </w:t>
            </w:r>
            <w:r>
              <w:rPr>
                <w:rFonts w:ascii="宋体" w:hAnsi="宋体" w:cs="宋体" w:eastAsia="宋体" w:hint="default"/>
                <w:spacing w:val="-2"/>
                <w:sz w:val="18"/>
                <w:szCs w:val="18"/>
              </w:rPr>
              <w:t>民法院（</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）桂民三终字第</w:t>
            </w:r>
            <w:r>
              <w:rPr>
                <w:rFonts w:ascii="宋体" w:hAnsi="宋体" w:cs="宋体" w:eastAsia="宋体" w:hint="default"/>
                <w:sz w:val="18"/>
                <w:szCs w:val="18"/>
              </w:rPr>
              <w:t> </w:t>
            </w:r>
            <w:r>
              <w:rPr>
                <w:rFonts w:ascii="Times New Roman" w:hAnsi="Times New Roman" w:cs="Times New Roman" w:eastAsia="Times New Roman" w:hint="default"/>
                <w:sz w:val="18"/>
                <w:szCs w:val="18"/>
              </w:rPr>
              <w:t>76</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号《民事裁定书》，对本案</w:t>
            </w:r>
            <w:r>
              <w:rPr>
                <w:rFonts w:ascii="宋体" w:hAnsi="宋体" w:cs="宋体" w:eastAsia="宋体" w:hint="default"/>
                <w:sz w:val="18"/>
                <w:szCs w:val="18"/>
              </w:rPr>
              <w:t> </w:t>
            </w:r>
            <w:r>
              <w:rPr>
                <w:rFonts w:ascii="宋体" w:hAnsi="宋体" w:cs="宋体" w:eastAsia="宋体" w:hint="default"/>
                <w:spacing w:val="-2"/>
                <w:sz w:val="18"/>
                <w:szCs w:val="18"/>
              </w:rPr>
              <w:t>作出了二审裁定，将本案发回</w:t>
            </w:r>
            <w:r>
              <w:rPr>
                <w:rFonts w:ascii="宋体" w:hAnsi="宋体" w:cs="宋体" w:eastAsia="宋体" w:hint="default"/>
                <w:sz w:val="18"/>
                <w:szCs w:val="18"/>
              </w:rPr>
              <w:t> </w:t>
            </w:r>
            <w:r>
              <w:rPr>
                <w:rFonts w:ascii="宋体" w:hAnsi="宋体" w:cs="宋体" w:eastAsia="宋体" w:hint="default"/>
                <w:spacing w:val="-2"/>
                <w:sz w:val="18"/>
                <w:szCs w:val="18"/>
              </w:rPr>
              <w:t>南宁市中级人民法院重审。公</w:t>
            </w:r>
            <w:r>
              <w:rPr>
                <w:rFonts w:ascii="宋体" w:hAnsi="宋体" w:cs="宋体" w:eastAsia="宋体" w:hint="default"/>
                <w:sz w:val="18"/>
                <w:szCs w:val="18"/>
              </w:rPr>
              <w:t> 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日收到广 西壮族自治区南宁市中级人 </w:t>
            </w:r>
            <w:r>
              <w:rPr>
                <w:rFonts w:ascii="宋体" w:hAnsi="宋体" w:cs="宋体" w:eastAsia="宋体" w:hint="default"/>
                <w:spacing w:val="-7"/>
                <w:sz w:val="18"/>
                <w:szCs w:val="18"/>
              </w:rPr>
              <w:t>民法院（</w:t>
            </w:r>
            <w:r>
              <w:rPr>
                <w:rFonts w:ascii="Times New Roman" w:hAnsi="Times New Roman" w:cs="Times New Roman" w:eastAsia="Times New Roman" w:hint="default"/>
                <w:spacing w:val="-7"/>
                <w:sz w:val="18"/>
                <w:szCs w:val="18"/>
              </w:rPr>
              <w:t>2016</w:t>
            </w:r>
            <w:r>
              <w:rPr>
                <w:rFonts w:ascii="宋体" w:hAnsi="宋体" w:cs="宋体" w:eastAsia="宋体" w:hint="default"/>
                <w:spacing w:val="-7"/>
                <w:sz w:val="18"/>
                <w:szCs w:val="18"/>
              </w:rPr>
              <w:t>）桂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民初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577 </w:t>
            </w:r>
            <w:r>
              <w:rPr>
                <w:rFonts w:ascii="宋体" w:hAnsi="宋体" w:cs="宋体" w:eastAsia="宋体" w:hint="default"/>
                <w:spacing w:val="-8"/>
                <w:sz w:val="18"/>
                <w:szCs w:val="18"/>
              </w:rPr>
              <w:t>号《民事判决书》，对本案作</w:t>
            </w:r>
            <w:r>
              <w:rPr>
                <w:rFonts w:ascii="宋体" w:hAnsi="宋体" w:cs="宋体" w:eastAsia="宋体" w:hint="default"/>
                <w:sz w:val="18"/>
                <w:szCs w:val="18"/>
              </w:rPr>
              <w:t> 出了重审判决。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4449" w:lineRule="exact"/>
              <w:ind w:right="-53"/>
              <w:jc w:val="left"/>
              <w:rPr>
                <w:rFonts w:ascii="宋体" w:hAnsi="宋体" w:cs="宋体" w:eastAsia="宋体" w:hint="default"/>
                <w:sz w:val="20"/>
                <w:szCs w:val="20"/>
              </w:rPr>
            </w:pPr>
            <w:r>
              <w:rPr>
                <w:rFonts w:ascii="宋体" w:hAnsi="宋体" w:cs="宋体" w:eastAsia="宋体" w:hint="default"/>
                <w:position w:val="-88"/>
                <w:sz w:val="20"/>
                <w:szCs w:val="20"/>
              </w:rPr>
              <w:pict>
                <v:group style="width:33.85pt;height:222.5pt;mso-position-horizontal-relative:char;mso-position-vertical-relative:line" coordorigin="0,0" coordsize="677,4450">
                  <v:group style="position:absolute;left:0;top:0;width:677;height:4450" coordorigin="0,0" coordsize="677,4450">
                    <v:shape style="position:absolute;left:0;top:0;width:677;height:4450" coordorigin="0,0" coordsize="677,4450" path="m0,4450l677,4450,677,0,0,0,0,4450xe" filled="true" fillcolor="#ffffff" stroked="false">
                      <v:path arrowok="t"/>
                      <v:fill type="solid"/>
                    </v:shape>
                  </v:group>
                </v:group>
              </w:pict>
            </w:r>
            <w:r>
              <w:rPr>
                <w:rFonts w:ascii="宋体" w:hAnsi="宋体" w:cs="宋体" w:eastAsia="宋体" w:hint="default"/>
                <w:position w:val="-88"/>
                <w:sz w:val="20"/>
                <w:szCs w:val="20"/>
              </w:rPr>
            </w:r>
          </w:p>
          <w:p>
            <w:pPr>
              <w:pStyle w:val="TableParagraph"/>
              <w:spacing w:line="240" w:lineRule="auto" w:before="72"/>
              <w:ind w:left="136" w:right="0"/>
              <w:jc w:val="left"/>
              <w:rPr>
                <w:rFonts w:ascii="Times New Roman" w:hAnsi="Times New Roman" w:cs="Times New Roman" w:eastAsia="Times New Roman" w:hint="default"/>
                <w:sz w:val="18"/>
                <w:szCs w:val="18"/>
              </w:rPr>
            </w:pPr>
            <w:r>
              <w:rPr>
                <w:rFonts w:ascii="Times New Roman"/>
                <w:sz w:val="18"/>
              </w:rPr>
              <w:t>4,000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4"/>
              <w:ind w:left="28" w:right="24"/>
              <w:jc w:val="both"/>
              <w:rPr>
                <w:rFonts w:ascii="宋体" w:hAnsi="宋体" w:cs="宋体" w:eastAsia="宋体" w:hint="default"/>
                <w:sz w:val="18"/>
                <w:szCs w:val="18"/>
              </w:rPr>
            </w:pPr>
            <w:r>
              <w:rPr>
                <w:rFonts w:ascii="宋体" w:hAnsi="宋体" w:cs="宋体" w:eastAsia="宋体" w:hint="default"/>
                <w:sz w:val="18"/>
                <w:szCs w:val="18"/>
              </w:rPr>
              <w:t>公司已提起 上诉，正在 开庭审理， 尚未宣判</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auto" w:before="158"/>
              <w:ind w:left="26" w:right="-32" w:hanging="56"/>
              <w:jc w:val="center"/>
              <w:rPr>
                <w:rFonts w:ascii="宋体" w:hAnsi="宋体" w:cs="宋体" w:eastAsia="宋体" w:hint="default"/>
                <w:sz w:val="18"/>
                <w:szCs w:val="18"/>
              </w:rPr>
            </w:pPr>
            <w:r>
              <w:rPr>
                <w:rFonts w:ascii="宋体" w:hAnsi="宋体" w:cs="宋体" w:eastAsia="宋体" w:hint="default"/>
                <w:sz w:val="18"/>
                <w:szCs w:val="18"/>
              </w:rPr>
              <w:t>广西壮族自治区南宁市中级人 民法院（</w:t>
            </w:r>
            <w:r>
              <w:rPr>
                <w:rFonts w:ascii="Times New Roman" w:hAnsi="Times New Roman" w:cs="Times New Roman" w:eastAsia="Times New Roman" w:hint="default"/>
                <w:sz w:val="18"/>
                <w:szCs w:val="18"/>
              </w:rPr>
              <w:t>2016</w:t>
            </w:r>
            <w:r>
              <w:rPr>
                <w:rFonts w:ascii="宋体" w:hAnsi="宋体" w:cs="宋体" w:eastAsia="宋体" w:hint="default"/>
                <w:sz w:val="18"/>
                <w:szCs w:val="18"/>
              </w:rPr>
              <w:t>）桂</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民初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577 </w:t>
            </w:r>
            <w:r>
              <w:rPr>
                <w:rFonts w:ascii="宋体" w:hAnsi="宋体" w:cs="宋体" w:eastAsia="宋体" w:hint="default"/>
                <w:sz w:val="18"/>
                <w:szCs w:val="18"/>
              </w:rPr>
              <w:t>号《民事判决书》判决如下：</w:t>
            </w:r>
            <w:r>
              <w:rPr>
                <w:rFonts w:ascii="Times New Roman" w:hAnsi="Times New Roman" w:cs="Times New Roman" w:eastAsia="Times New Roman" w:hint="default"/>
                <w:sz w:val="18"/>
                <w:szCs w:val="18"/>
              </w:rPr>
              <w:t>1 </w:t>
            </w:r>
            <w:r>
              <w:rPr>
                <w:rFonts w:ascii="宋体" w:hAnsi="宋体" w:cs="宋体" w:eastAsia="宋体" w:hint="default"/>
                <w:sz w:val="18"/>
                <w:szCs w:val="18"/>
              </w:rPr>
              <w:t>被告旋极信息、被告农业银行、 农业银行北海支行立即停止侵 害原告深圳市朗科科技股份有 限公司第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ZL99117225.6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号发明 专利权的行为，即被告旋极信息 立即停止使用原告朗科科技第 </w:t>
            </w:r>
            <w:r>
              <w:rPr>
                <w:rFonts w:ascii="Times New Roman" w:hAnsi="Times New Roman" w:cs="Times New Roman" w:eastAsia="Times New Roman" w:hint="default"/>
                <w:sz w:val="18"/>
                <w:szCs w:val="18"/>
              </w:rPr>
              <w:t>ZL99117225.6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号发明专利方法， 并立即停止制造、销售、许诺销 售侵权的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ComyiKEY220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产品，</w:t>
            </w:r>
            <w:r>
              <w:rPr>
                <w:rFonts w:ascii="宋体" w:hAnsi="宋体" w:cs="宋体" w:eastAsia="宋体" w:hint="default"/>
                <w:spacing w:val="-3"/>
                <w:sz w:val="18"/>
                <w:szCs w:val="18"/>
              </w:rPr>
              <w:t> </w:t>
            </w:r>
            <w:r>
              <w:rPr>
                <w:rFonts w:ascii="宋体" w:hAnsi="宋体" w:cs="宋体" w:eastAsia="宋体" w:hint="default"/>
                <w:sz w:val="18"/>
                <w:szCs w:val="18"/>
              </w:rPr>
              <w:t>被告农业银行、农业银行北海支</w:t>
            </w:r>
            <w:r>
              <w:rPr>
                <w:rFonts w:ascii="宋体" w:hAnsi="宋体" w:cs="宋体" w:eastAsia="宋体" w:hint="default"/>
                <w:sz w:val="18"/>
                <w:szCs w:val="18"/>
              </w:rPr>
              <w:t> 行立即停止使用侵权的 </w:t>
            </w:r>
            <w:r>
              <w:rPr>
                <w:rFonts w:ascii="Times New Roman" w:hAnsi="Times New Roman" w:cs="Times New Roman" w:eastAsia="Times New Roman" w:hint="default"/>
                <w:sz w:val="18"/>
                <w:szCs w:val="18"/>
              </w:rPr>
              <w:t>ComyiKEY220 </w:t>
            </w:r>
            <w:r>
              <w:rPr>
                <w:rFonts w:ascii="宋体" w:hAnsi="宋体" w:cs="宋体" w:eastAsia="宋体" w:hint="default"/>
                <w:spacing w:val="-4"/>
                <w:sz w:val="18"/>
                <w:szCs w:val="18"/>
              </w:rPr>
              <w:t>产品；</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、被告旋</w:t>
            </w:r>
            <w:r>
              <w:rPr>
                <w:rFonts w:ascii="宋体" w:hAnsi="宋体" w:cs="宋体" w:eastAsia="宋体" w:hint="default"/>
                <w:sz w:val="18"/>
                <w:szCs w:val="18"/>
              </w:rPr>
              <w:t> 极信息赔偿原告深圳朗科科技 经济损失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万元；</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、驳回朗</w:t>
            </w:r>
            <w:r>
              <w:rPr>
                <w:rFonts w:ascii="宋体" w:hAnsi="宋体" w:cs="宋体" w:eastAsia="宋体" w:hint="default"/>
                <w:sz w:val="18"/>
                <w:szCs w:val="18"/>
              </w:rPr>
              <w:t> 科科技其他诉讼请求。案件受理 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341,800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元由被告旋极信息负 担。</w:t>
            </w:r>
            <w:r>
              <w:rPr>
                <w:rFonts w:ascii="Times New Roman" w:hAnsi="Times New Roman" w:cs="Times New Roman" w:eastAsia="Times New Roman" w:hint="default"/>
                <w:sz w:val="18"/>
                <w:szCs w:val="18"/>
              </w:rPr>
              <w:t>"</w:t>
            </w:r>
            <w:r>
              <w:rPr>
                <w:rFonts w:ascii="宋体" w:hAnsi="宋体" w:cs="宋体" w:eastAsia="宋体" w:hint="default"/>
                <w:sz w:val="18"/>
                <w:szCs w:val="18"/>
              </w:rPr>
              <w:t>公司控股股东、实际控制 人、董事长陈江涛先生已针对朗 科科技诉本公司侵</w:t>
            </w:r>
            <w:r>
              <w:rPr>
                <w:rFonts w:ascii="宋体" w:hAnsi="宋体" w:cs="宋体" w:eastAsia="宋体" w:hint="default"/>
                <w:spacing w:val="1"/>
                <w:sz w:val="18"/>
                <w:szCs w:val="18"/>
              </w:rPr>
              <w:t> </w:t>
            </w:r>
            <w:r>
              <w:rPr>
                <w:rFonts w:ascii="宋体" w:hAnsi="宋体" w:cs="宋体" w:eastAsia="宋体" w:hint="default"/>
                <w:sz w:val="18"/>
                <w:szCs w:val="18"/>
              </w:rPr>
              <w:t>权案件向本</w:t>
            </w:r>
            <w:r>
              <w:rPr>
                <w:rFonts w:ascii="宋体" w:hAnsi="宋体" w:cs="宋体" w:eastAsia="宋体" w:hint="default"/>
                <w:sz w:val="18"/>
                <w:szCs w:val="18"/>
              </w:rPr>
              <w:t> 公司做出书面承诺。公司拟于近 期提起上诉，本次诉讼结果暂不 会对公司生产经营及本期利润</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或</w:t>
            </w:r>
            <w:r>
              <w:rPr>
                <w:rFonts w:ascii="宋体" w:hAnsi="宋体" w:cs="宋体" w:eastAsia="宋体" w:hint="default"/>
                <w:spacing w:val="1"/>
                <w:sz w:val="18"/>
                <w:szCs w:val="18"/>
              </w:rPr>
              <w:t> </w:t>
            </w:r>
            <w:r>
              <w:rPr>
                <w:rFonts w:ascii="宋体" w:hAnsi="宋体" w:cs="宋体" w:eastAsia="宋体" w:hint="default"/>
                <w:sz w:val="18"/>
                <w:szCs w:val="18"/>
              </w:rPr>
              <w:t>期后利润产生影响。</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4449" w:lineRule="exact"/>
              <w:ind w:right="-51"/>
              <w:jc w:val="left"/>
              <w:rPr>
                <w:rFonts w:ascii="宋体" w:hAnsi="宋体" w:cs="宋体" w:eastAsia="宋体" w:hint="default"/>
                <w:sz w:val="20"/>
                <w:szCs w:val="20"/>
              </w:rPr>
            </w:pPr>
            <w:r>
              <w:rPr>
                <w:rFonts w:ascii="宋体" w:hAnsi="宋体" w:cs="宋体" w:eastAsia="宋体" w:hint="default"/>
                <w:position w:val="-88"/>
                <w:sz w:val="20"/>
                <w:szCs w:val="20"/>
              </w:rPr>
              <w:pict>
                <v:group style="width:33.85pt;height:222.5pt;mso-position-horizontal-relative:char;mso-position-vertical-relative:line" coordorigin="0,0" coordsize="677,4450">
                  <v:group style="position:absolute;left:0;top:0;width:677;height:4450" coordorigin="0,0" coordsize="677,4450">
                    <v:shape style="position:absolute;left:0;top:0;width:677;height:4450" coordorigin="0,0" coordsize="677,4450" path="m0,4450l677,4450,677,0,0,0,0,4450xe" filled="true" fillcolor="#ffffff" stroked="false">
                      <v:path arrowok="t"/>
                      <v:fill type="solid"/>
                    </v:shape>
                  </v:group>
                </v:group>
              </w:pict>
            </w:r>
            <w:r>
              <w:rPr>
                <w:rFonts w:ascii="宋体" w:hAnsi="宋体" w:cs="宋体" w:eastAsia="宋体" w:hint="default"/>
                <w:position w:val="-88"/>
                <w:sz w:val="20"/>
                <w:szCs w:val="20"/>
              </w:rPr>
            </w:r>
          </w:p>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1"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2018-099</w:t>
            </w:r>
          </w:p>
        </w:tc>
      </w:tr>
      <w:tr>
        <w:trPr>
          <w:trHeight w:val="171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48"/>
              <w:ind w:left="23" w:right="0"/>
              <w:jc w:val="center"/>
              <w:rPr>
                <w:rFonts w:ascii="宋体" w:hAnsi="宋体" w:cs="宋体" w:eastAsia="宋体" w:hint="default"/>
                <w:sz w:val="18"/>
                <w:szCs w:val="18"/>
              </w:rPr>
            </w:pPr>
            <w:r>
              <w:rPr>
                <w:rFonts w:ascii="宋体" w:hAnsi="宋体" w:cs="宋体" w:eastAsia="宋体" w:hint="default"/>
                <w:sz w:val="18"/>
                <w:szCs w:val="18"/>
              </w:rPr>
              <w:t>公司及控股子公司旋极百旺、 北京百旺于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 收到广东省深圳市中级人民 法院送达的（</w:t>
            </w:r>
            <w:r>
              <w:rPr>
                <w:rFonts w:ascii="Times New Roman" w:hAnsi="Times New Roman" w:cs="Times New Roman" w:eastAsia="Times New Roman" w:hint="default"/>
                <w:sz w:val="18"/>
                <w:szCs w:val="18"/>
              </w:rPr>
              <w:t>2018</w:t>
            </w:r>
            <w:r>
              <w:rPr>
                <w:rFonts w:ascii="宋体" w:hAnsi="宋体" w:cs="宋体" w:eastAsia="宋体" w:hint="default"/>
                <w:sz w:val="18"/>
                <w:szCs w:val="18"/>
              </w:rPr>
              <w:t>）粤</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民</w:t>
            </w:r>
          </w:p>
          <w:p>
            <w:pPr>
              <w:pStyle w:val="TableParagraph"/>
              <w:spacing w:line="232" w:lineRule="auto"/>
              <w:ind w:left="24" w:right="19"/>
              <w:jc w:val="left"/>
              <w:rPr>
                <w:rFonts w:ascii="宋体" w:hAnsi="宋体" w:cs="宋体" w:eastAsia="宋体" w:hint="default"/>
                <w:sz w:val="18"/>
                <w:szCs w:val="18"/>
              </w:rPr>
            </w:pPr>
            <w:r>
              <w:rPr>
                <w:rFonts w:ascii="宋体" w:hAnsi="宋体" w:cs="宋体" w:eastAsia="宋体" w:hint="default"/>
                <w:sz w:val="18"/>
                <w:szCs w:val="18"/>
              </w:rPr>
              <w:t>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号《应诉通知书》 广东省深圳市中级人民法院 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日受理了朗</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9,800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37" w:lineRule="auto"/>
              <w:ind w:left="28" w:right="24"/>
              <w:jc w:val="center"/>
              <w:rPr>
                <w:rFonts w:ascii="宋体" w:hAnsi="宋体" w:cs="宋体" w:eastAsia="宋体" w:hint="default"/>
                <w:sz w:val="18"/>
                <w:szCs w:val="18"/>
              </w:rPr>
            </w:pPr>
            <w:r>
              <w:rPr>
                <w:rFonts w:ascii="宋体" w:hAnsi="宋体" w:cs="宋体" w:eastAsia="宋体" w:hint="default"/>
                <w:sz w:val="18"/>
                <w:szCs w:val="18"/>
              </w:rPr>
              <w:t>正在开庭审 理，尚未宣 判</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2"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2019-045</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1134" w:top="1280" w:bottom="1320" w:left="980" w:right="0"/>
        </w:sectPr>
      </w:pPr>
    </w:p>
    <w:p>
      <w:pPr>
        <w:spacing w:line="240" w:lineRule="auto" w:before="8"/>
        <w:rPr>
          <w:rFonts w:ascii="Times New Roman" w:hAnsi="Times New Roman" w:cs="Times New Roman" w:eastAsia="Times New Roman" w:hint="default"/>
          <w:sz w:val="12"/>
          <w:szCs w:val="12"/>
        </w:rPr>
      </w:pPr>
      <w:r>
        <w:rPr/>
        <w:pict>
          <v:group style="position:absolute;margin-left:174.240005pt;margin-top:422.759979pt;width:33.85pt;height:59.65pt;mso-position-horizontal-relative:page;mso-position-vertical-relative:page;z-index:-1426816" coordorigin="3485,8455" coordsize="677,1193">
            <v:group style="position:absolute;left:3485;top:8455;width:677;height:831" coordorigin="3485,8455" coordsize="677,831">
              <v:shape style="position:absolute;left:3485;top:8455;width:677;height:831" coordorigin="3485,8455" coordsize="677,831" path="m3485,9286l4162,9286,4162,8455,3485,8455,3485,9286xe" filled="true" fillcolor="#ffffff" stroked="false">
                <v:path arrowok="t"/>
                <v:fill type="solid"/>
              </v:shape>
            </v:group>
            <v:group style="position:absolute;left:3497;top:9286;width:2;height:351" coordorigin="3497,9286" coordsize="2,351">
              <v:shape style="position:absolute;left:3497;top:9286;width:2;height:351" coordorigin="3497,9286" coordsize="0,351" path="m3497,9286l3497,9636e" filled="false" stroked="true" strokeweight="1.2pt" strokecolor="#ffffff">
                <v:path arrowok="t"/>
              </v:shape>
            </v:group>
            <v:group style="position:absolute;left:3509;top:9286;width:629;height:351" coordorigin="3509,9286" coordsize="629,351">
              <v:shape style="position:absolute;left:3509;top:9286;width:629;height:351" coordorigin="3509,9286" coordsize="629,351" path="m3509,9636l4138,9636,4138,9286,3509,9286,3509,9636xe" filled="true" fillcolor="#ffffff" stroked="false">
                <v:path arrowok="t"/>
                <v:fill type="solid"/>
              </v:shape>
            </v:group>
            <w10:wrap type="none"/>
          </v:group>
        </w:pict>
      </w:r>
      <w:r>
        <w:rPr/>
        <w:pict>
          <v:group style="position:absolute;margin-left:174.240005pt;margin-top:553.079956pt;width:33.85pt;height:48pt;mso-position-horizontal-relative:page;mso-position-vertical-relative:page;z-index:-1426792" coordorigin="3485,11062" coordsize="677,960">
            <v:group style="position:absolute;left:3497;top:11074;width:2;height:351" coordorigin="3497,11074" coordsize="2,351">
              <v:shape style="position:absolute;left:3497;top:11074;width:2;height:351" coordorigin="3497,11074" coordsize="0,351" path="m3497,11074l3497,11424e" filled="false" stroked="true" strokeweight="1.2pt" strokecolor="#ffffff">
                <v:path arrowok="t"/>
              </v:shape>
            </v:group>
            <v:group style="position:absolute;left:3485;top:11424;width:677;height:598" coordorigin="3485,11424" coordsize="677,598">
              <v:shape style="position:absolute;left:3485;top:11424;width:677;height:598" coordorigin="3485,11424" coordsize="677,598" path="m3485,12022l4162,12022,4162,11424,3485,11424,3485,12022xe" filled="true" fillcolor="#ffffff" stroked="false">
                <v:path arrowok="t"/>
                <v:fill type="solid"/>
              </v:shape>
            </v:group>
            <v:group style="position:absolute;left:3509;top:11074;width:629;height:351" coordorigin="3509,11074" coordsize="629,351">
              <v:shape style="position:absolute;left:3509;top:11074;width:629;height:351" coordorigin="3509,11074" coordsize="629,351" path="m3509,11424l4138,11424,4138,11074,3509,11074,3509,11424xe" filled="true" fillcolor="#ffffff" stroked="false">
                <v:path arrowok="t"/>
                <v:fill type="solid"/>
              </v:shape>
            </v:group>
            <w10:wrap type="none"/>
          </v:group>
        </w:pict>
      </w:r>
      <w:r>
        <w:rPr/>
        <w:pict>
          <v:group style="position:absolute;margin-left:174.240005pt;margin-top:630.839966pt;width:33.85pt;height:48pt;mso-position-horizontal-relative:page;mso-position-vertical-relative:page;z-index:-1426768" coordorigin="3485,12617" coordsize="677,960">
            <v:group style="position:absolute;left:3497;top:12629;width:2;height:351" coordorigin="3497,12629" coordsize="2,351">
              <v:shape style="position:absolute;left:3497;top:12629;width:2;height:351" coordorigin="3497,12629" coordsize="0,351" path="m3497,12629l3497,12979e" filled="false" stroked="true" strokeweight="1.2pt" strokecolor="#ffffff">
                <v:path arrowok="t"/>
              </v:shape>
            </v:group>
            <v:group style="position:absolute;left:3485;top:12979;width:677;height:598" coordorigin="3485,12979" coordsize="677,598">
              <v:shape style="position:absolute;left:3485;top:12979;width:677;height:598" coordorigin="3485,12979" coordsize="677,598" path="m3485,13577l4162,13577,4162,12979,3485,12979,3485,13577xe" filled="true" fillcolor="#ffffff" stroked="false">
                <v:path arrowok="t"/>
                <v:fill type="solid"/>
              </v:shape>
            </v:group>
            <v:group style="position:absolute;left:3509;top:12629;width:629;height:351" coordorigin="3509,12629" coordsize="629,351">
              <v:shape style="position:absolute;left:3509;top:12629;width:629;height:351" coordorigin="3509,12629" coordsize="629,351" path="m3509,12979l4138,12979,4138,12629,3509,12629,3509,12979xe" filled="true" fillcolor="#ffffff" stroked="false">
                <v:path arrowok="t"/>
                <v:fill type="solid"/>
              </v:shape>
            </v:group>
            <w10:wrap type="none"/>
          </v:group>
        </w:pict>
      </w:r>
    </w:p>
    <w:tbl>
      <w:tblPr>
        <w:tblW w:w="0" w:type="auto"/>
        <w:jc w:val="left"/>
        <w:tblInd w:w="119" w:type="dxa"/>
        <w:tblLayout w:type="fixed"/>
        <w:tblCellMar>
          <w:top w:w="0" w:type="dxa"/>
          <w:left w:w="0" w:type="dxa"/>
          <w:bottom w:w="0" w:type="dxa"/>
          <w:right w:w="0" w:type="dxa"/>
        </w:tblCellMar>
        <w:tblLook w:val="01E0"/>
      </w:tblPr>
      <w:tblGrid>
        <w:gridCol w:w="2376"/>
        <w:gridCol w:w="684"/>
        <w:gridCol w:w="792"/>
        <w:gridCol w:w="965"/>
        <w:gridCol w:w="2558"/>
        <w:gridCol w:w="686"/>
        <w:gridCol w:w="785"/>
        <w:gridCol w:w="850"/>
      </w:tblGrid>
      <w:tr>
        <w:trPr>
          <w:trHeight w:val="5450"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科科技诉旋极信息、旋极百</w:t>
            </w:r>
          </w:p>
          <w:p>
            <w:pPr>
              <w:pStyle w:val="TableParagraph"/>
              <w:spacing w:line="237" w:lineRule="auto"/>
              <w:ind w:left="23" w:right="0" w:hanging="22"/>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旺、北京百旺等公司侵犯朗科</w:t>
            </w:r>
            <w:r>
              <w:rPr>
                <w:rFonts w:ascii="宋体" w:hAnsi="宋体" w:cs="宋体" w:eastAsia="宋体" w:hint="default"/>
                <w:sz w:val="18"/>
                <w:szCs w:val="18"/>
              </w:rPr>
              <w:t> </w:t>
            </w:r>
            <w:r>
              <w:rPr>
                <w:rFonts w:ascii="宋体" w:hAnsi="宋体" w:cs="宋体" w:eastAsia="宋体" w:hint="default"/>
                <w:spacing w:val="-2"/>
                <w:sz w:val="18"/>
                <w:szCs w:val="18"/>
              </w:rPr>
              <w:t>科技发明专利权纠纷一案。公</w:t>
            </w:r>
            <w:r>
              <w:rPr>
                <w:rFonts w:ascii="宋体" w:hAnsi="宋体" w:cs="宋体" w:eastAsia="宋体" w:hint="default"/>
                <w:sz w:val="18"/>
                <w:szCs w:val="18"/>
              </w:rPr>
              <w:t> </w:t>
            </w:r>
            <w:r>
              <w:rPr>
                <w:rFonts w:ascii="宋体" w:hAnsi="宋体" w:cs="宋体" w:eastAsia="宋体" w:hint="default"/>
                <w:spacing w:val="-2"/>
                <w:sz w:val="18"/>
                <w:szCs w:val="18"/>
              </w:rPr>
              <w:t>司在提交答辩状期间，对本案</w:t>
            </w:r>
            <w:r>
              <w:rPr>
                <w:rFonts w:ascii="宋体" w:hAnsi="宋体" w:cs="宋体" w:eastAsia="宋体" w:hint="default"/>
                <w:sz w:val="18"/>
                <w:szCs w:val="18"/>
              </w:rPr>
              <w:t> </w:t>
            </w:r>
            <w:r>
              <w:rPr>
                <w:rFonts w:ascii="宋体" w:hAnsi="宋体" w:cs="宋体" w:eastAsia="宋体" w:hint="default"/>
                <w:spacing w:val="-2"/>
                <w:sz w:val="18"/>
                <w:szCs w:val="18"/>
              </w:rPr>
              <w:t>的管辖权提出异议，广东省深</w:t>
            </w:r>
            <w:r>
              <w:rPr>
                <w:rFonts w:ascii="宋体" w:hAnsi="宋体" w:cs="宋体" w:eastAsia="宋体" w:hint="default"/>
                <w:sz w:val="18"/>
                <w:szCs w:val="18"/>
              </w:rPr>
              <w:t> 圳市中级人民法院审查后认 </w:t>
            </w:r>
            <w:r>
              <w:rPr>
                <w:rFonts w:ascii="宋体" w:hAnsi="宋体" w:cs="宋体" w:eastAsia="宋体" w:hint="default"/>
                <w:spacing w:val="-2"/>
                <w:sz w:val="18"/>
                <w:szCs w:val="18"/>
              </w:rPr>
              <w:t>为其对本案具有管辖权。公司</w:t>
            </w:r>
            <w:r>
              <w:rPr>
                <w:rFonts w:ascii="宋体" w:hAnsi="宋体" w:cs="宋体" w:eastAsia="宋体" w:hint="default"/>
                <w:sz w:val="18"/>
                <w:szCs w:val="18"/>
              </w:rPr>
              <w:t> </w:t>
            </w:r>
            <w:r>
              <w:rPr>
                <w:rFonts w:ascii="宋体" w:hAnsi="宋体" w:cs="宋体" w:eastAsia="宋体" w:hint="default"/>
                <w:spacing w:val="-2"/>
                <w:sz w:val="18"/>
                <w:szCs w:val="18"/>
              </w:rPr>
              <w:t>对本裁定提起上诉。广东省高</w:t>
            </w:r>
            <w:r>
              <w:rPr>
                <w:rFonts w:ascii="宋体" w:hAnsi="宋体" w:cs="宋体" w:eastAsia="宋体" w:hint="default"/>
                <w:sz w:val="18"/>
                <w:szCs w:val="18"/>
              </w:rPr>
              <w:t> 级人民法院认为原审裁定驳 回旋极信息公司提出的管辖 权异议正确，该院予以维持。 广东省深圳市中级人民法院 院通知公司于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日在深圳市中级人民法院第 三庭开庭审理，并定于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p>
          <w:p>
            <w:pPr>
              <w:pStyle w:val="TableParagraph"/>
              <w:spacing w:line="232" w:lineRule="auto"/>
              <w:ind w:left="24" w:right="19"/>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日参加本案证据交 </w:t>
            </w:r>
            <w:r>
              <w:rPr>
                <w:rFonts w:ascii="宋体" w:hAnsi="宋体" w:cs="宋体" w:eastAsia="宋体" w:hint="default"/>
                <w:spacing w:val="-2"/>
                <w:sz w:val="18"/>
                <w:szCs w:val="18"/>
              </w:rPr>
              <w:t>换。朗科科技在庭审中当庭向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广东省深圳市中级人民法院</w:t>
            </w:r>
          </w:p>
          <w:p>
            <w:pPr>
              <w:pStyle w:val="TableParagraph"/>
              <w:spacing w:line="235" w:lineRule="auto" w:before="2"/>
              <w:ind w:left="23" w:right="19" w:hanging="5"/>
              <w:jc w:val="center"/>
              <w:rPr>
                <w:rFonts w:ascii="宋体" w:hAnsi="宋体" w:cs="宋体" w:eastAsia="宋体" w:hint="default"/>
                <w:sz w:val="18"/>
                <w:szCs w:val="18"/>
              </w:rPr>
            </w:pPr>
            <w:r>
              <w:rPr>
                <w:rFonts w:ascii="宋体" w:hAnsi="宋体" w:cs="宋体" w:eastAsia="宋体" w:hint="default"/>
                <w:spacing w:val="-2"/>
                <w:sz w:val="18"/>
                <w:szCs w:val="18"/>
              </w:rPr>
              <w:t>申请撤回《民事起诉状》诉讼</w:t>
            </w:r>
            <w:r>
              <w:rPr>
                <w:rFonts w:ascii="宋体" w:hAnsi="宋体" w:cs="宋体" w:eastAsia="宋体" w:hint="default"/>
                <w:sz w:val="18"/>
                <w:szCs w:val="18"/>
              </w:rPr>
              <w:t> 请求第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项，并当庭向广东省</w:t>
            </w:r>
            <w:r>
              <w:rPr>
                <w:rFonts w:ascii="宋体" w:hAnsi="宋体" w:cs="宋体" w:eastAsia="宋体" w:hint="default"/>
                <w:sz w:val="18"/>
                <w:szCs w:val="18"/>
              </w:rPr>
              <w:t> 深圳市中级人民法院申请将 赔偿原告经济损失变更为人 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68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55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63"/>
              <w:ind w:left="23"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月，公司全资子公司</w:t>
            </w:r>
            <w:r>
              <w:rPr>
                <w:rFonts w:ascii="宋体" w:hAnsi="宋体" w:cs="宋体" w:eastAsia="宋体" w:hint="default"/>
                <w:sz w:val="18"/>
                <w:szCs w:val="18"/>
              </w:rPr>
              <w:t> 北京泰豪智能工程有限公司</w:t>
            </w:r>
          </w:p>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pacing w:val="-2"/>
                <w:sz w:val="18"/>
                <w:szCs w:val="18"/>
              </w:rPr>
              <w:t>（原告）起诉邹城市文化广电</w:t>
            </w:r>
          </w:p>
          <w:p>
            <w:pPr>
              <w:pStyle w:val="TableParagraph"/>
              <w:spacing w:line="237" w:lineRule="auto"/>
              <w:ind w:left="23" w:right="-1" w:hanging="24"/>
              <w:jc w:val="center"/>
              <w:rPr>
                <w:rFonts w:ascii="宋体" w:hAnsi="宋体" w:cs="宋体" w:eastAsia="宋体" w:hint="default"/>
                <w:sz w:val="18"/>
                <w:szCs w:val="18"/>
              </w:rPr>
            </w:pPr>
            <w:r>
              <w:rPr>
                <w:rFonts w:ascii="宋体" w:hAnsi="宋体" w:cs="宋体" w:eastAsia="宋体" w:hint="default"/>
                <w:spacing w:val="-2"/>
                <w:sz w:val="18"/>
                <w:szCs w:val="18"/>
              </w:rPr>
              <w:t>新闻出版局，法院判令邹城市</w:t>
            </w:r>
            <w:r>
              <w:rPr>
                <w:rFonts w:ascii="宋体" w:hAnsi="宋体" w:cs="宋体" w:eastAsia="宋体" w:hint="default"/>
                <w:sz w:val="18"/>
                <w:szCs w:val="18"/>
              </w:rPr>
              <w:t> 文化广电新闻出版局支付泰 豪智能工程工程款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 </w:t>
            </w:r>
            <w:r>
              <w:rPr>
                <w:rFonts w:ascii="宋体" w:hAnsi="宋体" w:cs="宋体" w:eastAsia="宋体" w:hint="default"/>
                <w:sz w:val="18"/>
                <w:szCs w:val="18"/>
              </w:rPr>
              <w:t>万元。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z w:val="18"/>
              </w:rPr>
              <w:t>137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胜诉</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2" w:lineRule="auto"/>
              <w:ind w:left="26" w:right="19"/>
              <w:jc w:val="center"/>
              <w:rPr>
                <w:rFonts w:ascii="宋体" w:hAnsi="宋体" w:cs="宋体" w:eastAsia="宋体" w:hint="default"/>
                <w:sz w:val="18"/>
                <w:szCs w:val="18"/>
              </w:rPr>
            </w:pPr>
            <w:r>
              <w:rPr>
                <w:rFonts w:ascii="宋体" w:hAnsi="宋体" w:cs="宋体" w:eastAsia="宋体" w:hint="default"/>
                <w:spacing w:val="-2"/>
                <w:sz w:val="18"/>
                <w:szCs w:val="18"/>
              </w:rPr>
              <w:t>胜诉，判令邹城市文化广电新闻</w:t>
            </w:r>
            <w:r>
              <w:rPr>
                <w:rFonts w:ascii="宋体" w:hAnsi="宋体" w:cs="宋体" w:eastAsia="宋体" w:hint="default"/>
                <w:sz w:val="18"/>
                <w:szCs w:val="18"/>
              </w:rPr>
              <w:t> 出版局支付原告北京泰豪智能 工程有限公司工程款</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1,37.2</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万元 </w:t>
            </w:r>
            <w:r>
              <w:rPr>
                <w:rFonts w:ascii="宋体" w:hAnsi="宋体" w:cs="宋体" w:eastAsia="宋体" w:hint="default"/>
                <w:sz w:val="18"/>
                <w:szCs w:val="18"/>
              </w:rPr>
              <w:t>及利息。</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37" w:lineRule="auto"/>
              <w:ind w:left="23" w:right="22" w:firstLine="45"/>
              <w:jc w:val="both"/>
              <w:rPr>
                <w:rFonts w:ascii="宋体" w:hAnsi="宋体" w:cs="宋体" w:eastAsia="宋体" w:hint="default"/>
                <w:sz w:val="18"/>
                <w:szCs w:val="18"/>
              </w:rPr>
            </w:pPr>
            <w:r>
              <w:rPr>
                <w:rFonts w:ascii="宋体" w:hAnsi="宋体" w:cs="宋体" w:eastAsia="宋体" w:hint="default"/>
                <w:sz w:val="18"/>
                <w:szCs w:val="18"/>
              </w:rPr>
              <w:t>已执行 回款完 </w:t>
            </w:r>
            <w:r>
              <w:rPr>
                <w:rFonts w:ascii="宋体" w:hAnsi="宋体" w:cs="宋体" w:eastAsia="宋体" w:hint="default"/>
                <w:spacing w:val="-23"/>
                <w:sz w:val="18"/>
                <w:szCs w:val="18"/>
              </w:rPr>
              <w:t>毕，结案</w:t>
            </w:r>
          </w:p>
        </w:tc>
        <w:tc>
          <w:tcPr>
            <w:tcW w:w="78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202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23"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月，公司全资子公司</w:t>
            </w:r>
            <w:r>
              <w:rPr>
                <w:rFonts w:ascii="宋体" w:hAnsi="宋体" w:cs="宋体" w:eastAsia="宋体" w:hint="default"/>
                <w:sz w:val="18"/>
                <w:szCs w:val="18"/>
              </w:rPr>
              <w:t> 北京泰豪智能工程有限公司</w:t>
            </w:r>
          </w:p>
          <w:p>
            <w:pPr>
              <w:pStyle w:val="TableParagraph"/>
              <w:spacing w:line="232" w:lineRule="exact" w:before="3"/>
              <w:ind w:left="24" w:right="19" w:hanging="3"/>
              <w:jc w:val="center"/>
              <w:rPr>
                <w:rFonts w:ascii="宋体" w:hAnsi="宋体" w:cs="宋体" w:eastAsia="宋体" w:hint="default"/>
                <w:sz w:val="18"/>
                <w:szCs w:val="18"/>
              </w:rPr>
            </w:pPr>
            <w:r>
              <w:rPr>
                <w:rFonts w:ascii="宋体" w:hAnsi="宋体" w:cs="宋体" w:eastAsia="宋体" w:hint="default"/>
                <w:spacing w:val="-2"/>
                <w:sz w:val="18"/>
                <w:szCs w:val="18"/>
              </w:rPr>
              <w:t>（原告）起诉北京华明兴业建</w:t>
            </w:r>
            <w:r>
              <w:rPr>
                <w:rFonts w:ascii="宋体" w:hAnsi="宋体" w:cs="宋体" w:eastAsia="宋体" w:hint="default"/>
                <w:sz w:val="18"/>
                <w:szCs w:val="18"/>
              </w:rPr>
              <w:t> </w:t>
            </w:r>
            <w:r>
              <w:rPr>
                <w:rFonts w:ascii="宋体" w:hAnsi="宋体" w:cs="宋体" w:eastAsia="宋体" w:hint="default"/>
                <w:spacing w:val="-9"/>
                <w:sz w:val="18"/>
                <w:szCs w:val="18"/>
              </w:rPr>
              <w:t>筑装饰工程有限公司（被告）</w:t>
            </w:r>
            <w:r>
              <w:rPr>
                <w:rFonts w:ascii="宋体" w:hAnsi="宋体" w:cs="宋体" w:eastAsia="宋体" w:hint="default"/>
                <w:spacing w:val="-92"/>
                <w:sz w:val="18"/>
                <w:szCs w:val="18"/>
              </w:rPr>
              <w:t> </w:t>
            </w:r>
            <w:r>
              <w:rPr>
                <w:rFonts w:ascii="宋体" w:hAnsi="宋体" w:cs="宋体" w:eastAsia="宋体" w:hint="default"/>
                <w:sz w:val="18"/>
                <w:szCs w:val="18"/>
              </w:rPr>
              <w:t>法院一审判决华明兴业支付</w:t>
            </w:r>
          </w:p>
          <w:p>
            <w:pPr>
              <w:pStyle w:val="TableParagraph"/>
              <w:spacing w:line="232" w:lineRule="exact" w:before="3"/>
              <w:ind w:left="24" w:right="19"/>
              <w:jc w:val="center"/>
              <w:rPr>
                <w:rFonts w:ascii="宋体" w:hAnsi="宋体" w:cs="宋体" w:eastAsia="宋体" w:hint="default"/>
                <w:sz w:val="18"/>
                <w:szCs w:val="18"/>
              </w:rPr>
            </w:pPr>
            <w:r>
              <w:rPr>
                <w:rFonts w:ascii="宋体" w:hAnsi="宋体" w:cs="宋体" w:eastAsia="宋体" w:hint="default"/>
                <w:sz w:val="18"/>
                <w:szCs w:val="18"/>
              </w:rPr>
              <w:t>泰豪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19.5</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万元及违约金，华明</w:t>
            </w:r>
            <w:r>
              <w:rPr>
                <w:rFonts w:ascii="宋体" w:hAnsi="宋体" w:cs="宋体" w:eastAsia="宋体" w:hint="default"/>
                <w:sz w:val="18"/>
                <w:szCs w:val="18"/>
              </w:rPr>
              <w:t> 兴业提起上诉，二审维持原 判。</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5" w:lineRule="exact" w:before="121"/>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67" w:lineRule="exact"/>
              <w:ind w:left="182" w:right="0"/>
              <w:jc w:val="left"/>
              <w:rPr>
                <w:rFonts w:ascii="Times New Roman" w:hAnsi="Times New Roman" w:cs="Times New Roman" w:eastAsia="Times New Roman" w:hint="default"/>
                <w:sz w:val="18"/>
                <w:szCs w:val="18"/>
              </w:rPr>
            </w:pPr>
            <w:r>
              <w:rPr>
                <w:rFonts w:ascii="Times New Roman"/>
                <w:sz w:val="18"/>
              </w:rPr>
              <w:t>19.5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胜诉</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32" w:lineRule="auto"/>
              <w:ind w:left="26" w:right="18"/>
              <w:jc w:val="center"/>
              <w:rPr>
                <w:rFonts w:ascii="宋体" w:hAnsi="宋体" w:cs="宋体" w:eastAsia="宋体" w:hint="default"/>
                <w:sz w:val="18"/>
                <w:szCs w:val="18"/>
              </w:rPr>
            </w:pPr>
            <w:r>
              <w:rPr>
                <w:rFonts w:ascii="宋体" w:hAnsi="宋体" w:cs="宋体" w:eastAsia="宋体" w:hint="default"/>
                <w:sz w:val="18"/>
                <w:szCs w:val="18"/>
              </w:rPr>
              <w:t>一审判决华明兴业支付泰豪</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19.5 </w:t>
            </w:r>
            <w:r>
              <w:rPr>
                <w:rFonts w:ascii="宋体" w:hAnsi="宋体" w:cs="宋体" w:eastAsia="宋体" w:hint="default"/>
                <w:spacing w:val="-2"/>
                <w:sz w:val="18"/>
                <w:szCs w:val="18"/>
              </w:rPr>
              <w:t>万元及违约金，华明兴业提起上</w:t>
            </w:r>
            <w:r>
              <w:rPr>
                <w:rFonts w:ascii="宋体" w:hAnsi="宋体" w:cs="宋体" w:eastAsia="宋体" w:hint="default"/>
                <w:sz w:val="18"/>
                <w:szCs w:val="18"/>
              </w:rPr>
              <w:t> 诉，二审维持原判。</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7" w:lineRule="auto"/>
              <w:ind w:left="23" w:right="22" w:firstLine="45"/>
              <w:jc w:val="both"/>
              <w:rPr>
                <w:rFonts w:ascii="宋体" w:hAnsi="宋体" w:cs="宋体" w:eastAsia="宋体" w:hint="default"/>
                <w:sz w:val="18"/>
                <w:szCs w:val="18"/>
              </w:rPr>
            </w:pPr>
            <w:r>
              <w:rPr>
                <w:rFonts w:ascii="宋体" w:hAnsi="宋体" w:cs="宋体" w:eastAsia="宋体" w:hint="default"/>
                <w:sz w:val="18"/>
                <w:szCs w:val="18"/>
              </w:rPr>
              <w:t>已执行 回款完 </w:t>
            </w:r>
            <w:r>
              <w:rPr>
                <w:rFonts w:ascii="宋体" w:hAnsi="宋体" w:cs="宋体" w:eastAsia="宋体" w:hint="default"/>
                <w:spacing w:val="-23"/>
                <w:sz w:val="18"/>
                <w:szCs w:val="18"/>
              </w:rPr>
              <w:t>毕，结案</w:t>
            </w:r>
          </w:p>
        </w:tc>
        <w:tc>
          <w:tcPr>
            <w:tcW w:w="78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55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63"/>
              <w:ind w:left="23"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月，公司全资子公司</w:t>
            </w:r>
            <w:r>
              <w:rPr>
                <w:rFonts w:ascii="宋体" w:hAnsi="宋体" w:cs="宋体" w:eastAsia="宋体" w:hint="default"/>
                <w:sz w:val="18"/>
                <w:szCs w:val="18"/>
              </w:rPr>
              <w:t> 北京泰豪智能工程有限公司</w:t>
            </w:r>
          </w:p>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pacing w:val="-2"/>
                <w:sz w:val="18"/>
                <w:szCs w:val="18"/>
              </w:rPr>
              <w:t>（原告）起诉北京华明兴业建</w:t>
            </w:r>
          </w:p>
          <w:p>
            <w:pPr>
              <w:pStyle w:val="TableParagraph"/>
              <w:spacing w:line="237" w:lineRule="auto"/>
              <w:ind w:left="24" w:right="101" w:hanging="12"/>
              <w:jc w:val="center"/>
              <w:rPr>
                <w:rFonts w:ascii="宋体" w:hAnsi="宋体" w:cs="宋体" w:eastAsia="宋体" w:hint="default"/>
                <w:sz w:val="18"/>
                <w:szCs w:val="18"/>
              </w:rPr>
            </w:pPr>
            <w:r>
              <w:rPr>
                <w:rFonts w:ascii="宋体" w:hAnsi="宋体" w:cs="宋体" w:eastAsia="宋体" w:hint="default"/>
                <w:spacing w:val="-9"/>
                <w:sz w:val="18"/>
                <w:szCs w:val="18"/>
              </w:rPr>
              <w:t>筑装饰工程有限公司（被告）</w:t>
            </w:r>
            <w:r>
              <w:rPr>
                <w:rFonts w:ascii="宋体" w:hAnsi="宋体" w:cs="宋体" w:eastAsia="宋体" w:hint="default"/>
                <w:spacing w:val="-92"/>
                <w:sz w:val="18"/>
                <w:szCs w:val="18"/>
              </w:rPr>
              <w:t> </w:t>
            </w:r>
            <w:r>
              <w:rPr>
                <w:rFonts w:ascii="宋体" w:hAnsi="宋体" w:cs="宋体" w:eastAsia="宋体" w:hint="default"/>
                <w:sz w:val="18"/>
                <w:szCs w:val="18"/>
              </w:rPr>
              <w:t>法院判决华明兴业支付泰豪</w:t>
            </w:r>
            <w:r>
              <w:rPr>
                <w:rFonts w:ascii="宋体" w:hAnsi="宋体" w:cs="宋体" w:eastAsia="宋体" w:hint="default"/>
                <w:sz w:val="18"/>
                <w:szCs w:val="18"/>
              </w:rPr>
              <w:t> </w:t>
            </w:r>
            <w:r>
              <w:rPr>
                <w:rFonts w:ascii="Times New Roman" w:hAnsi="Times New Roman" w:cs="Times New Roman" w:eastAsia="Times New Roman" w:hint="default"/>
                <w:sz w:val="18"/>
                <w:szCs w:val="18"/>
              </w:rPr>
              <w:t>36.38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万元及违约金。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w:t>
            </w:r>
            <w:r>
              <w:rPr>
                <w:rFonts w:ascii="宋体" w:hAnsi="宋体" w:cs="宋体" w:eastAsia="宋体" w:hint="default"/>
                <w:spacing w:val="-7"/>
                <w:position w:val="-11"/>
                <w:sz w:val="18"/>
                <w:szCs w:val="18"/>
              </w:rPr>
              <w:t> </w:t>
            </w:r>
            <w:r>
              <w:rPr>
                <w:rFonts w:ascii="Times New Roman" w:hAnsi="Times New Roman" w:cs="Times New Roman" w:eastAsia="Times New Roman" w:hint="default"/>
                <w:sz w:val="18"/>
                <w:szCs w:val="18"/>
              </w:rPr>
              <w:t>36.38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胜诉</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0"/>
              <w:ind w:left="736" w:right="35" w:hanging="699"/>
              <w:jc w:val="left"/>
              <w:rPr>
                <w:rFonts w:ascii="宋体" w:hAnsi="宋体" w:cs="宋体" w:eastAsia="宋体" w:hint="default"/>
                <w:sz w:val="18"/>
                <w:szCs w:val="18"/>
              </w:rPr>
            </w:pPr>
            <w:r>
              <w:rPr>
                <w:rFonts w:ascii="宋体" w:hAnsi="宋体" w:cs="宋体" w:eastAsia="宋体" w:hint="default"/>
                <w:sz w:val="18"/>
                <w:szCs w:val="18"/>
              </w:rPr>
              <w:t>判决华明兴业支付泰豪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元及违约金。</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37" w:lineRule="auto"/>
              <w:ind w:left="23" w:right="22" w:firstLine="45"/>
              <w:jc w:val="both"/>
              <w:rPr>
                <w:rFonts w:ascii="宋体" w:hAnsi="宋体" w:cs="宋体" w:eastAsia="宋体" w:hint="default"/>
                <w:sz w:val="18"/>
                <w:szCs w:val="18"/>
              </w:rPr>
            </w:pPr>
            <w:r>
              <w:rPr>
                <w:rFonts w:ascii="宋体" w:hAnsi="宋体" w:cs="宋体" w:eastAsia="宋体" w:hint="default"/>
                <w:sz w:val="18"/>
                <w:szCs w:val="18"/>
              </w:rPr>
              <w:t>已执行 回款完 </w:t>
            </w:r>
            <w:r>
              <w:rPr>
                <w:rFonts w:ascii="宋体" w:hAnsi="宋体" w:cs="宋体" w:eastAsia="宋体" w:hint="default"/>
                <w:spacing w:val="-23"/>
                <w:sz w:val="18"/>
                <w:szCs w:val="18"/>
              </w:rPr>
              <w:t>毕，结案</w:t>
            </w:r>
          </w:p>
        </w:tc>
        <w:tc>
          <w:tcPr>
            <w:tcW w:w="78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55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63"/>
              <w:ind w:left="23"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月，公司全资子公司</w:t>
            </w:r>
            <w:r>
              <w:rPr>
                <w:rFonts w:ascii="宋体" w:hAnsi="宋体" w:cs="宋体" w:eastAsia="宋体" w:hint="default"/>
                <w:sz w:val="18"/>
                <w:szCs w:val="18"/>
              </w:rPr>
              <w:t> 北京泰豪智能工程有限公司</w:t>
            </w:r>
          </w:p>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pacing w:val="-2"/>
                <w:sz w:val="18"/>
                <w:szCs w:val="18"/>
              </w:rPr>
              <w:t>（原告）起诉北京华明兴业建</w:t>
            </w:r>
          </w:p>
          <w:p>
            <w:pPr>
              <w:pStyle w:val="TableParagraph"/>
              <w:spacing w:line="237" w:lineRule="auto"/>
              <w:ind w:left="24" w:right="101" w:hanging="12"/>
              <w:jc w:val="center"/>
              <w:rPr>
                <w:rFonts w:ascii="宋体" w:hAnsi="宋体" w:cs="宋体" w:eastAsia="宋体" w:hint="default"/>
                <w:sz w:val="18"/>
                <w:szCs w:val="18"/>
              </w:rPr>
            </w:pPr>
            <w:r>
              <w:rPr>
                <w:rFonts w:ascii="宋体" w:hAnsi="宋体" w:cs="宋体" w:eastAsia="宋体" w:hint="default"/>
                <w:spacing w:val="-9"/>
                <w:sz w:val="18"/>
                <w:szCs w:val="18"/>
              </w:rPr>
              <w:t>筑装饰工程有限公司（被告）</w:t>
            </w:r>
            <w:r>
              <w:rPr>
                <w:rFonts w:ascii="宋体" w:hAnsi="宋体" w:cs="宋体" w:eastAsia="宋体" w:hint="default"/>
                <w:spacing w:val="-92"/>
                <w:sz w:val="18"/>
                <w:szCs w:val="18"/>
              </w:rPr>
              <w:t> </w:t>
            </w:r>
            <w:r>
              <w:rPr>
                <w:rFonts w:ascii="宋体" w:hAnsi="宋体" w:cs="宋体" w:eastAsia="宋体" w:hint="default"/>
                <w:sz w:val="18"/>
                <w:szCs w:val="18"/>
              </w:rPr>
              <w:t>法院判决华明兴业支付泰豪</w:t>
            </w:r>
            <w:r>
              <w:rPr>
                <w:rFonts w:ascii="宋体" w:hAnsi="宋体" w:cs="宋体" w:eastAsia="宋体" w:hint="default"/>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万元及违约金。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 </w:t>
            </w:r>
            <w:r>
              <w:rPr>
                <w:rFonts w:ascii="宋体" w:hAnsi="宋体" w:cs="宋体" w:eastAsia="宋体" w:hint="default"/>
                <w:spacing w:val="15"/>
                <w:position w:val="-11"/>
                <w:sz w:val="18"/>
                <w:szCs w:val="18"/>
              </w:rPr>
              <w:t> </w:t>
            </w:r>
            <w:r>
              <w:rPr>
                <w:rFonts w:ascii="Times New Roman" w:hAnsi="Times New Roman" w:cs="Times New Roman" w:eastAsia="Times New Roman" w:hint="default"/>
                <w:sz w:val="18"/>
                <w:szCs w:val="18"/>
              </w:rPr>
              <w:t>18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胜诉</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0"/>
              <w:ind w:left="825" w:right="53" w:hanging="766"/>
              <w:jc w:val="left"/>
              <w:rPr>
                <w:rFonts w:ascii="宋体" w:hAnsi="宋体" w:cs="宋体" w:eastAsia="宋体" w:hint="default"/>
                <w:sz w:val="18"/>
                <w:szCs w:val="18"/>
              </w:rPr>
            </w:pPr>
            <w:r>
              <w:rPr>
                <w:rFonts w:ascii="宋体" w:hAnsi="宋体" w:cs="宋体" w:eastAsia="宋体" w:hint="default"/>
                <w:sz w:val="18"/>
                <w:szCs w:val="18"/>
              </w:rPr>
              <w:t>判决华明兴业支付泰豪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及违约金。</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37" w:lineRule="auto"/>
              <w:ind w:left="23" w:right="22" w:firstLine="45"/>
              <w:jc w:val="both"/>
              <w:rPr>
                <w:rFonts w:ascii="宋体" w:hAnsi="宋体" w:cs="宋体" w:eastAsia="宋体" w:hint="default"/>
                <w:sz w:val="18"/>
                <w:szCs w:val="18"/>
              </w:rPr>
            </w:pPr>
            <w:r>
              <w:rPr>
                <w:rFonts w:ascii="宋体" w:hAnsi="宋体" w:cs="宋体" w:eastAsia="宋体" w:hint="default"/>
                <w:sz w:val="18"/>
                <w:szCs w:val="18"/>
              </w:rPr>
              <w:t>已执行 回款完 </w:t>
            </w:r>
            <w:r>
              <w:rPr>
                <w:rFonts w:ascii="宋体" w:hAnsi="宋体" w:cs="宋体" w:eastAsia="宋体" w:hint="default"/>
                <w:spacing w:val="-23"/>
                <w:sz w:val="18"/>
                <w:szCs w:val="18"/>
              </w:rPr>
              <w:t>毕，结案</w:t>
            </w:r>
          </w:p>
        </w:tc>
        <w:tc>
          <w:tcPr>
            <w:tcW w:w="78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78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48"/>
              <w:ind w:left="23"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月，公司全资子公司</w:t>
            </w:r>
            <w:r>
              <w:rPr>
                <w:rFonts w:ascii="宋体" w:hAnsi="宋体" w:cs="宋体" w:eastAsia="宋体" w:hint="default"/>
                <w:sz w:val="18"/>
                <w:szCs w:val="18"/>
              </w:rPr>
              <w:t> 北京泰豪智能工程有限公司 被江苏世轩科技股份有限公 </w:t>
            </w:r>
            <w:r>
              <w:rPr>
                <w:rFonts w:ascii="宋体" w:hAnsi="宋体" w:cs="宋体" w:eastAsia="宋体" w:hint="default"/>
                <w:spacing w:val="-2"/>
                <w:sz w:val="18"/>
                <w:szCs w:val="18"/>
              </w:rPr>
              <w:t>司起诉，称泰豪智能工程拖欠</w:t>
            </w:r>
            <w:r>
              <w:rPr>
                <w:rFonts w:ascii="宋体" w:hAnsi="宋体" w:cs="宋体" w:eastAsia="宋体" w:hint="default"/>
                <w:sz w:val="18"/>
                <w:szCs w:val="18"/>
              </w:rPr>
              <w:t> 其</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万元工程款，请求判令</w:t>
            </w:r>
            <w:r>
              <w:rPr>
                <w:rFonts w:ascii="宋体" w:hAnsi="宋体" w:cs="宋体" w:eastAsia="宋体" w:hint="default"/>
                <w:sz w:val="18"/>
                <w:szCs w:val="18"/>
              </w:rPr>
              <w:t> 泰豪智能工程支付江苏世轩 </w:t>
            </w:r>
            <w:r>
              <w:rPr>
                <w:rFonts w:ascii="Times New Roman" w:hAnsi="Times New Roman" w:cs="Times New Roman" w:eastAsia="Times New Roman" w:hint="default"/>
                <w:sz w:val="18"/>
                <w:szCs w:val="18"/>
              </w:rPr>
              <w:t>151 </w:t>
            </w:r>
            <w:r>
              <w:rPr>
                <w:rFonts w:ascii="宋体" w:hAnsi="宋体" w:cs="宋体" w:eastAsia="宋体" w:hint="default"/>
                <w:sz w:val="18"/>
                <w:szCs w:val="18"/>
              </w:rPr>
              <w:t>万元工程款及利息。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94"/>
              <w:jc w:val="right"/>
              <w:rPr>
                <w:rFonts w:ascii="Times New Roman" w:hAnsi="Times New Roman" w:cs="Times New Roman" w:eastAsia="Times New Roman" w:hint="default"/>
                <w:sz w:val="18"/>
                <w:szCs w:val="18"/>
              </w:rPr>
            </w:pPr>
            <w:r>
              <w:rPr>
                <w:rFonts w:ascii="Times New Roman"/>
                <w:sz w:val="18"/>
              </w:rPr>
              <w:t>151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一审结案</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0"/>
              <w:ind w:left="26" w:right="19"/>
              <w:jc w:val="center"/>
              <w:rPr>
                <w:rFonts w:ascii="宋体" w:hAnsi="宋体" w:cs="宋体" w:eastAsia="宋体" w:hint="default"/>
                <w:sz w:val="18"/>
                <w:szCs w:val="18"/>
              </w:rPr>
            </w:pPr>
            <w:r>
              <w:rPr>
                <w:rFonts w:ascii="宋体" w:hAnsi="宋体" w:cs="宋体" w:eastAsia="宋体" w:hint="default"/>
                <w:spacing w:val="-2"/>
                <w:sz w:val="18"/>
                <w:szCs w:val="18"/>
              </w:rPr>
              <w:t>一审判决结果：判令泰豪智能工</w:t>
            </w:r>
            <w:r>
              <w:rPr>
                <w:rFonts w:ascii="宋体" w:hAnsi="宋体" w:cs="宋体" w:eastAsia="宋体" w:hint="default"/>
                <w:sz w:val="18"/>
                <w:szCs w:val="18"/>
              </w:rPr>
              <w:t> 程支付江苏世轩</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万元工程款 及利息。</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0"/>
              <w:ind w:left="23" w:right="22" w:firstLine="2"/>
              <w:jc w:val="center"/>
              <w:rPr>
                <w:rFonts w:ascii="宋体" w:hAnsi="宋体" w:cs="宋体" w:eastAsia="宋体" w:hint="default"/>
                <w:sz w:val="18"/>
                <w:szCs w:val="18"/>
              </w:rPr>
            </w:pPr>
            <w:r>
              <w:rPr>
                <w:rFonts w:ascii="宋体" w:hAnsi="宋体" w:cs="宋体" w:eastAsia="宋体" w:hint="default"/>
                <w:sz w:val="18"/>
                <w:szCs w:val="18"/>
              </w:rPr>
              <w:t>已付款 </w:t>
            </w:r>
            <w:r>
              <w:rPr>
                <w:rFonts w:ascii="宋体" w:hAnsi="宋体" w:cs="宋体" w:eastAsia="宋体" w:hint="default"/>
                <w:spacing w:val="-23"/>
                <w:sz w:val="18"/>
                <w:szCs w:val="18"/>
              </w:rPr>
              <w:t>完毕，结</w:t>
            </w:r>
            <w:r>
              <w:rPr>
                <w:rFonts w:ascii="宋体" w:hAnsi="宋体" w:cs="宋体" w:eastAsia="宋体" w:hint="default"/>
                <w:sz w:val="18"/>
                <w:szCs w:val="18"/>
              </w:rPr>
              <w:t> 案</w:t>
            </w:r>
          </w:p>
        </w:tc>
        <w:tc>
          <w:tcPr>
            <w:tcW w:w="78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376"/>
        <w:gridCol w:w="684"/>
        <w:gridCol w:w="792"/>
        <w:gridCol w:w="965"/>
        <w:gridCol w:w="2558"/>
        <w:gridCol w:w="686"/>
        <w:gridCol w:w="785"/>
        <w:gridCol w:w="850"/>
      </w:tblGrid>
      <w:tr>
        <w:trPr>
          <w:trHeight w:val="1320"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50"/>
              <w:ind w:left="23"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月，原告南京嘉环科</w:t>
            </w:r>
            <w:r>
              <w:rPr>
                <w:rFonts w:ascii="宋体" w:hAnsi="宋体" w:cs="宋体" w:eastAsia="宋体" w:hint="default"/>
                <w:sz w:val="18"/>
                <w:szCs w:val="18"/>
              </w:rPr>
              <w:t> 技有限公司起诉公司全资子 公司北京泰豪智能工程有限 公司支付货款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万元及违 约金。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6" w:right="0"/>
              <w:jc w:val="center"/>
              <w:rPr>
                <w:rFonts w:ascii="Times New Roman" w:hAnsi="Times New Roman" w:cs="Times New Roman" w:eastAsia="Times New Roman" w:hint="default"/>
                <w:sz w:val="18"/>
                <w:szCs w:val="18"/>
              </w:rPr>
            </w:pPr>
            <w:r>
              <w:rPr>
                <w:rFonts w:ascii="Times New Roman"/>
                <w:sz w:val="18"/>
              </w:rPr>
              <w:t>43.2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结案</w:t>
            </w:r>
          </w:p>
        </w:tc>
        <w:tc>
          <w:tcPr>
            <w:tcW w:w="255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经法院调解，泰豪一次性支付其</w:t>
            </w:r>
          </w:p>
          <w:p>
            <w:pPr>
              <w:pStyle w:val="TableParagraph"/>
              <w:spacing w:line="248"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万元货款及违约金</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w:t>
            </w:r>
          </w:p>
        </w:tc>
        <w:tc>
          <w:tcPr>
            <w:tcW w:w="68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6" w:right="22" w:firstLine="45"/>
              <w:jc w:val="left"/>
              <w:rPr>
                <w:rFonts w:ascii="宋体" w:hAnsi="宋体" w:cs="宋体" w:eastAsia="宋体" w:hint="default"/>
                <w:sz w:val="18"/>
                <w:szCs w:val="18"/>
              </w:rPr>
            </w:pPr>
            <w:r>
              <w:rPr>
                <w:rFonts w:ascii="宋体" w:hAnsi="宋体" w:cs="宋体" w:eastAsia="宋体" w:hint="default"/>
                <w:sz w:val="18"/>
                <w:szCs w:val="18"/>
              </w:rPr>
              <w:t>已付款 </w:t>
            </w:r>
            <w:r>
              <w:rPr>
                <w:rFonts w:ascii="宋体" w:hAnsi="宋体" w:cs="宋体" w:eastAsia="宋体" w:hint="default"/>
                <w:spacing w:val="-23"/>
                <w:sz w:val="18"/>
                <w:szCs w:val="18"/>
              </w:rPr>
              <w:t>完毕，结</w:t>
            </w:r>
          </w:p>
          <w:p>
            <w:pPr>
              <w:pStyle w:val="TableParagraph"/>
              <w:spacing w:line="235" w:lineRule="exact"/>
              <w:ind w:left="-128"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9"/>
                <w:sz w:val="18"/>
                <w:szCs w:val="18"/>
              </w:rPr>
              <w:t> </w:t>
            </w:r>
            <w:r>
              <w:rPr>
                <w:rFonts w:ascii="宋体" w:hAnsi="宋体" w:cs="宋体" w:eastAsia="宋体" w:hint="default"/>
                <w:position w:val="-11"/>
                <w:sz w:val="18"/>
                <w:szCs w:val="18"/>
              </w:rPr>
              <w:t>案</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537"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31.45pt;height:26.9pt;mso-position-horizontal-relative:char;mso-position-vertical-relative:line" coordorigin="0,0" coordsize="629,538">
                  <v:group style="position:absolute;left:0;top:0;width:629;height:233" coordorigin="0,0" coordsize="629,233">
                    <v:shape style="position:absolute;left:0;top:0;width:629;height:233" coordorigin="0,0" coordsize="629,233" path="m0,233l629,233,629,0,0,0,0,233xe" filled="true" fillcolor="#ffffff" stroked="false">
                      <v:path arrowok="t"/>
                      <v:fill type="solid"/>
                    </v:shape>
                  </v:group>
                  <v:group style="position:absolute;left:0;top:233;width:629;height:305" coordorigin="0,233" coordsize="629,305">
                    <v:shape style="position:absolute;left:0;top:233;width:629;height:305" coordorigin="0,233" coordsize="629,305" path="m0,538l629,538,629,233,0,233,0,538xe" filled="true" fillcolor="#ffffff" stroked="false">
                      <v:path arrowok="t"/>
                      <v:fill type="solid"/>
                    </v:shape>
                  </v:group>
                </v:group>
              </w:pict>
            </w:r>
            <w:r>
              <w:rPr>
                <w:rFonts w:ascii="Times New Roman" w:hAnsi="Times New Roman" w:cs="Times New Roman" w:eastAsia="Times New Roman" w:hint="default"/>
                <w:position w:val="-10"/>
                <w:sz w:val="20"/>
                <w:szCs w:val="20"/>
              </w:rPr>
            </w:r>
          </w:p>
          <w:p>
            <w:pPr>
              <w:pStyle w:val="TableParagraph"/>
              <w:spacing w:line="240" w:lineRule="auto" w:before="3"/>
              <w:ind w:right="0"/>
              <w:jc w:val="left"/>
              <w:rPr>
                <w:rFonts w:ascii="Times New Roman" w:hAnsi="Times New Roman" w:cs="Times New Roman" w:eastAsia="Times New Roman" w:hint="default"/>
                <w:sz w:val="20"/>
                <w:szCs w:val="20"/>
              </w:rPr>
            </w:pPr>
          </w:p>
        </w:tc>
        <w:tc>
          <w:tcPr>
            <w:tcW w:w="78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32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月，被申请人紫衡阳</w:t>
            </w:r>
          </w:p>
          <w:p>
            <w:pPr>
              <w:pStyle w:val="TableParagraph"/>
              <w:spacing w:line="232" w:lineRule="auto"/>
              <w:ind w:left="23" w:right="0" w:hanging="22"/>
              <w:jc w:val="center"/>
              <w:rPr>
                <w:rFonts w:ascii="宋体" w:hAnsi="宋体" w:cs="宋体" w:eastAsia="宋体" w:hint="default"/>
                <w:sz w:val="18"/>
                <w:szCs w:val="18"/>
              </w:rPr>
            </w:pPr>
            <w:r>
              <w:rPr>
                <w:rFonts w:ascii="宋体" w:hAnsi="宋体" w:cs="宋体" w:eastAsia="宋体" w:hint="default"/>
                <w:sz w:val="18"/>
                <w:szCs w:val="18"/>
              </w:rPr>
              <w:t>光公司仍有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万元质保金 </w:t>
            </w:r>
            <w:r>
              <w:rPr>
                <w:rFonts w:ascii="宋体" w:hAnsi="宋体" w:cs="宋体" w:eastAsia="宋体" w:hint="default"/>
                <w:spacing w:val="-2"/>
                <w:sz w:val="18"/>
                <w:szCs w:val="18"/>
              </w:rPr>
              <w:t>未支付。紫衡阳光公司向第四</w:t>
            </w:r>
            <w:r>
              <w:rPr>
                <w:rFonts w:ascii="宋体" w:hAnsi="宋体" w:cs="宋体" w:eastAsia="宋体" w:hint="default"/>
                <w:sz w:val="18"/>
                <w:szCs w:val="18"/>
              </w:rPr>
              <w:t> 中级人民法院确认仲裁效力， 后被驳回。</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7" w:right="0"/>
              <w:jc w:val="center"/>
              <w:rPr>
                <w:rFonts w:ascii="Times New Roman" w:hAnsi="Times New Roman" w:cs="Times New Roman" w:eastAsia="Times New Roman" w:hint="default"/>
                <w:sz w:val="18"/>
                <w:szCs w:val="18"/>
              </w:rPr>
            </w:pPr>
            <w:r>
              <w:rPr>
                <w:rFonts w:ascii="Times New Roman"/>
                <w:sz w:val="18"/>
              </w:rPr>
              <w:t>20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未开庭</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恢复仲裁</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55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46"/>
              <w:ind w:left="23"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月，公司全资子公司</w:t>
            </w:r>
            <w:r>
              <w:rPr>
                <w:rFonts w:ascii="宋体" w:hAnsi="宋体" w:cs="宋体" w:eastAsia="宋体" w:hint="default"/>
                <w:sz w:val="18"/>
                <w:szCs w:val="18"/>
              </w:rPr>
              <w:t> 北京泰豪智能工程有限公司 被河北建设集团股份有限公 </w:t>
            </w:r>
            <w:r>
              <w:rPr>
                <w:rFonts w:ascii="宋体" w:hAnsi="宋体" w:cs="宋体" w:eastAsia="宋体" w:hint="default"/>
                <w:spacing w:val="-2"/>
                <w:sz w:val="18"/>
                <w:szCs w:val="18"/>
              </w:rPr>
              <w:t>司起诉，称泰豪未支付其总承</w:t>
            </w:r>
            <w:r>
              <w:rPr>
                <w:rFonts w:ascii="宋体" w:hAnsi="宋体" w:cs="宋体" w:eastAsia="宋体" w:hint="default"/>
                <w:sz w:val="18"/>
                <w:szCs w:val="18"/>
              </w:rPr>
              <w:t> 包配合服务管理费及滞纳金 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万余元。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36.7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已结案</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32" w:lineRule="auto"/>
              <w:ind w:left="26" w:right="19"/>
              <w:jc w:val="center"/>
              <w:rPr>
                <w:rFonts w:ascii="宋体" w:hAnsi="宋体" w:cs="宋体" w:eastAsia="宋体" w:hint="default"/>
                <w:sz w:val="18"/>
                <w:szCs w:val="18"/>
              </w:rPr>
            </w:pPr>
            <w:r>
              <w:rPr>
                <w:rFonts w:ascii="宋体" w:hAnsi="宋体" w:cs="宋体" w:eastAsia="宋体" w:hint="default"/>
                <w:spacing w:val="-2"/>
                <w:sz w:val="18"/>
                <w:szCs w:val="18"/>
              </w:rPr>
              <w:t>经法院调解，泰豪一次性支付对</w:t>
            </w:r>
            <w:r>
              <w:rPr>
                <w:rFonts w:ascii="宋体" w:hAnsi="宋体" w:cs="宋体" w:eastAsia="宋体" w:hint="default"/>
                <w:sz w:val="18"/>
                <w:szCs w:val="18"/>
              </w:rPr>
              <w:t> 方总承包配合服务管理费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0"/>
              <w:ind w:left="158" w:right="65" w:hanging="89"/>
              <w:jc w:val="left"/>
              <w:rPr>
                <w:rFonts w:ascii="宋体" w:hAnsi="宋体" w:cs="宋体" w:eastAsia="宋体" w:hint="default"/>
                <w:sz w:val="18"/>
                <w:szCs w:val="18"/>
              </w:rPr>
            </w:pPr>
            <w:r>
              <w:rPr>
                <w:rFonts w:ascii="宋体" w:hAnsi="宋体" w:cs="宋体" w:eastAsia="宋体" w:hint="default"/>
                <w:sz w:val="18"/>
                <w:szCs w:val="18"/>
              </w:rPr>
              <w:t>已支付 完毕</w:t>
            </w:r>
          </w:p>
        </w:tc>
        <w:tc>
          <w:tcPr>
            <w:tcW w:w="78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202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35" w:lineRule="auto"/>
              <w:ind w:left="23"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月，公司全资子公司</w:t>
            </w:r>
            <w:r>
              <w:rPr>
                <w:rFonts w:ascii="宋体" w:hAnsi="宋体" w:cs="宋体" w:eastAsia="宋体" w:hint="default"/>
                <w:sz w:val="18"/>
                <w:szCs w:val="18"/>
              </w:rPr>
              <w:t> 北京泰豪新能源科技有限公 </w:t>
            </w:r>
            <w:r>
              <w:rPr>
                <w:rFonts w:ascii="宋体" w:hAnsi="宋体" w:cs="宋体" w:eastAsia="宋体" w:hint="default"/>
                <w:spacing w:val="-2"/>
                <w:sz w:val="18"/>
                <w:szCs w:val="18"/>
              </w:rPr>
              <w:t>司（原名北京泰豪太阳能电源</w:t>
            </w:r>
            <w:r>
              <w:rPr>
                <w:rFonts w:ascii="宋体" w:hAnsi="宋体" w:cs="宋体" w:eastAsia="宋体" w:hint="default"/>
                <w:sz w:val="18"/>
                <w:szCs w:val="18"/>
              </w:rPr>
              <w:t> </w:t>
            </w:r>
            <w:r>
              <w:rPr>
                <w:rFonts w:ascii="宋体" w:hAnsi="宋体" w:cs="宋体" w:eastAsia="宋体" w:hint="default"/>
                <w:spacing w:val="-2"/>
                <w:sz w:val="18"/>
                <w:szCs w:val="18"/>
              </w:rPr>
              <w:t>技术有限公司）起诉大连瀚腾</w:t>
            </w:r>
            <w:r>
              <w:rPr>
                <w:rFonts w:ascii="宋体" w:hAnsi="宋体" w:cs="宋体" w:eastAsia="宋体" w:hint="default"/>
                <w:sz w:val="18"/>
                <w:szCs w:val="18"/>
              </w:rPr>
              <w:t> 机电设备有限公司拖欠工程 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233 </w:t>
            </w:r>
            <w:r>
              <w:rPr>
                <w:rFonts w:ascii="宋体" w:hAnsi="宋体" w:cs="宋体" w:eastAsia="宋体" w:hint="default"/>
                <w:sz w:val="18"/>
                <w:szCs w:val="18"/>
              </w:rPr>
              <w:t>万元及违约金。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233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未结案</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4"/>
              <w:ind w:left="26" w:right="19" w:hanging="3"/>
              <w:jc w:val="center"/>
              <w:rPr>
                <w:rFonts w:ascii="宋体" w:hAnsi="宋体" w:cs="宋体" w:eastAsia="宋体" w:hint="default"/>
                <w:sz w:val="18"/>
                <w:szCs w:val="18"/>
              </w:rPr>
            </w:pPr>
            <w:r>
              <w:rPr>
                <w:rFonts w:ascii="宋体" w:hAnsi="宋体" w:cs="宋体" w:eastAsia="宋体" w:hint="default"/>
                <w:sz w:val="18"/>
                <w:szCs w:val="18"/>
              </w:rPr>
              <w:t>一审判决原告北京泰豪新能源 </w:t>
            </w:r>
            <w:r>
              <w:rPr>
                <w:rFonts w:ascii="宋体" w:hAnsi="宋体" w:cs="宋体" w:eastAsia="宋体" w:hint="default"/>
                <w:spacing w:val="-2"/>
                <w:sz w:val="18"/>
                <w:szCs w:val="18"/>
              </w:rPr>
              <w:t>科技有限公司胜诉，被告大连瀚</w:t>
            </w:r>
            <w:r>
              <w:rPr>
                <w:rFonts w:ascii="宋体" w:hAnsi="宋体" w:cs="宋体" w:eastAsia="宋体" w:hint="default"/>
                <w:sz w:val="18"/>
                <w:szCs w:val="18"/>
              </w:rPr>
              <w:t> 腾机电设备有限公司拖欠工程 款</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万元及违约金，后被告大</w:t>
            </w:r>
          </w:p>
          <w:p>
            <w:pPr>
              <w:pStyle w:val="TableParagraph"/>
              <w:spacing w:line="232" w:lineRule="exact" w:before="8"/>
              <w:ind w:left="26" w:right="0"/>
              <w:jc w:val="center"/>
              <w:rPr>
                <w:rFonts w:ascii="宋体" w:hAnsi="宋体" w:cs="宋体" w:eastAsia="宋体" w:hint="default"/>
                <w:sz w:val="18"/>
                <w:szCs w:val="18"/>
              </w:rPr>
            </w:pPr>
            <w:r>
              <w:rPr>
                <w:rFonts w:ascii="宋体" w:hAnsi="宋体" w:cs="宋体" w:eastAsia="宋体" w:hint="default"/>
                <w:sz w:val="18"/>
                <w:szCs w:val="18"/>
              </w:rPr>
              <w:t>连瀚腾机电设备有限公司上诉， 裁定结果撤销原审人民法院民</w:t>
            </w:r>
          </w:p>
          <w:p>
            <w:pPr>
              <w:pStyle w:val="TableParagraph"/>
              <w:spacing w:line="232" w:lineRule="exact" w:before="3"/>
              <w:ind w:left="26" w:right="19"/>
              <w:jc w:val="center"/>
              <w:rPr>
                <w:rFonts w:ascii="宋体" w:hAnsi="宋体" w:cs="宋体" w:eastAsia="宋体" w:hint="default"/>
                <w:sz w:val="18"/>
                <w:szCs w:val="18"/>
              </w:rPr>
            </w:pPr>
            <w:r>
              <w:rPr>
                <w:rFonts w:ascii="宋体" w:hAnsi="宋体" w:cs="宋体" w:eastAsia="宋体" w:hint="default"/>
                <w:spacing w:val="-2"/>
                <w:sz w:val="18"/>
                <w:szCs w:val="18"/>
              </w:rPr>
              <w:t>事判决，本案发回重审，二审尚</w:t>
            </w:r>
            <w:r>
              <w:rPr>
                <w:rFonts w:ascii="宋体" w:hAnsi="宋体" w:cs="宋体" w:eastAsia="宋体" w:hint="default"/>
                <w:sz w:val="18"/>
                <w:szCs w:val="18"/>
              </w:rPr>
              <w:t> 未审结</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未支付</w:t>
            </w:r>
          </w:p>
        </w:tc>
        <w:tc>
          <w:tcPr>
            <w:tcW w:w="78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225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46"/>
              <w:ind w:left="23" w:right="0" w:hanging="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月，公司全资子公司</w:t>
            </w:r>
            <w:r>
              <w:rPr>
                <w:rFonts w:ascii="宋体" w:hAnsi="宋体" w:cs="宋体" w:eastAsia="宋体" w:hint="default"/>
                <w:sz w:val="18"/>
                <w:szCs w:val="18"/>
              </w:rPr>
              <w:t> 北京泰豪智能工程有限公司 起诉甘肃省广播电视网络股 </w:t>
            </w:r>
            <w:r>
              <w:rPr>
                <w:rFonts w:ascii="宋体" w:hAnsi="宋体" w:cs="宋体" w:eastAsia="宋体" w:hint="default"/>
                <w:spacing w:val="-2"/>
                <w:sz w:val="18"/>
                <w:szCs w:val="18"/>
              </w:rPr>
              <w:t>份有限公司兰州分公司、甘肃</w:t>
            </w:r>
            <w:r>
              <w:rPr>
                <w:rFonts w:ascii="宋体" w:hAnsi="宋体" w:cs="宋体" w:eastAsia="宋体" w:hint="default"/>
                <w:sz w:val="18"/>
                <w:szCs w:val="18"/>
              </w:rPr>
              <w:t> 兰穗建设工程有限责任公司、 兰州兰石建设工程有限公司、 兰州兰石房地产开发有限公 </w:t>
            </w:r>
            <w:r>
              <w:rPr>
                <w:rFonts w:ascii="宋体" w:hAnsi="宋体" w:cs="宋体" w:eastAsia="宋体" w:hint="default"/>
                <w:spacing w:val="-2"/>
                <w:sz w:val="18"/>
                <w:szCs w:val="18"/>
              </w:rPr>
              <w:t>司、兰州兰石集团有限公司支</w:t>
            </w:r>
            <w:r>
              <w:rPr>
                <w:rFonts w:ascii="宋体" w:hAnsi="宋体" w:cs="宋体" w:eastAsia="宋体" w:hint="default"/>
                <w:sz w:val="18"/>
                <w:szCs w:val="18"/>
              </w:rPr>
              <w:t> 付工程款及其损失。</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 w:right="0"/>
              <w:jc w:val="center"/>
              <w:rPr>
                <w:rFonts w:ascii="宋体" w:hAnsi="宋体" w:cs="宋体" w:eastAsia="宋体" w:hint="default"/>
                <w:sz w:val="18"/>
                <w:szCs w:val="18"/>
              </w:rPr>
            </w:pPr>
            <w:r>
              <w:rPr>
                <w:rFonts w:ascii="宋体" w:hAnsi="宋体" w:cs="宋体" w:eastAsia="宋体" w:hint="default"/>
                <w:sz w:val="18"/>
                <w:szCs w:val="18"/>
              </w:rPr>
              <w:t>未结案</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 w:right="0"/>
              <w:jc w:val="center"/>
              <w:rPr>
                <w:rFonts w:ascii="宋体" w:hAnsi="宋体" w:cs="宋体" w:eastAsia="宋体" w:hint="default"/>
                <w:sz w:val="18"/>
                <w:szCs w:val="18"/>
              </w:rPr>
            </w:pPr>
            <w:r>
              <w:rPr>
                <w:rFonts w:ascii="宋体" w:hAnsi="宋体" w:cs="宋体" w:eastAsia="宋体" w:hint="default"/>
                <w:sz w:val="18"/>
                <w:szCs w:val="18"/>
              </w:rPr>
              <w:t>本案在报告期内尚未审结</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32" w:lineRule="exact"/>
              <w:ind w:left="158" w:right="65" w:hanging="89"/>
              <w:jc w:val="left"/>
              <w:rPr>
                <w:rFonts w:ascii="宋体" w:hAnsi="宋体" w:cs="宋体" w:eastAsia="宋体" w:hint="default"/>
                <w:sz w:val="18"/>
                <w:szCs w:val="18"/>
              </w:rPr>
            </w:pPr>
            <w:r>
              <w:rPr>
                <w:rFonts w:ascii="宋体" w:hAnsi="宋体" w:cs="宋体" w:eastAsia="宋体" w:hint="default"/>
                <w:sz w:val="18"/>
                <w:szCs w:val="18"/>
              </w:rPr>
              <w:t>未支付 完毕</w:t>
            </w:r>
          </w:p>
        </w:tc>
        <w:tc>
          <w:tcPr>
            <w:tcW w:w="78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55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46"/>
              <w:ind w:left="23"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月，公司全资子公司</w:t>
            </w:r>
            <w:r>
              <w:rPr>
                <w:rFonts w:ascii="宋体" w:hAnsi="宋体" w:cs="宋体" w:eastAsia="宋体" w:hint="default"/>
                <w:sz w:val="18"/>
                <w:szCs w:val="18"/>
              </w:rPr>
              <w:t> 北京泰豪智能工程子公司上 海信业智能科技滚有限公司 向上海市青浦区人民法院申 请冻结上海嘉登置业有限公 司价值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万元财产。</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已结案</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32" w:lineRule="exact"/>
              <w:ind w:left="26" w:right="19"/>
              <w:jc w:val="center"/>
              <w:rPr>
                <w:rFonts w:ascii="宋体" w:hAnsi="宋体" w:cs="宋体" w:eastAsia="宋体" w:hint="default"/>
                <w:sz w:val="18"/>
                <w:szCs w:val="18"/>
              </w:rPr>
            </w:pPr>
            <w:r>
              <w:rPr>
                <w:rFonts w:ascii="宋体" w:hAnsi="宋体" w:cs="宋体" w:eastAsia="宋体" w:hint="default"/>
                <w:spacing w:val="-2"/>
                <w:sz w:val="18"/>
                <w:szCs w:val="18"/>
              </w:rPr>
              <w:t>经法院审理裁定查封、冻结被申</w:t>
            </w:r>
            <w:r>
              <w:rPr>
                <w:rFonts w:ascii="宋体" w:hAnsi="宋体" w:cs="宋体" w:eastAsia="宋体" w:hint="default"/>
                <w:sz w:val="18"/>
                <w:szCs w:val="18"/>
              </w:rPr>
              <w:t> 请人上海嘉登置业有限公司价 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万元的财产</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58" w:right="65" w:hanging="89"/>
              <w:jc w:val="left"/>
              <w:rPr>
                <w:rFonts w:ascii="宋体" w:hAnsi="宋体" w:cs="宋体" w:eastAsia="宋体" w:hint="default"/>
                <w:sz w:val="18"/>
                <w:szCs w:val="18"/>
              </w:rPr>
            </w:pPr>
            <w:r>
              <w:rPr>
                <w:rFonts w:ascii="宋体" w:hAnsi="宋体" w:cs="宋体" w:eastAsia="宋体" w:hint="default"/>
                <w:sz w:val="18"/>
                <w:szCs w:val="18"/>
              </w:rPr>
              <w:t>已支付 完毕</w:t>
            </w:r>
          </w:p>
        </w:tc>
        <w:tc>
          <w:tcPr>
            <w:tcW w:w="78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3"/>
          <w:pgSz w:w="11910" w:h="16840"/>
          <w:pgMar w:footer="1134" w:header="0" w:top="1280" w:bottom="1320" w:left="980" w:right="0"/>
        </w:sectPr>
      </w:pPr>
    </w:p>
    <w:p>
      <w:pPr>
        <w:pStyle w:val="Heading2"/>
        <w:spacing w:line="240" w:lineRule="auto" w:before="106"/>
        <w:ind w:left="134" w:right="8343"/>
        <w:jc w:val="center"/>
        <w:rPr>
          <w:b w:val="0"/>
          <w:bCs w:val="0"/>
        </w:rPr>
      </w:pPr>
      <w:bookmarkStart w:name="十二、处罚及整改情况" w:id="125"/>
      <w:bookmarkEnd w:id="125"/>
      <w:r>
        <w:rPr>
          <w:b w:val="0"/>
          <w:bCs w:val="0"/>
        </w:rPr>
      </w:r>
      <w:r>
        <w:rPr/>
        <w:t>十二、处罚及整改情况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134" w:right="8302"/>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19"/>
          <w:szCs w:val="19"/>
        </w:rPr>
      </w:pPr>
    </w:p>
    <w:tbl>
      <w:tblPr>
        <w:tblW w:w="0" w:type="auto"/>
        <w:jc w:val="left"/>
        <w:tblInd w:w="148" w:type="dxa"/>
        <w:tblLayout w:type="fixed"/>
        <w:tblCellMar>
          <w:top w:w="0" w:type="dxa"/>
          <w:left w:w="0" w:type="dxa"/>
          <w:bottom w:w="0" w:type="dxa"/>
          <w:right w:w="0" w:type="dxa"/>
        </w:tblCellMar>
        <w:tblLook w:val="01E0"/>
      </w:tblPr>
      <w:tblGrid>
        <w:gridCol w:w="994"/>
        <w:gridCol w:w="991"/>
        <w:gridCol w:w="2119"/>
        <w:gridCol w:w="1366"/>
        <w:gridCol w:w="1366"/>
        <w:gridCol w:w="1366"/>
        <w:gridCol w:w="1370"/>
      </w:tblGrid>
      <w:tr>
        <w:trPr>
          <w:trHeight w:val="389" w:hRule="exact"/>
        </w:trPr>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1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调查处罚类型</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1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88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32" w:lineRule="exact"/>
              <w:ind w:left="40" w:right="41"/>
              <w:jc w:val="both"/>
              <w:rPr>
                <w:rFonts w:ascii="宋体" w:hAnsi="宋体" w:cs="宋体" w:eastAsia="宋体" w:hint="default"/>
                <w:sz w:val="18"/>
                <w:szCs w:val="18"/>
              </w:rPr>
            </w:pPr>
            <w:r>
              <w:rPr>
                <w:rFonts w:ascii="宋体" w:hAnsi="宋体" w:cs="宋体" w:eastAsia="宋体" w:hint="default"/>
                <w:sz w:val="18"/>
                <w:szCs w:val="18"/>
              </w:rPr>
              <w:t>北京旋极信 息技术股份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46"/>
              <w:ind w:left="23" w:right="12"/>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年年度报告中， 对当年收购北京联合信标 测试技术有限公司（以下 简称联合信标）</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交易事项未按照同一控制 企业合并处理，会计处理 存在错误。同时，联合信 标与公司成本费用核算上 混淆不清，不能与其收入 准确对应，该问题亦导致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年公司收购联合信标 股权事项中，对其股权评 估所引用的财务数据公允 性、</w:t>
            </w:r>
          </w:p>
          <w:p>
            <w:pPr>
              <w:pStyle w:val="TableParagraph"/>
              <w:spacing w:line="236" w:lineRule="exact" w:before="19"/>
              <w:ind w:left="64" w:right="19" w:hanging="41"/>
              <w:jc w:val="both"/>
              <w:rPr>
                <w:rFonts w:ascii="宋体" w:hAnsi="宋体" w:cs="宋体" w:eastAsia="宋体" w:hint="default"/>
                <w:sz w:val="18"/>
                <w:szCs w:val="18"/>
              </w:rPr>
            </w:pPr>
            <w:r>
              <w:rPr>
                <w:rFonts w:ascii="宋体" w:hAnsi="宋体" w:cs="宋体" w:eastAsia="宋体" w:hint="default"/>
                <w:sz w:val="18"/>
                <w:szCs w:val="18"/>
              </w:rPr>
              <w:t>联合信标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年对公司的 业绩承诺无法准确测算。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37" w:lineRule="auto"/>
              <w:ind w:left="23" w:right="17" w:firstLine="24"/>
              <w:jc w:val="both"/>
              <w:rPr>
                <w:rFonts w:ascii="宋体" w:hAnsi="宋体" w:cs="宋体" w:eastAsia="宋体" w:hint="default"/>
                <w:sz w:val="18"/>
                <w:szCs w:val="18"/>
              </w:rPr>
            </w:pPr>
            <w:r>
              <w:rPr>
                <w:rFonts w:ascii="宋体" w:hAnsi="宋体" w:cs="宋体" w:eastAsia="宋体" w:hint="default"/>
                <w:sz w:val="18"/>
                <w:szCs w:val="18"/>
              </w:rPr>
              <w:t>对公司采取责令 改正行政监管措 施，要求公司对 前述</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年收购</w:t>
            </w:r>
          </w:p>
          <w:p>
            <w:pPr>
              <w:pStyle w:val="TableParagraph"/>
              <w:spacing w:line="232" w:lineRule="auto"/>
              <w:ind w:left="47" w:right="47" w:firstLine="38"/>
              <w:jc w:val="both"/>
              <w:rPr>
                <w:rFonts w:ascii="宋体" w:hAnsi="宋体" w:cs="宋体" w:eastAsia="宋体" w:hint="default"/>
                <w:sz w:val="18"/>
                <w:szCs w:val="18"/>
              </w:rPr>
            </w:pPr>
            <w:r>
              <w:rPr>
                <w:rFonts w:ascii="宋体" w:hAnsi="宋体" w:cs="宋体" w:eastAsia="宋体" w:hint="default"/>
                <w:sz w:val="18"/>
                <w:szCs w:val="18"/>
              </w:rPr>
              <w:t>联合信标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股权事项相关会 计差错进行更</w:t>
            </w:r>
          </w:p>
          <w:p>
            <w:pPr>
              <w:pStyle w:val="TableParagraph"/>
              <w:spacing w:line="237" w:lineRule="auto"/>
              <w:ind w:left="47" w:right="47"/>
              <w:jc w:val="both"/>
              <w:rPr>
                <w:rFonts w:ascii="宋体" w:hAnsi="宋体" w:cs="宋体" w:eastAsia="宋体" w:hint="default"/>
                <w:sz w:val="18"/>
                <w:szCs w:val="18"/>
              </w:rPr>
            </w:pPr>
            <w:r>
              <w:rPr>
                <w:rFonts w:ascii="宋体" w:hAnsi="宋体" w:cs="宋体" w:eastAsia="宋体" w:hint="default"/>
                <w:sz w:val="18"/>
                <w:szCs w:val="18"/>
              </w:rPr>
              <w:t>正；对联合信标 财务核算进行重 新梳理，确保其 业绩承诺完成情 况真实、有效。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1"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2020-007</w:t>
            </w:r>
          </w:p>
        </w:tc>
      </w:tr>
    </w:tbl>
    <w:p>
      <w:pPr>
        <w:pStyle w:val="BodyText"/>
        <w:spacing w:line="240" w:lineRule="auto" w:before="64"/>
        <w:ind w:right="1127"/>
        <w:jc w:val="left"/>
      </w:pPr>
      <w:r>
        <w:rPr/>
        <w:pict>
          <v:shape style="position:absolute;margin-left:174.960007pt;margin-top:-88.096344pt;width:154.950pt;height:87.6pt;mso-position-horizontal-relative:page;mso-position-vertical-relative:paragraph;z-index:-14267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准确性支持证据不足，</w:t>
                  </w:r>
                </w:p>
              </w:txbxContent>
            </v:textbox>
            <w10:wrap type="none"/>
          </v:shape>
        </w:pict>
      </w:r>
      <w:r>
        <w:rPr/>
        <w:pict>
          <v:group style="position:absolute;margin-left:262.079987pt;margin-top:-88.096344pt;width:67.8pt;height:87.6pt;mso-position-horizontal-relative:page;mso-position-vertical-relative:paragraph;z-index:-1426696" coordorigin="5242,-1762" coordsize="1356,1752">
            <v:shape style="position:absolute;left:5242;top:-1762;width:1356;height:1752" coordorigin="5242,-1762" coordsize="1356,1752" path="m5242,-10l6598,-10,6598,-1762,5242,-1762,5242,-10xe" filled="true" fillcolor="#ffffff" stroked="false">
              <v:path arrowok="t"/>
              <v:fill type="solid"/>
            </v:shape>
            <w10:wrap type="none"/>
          </v:group>
        </w:pict>
      </w:r>
      <w:r>
        <w:rPr/>
        <w:t>整改情况说明</w:t>
      </w:r>
    </w:p>
    <w:p>
      <w:pPr>
        <w:spacing w:line="240" w:lineRule="auto" w:before="12"/>
        <w:rPr>
          <w:rFonts w:ascii="宋体" w:hAnsi="宋体" w:cs="宋体" w:eastAsia="宋体" w:hint="default"/>
          <w:sz w:val="17"/>
          <w:szCs w:val="17"/>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月，公司以自有资金</w:t>
      </w:r>
      <w:r>
        <w:rPr>
          <w:rFonts w:ascii="Times New Roman" w:hAnsi="Times New Roman" w:cs="Times New Roman" w:eastAsia="Times New Roman" w:hint="default"/>
        </w:rPr>
        <w:t>5,500</w:t>
      </w:r>
      <w:r>
        <w:rPr/>
        <w:t>万收购联合信标原股东所持全部股权。由于人员及相关研发项目在</w:t>
      </w:r>
    </w:p>
    <w:p>
      <w:pPr>
        <w:pStyle w:val="BodyText"/>
        <w:spacing w:line="336" w:lineRule="auto" w:before="117"/>
        <w:ind w:left="152" w:right="1128"/>
        <w:jc w:val="both"/>
      </w:pPr>
      <w:r>
        <w:rPr>
          <w:rFonts w:ascii="Times New Roman" w:hAnsi="Times New Roman" w:cs="Times New Roman" w:eastAsia="Times New Roman" w:hint="default"/>
          <w:spacing w:val="-2"/>
        </w:rPr>
        <w:t>2018</w:t>
      </w:r>
      <w:r>
        <w:rPr>
          <w:spacing w:val="-2"/>
        </w:rPr>
        <w:t>年度匹配相关收入实质应与公司合并核算，但财务未基于业务实质进行独立分拆内部核算。目前公司</w:t>
      </w:r>
      <w:r>
        <w:rPr>
          <w:spacing w:val="-38"/>
        </w:rPr>
        <w:t> </w:t>
      </w:r>
      <w:r>
        <w:rPr>
          <w:spacing w:val="-38"/>
        </w:rPr>
      </w:r>
      <w:r>
        <w:rPr/>
        <w:t>已与立信会计事务所进行沟通，追溯调整</w:t>
      </w:r>
      <w:r>
        <w:rPr>
          <w:rFonts w:ascii="Times New Roman" w:hAnsi="Times New Roman" w:cs="Times New Roman" w:eastAsia="Times New Roman" w:hint="default"/>
        </w:rPr>
        <w:t>2018</w:t>
      </w:r>
      <w:r>
        <w:rPr/>
        <w:t>年度联合信标对应的财务数据指标，并做出以下整改：</w:t>
      </w:r>
    </w:p>
    <w:p>
      <w:pPr>
        <w:pStyle w:val="BodyText"/>
        <w:spacing w:line="336" w:lineRule="auto" w:before="24"/>
        <w:ind w:left="573" w:right="1212"/>
        <w:jc w:val="left"/>
      </w:pPr>
      <w:r>
        <w:rPr>
          <w:rFonts w:ascii="Times New Roman" w:hAnsi="Times New Roman" w:cs="Times New Roman" w:eastAsia="Times New Roman" w:hint="default"/>
        </w:rPr>
        <w:t>1</w:t>
      </w:r>
      <w:r>
        <w:rPr/>
        <w:t>、对前述</w:t>
      </w:r>
      <w:r>
        <w:rPr>
          <w:rFonts w:ascii="Times New Roman" w:hAnsi="Times New Roman" w:cs="Times New Roman" w:eastAsia="Times New Roman" w:hint="default"/>
        </w:rPr>
        <w:t>2018</w:t>
      </w:r>
      <w:r>
        <w:rPr/>
        <w:t>年收购联合信标</w:t>
      </w:r>
      <w:r>
        <w:rPr>
          <w:rFonts w:ascii="Times New Roman" w:hAnsi="Times New Roman" w:cs="Times New Roman" w:eastAsia="Times New Roman" w:hint="default"/>
        </w:rPr>
        <w:t>100%</w:t>
      </w:r>
      <w:r>
        <w:rPr/>
        <w:t>股权事项相关会计差错进行更正</w:t>
      </w:r>
      <w:r>
        <w:rPr>
          <w:w w:val="100"/>
        </w:rPr>
        <w:t> </w:t>
      </w:r>
      <w:r>
        <w:rPr>
          <w:spacing w:val="-2"/>
        </w:rPr>
        <w:t>公司依据同一控制下的企业合并并购实质为判断依据，以《企业会计准则第</w:t>
      </w:r>
      <w:r>
        <w:rPr>
          <w:rFonts w:ascii="Times New Roman" w:hAnsi="Times New Roman" w:cs="Times New Roman" w:eastAsia="Times New Roman" w:hint="default"/>
          <w:spacing w:val="-2"/>
        </w:rPr>
        <w:t>2</w:t>
      </w:r>
      <w:r>
        <w:rPr>
          <w:spacing w:val="-2"/>
        </w:rPr>
        <w:t>号</w:t>
      </w:r>
      <w:r>
        <w:rPr>
          <w:rFonts w:ascii="Times New Roman" w:hAnsi="Times New Roman" w:cs="Times New Roman" w:eastAsia="Times New Roman" w:hint="default"/>
          <w:spacing w:val="-2"/>
        </w:rPr>
        <w:t>---</w:t>
      </w:r>
      <w:r>
        <w:rPr>
          <w:spacing w:val="-2"/>
        </w:rPr>
        <w:t>长期股权投资》第</w:t>
      </w:r>
    </w:p>
    <w:p>
      <w:pPr>
        <w:pStyle w:val="BodyText"/>
        <w:spacing w:line="345" w:lineRule="auto" w:before="26"/>
        <w:ind w:left="153" w:right="1128"/>
        <w:jc w:val="both"/>
      </w:pPr>
      <w:r>
        <w:rPr>
          <w:spacing w:val="-2"/>
        </w:rPr>
        <w:t>五条规定为核算会计准则，追溯调整前期的账务处理对应商誉为资本公积，对联合信标</w:t>
      </w:r>
      <w:r>
        <w:rPr>
          <w:rFonts w:ascii="Times New Roman" w:hAnsi="Times New Roman" w:cs="Times New Roman" w:eastAsia="Times New Roman" w:hint="default"/>
          <w:spacing w:val="-2"/>
        </w:rPr>
        <w:t>2018</w:t>
      </w:r>
      <w:r>
        <w:rPr>
          <w:spacing w:val="-2"/>
        </w:rPr>
        <w:t>的收购作为同</w:t>
      </w:r>
      <w:r>
        <w:rPr>
          <w:spacing w:val="-38"/>
        </w:rPr>
        <w:t> </w:t>
      </w:r>
      <w:r>
        <w:rPr>
          <w:spacing w:val="-38"/>
        </w:rPr>
      </w:r>
      <w:r>
        <w:rPr>
          <w:spacing w:val="-2"/>
        </w:rPr>
        <w:t>一控制下企业合并进行会计差错更正，按照被合并方所有者权益在最终控制方合并财务报表中的账面价值</w:t>
      </w:r>
      <w:r>
        <w:rPr>
          <w:spacing w:val="-42"/>
        </w:rPr>
        <w:t> </w:t>
      </w:r>
      <w:r>
        <w:rPr>
          <w:spacing w:val="-42"/>
        </w:rPr>
      </w:r>
      <w:r>
        <w:rPr/>
        <w:t>的份额作为长期股权投资成本，与支付的现金之间的差额，调整资本公积。</w:t>
      </w:r>
    </w:p>
    <w:p>
      <w:pPr>
        <w:pStyle w:val="BodyText"/>
        <w:spacing w:line="338" w:lineRule="auto" w:before="41"/>
        <w:ind w:left="153" w:right="0" w:firstLine="419"/>
        <w:jc w:val="left"/>
      </w:pPr>
      <w:r>
        <w:rPr>
          <w:spacing w:val="-6"/>
        </w:rPr>
        <w:t>公司于</w:t>
      </w:r>
      <w:r>
        <w:rPr>
          <w:rFonts w:ascii="Times New Roman" w:hAnsi="Times New Roman" w:cs="Times New Roman" w:eastAsia="Times New Roman" w:hint="default"/>
          <w:spacing w:val="-6"/>
        </w:rPr>
        <w:t>2020</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23</w:t>
      </w:r>
      <w:r>
        <w:rPr>
          <w:spacing w:val="-6"/>
        </w:rPr>
        <w:t>日召开了第四届董事会第三十七次会议，审议通过了《关于会计差错更正的议案》，</w:t>
      </w:r>
      <w:r>
        <w:rPr>
          <w:w w:val="100"/>
        </w:rPr>
        <w:t> </w:t>
      </w:r>
      <w:r>
        <w:rPr>
          <w:spacing w:val="-6"/>
        </w:rPr>
        <w:t>对</w:t>
      </w:r>
      <w:r>
        <w:rPr>
          <w:rFonts w:ascii="Times New Roman" w:hAnsi="Times New Roman" w:cs="Times New Roman" w:eastAsia="Times New Roman" w:hint="default"/>
          <w:spacing w:val="-6"/>
        </w:rPr>
        <w:t>2018</w:t>
      </w:r>
      <w:r>
        <w:rPr>
          <w:spacing w:val="-6"/>
        </w:rPr>
        <w:t>年半年度、</w:t>
      </w:r>
      <w:r>
        <w:rPr>
          <w:rFonts w:ascii="Times New Roman" w:hAnsi="Times New Roman" w:cs="Times New Roman" w:eastAsia="Times New Roman" w:hint="default"/>
          <w:spacing w:val="-6"/>
        </w:rPr>
        <w:t>2018</w:t>
      </w:r>
      <w:r>
        <w:rPr>
          <w:spacing w:val="-6"/>
        </w:rPr>
        <w:t>年第三季度、</w:t>
      </w:r>
      <w:r>
        <w:rPr>
          <w:rFonts w:ascii="Times New Roman" w:hAnsi="Times New Roman" w:cs="Times New Roman" w:eastAsia="Times New Roman" w:hint="default"/>
          <w:spacing w:val="-6"/>
        </w:rPr>
        <w:t>2018</w:t>
      </w:r>
      <w:r>
        <w:rPr>
          <w:spacing w:val="-6"/>
        </w:rPr>
        <w:t>年年度、</w:t>
      </w:r>
      <w:r>
        <w:rPr>
          <w:rFonts w:ascii="Times New Roman" w:hAnsi="Times New Roman" w:cs="Times New Roman" w:eastAsia="Times New Roman" w:hint="default"/>
          <w:spacing w:val="-6"/>
        </w:rPr>
        <w:t>2019</w:t>
      </w:r>
      <w:r>
        <w:rPr>
          <w:spacing w:val="-6"/>
        </w:rPr>
        <w:t>年第一季度合并资产负债表、合并利润表，以及</w:t>
      </w:r>
      <w:r>
        <w:rPr>
          <w:rFonts w:ascii="Times New Roman" w:hAnsi="Times New Roman" w:cs="Times New Roman" w:eastAsia="Times New Roman" w:hint="default"/>
          <w:spacing w:val="-6"/>
        </w:rPr>
        <w:t>2018</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4"/>
        </w:rPr>
        <w:t>年第三季度、</w:t>
      </w:r>
      <w:r>
        <w:rPr>
          <w:rFonts w:ascii="Times New Roman" w:hAnsi="Times New Roman" w:cs="Times New Roman" w:eastAsia="Times New Roman" w:hint="default"/>
          <w:spacing w:val="-4"/>
        </w:rPr>
        <w:t>2018</w:t>
      </w:r>
      <w:r>
        <w:rPr>
          <w:spacing w:val="-4"/>
        </w:rPr>
        <w:t>年年度、</w:t>
      </w:r>
      <w:r>
        <w:rPr>
          <w:rFonts w:ascii="Times New Roman" w:hAnsi="Times New Roman" w:cs="Times New Roman" w:eastAsia="Times New Roman" w:hint="default"/>
          <w:spacing w:val="-4"/>
        </w:rPr>
        <w:t>2019</w:t>
      </w:r>
      <w:r>
        <w:rPr>
          <w:spacing w:val="-4"/>
        </w:rPr>
        <w:t>年第一季度母公司资产负债表、利润表中涉及的财务数据进行了更正披露。</w:t>
      </w:r>
    </w:p>
    <w:p>
      <w:pPr>
        <w:pStyle w:val="BodyText"/>
        <w:spacing w:line="355" w:lineRule="auto" w:before="22"/>
        <w:ind w:left="573" w:right="1932"/>
        <w:jc w:val="left"/>
      </w:pPr>
      <w:r>
        <w:rPr/>
        <w:t>整改责任人：董事长、总经理、财务负责人。</w:t>
      </w:r>
      <w:r>
        <w:rPr>
          <w:w w:val="100"/>
        </w:rPr>
        <w:t> </w:t>
      </w:r>
      <w:r>
        <w:rPr/>
        <w:t>整改期限：已完成整改，并长期持续规范运作。</w:t>
      </w:r>
      <w:r>
        <w:rPr>
          <w:w w:val="100"/>
        </w:rPr>
        <w:t> </w:t>
      </w:r>
      <w:r>
        <w:rPr>
          <w:rFonts w:ascii="Times New Roman" w:hAnsi="Times New Roman" w:cs="Times New Roman" w:eastAsia="Times New Roman" w:hint="default"/>
          <w:spacing w:val="-2"/>
        </w:rPr>
        <w:t>2</w:t>
      </w:r>
      <w:r>
        <w:rPr>
          <w:spacing w:val="-2"/>
        </w:rPr>
        <w:t>、对联合信标财务核算进行重新梳理，确保其业绩承诺完成情况真实、有效。</w:t>
      </w:r>
    </w:p>
    <w:p>
      <w:pPr>
        <w:pStyle w:val="BodyText"/>
        <w:spacing w:line="345" w:lineRule="auto" w:before="8"/>
        <w:ind w:left="153" w:right="1128" w:firstLine="420"/>
        <w:jc w:val="both"/>
      </w:pPr>
      <w:r>
        <w:rPr>
          <w:spacing w:val="-2"/>
        </w:rPr>
        <w:t>公司以业务实质为导向，基于供应链逻辑为基础，进行项目、合同、收入、成本、费用、利润等维度</w:t>
      </w:r>
      <w:r>
        <w:rPr>
          <w:w w:val="100"/>
        </w:rPr>
        <w:t> </w:t>
      </w:r>
      <w:r>
        <w:rPr>
          <w:spacing w:val="-2"/>
        </w:rPr>
        <w:t>进行拆分核算。根据立信会计事务所出具的《审计报告》，联合信标</w:t>
      </w:r>
      <w:r>
        <w:rPr>
          <w:rFonts w:ascii="Times New Roman" w:hAnsi="Times New Roman" w:cs="Times New Roman" w:eastAsia="Times New Roman" w:hint="default"/>
          <w:spacing w:val="-2"/>
        </w:rPr>
        <w:t>2019</w:t>
      </w:r>
      <w:r>
        <w:rPr>
          <w:spacing w:val="-2"/>
        </w:rPr>
        <w:t>年度扣除非经常性损益后的净利</w:t>
      </w:r>
      <w:r>
        <w:rPr>
          <w:spacing w:val="-45"/>
        </w:rPr>
        <w:t> </w:t>
      </w:r>
      <w:r>
        <w:rPr>
          <w:spacing w:val="-45"/>
        </w:rPr>
      </w:r>
      <w:r>
        <w:rPr/>
        <w:t>润为</w:t>
      </w:r>
      <w:r>
        <w:rPr>
          <w:rFonts w:ascii="Times New Roman" w:hAnsi="Times New Roman" w:cs="Times New Roman" w:eastAsia="Times New Roman" w:hint="default"/>
        </w:rPr>
        <w:t>677.19</w:t>
      </w:r>
      <w:r>
        <w:rPr/>
        <w:t>万元，业绩真实、有效，业绩承诺已完成。</w:t>
      </w:r>
    </w:p>
    <w:p>
      <w:pPr>
        <w:pStyle w:val="BodyText"/>
        <w:spacing w:line="240" w:lineRule="auto" w:before="15"/>
        <w:ind w:left="573" w:right="1127"/>
        <w:jc w:val="left"/>
      </w:pPr>
      <w:r>
        <w:rPr/>
        <w:t>整改责任人：董事长、总经理、财务负责人。</w:t>
      </w:r>
    </w:p>
    <w:p>
      <w:pPr>
        <w:spacing w:after="0" w:line="240" w:lineRule="auto"/>
        <w:jc w:val="left"/>
        <w:sectPr>
          <w:footerReference w:type="default" r:id="rId44"/>
          <w:pgSz w:w="11910" w:h="16840"/>
          <w:pgMar w:footer="1134" w:header="0" w:top="1280" w:bottom="1320" w:left="980" w:right="0"/>
          <w:pgNumType w:start="71"/>
        </w:sectPr>
      </w:pPr>
    </w:p>
    <w:p>
      <w:pPr>
        <w:pStyle w:val="BodyText"/>
        <w:spacing w:line="355" w:lineRule="auto" w:before="112"/>
        <w:ind w:right="1127"/>
        <w:jc w:val="left"/>
      </w:pPr>
      <w:r>
        <w:rPr/>
        <w:t>整改期限：已完成整改，并长期持续规范运作。</w:t>
      </w:r>
      <w:r>
        <w:rPr>
          <w:w w:val="100"/>
        </w:rPr>
        <w:t> </w:t>
      </w:r>
      <w:r>
        <w:rPr>
          <w:spacing w:val="-2"/>
        </w:rPr>
        <w:t>上述内容详见公司</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日在巨潮资讯网披露的《关于北京证监局行政监管措施决定涉及事项的整改</w:t>
      </w:r>
    </w:p>
    <w:p>
      <w:pPr>
        <w:pStyle w:val="BodyText"/>
        <w:spacing w:line="240" w:lineRule="auto" w:before="5"/>
        <w:ind w:left="152" w:right="1127"/>
        <w:jc w:val="left"/>
      </w:pPr>
      <w:r>
        <w:rPr/>
        <w:t>报告》。</w:t>
      </w:r>
    </w:p>
    <w:p>
      <w:pPr>
        <w:spacing w:line="240" w:lineRule="auto" w:before="12"/>
        <w:rPr>
          <w:rFonts w:ascii="宋体" w:hAnsi="宋体" w:cs="宋体" w:eastAsia="宋体" w:hint="default"/>
          <w:sz w:val="17"/>
          <w:szCs w:val="17"/>
        </w:rPr>
      </w:pPr>
    </w:p>
    <w:p>
      <w:pPr>
        <w:pStyle w:val="BodyText"/>
        <w:spacing w:line="240" w:lineRule="auto"/>
        <w:ind w:right="1127"/>
        <w:jc w:val="left"/>
      </w:pPr>
      <w:r>
        <w:rPr>
          <w:spacing w:val="-2"/>
        </w:rPr>
        <w:t>董事、监事、高级管理人员、持股</w:t>
      </w:r>
      <w:r>
        <w:rPr>
          <w:spacing w:val="8"/>
        </w:rPr>
        <w:t> </w:t>
      </w:r>
      <w:r>
        <w:rPr>
          <w:rFonts w:ascii="Times New Roman" w:hAnsi="Times New Roman" w:cs="Times New Roman" w:eastAsia="Times New Roman" w:hint="default"/>
          <w:spacing w:val="-2"/>
        </w:rPr>
        <w:t>5%</w:t>
      </w:r>
      <w:r>
        <w:rPr>
          <w:spacing w:val="-2"/>
        </w:rPr>
        <w:t>以上的股东违规买卖公司股票情况</w:t>
      </w:r>
    </w:p>
    <w:p>
      <w:pPr>
        <w:spacing w:line="240" w:lineRule="auto" w:before="6"/>
        <w:rPr>
          <w:rFonts w:ascii="宋体" w:hAnsi="宋体" w:cs="宋体" w:eastAsia="宋体" w:hint="default"/>
          <w:sz w:val="16"/>
          <w:szCs w:val="16"/>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0" w:right="1139" w:firstLine="0"/>
        <w:jc w:val="right"/>
        <w:rPr>
          <w:rFonts w:ascii="宋体" w:hAnsi="宋体" w:cs="宋体" w:eastAsia="宋体" w:hint="default"/>
          <w:sz w:val="18"/>
          <w:szCs w:val="18"/>
        </w:rPr>
      </w:pPr>
      <w:r>
        <w:rPr/>
        <w:pict>
          <v:shape style="position:absolute;margin-left:56.400002pt;margin-top:-78.128258pt;width:479.3pt;height:97.6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5"/>
                    <w:gridCol w:w="1913"/>
                    <w:gridCol w:w="1915"/>
                    <w:gridCol w:w="1913"/>
                    <w:gridCol w:w="1915"/>
                  </w:tblGrid>
                  <w:tr>
                    <w:trPr>
                      <w:trHeight w:val="854"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auto" w:before="48"/>
                          <w:ind w:left="23" w:right="23"/>
                          <w:jc w:val="center"/>
                          <w:rPr>
                            <w:rFonts w:ascii="宋体" w:hAnsi="宋体" w:cs="宋体" w:eastAsia="宋体" w:hint="default"/>
                            <w:sz w:val="18"/>
                            <w:szCs w:val="18"/>
                          </w:rPr>
                        </w:pPr>
                        <w:r>
                          <w:rPr>
                            <w:rFonts w:ascii="宋体" w:hAnsi="宋体" w:cs="宋体" w:eastAsia="宋体" w:hint="default"/>
                            <w:sz w:val="18"/>
                            <w:szCs w:val="18"/>
                          </w:rPr>
                          <w:t>董事、监事、高级管理 </w:t>
                        </w:r>
                        <w:r>
                          <w:rPr>
                            <w:rFonts w:ascii="宋体" w:hAnsi="宋体" w:cs="宋体" w:eastAsia="宋体" w:hint="default"/>
                            <w:spacing w:val="-10"/>
                            <w:sz w:val="18"/>
                            <w:szCs w:val="18"/>
                          </w:rPr>
                          <w:t>人员、持股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 东名称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681" w:right="48" w:hanging="629"/>
                          <w:jc w:val="left"/>
                          <w:rPr>
                            <w:rFonts w:ascii="宋体" w:hAnsi="宋体" w:cs="宋体" w:eastAsia="宋体" w:hint="default"/>
                            <w:sz w:val="18"/>
                            <w:szCs w:val="18"/>
                          </w:rPr>
                        </w:pPr>
                        <w:r>
                          <w:rPr>
                            <w:rFonts w:ascii="宋体" w:hAnsi="宋体" w:cs="宋体" w:eastAsia="宋体" w:hint="default"/>
                            <w:sz w:val="18"/>
                            <w:szCs w:val="18"/>
                          </w:rPr>
                          <w:t>违规买卖公司股票的具 体情况</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681" w:right="50" w:hanging="629"/>
                          <w:jc w:val="left"/>
                          <w:rPr>
                            <w:rFonts w:ascii="宋体" w:hAnsi="宋体" w:cs="宋体" w:eastAsia="宋体" w:hint="default"/>
                            <w:sz w:val="18"/>
                            <w:szCs w:val="18"/>
                          </w:rPr>
                        </w:pPr>
                        <w:r>
                          <w:rPr>
                            <w:rFonts w:ascii="宋体" w:hAnsi="宋体" w:cs="宋体" w:eastAsia="宋体" w:hint="default"/>
                            <w:sz w:val="18"/>
                            <w:szCs w:val="18"/>
                          </w:rPr>
                          <w:t>涉嫌违规所得收益收回 的时间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412" w:right="48" w:hanging="360"/>
                          <w:jc w:val="left"/>
                          <w:rPr>
                            <w:rFonts w:ascii="宋体" w:hAnsi="宋体" w:cs="宋体" w:eastAsia="宋体" w:hint="default"/>
                            <w:sz w:val="18"/>
                            <w:szCs w:val="18"/>
                          </w:rPr>
                        </w:pPr>
                        <w:r>
                          <w:rPr>
                            <w:rFonts w:ascii="宋体" w:hAnsi="宋体" w:cs="宋体" w:eastAsia="宋体" w:hint="default"/>
                            <w:sz w:val="18"/>
                            <w:szCs w:val="18"/>
                          </w:rPr>
                          <w:t>涉嫌违规所得收益收回 的金额（元）</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董事会采取的问责措施</w:t>
                        </w:r>
                      </w:p>
                    </w:tc>
                  </w:tr>
                  <w:tr>
                    <w:trPr>
                      <w:trHeight w:val="1087"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35" w:lineRule="exact"/>
                          <w:ind w:left="2" w:right="0"/>
                          <w:jc w:val="center"/>
                          <w:rPr>
                            <w:rFonts w:ascii="宋体" w:hAnsi="宋体" w:cs="宋体" w:eastAsia="宋体" w:hint="default"/>
                            <w:sz w:val="18"/>
                            <w:szCs w:val="18"/>
                          </w:rPr>
                        </w:pPr>
                        <w:r>
                          <w:rPr>
                            <w:rFonts w:ascii="宋体" w:hAnsi="宋体" w:cs="宋体" w:eastAsia="宋体" w:hint="default"/>
                            <w:sz w:val="18"/>
                            <w:szCs w:val="18"/>
                          </w:rPr>
                          <w:t>减持超过减持计划数量</w:t>
                        </w: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35" w:right="0"/>
                          <w:jc w:val="left"/>
                          <w:rPr>
                            <w:rFonts w:ascii="Times New Roman" w:hAnsi="Times New Roman" w:cs="Times New Roman" w:eastAsia="Times New Roman" w:hint="default"/>
                            <w:sz w:val="18"/>
                            <w:szCs w:val="18"/>
                          </w:rPr>
                        </w:pPr>
                        <w:r>
                          <w:rPr>
                            <w:rFonts w:ascii="Times New Roman"/>
                            <w:sz w:val="18"/>
                          </w:rPr>
                          <w:t>8,708.00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4"/>
                          <w:ind w:left="23" w:right="50" w:firstLine="28"/>
                          <w:jc w:val="both"/>
                          <w:rPr>
                            <w:rFonts w:ascii="宋体" w:hAnsi="宋体" w:cs="宋体" w:eastAsia="宋体" w:hint="default"/>
                            <w:sz w:val="18"/>
                            <w:szCs w:val="18"/>
                          </w:rPr>
                        </w:pPr>
                        <w:r>
                          <w:rPr>
                            <w:rFonts w:ascii="宋体" w:hAnsi="宋体" w:cs="宋体" w:eastAsia="宋体" w:hint="default"/>
                            <w:sz w:val="18"/>
                            <w:szCs w:val="18"/>
                          </w:rPr>
                          <w:t>要求蔡厚富加强法律法 规学习，加强个人股份 管理，杜绝类似错误的 </w:t>
                        </w:r>
                        <w:r>
                          <w:rPr>
                            <w:rFonts w:ascii="宋体" w:hAnsi="宋体" w:cs="宋体" w:eastAsia="宋体" w:hint="default"/>
                            <w:spacing w:val="-4"/>
                            <w:sz w:val="18"/>
                            <w:szCs w:val="18"/>
                          </w:rPr>
                          <w:t>发生，并上缴收益所得</w:t>
                        </w:r>
                      </w:p>
                    </w:tc>
                  </w:tr>
                </w:tbl>
                <w:p>
                  <w:pPr/>
                </w:p>
              </w:txbxContent>
            </v:textbox>
            <w10:wrap type="none"/>
          </v:shape>
        </w:pict>
      </w:r>
      <w:r>
        <w:rPr>
          <w:rFonts w:ascii="宋体" w:hAnsi="宋体" w:cs="宋体" w:eastAsia="宋体" w:hint="default"/>
          <w:sz w:val="18"/>
          <w:szCs w:val="18"/>
        </w:rPr>
        <w:t>。</w:t>
      </w:r>
    </w:p>
    <w:p>
      <w:pPr>
        <w:spacing w:line="240" w:lineRule="auto" w:before="3"/>
        <w:rPr>
          <w:rFonts w:ascii="宋体" w:hAnsi="宋体" w:cs="宋体" w:eastAsia="宋体" w:hint="default"/>
          <w:sz w:val="26"/>
          <w:szCs w:val="26"/>
        </w:rPr>
      </w:pPr>
    </w:p>
    <w:p>
      <w:pPr>
        <w:pStyle w:val="Heading2"/>
        <w:spacing w:line="240" w:lineRule="auto" w:before="26"/>
        <w:ind w:right="1127"/>
        <w:jc w:val="left"/>
        <w:rPr>
          <w:b w:val="0"/>
          <w:bCs w:val="0"/>
        </w:rPr>
      </w:pPr>
      <w:bookmarkStart w:name="十三、公司及其控股股东、实际控制人的诚信状况" w:id="126"/>
      <w:bookmarkEnd w:id="126"/>
      <w:r>
        <w:rPr>
          <w:b w:val="0"/>
          <w:bCs w:val="0"/>
        </w:rPr>
      </w:r>
      <w:r>
        <w:rPr/>
        <w:t>十三、公司及其控股股东、实际控制人的诚信状况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16"/>
          <w:szCs w:val="16"/>
        </w:rPr>
      </w:pPr>
    </w:p>
    <w:p>
      <w:pPr>
        <w:pStyle w:val="BodyText"/>
        <w:spacing w:line="355" w:lineRule="auto"/>
        <w:ind w:right="0"/>
        <w:jc w:val="left"/>
      </w:pPr>
      <w:r>
        <w:rPr/>
        <w:t>截至目前，公司控股股东、实际控制人陈江涛先生存在质押业务到期未还款的情况，具体如下：</w:t>
      </w:r>
      <w:r>
        <w:rPr>
          <w:w w:val="100"/>
        </w:rPr>
        <w:t> </w:t>
      </w:r>
      <w:r>
        <w:rPr>
          <w:spacing w:val="-2"/>
        </w:rPr>
        <w:t>陈江涛先生及其一致行动人与东方证券股份有限公司的股票质押业务已到期，质押股份</w:t>
      </w:r>
      <w:r>
        <w:rPr>
          <w:rFonts w:ascii="Times New Roman" w:hAnsi="Times New Roman" w:cs="Times New Roman" w:eastAsia="Times New Roman" w:hint="default"/>
          <w:spacing w:val="-2"/>
        </w:rPr>
        <w:t>50,180,091</w:t>
      </w:r>
      <w:r>
        <w:rPr>
          <w:spacing w:val="-2"/>
        </w:rPr>
        <w:t>股；</w:t>
      </w:r>
      <w:r>
        <w:rPr/>
      </w:r>
    </w:p>
    <w:p>
      <w:pPr>
        <w:pStyle w:val="BodyText"/>
        <w:spacing w:line="338" w:lineRule="auto" w:before="5"/>
        <w:ind w:left="152" w:right="1127"/>
        <w:jc w:val="left"/>
      </w:pPr>
      <w:r>
        <w:rPr/>
        <w:t>陈江涛先生与长城证券股份有限公司的股票质押业务已到期，质押股份</w:t>
      </w:r>
      <w:r>
        <w:rPr>
          <w:rFonts w:ascii="Times New Roman" w:hAnsi="Times New Roman" w:cs="Times New Roman" w:eastAsia="Times New Roman" w:hint="default"/>
        </w:rPr>
        <w:t>54,762,551</w:t>
      </w:r>
      <w:r>
        <w:rPr/>
        <w:t>股；陈江涛先生与深圳</w:t>
      </w:r>
      <w:r>
        <w:rPr>
          <w:spacing w:val="-3"/>
          <w:w w:val="100"/>
        </w:rPr>
        <w:t> </w:t>
      </w:r>
      <w:r>
        <w:rPr/>
        <w:t>市中小企业信用融资担保集团有限公司的质押业务已到期，质押股份</w:t>
      </w:r>
      <w:r>
        <w:rPr>
          <w:rFonts w:ascii="Times New Roman" w:hAnsi="Times New Roman" w:cs="Times New Roman" w:eastAsia="Times New Roman" w:hint="default"/>
        </w:rPr>
        <w:t>25,000,000</w:t>
      </w:r>
      <w:r>
        <w:rPr/>
        <w:t>股；陈江涛先生与中国银</w:t>
      </w:r>
      <w:r>
        <w:rPr>
          <w:spacing w:val="-3"/>
          <w:w w:val="100"/>
        </w:rPr>
        <w:t> </w:t>
      </w:r>
      <w:r>
        <w:rPr>
          <w:spacing w:val="-2"/>
        </w:rPr>
        <w:t>河证券股份有限公司的质押业务已到期，质押股份</w:t>
      </w:r>
      <w:r>
        <w:rPr>
          <w:rFonts w:ascii="Times New Roman" w:hAnsi="Times New Roman" w:cs="Times New Roman" w:eastAsia="Times New Roman" w:hint="default"/>
          <w:spacing w:val="-2"/>
        </w:rPr>
        <w:t>125,955,825</w:t>
      </w:r>
      <w:r>
        <w:rPr>
          <w:spacing w:val="-2"/>
        </w:rPr>
        <w:t>股；陈江涛先生与靖江市润元农村小额贷款</w:t>
      </w:r>
      <w:r>
        <w:rPr>
          <w:spacing w:val="-36"/>
        </w:rPr>
        <w:t> </w:t>
      </w:r>
      <w:r>
        <w:rPr>
          <w:spacing w:val="-36"/>
        </w:rPr>
      </w:r>
      <w:r>
        <w:rPr/>
        <w:t>有限公司的质押业务已到期，质押股份</w:t>
      </w:r>
      <w:r>
        <w:rPr>
          <w:rFonts w:ascii="Times New Roman" w:hAnsi="Times New Roman" w:cs="Times New Roman" w:eastAsia="Times New Roman" w:hint="default"/>
        </w:rPr>
        <w:t>61,100,000</w:t>
      </w:r>
      <w:r>
        <w:rPr/>
        <w:t>股。</w:t>
      </w:r>
    </w:p>
    <w:p>
      <w:pPr>
        <w:spacing w:line="240" w:lineRule="auto" w:before="2"/>
        <w:rPr>
          <w:rFonts w:ascii="宋体" w:hAnsi="宋体" w:cs="宋体" w:eastAsia="宋体" w:hint="default"/>
          <w:sz w:val="24"/>
          <w:szCs w:val="24"/>
        </w:rPr>
      </w:pPr>
    </w:p>
    <w:p>
      <w:pPr>
        <w:pStyle w:val="Heading2"/>
        <w:spacing w:line="240" w:lineRule="auto"/>
        <w:ind w:right="1127"/>
        <w:jc w:val="left"/>
        <w:rPr>
          <w:b w:val="0"/>
          <w:bCs w:val="0"/>
        </w:rPr>
      </w:pPr>
      <w:bookmarkStart w:name="十四、公司股权激励计划、员工持股计划或其他员工激励措施的实施情况" w:id="127"/>
      <w:bookmarkEnd w:id="127"/>
      <w:r>
        <w:rPr>
          <w:b w:val="0"/>
          <w:bCs w:val="0"/>
        </w:rPr>
      </w:r>
      <w:r>
        <w:rPr/>
        <w:t>十四、公司股权激励计划、员工持股计划或其他员工激励措施的实施情况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17"/>
          <w:szCs w:val="17"/>
        </w:rPr>
      </w:pPr>
    </w:p>
    <w:p>
      <w:pPr>
        <w:pStyle w:val="Heading3"/>
        <w:spacing w:line="240" w:lineRule="auto"/>
        <w:ind w:right="1127"/>
        <w:jc w:val="left"/>
      </w:pPr>
      <w:bookmarkStart w:name="（一）2019年股权激励计划" w:id="128"/>
      <w:bookmarkEnd w:id="128"/>
      <w:r>
        <w:rPr/>
      </w:r>
      <w:r>
        <w:rPr/>
        <w:t>（一）</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年股权激励计划</w:t>
      </w:r>
    </w:p>
    <w:p>
      <w:pPr>
        <w:spacing w:line="240" w:lineRule="auto" w:before="7"/>
        <w:rPr>
          <w:rFonts w:ascii="黑体" w:hAnsi="黑体" w:cs="黑体" w:eastAsia="黑体" w:hint="default"/>
          <w:sz w:val="25"/>
          <w:szCs w:val="25"/>
        </w:rPr>
      </w:pPr>
    </w:p>
    <w:p>
      <w:pPr>
        <w:pStyle w:val="Heading4"/>
        <w:spacing w:line="240" w:lineRule="auto"/>
        <w:ind w:left="575" w:right="1127"/>
        <w:jc w:val="left"/>
        <w:rPr>
          <w:b w:val="0"/>
          <w:bCs w:val="0"/>
        </w:rPr>
      </w:pPr>
      <w:bookmarkStart w:name="1、激励计划简述" w:id="129"/>
      <w:bookmarkEnd w:id="129"/>
      <w:r>
        <w:rPr>
          <w:b w:val="0"/>
          <w:bCs w:val="0"/>
        </w:rPr>
      </w:r>
      <w:r>
        <w:rPr>
          <w:rFonts w:ascii="Times New Roman" w:hAnsi="Times New Roman" w:cs="Times New Roman" w:eastAsia="Times New Roman" w:hint="default"/>
        </w:rPr>
        <w:t>1</w:t>
      </w:r>
      <w:r>
        <w:rPr/>
        <w:t>、激励计划简述</w:t>
      </w:r>
      <w:r>
        <w:rPr>
          <w:b w:val="0"/>
          <w:bCs w:val="0"/>
        </w:rPr>
      </w:r>
    </w:p>
    <w:p>
      <w:pPr>
        <w:spacing w:line="240" w:lineRule="auto" w:before="2"/>
        <w:rPr>
          <w:rFonts w:ascii="宋体" w:hAnsi="宋体" w:cs="宋体" w:eastAsia="宋体" w:hint="default"/>
          <w:b/>
          <w:bCs/>
          <w:sz w:val="18"/>
          <w:szCs w:val="18"/>
        </w:rPr>
      </w:pPr>
    </w:p>
    <w:p>
      <w:pPr>
        <w:pStyle w:val="BodyText"/>
        <w:spacing w:line="240" w:lineRule="auto"/>
        <w:ind w:right="1127"/>
        <w:jc w:val="left"/>
      </w:pPr>
      <w:r>
        <w:rPr/>
        <w:t>（</w:t>
      </w:r>
      <w:r>
        <w:rPr>
          <w:rFonts w:ascii="Times New Roman" w:hAnsi="Times New Roman" w:cs="Times New Roman" w:eastAsia="Times New Roman" w:hint="default"/>
        </w:rPr>
        <w:t>1</w:t>
      </w:r>
      <w:r>
        <w:rPr/>
        <w:t>）本次激励计划授予给激励对象的激励工具为限制性股票及股票期权；</w:t>
      </w:r>
    </w:p>
    <w:p>
      <w:pPr>
        <w:pStyle w:val="BodyText"/>
        <w:spacing w:line="240" w:lineRule="auto" w:before="117"/>
        <w:ind w:right="1127"/>
        <w:jc w:val="left"/>
      </w:pPr>
      <w:r>
        <w:rPr/>
        <w:t>（</w:t>
      </w:r>
      <w:r>
        <w:rPr>
          <w:rFonts w:ascii="Times New Roman" w:hAnsi="Times New Roman" w:cs="Times New Roman" w:eastAsia="Times New Roman" w:hint="default"/>
        </w:rPr>
        <w:t>2</w:t>
      </w:r>
      <w:r>
        <w:rPr/>
        <w:t>）本次激励计划所涉标的股票来源为公司定向发行公司人民币</w:t>
      </w:r>
      <w:r>
        <w:rPr>
          <w:rFonts w:ascii="Times New Roman" w:hAnsi="Times New Roman" w:cs="Times New Roman" w:eastAsia="Times New Roman" w:hint="default"/>
        </w:rPr>
        <w:t>A</w:t>
      </w:r>
      <w:r>
        <w:rPr/>
        <w:t>股普通股股票；</w:t>
      </w:r>
    </w:p>
    <w:p>
      <w:pPr>
        <w:pStyle w:val="BodyText"/>
        <w:spacing w:line="336" w:lineRule="auto" w:before="117"/>
        <w:ind w:left="152" w:right="1127" w:firstLine="420"/>
        <w:jc w:val="left"/>
      </w:pPr>
      <w:r>
        <w:rPr>
          <w:spacing w:val="-2"/>
        </w:rPr>
        <w:t>（</w:t>
      </w:r>
      <w:r>
        <w:rPr>
          <w:rFonts w:ascii="Times New Roman" w:hAnsi="Times New Roman" w:cs="Times New Roman" w:eastAsia="Times New Roman" w:hint="default"/>
          <w:spacing w:val="-2"/>
        </w:rPr>
        <w:t>3</w:t>
      </w:r>
      <w:r>
        <w:rPr>
          <w:spacing w:val="-2"/>
        </w:rPr>
        <w:t>）激励计划涉及的激励对象（初始）共计</w:t>
      </w:r>
      <w:r>
        <w:rPr>
          <w:rFonts w:ascii="Times New Roman" w:hAnsi="Times New Roman" w:cs="Times New Roman" w:eastAsia="Times New Roman" w:hint="default"/>
          <w:spacing w:val="-2"/>
        </w:rPr>
        <w:t>374</w:t>
      </w:r>
      <w:r>
        <w:rPr>
          <w:spacing w:val="-2"/>
        </w:rPr>
        <w:t>人，包括公司部分董事、高级管理人员，中层管理人</w:t>
      </w:r>
      <w:r>
        <w:rPr>
          <w:w w:val="100"/>
        </w:rPr>
        <w:t> </w:t>
      </w:r>
      <w:r>
        <w:rPr/>
        <w:t>员及核心业务、技术、管理骨干人员；</w:t>
      </w:r>
    </w:p>
    <w:p>
      <w:pPr>
        <w:pStyle w:val="BodyText"/>
        <w:spacing w:line="240" w:lineRule="auto" w:before="51"/>
        <w:ind w:right="0"/>
        <w:jc w:val="left"/>
      </w:pPr>
      <w:r>
        <w:rPr/>
        <w:t>（</w:t>
      </w:r>
      <w:r>
        <w:rPr>
          <w:rFonts w:ascii="Times New Roman" w:hAnsi="Times New Roman" w:cs="Times New Roman" w:eastAsia="Times New Roman" w:hint="default"/>
        </w:rPr>
        <w:t>4</w:t>
      </w:r>
      <w:r>
        <w:rPr/>
        <w:t>）授予价格：授予限制性股票的授予价格为每股</w:t>
      </w:r>
      <w:r>
        <w:rPr>
          <w:rFonts w:ascii="Times New Roman" w:hAnsi="Times New Roman" w:cs="Times New Roman" w:eastAsia="Times New Roman" w:hint="default"/>
        </w:rPr>
        <w:t>2.48</w:t>
      </w:r>
      <w:r>
        <w:rPr/>
        <w:t>元</w:t>
      </w:r>
      <w:r>
        <w:rPr>
          <w:rFonts w:ascii="Times New Roman" w:hAnsi="Times New Roman" w:cs="Times New Roman" w:eastAsia="Times New Roman" w:hint="default"/>
        </w:rPr>
        <w:t>/</w:t>
      </w:r>
      <w:r>
        <w:rPr/>
        <w:t>股、授予股票期权的授予价格为</w:t>
      </w:r>
      <w:r>
        <w:rPr>
          <w:rFonts w:ascii="Times New Roman" w:hAnsi="Times New Roman" w:cs="Times New Roman" w:eastAsia="Times New Roman" w:hint="default"/>
        </w:rPr>
        <w:t>4.96</w:t>
      </w:r>
      <w:r>
        <w:rPr/>
        <w:t>元</w:t>
      </w:r>
      <w:r>
        <w:rPr>
          <w:rFonts w:ascii="Times New Roman" w:hAnsi="Times New Roman" w:cs="Times New Roman" w:eastAsia="Times New Roman" w:hint="default"/>
        </w:rPr>
        <w:t>/</w:t>
      </w:r>
      <w:r>
        <w:rPr/>
        <w:t>股；</w:t>
      </w:r>
    </w:p>
    <w:p>
      <w:pPr>
        <w:spacing w:line="240" w:lineRule="auto" w:before="2"/>
        <w:rPr>
          <w:rFonts w:ascii="宋体" w:hAnsi="宋体" w:cs="宋体" w:eastAsia="宋体" w:hint="default"/>
          <w:sz w:val="18"/>
          <w:szCs w:val="18"/>
        </w:rPr>
      </w:pPr>
    </w:p>
    <w:p>
      <w:pPr>
        <w:pStyle w:val="Heading4"/>
        <w:spacing w:line="240" w:lineRule="auto"/>
        <w:ind w:left="575" w:right="1127"/>
        <w:jc w:val="left"/>
        <w:rPr>
          <w:b w:val="0"/>
          <w:bCs w:val="0"/>
        </w:rPr>
      </w:pPr>
      <w:bookmarkStart w:name="2、股权激励计划实施情况" w:id="130"/>
      <w:bookmarkEnd w:id="130"/>
      <w:r>
        <w:rPr>
          <w:b w:val="0"/>
          <w:bCs w:val="0"/>
        </w:rPr>
      </w:r>
      <w:r>
        <w:rPr>
          <w:rFonts w:ascii="Times New Roman" w:hAnsi="Times New Roman" w:cs="Times New Roman" w:eastAsia="Times New Roman" w:hint="default"/>
        </w:rPr>
        <w:t>2</w:t>
      </w:r>
      <w:r>
        <w:rPr/>
        <w:t>、股权激励计划实施情况</w:t>
      </w:r>
      <w:r>
        <w:rPr>
          <w:b w:val="0"/>
          <w:bCs w:val="0"/>
        </w:rPr>
      </w:r>
    </w:p>
    <w:p>
      <w:pPr>
        <w:spacing w:line="240" w:lineRule="auto" w:before="2"/>
        <w:rPr>
          <w:rFonts w:ascii="宋体" w:hAnsi="宋体" w:cs="宋体" w:eastAsia="宋体" w:hint="default"/>
          <w:b/>
          <w:bCs/>
          <w:sz w:val="18"/>
          <w:szCs w:val="18"/>
        </w:rPr>
      </w:pPr>
    </w:p>
    <w:p>
      <w:pPr>
        <w:pStyle w:val="BodyText"/>
        <w:spacing w:line="240" w:lineRule="auto"/>
        <w:ind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日，公司第四届董事会第二十二次会议、第四届监事会第十一次会议审议通过了公</w:t>
      </w:r>
    </w:p>
    <w:p>
      <w:pPr>
        <w:spacing w:after="0" w:line="240" w:lineRule="auto"/>
        <w:jc w:val="left"/>
        <w:sectPr>
          <w:pgSz w:w="11910" w:h="16840"/>
          <w:pgMar w:header="0" w:footer="1134" w:top="1280" w:bottom="1320" w:left="980" w:right="0"/>
        </w:sectPr>
      </w:pPr>
    </w:p>
    <w:p>
      <w:pPr>
        <w:pStyle w:val="BodyText"/>
        <w:spacing w:line="345" w:lineRule="auto" w:before="112"/>
        <w:ind w:left="153" w:right="1128" w:hanging="1"/>
        <w:jc w:val="both"/>
      </w:pPr>
      <w:r>
        <w:rPr>
          <w:spacing w:val="-5"/>
        </w:rPr>
        <w:t>司《</w:t>
      </w:r>
      <w:r>
        <w:rPr>
          <w:rFonts w:ascii="Times New Roman" w:hAnsi="Times New Roman" w:cs="Times New Roman" w:eastAsia="Times New Roman" w:hint="default"/>
          <w:spacing w:val="-5"/>
        </w:rPr>
        <w:t>2019</w:t>
      </w:r>
      <w:r>
        <w:rPr>
          <w:spacing w:val="-5"/>
        </w:rPr>
        <w:t>年股票期权与限制性股票激励计划（草案）》及其摘要等相关议案，拟向</w:t>
      </w:r>
      <w:r>
        <w:rPr>
          <w:rFonts w:ascii="Times New Roman" w:hAnsi="Times New Roman" w:cs="Times New Roman" w:eastAsia="Times New Roman" w:hint="default"/>
          <w:spacing w:val="-5"/>
        </w:rPr>
        <w:t>374</w:t>
      </w:r>
      <w:r>
        <w:rPr>
          <w:spacing w:val="-5"/>
        </w:rPr>
        <w:t>名激励对象授予</w:t>
      </w:r>
      <w:r>
        <w:rPr>
          <w:rFonts w:ascii="Times New Roman" w:hAnsi="Times New Roman" w:cs="Times New Roman" w:eastAsia="Times New Roman" w:hint="default"/>
          <w:spacing w:val="-5"/>
        </w:rPr>
        <w:t>8,500</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2"/>
        </w:rPr>
        <w:t>万股股票期权及限制性股票。监事会对公司授予的激励对象名单进行了核实，独立董事发表了明确的同意</w:t>
      </w:r>
      <w:r>
        <w:rPr>
          <w:spacing w:val="-43"/>
        </w:rPr>
        <w:t> </w:t>
      </w:r>
      <w:r>
        <w:rPr>
          <w:spacing w:val="-43"/>
        </w:rPr>
      </w:r>
      <w:r>
        <w:rPr/>
        <w:t>意见，财务顾问出具了独立财务顾问报告，律师出具了相应的法律意见书。</w:t>
      </w:r>
    </w:p>
    <w:p>
      <w:pPr>
        <w:pStyle w:val="BodyText"/>
        <w:spacing w:line="343" w:lineRule="auto" w:before="43"/>
        <w:ind w:left="153" w:right="1127" w:firstLine="420"/>
        <w:jc w:val="left"/>
      </w:pPr>
      <w:r>
        <w:rPr/>
        <w:t>（</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日通过公司内网公示了《</w:t>
      </w:r>
      <w:r>
        <w:rPr>
          <w:rFonts w:ascii="Times New Roman" w:hAnsi="Times New Roman" w:cs="Times New Roman" w:eastAsia="Times New Roman" w:hint="default"/>
        </w:rPr>
        <w:t>2019</w:t>
      </w:r>
      <w:r>
        <w:rPr/>
        <w:t>年股票期权与限制性股票激</w:t>
      </w:r>
      <w:r>
        <w:rPr>
          <w:w w:val="100"/>
        </w:rPr>
        <w:t> </w:t>
      </w:r>
      <w:r>
        <w:rPr>
          <w:spacing w:val="-2"/>
        </w:rPr>
        <w:t>励计划激励对象人员名单》，监事会对激励对象名单进行了核查并对公示情况进行了说明。公示期间，公</w:t>
      </w:r>
      <w:r>
        <w:rPr>
          <w:spacing w:val="-44"/>
        </w:rPr>
        <w:t> </w:t>
      </w:r>
      <w:r>
        <w:rPr>
          <w:spacing w:val="-44"/>
        </w:rPr>
      </w:r>
      <w:r>
        <w:rPr/>
        <w:t>司自查发现栾俊杰及陈波</w:t>
      </w:r>
      <w:r>
        <w:rPr>
          <w:rFonts w:ascii="Times New Roman" w:hAnsi="Times New Roman" w:cs="Times New Roman" w:eastAsia="Times New Roman" w:hint="default"/>
        </w:rPr>
        <w:t>2</w:t>
      </w:r>
      <w:r>
        <w:rPr/>
        <w:t>名员工的亲属在知悉股权激励事项后仍有买卖股票的行为，监事会决定取消上</w:t>
      </w:r>
      <w:r>
        <w:rPr>
          <w:w w:val="100"/>
        </w:rPr>
        <w:t> </w:t>
      </w:r>
      <w:r>
        <w:rPr/>
        <w:t>述</w:t>
      </w:r>
      <w:r>
        <w:rPr>
          <w:rFonts w:ascii="Times New Roman" w:hAnsi="Times New Roman" w:cs="Times New Roman" w:eastAsia="Times New Roman" w:hint="default"/>
        </w:rPr>
        <w:t>2</w:t>
      </w:r>
      <w:r>
        <w:rPr/>
        <w:t>人的激励对象资格。</w:t>
      </w:r>
    </w:p>
    <w:p>
      <w:pPr>
        <w:pStyle w:val="BodyText"/>
        <w:spacing w:line="340" w:lineRule="auto" w:before="19"/>
        <w:ind w:left="153" w:right="1127" w:firstLine="419"/>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26</w:t>
      </w:r>
      <w:r>
        <w:rPr>
          <w:spacing w:val="-2"/>
        </w:rPr>
        <w:t>日，公司召开第四届董事会第二十三次会议、第四届监事会第十二次会议，审议通</w:t>
      </w:r>
      <w:r>
        <w:rPr>
          <w:spacing w:val="-3"/>
          <w:w w:val="100"/>
        </w:rPr>
        <w:t> </w:t>
      </w:r>
      <w:r>
        <w:rPr>
          <w:spacing w:val="-2"/>
        </w:rPr>
        <w:t>过了《关于调整</w:t>
      </w:r>
      <w:r>
        <w:rPr>
          <w:rFonts w:ascii="Times New Roman" w:hAnsi="Times New Roman" w:cs="Times New Roman" w:eastAsia="Times New Roman" w:hint="default"/>
          <w:spacing w:val="-2"/>
        </w:rPr>
        <w:t>2019</w:t>
      </w:r>
      <w:r>
        <w:rPr>
          <w:spacing w:val="-2"/>
        </w:rPr>
        <w:t>年股票期权与限制性股票激励计划激励对象及授予数量的议案》、《</w:t>
      </w:r>
      <w:r>
        <w:rPr>
          <w:rFonts w:ascii="Times New Roman" w:hAnsi="Times New Roman" w:cs="Times New Roman" w:eastAsia="Times New Roman" w:hint="default"/>
          <w:spacing w:val="-2"/>
        </w:rPr>
        <w:t>2019</w:t>
      </w:r>
      <w:r>
        <w:rPr>
          <w:spacing w:val="-2"/>
        </w:rPr>
        <w:t>年股票期权</w:t>
      </w:r>
      <w:r>
        <w:rPr>
          <w:spacing w:val="-35"/>
        </w:rPr>
        <w:t> </w:t>
      </w:r>
      <w:r>
        <w:rPr>
          <w:spacing w:val="-35"/>
        </w:rPr>
      </w:r>
      <w:r>
        <w:rPr>
          <w:spacing w:val="-2"/>
        </w:rPr>
        <w:t>与限制性股票激励计划</w:t>
      </w:r>
      <w:r>
        <w:rPr>
          <w:rFonts w:ascii="Times New Roman" w:hAnsi="Times New Roman" w:cs="Times New Roman" w:eastAsia="Times New Roman" w:hint="default"/>
          <w:spacing w:val="-2"/>
        </w:rPr>
        <w:t>(</w:t>
      </w:r>
      <w:r>
        <w:rPr>
          <w:spacing w:val="-2"/>
        </w:rPr>
        <w:t>草案</w:t>
      </w:r>
      <w:r>
        <w:rPr>
          <w:rFonts w:ascii="Times New Roman" w:hAnsi="Times New Roman" w:cs="Times New Roman" w:eastAsia="Times New Roman" w:hint="default"/>
          <w:spacing w:val="-2"/>
        </w:rPr>
        <w:t>)</w:t>
      </w:r>
      <w:r>
        <w:rPr>
          <w:spacing w:val="-2"/>
        </w:rPr>
        <w:t>》（修订稿）及摘要等相关议案，监事会对公司授予的激励对象名单进行了</w:t>
      </w:r>
      <w:r>
        <w:rPr>
          <w:spacing w:val="-19"/>
        </w:rPr>
        <w:t> </w:t>
      </w:r>
      <w:r>
        <w:rPr>
          <w:spacing w:val="-19"/>
        </w:rPr>
      </w:r>
      <w:r>
        <w:rPr>
          <w:spacing w:val="-2"/>
        </w:rPr>
        <w:t>核实，独立董事发表了明确的同意意见，财务顾问出具了独立财务顾问报告，律师出具了相应的法律意见</w:t>
      </w:r>
      <w:r>
        <w:rPr>
          <w:spacing w:val="-48"/>
        </w:rPr>
        <w:t> </w:t>
      </w:r>
      <w:r>
        <w:rPr>
          <w:spacing w:val="-48"/>
        </w:rPr>
      </w:r>
      <w:r>
        <w:rPr/>
        <w:t>书。</w:t>
      </w:r>
    </w:p>
    <w:p>
      <w:pPr>
        <w:pStyle w:val="BodyText"/>
        <w:spacing w:line="336" w:lineRule="auto" w:before="47"/>
        <w:ind w:left="153" w:right="1127" w:firstLine="419"/>
        <w:jc w:val="left"/>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日，公司召开</w:t>
      </w:r>
      <w:r>
        <w:rPr>
          <w:rFonts w:ascii="Times New Roman" w:hAnsi="Times New Roman" w:cs="Times New Roman" w:eastAsia="Times New Roman" w:hint="default"/>
          <w:spacing w:val="-2"/>
        </w:rPr>
        <w:t>2019</w:t>
      </w:r>
      <w:r>
        <w:rPr>
          <w:spacing w:val="-2"/>
        </w:rPr>
        <w:t>年第三次临时股东大会，审议通过了《</w:t>
      </w:r>
      <w:r>
        <w:rPr>
          <w:rFonts w:ascii="Times New Roman" w:hAnsi="Times New Roman" w:cs="Times New Roman" w:eastAsia="Times New Roman" w:hint="default"/>
          <w:spacing w:val="-2"/>
        </w:rPr>
        <w:t>2019</w:t>
      </w:r>
      <w:r>
        <w:rPr>
          <w:spacing w:val="-2"/>
        </w:rPr>
        <w:t>年股票期权与限制性</w:t>
      </w:r>
      <w:r>
        <w:rPr>
          <w:spacing w:val="-3"/>
          <w:w w:val="100"/>
        </w:rPr>
        <w:t> </w:t>
      </w:r>
      <w:r>
        <w:rPr/>
        <w:t>股票激励计划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》（修订稿）及摘要等相关议案，律师出具了法律意见书。</w:t>
      </w:r>
    </w:p>
    <w:p>
      <w:pPr>
        <w:pStyle w:val="BodyText"/>
        <w:spacing w:line="345" w:lineRule="auto" w:before="24"/>
        <w:ind w:left="154" w:right="1126" w:firstLine="419"/>
        <w:jc w:val="both"/>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16</w:t>
      </w:r>
      <w:r>
        <w:rPr>
          <w:spacing w:val="-2"/>
        </w:rPr>
        <w:t>日，公司召开第四届董事会第二十五次会议、第四届监事会第十四次会议，审议通</w:t>
      </w:r>
      <w:r>
        <w:rPr>
          <w:spacing w:val="-3"/>
          <w:w w:val="100"/>
        </w:rPr>
        <w:t> </w:t>
      </w:r>
      <w:r>
        <w:rPr>
          <w:spacing w:val="-2"/>
        </w:rPr>
        <w:t>过了《关于向激励对象授予股票期权与限制性股票的议案》，监事会对公司授予的激励对象名单进行了核</w:t>
      </w:r>
      <w:r>
        <w:rPr>
          <w:spacing w:val="-43"/>
        </w:rPr>
        <w:t> </w:t>
      </w:r>
      <w:r>
        <w:rPr>
          <w:spacing w:val="-43"/>
        </w:rPr>
      </w:r>
      <w:r>
        <w:rPr/>
        <w:t>实，独立董事发表了明确的同意意见，财务顾问出具了财务顾问报告，律师出具了相应的法律意见书。</w:t>
      </w:r>
    </w:p>
    <w:p>
      <w:pPr>
        <w:pStyle w:val="BodyText"/>
        <w:spacing w:line="336" w:lineRule="auto" w:before="43"/>
        <w:ind w:left="154" w:right="1127" w:firstLine="419"/>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日，公司召开第四届董事会第二十七次会议、第四届监事会第十五次会议，审议</w:t>
      </w:r>
      <w:r>
        <w:rPr>
          <w:w w:val="100"/>
        </w:rPr>
        <w:t> </w:t>
      </w:r>
      <w:r>
        <w:rPr>
          <w:spacing w:val="-2"/>
        </w:rPr>
        <w:t>通过了《关于调整</w:t>
      </w:r>
      <w:r>
        <w:rPr>
          <w:rFonts w:ascii="Times New Roman" w:hAnsi="Times New Roman" w:cs="Times New Roman" w:eastAsia="Times New Roman" w:hint="default"/>
          <w:spacing w:val="-2"/>
        </w:rPr>
        <w:t>2019</w:t>
      </w:r>
      <w:r>
        <w:rPr>
          <w:spacing w:val="-2"/>
        </w:rPr>
        <w:t>年股票期权与限制性股票激励计划激励对象及授予数量的议案》，监事会对公司授</w:t>
      </w:r>
      <w:r>
        <w:rPr>
          <w:spacing w:val="-39"/>
        </w:rPr>
        <w:t> </w:t>
      </w:r>
      <w:r>
        <w:rPr>
          <w:spacing w:val="-39"/>
        </w:rPr>
      </w:r>
      <w:r>
        <w:rPr/>
        <w:t>予的激励对象名单进行了核实，独立董事发表了明确的同意意见，律师出具了相应的法律意见书。</w:t>
      </w:r>
    </w:p>
    <w:p>
      <w:pPr>
        <w:pStyle w:val="BodyText"/>
        <w:spacing w:line="343" w:lineRule="auto" w:before="49"/>
        <w:ind w:left="154" w:right="1127" w:firstLine="419"/>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日，公司召开第四届董事会第三十二次会议、第四届监事会第十七次会议，审议</w:t>
      </w:r>
      <w:r>
        <w:rPr>
          <w:w w:val="100"/>
        </w:rPr>
        <w:t> </w:t>
      </w:r>
      <w:r>
        <w:rPr>
          <w:spacing w:val="-2"/>
        </w:rPr>
        <w:t>通过了《关于向暂缓授予的激励对象授予限制性股票的议案》及《关于注销</w:t>
      </w:r>
      <w:r>
        <w:rPr>
          <w:rFonts w:ascii="Times New Roman" w:hAnsi="Times New Roman" w:cs="Times New Roman" w:eastAsia="Times New Roman" w:hint="default"/>
          <w:spacing w:val="-2"/>
        </w:rPr>
        <w:t>2019</w:t>
      </w:r>
      <w:r>
        <w:rPr>
          <w:spacing w:val="-2"/>
        </w:rPr>
        <w:t>年股票期权与限制性股票</w:t>
      </w:r>
      <w:r>
        <w:rPr>
          <w:spacing w:val="-46"/>
        </w:rPr>
        <w:t> </w:t>
      </w:r>
      <w:r>
        <w:rPr>
          <w:spacing w:val="-46"/>
        </w:rPr>
      </w:r>
      <w:r>
        <w:rPr>
          <w:spacing w:val="-2"/>
        </w:rPr>
        <w:t>激励计划部分股票期权与限制性股票的议案》。监事会对公司授予的激励对象名单进行了核实，独立董事</w:t>
      </w:r>
      <w:r>
        <w:rPr>
          <w:spacing w:val="-42"/>
        </w:rPr>
        <w:t> </w:t>
      </w:r>
      <w:r>
        <w:rPr>
          <w:spacing w:val="-42"/>
        </w:rPr>
      </w:r>
      <w:r>
        <w:rPr/>
        <w:t>发表了明确的同意意见，财务顾问出具了财务顾问报告，律师出具了相应的法律意见书。</w:t>
      </w:r>
    </w:p>
    <w:p>
      <w:pPr>
        <w:pStyle w:val="BodyText"/>
        <w:spacing w:line="336" w:lineRule="auto" w:before="43"/>
        <w:ind w:left="154" w:right="1127" w:firstLine="419"/>
        <w:jc w:val="left"/>
      </w:pPr>
      <w:r>
        <w:rPr>
          <w:spacing w:val="-2"/>
        </w:rPr>
        <w:t>（</w:t>
      </w: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9</w:t>
      </w:r>
      <w:r>
        <w:rPr>
          <w:spacing w:val="-2"/>
        </w:rPr>
        <w:t>日，公司召开</w:t>
      </w:r>
      <w:r>
        <w:rPr>
          <w:rFonts w:ascii="Times New Roman" w:hAnsi="Times New Roman" w:cs="Times New Roman" w:eastAsia="Times New Roman" w:hint="default"/>
          <w:spacing w:val="-2"/>
        </w:rPr>
        <w:t>2020</w:t>
      </w:r>
      <w:r>
        <w:rPr>
          <w:spacing w:val="-2"/>
        </w:rPr>
        <w:t>年第一次临时股东大会，审议通过了《关于注销</w:t>
      </w:r>
      <w:r>
        <w:rPr>
          <w:rFonts w:ascii="Times New Roman" w:hAnsi="Times New Roman" w:cs="Times New Roman" w:eastAsia="Times New Roman" w:hint="default"/>
          <w:spacing w:val="-2"/>
        </w:rPr>
        <w:t>2019</w:t>
      </w:r>
      <w:r>
        <w:rPr>
          <w:spacing w:val="-2"/>
        </w:rPr>
        <w:t>年股票期权</w:t>
      </w:r>
      <w:r>
        <w:rPr>
          <w:spacing w:val="-3"/>
          <w:w w:val="100"/>
        </w:rPr>
        <w:t> </w:t>
      </w:r>
      <w:r>
        <w:rPr/>
        <w:t>与限制性股票激励计划部分股票期权与限制性股票的议案》，律师出具了法律意见书。</w:t>
      </w:r>
    </w:p>
    <w:p>
      <w:pPr>
        <w:pStyle w:val="BodyText"/>
        <w:spacing w:line="345" w:lineRule="auto" w:before="51"/>
        <w:ind w:left="154" w:right="0" w:firstLine="420"/>
        <w:jc w:val="left"/>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日，公司召开第四届董事会第三十四次会议、第四届监事会第十九次会议，审议通</w:t>
      </w:r>
      <w:r>
        <w:rPr>
          <w:w w:val="100"/>
        </w:rPr>
        <w:t> </w:t>
      </w:r>
      <w:r>
        <w:rPr>
          <w:spacing w:val="-2"/>
        </w:rPr>
        <w:t>过了《关于向部分暂缓授予的激励对象授予限制性股票的议案》，监事会对公司授予的激励对象名单进行</w:t>
      </w:r>
      <w:r>
        <w:rPr>
          <w:spacing w:val="-43"/>
        </w:rPr>
        <w:t> </w:t>
      </w:r>
      <w:r>
        <w:rPr>
          <w:spacing w:val="-43"/>
        </w:rPr>
      </w:r>
      <w:r>
        <w:rPr>
          <w:spacing w:val="-5"/>
        </w:rPr>
        <w:t>了核实，独立董事发表了明确的同意意见，财务顾问出具了财务顾问报告，律师出具了相应的法律意见书。</w:t>
      </w:r>
    </w:p>
    <w:p>
      <w:pPr>
        <w:pStyle w:val="BodyText"/>
        <w:spacing w:line="338" w:lineRule="auto" w:before="41"/>
        <w:ind w:left="154" w:right="1127" w:firstLine="419"/>
        <w:jc w:val="left"/>
      </w:pP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日，公司召开第四届董事会第三十七次会议、第四届监事会第二十次会议，审议</w:t>
      </w:r>
      <w:r>
        <w:rPr>
          <w:w w:val="100"/>
        </w:rPr>
        <w:t> </w:t>
      </w:r>
      <w:r>
        <w:rPr>
          <w:spacing w:val="-2"/>
        </w:rPr>
        <w:t>通过了《关于注销</w:t>
      </w:r>
      <w:r>
        <w:rPr>
          <w:rFonts w:ascii="Times New Roman" w:hAnsi="Times New Roman" w:cs="Times New Roman" w:eastAsia="Times New Roman" w:hint="default"/>
          <w:spacing w:val="-2"/>
        </w:rPr>
        <w:t>2019</w:t>
      </w:r>
      <w:r>
        <w:rPr>
          <w:spacing w:val="-2"/>
        </w:rPr>
        <w:t>年股票期权与限制性股票激励计划部分股票期权与限制性股票的议案》，监事会对</w:t>
      </w:r>
      <w:r>
        <w:rPr>
          <w:spacing w:val="-39"/>
        </w:rPr>
        <w:t> </w:t>
      </w:r>
      <w:r>
        <w:rPr>
          <w:spacing w:val="-39"/>
        </w:rPr>
      </w:r>
      <w:r>
        <w:rPr/>
        <w:t>回购注销的激励对象进行了核实，独立董事发表了明确的同意意见，律师出具了相应的法律意见书。</w:t>
      </w:r>
    </w:p>
    <w:p>
      <w:pPr>
        <w:pStyle w:val="Heading4"/>
        <w:spacing w:line="240" w:lineRule="auto" w:before="166"/>
        <w:ind w:left="575" w:right="1127"/>
        <w:jc w:val="left"/>
        <w:rPr>
          <w:b w:val="0"/>
          <w:bCs w:val="0"/>
        </w:rPr>
      </w:pPr>
      <w:bookmarkStart w:name="3、股权激励计划对公司经营能力和财务状况的影响" w:id="131"/>
      <w:bookmarkEnd w:id="131"/>
      <w:r>
        <w:rPr>
          <w:b w:val="0"/>
          <w:bCs w:val="0"/>
        </w:rPr>
      </w:r>
      <w:r>
        <w:rPr>
          <w:rFonts w:ascii="Times New Roman" w:hAnsi="Times New Roman" w:cs="Times New Roman" w:eastAsia="Times New Roman" w:hint="default"/>
        </w:rPr>
        <w:t>3</w:t>
      </w:r>
      <w:r>
        <w:rPr/>
        <w:t>、股权激励计划对公司经营能力和财务状况的影响</w:t>
      </w:r>
      <w:r>
        <w:rPr>
          <w:b w:val="0"/>
          <w:bCs w:val="0"/>
        </w:rPr>
      </w:r>
    </w:p>
    <w:p>
      <w:pPr>
        <w:spacing w:after="0" w:line="240" w:lineRule="auto"/>
        <w:jc w:val="left"/>
        <w:sectPr>
          <w:pgSz w:w="11910" w:h="16840"/>
          <w:pgMar w:header="0" w:footer="1134" w:top="1280" w:bottom="1320" w:left="980" w:right="0"/>
        </w:sectPr>
      </w:pPr>
    </w:p>
    <w:p>
      <w:pPr>
        <w:pStyle w:val="BodyText"/>
        <w:spacing w:line="336" w:lineRule="auto" w:before="112"/>
        <w:ind w:left="152" w:right="1128" w:firstLine="420"/>
        <w:jc w:val="both"/>
      </w:pPr>
      <w:r>
        <w:rPr>
          <w:spacing w:val="-2"/>
        </w:rPr>
        <w:t>公司</w:t>
      </w:r>
      <w:r>
        <w:rPr>
          <w:rFonts w:ascii="Times New Roman" w:hAnsi="Times New Roman" w:cs="Times New Roman" w:eastAsia="Times New Roman" w:hint="default"/>
          <w:spacing w:val="-2"/>
        </w:rPr>
        <w:t>2019</w:t>
      </w:r>
      <w:r>
        <w:rPr>
          <w:spacing w:val="-2"/>
        </w:rPr>
        <w:t>年股权激励计划对公司相关年度的财务状况和经营成果将产生一定的影响，股份支付费用对</w:t>
      </w:r>
      <w:r>
        <w:rPr>
          <w:w w:val="100"/>
        </w:rPr>
        <w:t> </w:t>
      </w:r>
      <w:r>
        <w:rPr/>
        <w:t>公司净利润产生的影响最终以会计师事务所出具的审计报告为准。</w:t>
      </w:r>
    </w:p>
    <w:p>
      <w:pPr>
        <w:pStyle w:val="Heading3"/>
        <w:spacing w:line="240" w:lineRule="auto" w:before="163"/>
        <w:ind w:right="1127"/>
        <w:jc w:val="left"/>
      </w:pPr>
      <w:bookmarkStart w:name="（二）2017年股权激励计划" w:id="132"/>
      <w:bookmarkEnd w:id="132"/>
      <w:r>
        <w:rPr/>
      </w:r>
      <w:r>
        <w:rPr/>
        <w:t>（二）</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年股权激励计划</w:t>
      </w:r>
    </w:p>
    <w:p>
      <w:pPr>
        <w:spacing w:line="240" w:lineRule="auto" w:before="7"/>
        <w:rPr>
          <w:rFonts w:ascii="黑体" w:hAnsi="黑体" w:cs="黑体" w:eastAsia="黑体" w:hint="default"/>
          <w:sz w:val="25"/>
          <w:szCs w:val="25"/>
        </w:rPr>
      </w:pPr>
    </w:p>
    <w:p>
      <w:pPr>
        <w:pStyle w:val="Heading4"/>
        <w:spacing w:line="240" w:lineRule="auto"/>
        <w:ind w:left="575" w:right="1127"/>
        <w:jc w:val="left"/>
        <w:rPr>
          <w:b w:val="0"/>
          <w:bCs w:val="0"/>
        </w:rPr>
      </w:pPr>
      <w:bookmarkStart w:name="1、激励计划简述" w:id="133"/>
      <w:bookmarkEnd w:id="133"/>
      <w:r>
        <w:rPr>
          <w:b w:val="0"/>
          <w:bCs w:val="0"/>
        </w:rPr>
      </w:r>
      <w:r>
        <w:rPr>
          <w:rFonts w:ascii="Times New Roman" w:hAnsi="Times New Roman" w:cs="Times New Roman" w:eastAsia="Times New Roman" w:hint="default"/>
        </w:rPr>
        <w:t>1</w:t>
      </w:r>
      <w:r>
        <w:rPr/>
        <w:t>、激励计划简述</w:t>
      </w:r>
      <w:r>
        <w:rPr>
          <w:b w:val="0"/>
          <w:bCs w:val="0"/>
        </w:rPr>
      </w:r>
    </w:p>
    <w:p>
      <w:pPr>
        <w:spacing w:line="240" w:lineRule="auto" w:before="2"/>
        <w:rPr>
          <w:rFonts w:ascii="宋体" w:hAnsi="宋体" w:cs="宋体" w:eastAsia="宋体" w:hint="default"/>
          <w:b/>
          <w:bCs/>
          <w:sz w:val="18"/>
          <w:szCs w:val="18"/>
        </w:rPr>
      </w:pPr>
    </w:p>
    <w:p>
      <w:pPr>
        <w:pStyle w:val="BodyText"/>
        <w:spacing w:line="240" w:lineRule="auto"/>
        <w:ind w:right="1127"/>
        <w:jc w:val="left"/>
      </w:pPr>
      <w:r>
        <w:rPr/>
        <w:t>（</w:t>
      </w:r>
      <w:r>
        <w:rPr>
          <w:rFonts w:ascii="Times New Roman" w:hAnsi="Times New Roman" w:cs="Times New Roman" w:eastAsia="Times New Roman" w:hint="default"/>
        </w:rPr>
        <w:t>1</w:t>
      </w:r>
      <w:r>
        <w:rPr/>
        <w:t>）本次激励计划拟授予给激励对象的激励工具为限制性股票；</w:t>
      </w:r>
    </w:p>
    <w:p>
      <w:pPr>
        <w:pStyle w:val="BodyText"/>
        <w:spacing w:line="240" w:lineRule="auto" w:before="117"/>
        <w:ind w:right="1127"/>
        <w:jc w:val="left"/>
      </w:pPr>
      <w:r>
        <w:rPr/>
        <w:t>（</w:t>
      </w:r>
      <w:r>
        <w:rPr>
          <w:rFonts w:ascii="Times New Roman" w:hAnsi="Times New Roman" w:cs="Times New Roman" w:eastAsia="Times New Roman" w:hint="default"/>
        </w:rPr>
        <w:t>2</w:t>
      </w:r>
      <w:r>
        <w:rPr/>
        <w:t>）本次激励计划所涉标的股票来源为公司定向发行公司人民币</w:t>
      </w:r>
      <w:r>
        <w:rPr>
          <w:rFonts w:ascii="Times New Roman" w:hAnsi="Times New Roman" w:cs="Times New Roman" w:eastAsia="Times New Roman" w:hint="default"/>
        </w:rPr>
        <w:t>A</w:t>
      </w:r>
      <w:r>
        <w:rPr/>
        <w:t>股普通股股票；</w:t>
      </w:r>
    </w:p>
    <w:p>
      <w:pPr>
        <w:pStyle w:val="BodyText"/>
        <w:spacing w:line="338" w:lineRule="auto" w:before="117"/>
        <w:ind w:left="152" w:right="1128" w:firstLine="420"/>
        <w:jc w:val="both"/>
      </w:pPr>
      <w:r>
        <w:rPr>
          <w:spacing w:val="-2"/>
        </w:rPr>
        <w:t>（</w:t>
      </w:r>
      <w:r>
        <w:rPr>
          <w:rFonts w:ascii="Times New Roman" w:hAnsi="Times New Roman" w:cs="Times New Roman" w:eastAsia="Times New Roman" w:hint="default"/>
          <w:spacing w:val="-2"/>
        </w:rPr>
        <w:t>3</w:t>
      </w:r>
      <w:r>
        <w:rPr>
          <w:spacing w:val="-2"/>
        </w:rPr>
        <w:t>）激励计划涉及的激励对象（初始）共计</w:t>
      </w:r>
      <w:r>
        <w:rPr>
          <w:rFonts w:ascii="Times New Roman" w:hAnsi="Times New Roman" w:cs="Times New Roman" w:eastAsia="Times New Roman" w:hint="default"/>
          <w:spacing w:val="-2"/>
        </w:rPr>
        <w:t>413</w:t>
      </w:r>
      <w:r>
        <w:rPr>
          <w:spacing w:val="-2"/>
        </w:rPr>
        <w:t>人，包括公司部分董事、高级管理人员，中层管理人</w:t>
      </w:r>
      <w:r>
        <w:rPr>
          <w:w w:val="100"/>
        </w:rPr>
        <w:t> </w:t>
      </w:r>
      <w:r>
        <w:rPr/>
        <w:t>员及核心业务、技术、管理骨干人员；</w:t>
      </w:r>
    </w:p>
    <w:p>
      <w:pPr>
        <w:pStyle w:val="BodyText"/>
        <w:spacing w:line="240" w:lineRule="auto" w:before="47"/>
        <w:ind w:right="1127"/>
        <w:jc w:val="left"/>
      </w:pPr>
      <w:r>
        <w:rPr/>
        <w:t>（</w:t>
      </w:r>
      <w:r>
        <w:rPr>
          <w:rFonts w:ascii="Times New Roman" w:hAnsi="Times New Roman" w:cs="Times New Roman" w:eastAsia="Times New Roman" w:hint="default"/>
        </w:rPr>
        <w:t>4</w:t>
      </w:r>
      <w:r>
        <w:rPr/>
        <w:t>）授予价格：授予限制性股票的授予价格为每股</w:t>
      </w:r>
      <w:r>
        <w:rPr>
          <w:rFonts w:ascii="Times New Roman" w:hAnsi="Times New Roman" w:cs="Times New Roman" w:eastAsia="Times New Roman" w:hint="default"/>
        </w:rPr>
        <w:t>10.59</w:t>
      </w:r>
      <w:r>
        <w:rPr/>
        <w:t>元</w:t>
      </w:r>
      <w:r>
        <w:rPr>
          <w:rFonts w:ascii="Times New Roman" w:hAnsi="Times New Roman" w:cs="Times New Roman" w:eastAsia="Times New Roman" w:hint="default"/>
        </w:rPr>
        <w:t>/</w:t>
      </w:r>
      <w:r>
        <w:rPr/>
        <w:t>股；</w:t>
      </w:r>
    </w:p>
    <w:p>
      <w:pPr>
        <w:spacing w:line="240" w:lineRule="auto" w:before="2"/>
        <w:rPr>
          <w:rFonts w:ascii="宋体" w:hAnsi="宋体" w:cs="宋体" w:eastAsia="宋体" w:hint="default"/>
          <w:sz w:val="18"/>
          <w:szCs w:val="18"/>
        </w:rPr>
      </w:pPr>
    </w:p>
    <w:p>
      <w:pPr>
        <w:pStyle w:val="Heading4"/>
        <w:spacing w:line="240" w:lineRule="auto"/>
        <w:ind w:left="575" w:right="1127"/>
        <w:jc w:val="left"/>
        <w:rPr>
          <w:b w:val="0"/>
          <w:bCs w:val="0"/>
        </w:rPr>
      </w:pPr>
      <w:bookmarkStart w:name="2、股权激励计划实施情况" w:id="134"/>
      <w:bookmarkEnd w:id="134"/>
      <w:r>
        <w:rPr>
          <w:b w:val="0"/>
          <w:bCs w:val="0"/>
        </w:rPr>
      </w:r>
      <w:r>
        <w:rPr>
          <w:rFonts w:ascii="Times New Roman" w:hAnsi="Times New Roman" w:cs="Times New Roman" w:eastAsia="Times New Roman" w:hint="default"/>
        </w:rPr>
        <w:t>2</w:t>
      </w:r>
      <w:r>
        <w:rPr/>
        <w:t>、股权激励计划实施情况</w:t>
      </w:r>
      <w:r>
        <w:rPr>
          <w:b w:val="0"/>
          <w:bCs w:val="0"/>
        </w:rPr>
      </w:r>
    </w:p>
    <w:p>
      <w:pPr>
        <w:spacing w:line="240" w:lineRule="auto" w:before="2"/>
        <w:rPr>
          <w:rFonts w:ascii="宋体" w:hAnsi="宋体" w:cs="宋体" w:eastAsia="宋体" w:hint="default"/>
          <w:b/>
          <w:bCs/>
          <w:sz w:val="18"/>
          <w:szCs w:val="18"/>
        </w:rPr>
      </w:pPr>
    </w:p>
    <w:p>
      <w:pPr>
        <w:pStyle w:val="BodyText"/>
        <w:spacing w:line="338" w:lineRule="auto"/>
        <w:ind w:left="153" w:right="1128" w:firstLine="419"/>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日，公司召开了第三届董事会第四十次会议和第三届监事会第十七次会议，审议并</w:t>
      </w:r>
      <w:r>
        <w:rPr>
          <w:w w:val="100"/>
        </w:rPr>
        <w:t> </w:t>
      </w:r>
      <w:r>
        <w:rPr>
          <w:spacing w:val="-2"/>
        </w:rPr>
        <w:t>通过了《关于公司</w:t>
      </w:r>
      <w:r>
        <w:rPr>
          <w:rFonts w:ascii="Times New Roman" w:hAnsi="Times New Roman" w:cs="Times New Roman" w:eastAsia="Times New Roman" w:hint="default"/>
          <w:spacing w:val="-2"/>
        </w:rPr>
        <w:t>&lt;2017</w:t>
      </w:r>
      <w:r>
        <w:rPr>
          <w:spacing w:val="-2"/>
        </w:rPr>
        <w:t>年限制性股票激励计划</w:t>
      </w:r>
      <w:r>
        <w:rPr>
          <w:rFonts w:ascii="Times New Roman" w:hAnsi="Times New Roman" w:cs="Times New Roman" w:eastAsia="Times New Roman" w:hint="default"/>
          <w:spacing w:val="-2"/>
        </w:rPr>
        <w:t>(</w:t>
      </w:r>
      <w:r>
        <w:rPr>
          <w:spacing w:val="-2"/>
        </w:rPr>
        <w:t>草案</w:t>
      </w:r>
      <w:r>
        <w:rPr>
          <w:rFonts w:ascii="Times New Roman" w:hAnsi="Times New Roman" w:cs="Times New Roman" w:eastAsia="Times New Roman" w:hint="default"/>
          <w:spacing w:val="-2"/>
        </w:rPr>
        <w:t>)&gt;</w:t>
      </w:r>
      <w:r>
        <w:rPr>
          <w:spacing w:val="-2"/>
        </w:rPr>
        <w:t>及摘要的议案》，公司独立董事对此发表了独立意</w:t>
      </w:r>
      <w:r>
        <w:rPr>
          <w:spacing w:val="-15"/>
        </w:rPr>
        <w:t> </w:t>
      </w:r>
      <w:r>
        <w:rPr>
          <w:spacing w:val="-15"/>
        </w:rPr>
      </w:r>
      <w:r>
        <w:rPr/>
        <w:t>见，律师出具了相应报告。</w:t>
      </w:r>
    </w:p>
    <w:p>
      <w:pPr>
        <w:pStyle w:val="BodyText"/>
        <w:spacing w:line="343" w:lineRule="auto" w:before="47"/>
        <w:ind w:left="153" w:right="1129" w:firstLine="42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日，公司召开第三届董事会第四十一次会议，审议通过了《关于调整</w:t>
      </w:r>
      <w:r>
        <w:rPr>
          <w:rFonts w:ascii="Times New Roman" w:hAnsi="Times New Roman" w:cs="Times New Roman" w:eastAsia="Times New Roman" w:hint="default"/>
          <w:spacing w:val="-2"/>
        </w:rPr>
        <w:t>2017</w:t>
      </w:r>
      <w:r>
        <w:rPr>
          <w:spacing w:val="-2"/>
        </w:rPr>
        <w:t>年限制性</w:t>
      </w:r>
      <w:r>
        <w:rPr>
          <w:spacing w:val="-3"/>
          <w:w w:val="100"/>
        </w:rPr>
        <w:t> </w:t>
      </w:r>
      <w:r>
        <w:rPr>
          <w:spacing w:val="-2"/>
        </w:rPr>
        <w:t>股票激励计划激励对象及授予数量的议案》、《</w:t>
      </w:r>
      <w:r>
        <w:rPr>
          <w:rFonts w:ascii="Times New Roman" w:hAnsi="Times New Roman" w:cs="Times New Roman" w:eastAsia="Times New Roman" w:hint="default"/>
          <w:spacing w:val="-2"/>
        </w:rPr>
        <w:t>&lt;2017</w:t>
      </w:r>
      <w:r>
        <w:rPr>
          <w:spacing w:val="-2"/>
        </w:rPr>
        <w:t>年限制性股票激励计划</w:t>
      </w:r>
      <w:r>
        <w:rPr>
          <w:rFonts w:ascii="Times New Roman" w:hAnsi="Times New Roman" w:cs="Times New Roman" w:eastAsia="Times New Roman" w:hint="default"/>
          <w:spacing w:val="-2"/>
        </w:rPr>
        <w:t>(</w:t>
      </w:r>
      <w:r>
        <w:rPr>
          <w:spacing w:val="-2"/>
        </w:rPr>
        <w:t>草案</w:t>
      </w:r>
      <w:r>
        <w:rPr>
          <w:rFonts w:ascii="Times New Roman" w:hAnsi="Times New Roman" w:cs="Times New Roman" w:eastAsia="Times New Roman" w:hint="default"/>
          <w:spacing w:val="-2"/>
        </w:rPr>
        <w:t>)&gt;</w:t>
      </w:r>
      <w:r>
        <w:rPr>
          <w:spacing w:val="-2"/>
        </w:rPr>
        <w:t>（修订稿）及摘要的</w:t>
      </w:r>
      <w:r>
        <w:rPr>
          <w:spacing w:val="-17"/>
        </w:rPr>
        <w:t> </w:t>
      </w:r>
      <w:r>
        <w:rPr>
          <w:spacing w:val="-17"/>
        </w:rPr>
      </w:r>
      <w:r>
        <w:rPr>
          <w:spacing w:val="-2"/>
        </w:rPr>
        <w:t>议案》，并于当日召开了第三届监事会第十八次会议，对公司授予的激励对象名单进行了核实。公司独立</w:t>
      </w:r>
      <w:r>
        <w:rPr>
          <w:spacing w:val="-48"/>
        </w:rPr>
        <w:t> </w:t>
      </w:r>
      <w:r>
        <w:rPr>
          <w:spacing w:val="-48"/>
        </w:rPr>
      </w:r>
      <w:r>
        <w:rPr/>
        <w:t>董事对此发表了独立意见，律师出具了法律意见书。</w:t>
      </w:r>
    </w:p>
    <w:p>
      <w:pPr>
        <w:pStyle w:val="BodyText"/>
        <w:spacing w:line="336" w:lineRule="auto" w:before="45"/>
        <w:ind w:left="153" w:right="1130" w:firstLine="419"/>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日，公司召开</w:t>
      </w:r>
      <w:r>
        <w:rPr>
          <w:rFonts w:ascii="Times New Roman" w:hAnsi="Times New Roman" w:cs="Times New Roman" w:eastAsia="Times New Roman" w:hint="default"/>
          <w:spacing w:val="-2"/>
        </w:rPr>
        <w:t>2016</w:t>
      </w:r>
      <w:r>
        <w:rPr>
          <w:spacing w:val="-2"/>
        </w:rPr>
        <w:t>年年度股东大会，审议通过了关于公司《</w:t>
      </w:r>
      <w:r>
        <w:rPr>
          <w:rFonts w:ascii="Times New Roman" w:hAnsi="Times New Roman" w:cs="Times New Roman" w:eastAsia="Times New Roman" w:hint="default"/>
          <w:spacing w:val="-2"/>
        </w:rPr>
        <w:t>&lt;2017</w:t>
      </w:r>
      <w:r>
        <w:rPr>
          <w:spacing w:val="-2"/>
        </w:rPr>
        <w:t>年限制性股票激</w:t>
      </w:r>
      <w:r>
        <w:rPr>
          <w:spacing w:val="-3"/>
          <w:w w:val="100"/>
        </w:rPr>
        <w:t> </w:t>
      </w:r>
      <w:r>
        <w:rPr>
          <w:spacing w:val="-5"/>
        </w:rPr>
        <w:t>励计划（草案）</w:t>
      </w:r>
      <w:r>
        <w:rPr>
          <w:rFonts w:ascii="Times New Roman" w:hAnsi="Times New Roman" w:cs="Times New Roman" w:eastAsia="Times New Roman" w:hint="default"/>
          <w:spacing w:val="-5"/>
        </w:rPr>
        <w:t>&gt;</w:t>
      </w:r>
      <w:r>
        <w:rPr>
          <w:spacing w:val="-5"/>
        </w:rPr>
        <w:t>（修订稿）及摘要的议案》、《关于公司</w:t>
      </w:r>
      <w:r>
        <w:rPr>
          <w:rFonts w:ascii="Times New Roman" w:hAnsi="Times New Roman" w:cs="Times New Roman" w:eastAsia="Times New Roman" w:hint="default"/>
          <w:spacing w:val="-5"/>
        </w:rPr>
        <w:t>&lt;2017</w:t>
      </w:r>
      <w:r>
        <w:rPr>
          <w:spacing w:val="-5"/>
        </w:rPr>
        <w:t>年限制性股票激励计划实施考核管理办法</w:t>
      </w:r>
      <w:r>
        <w:rPr>
          <w:rFonts w:ascii="Times New Roman" w:hAnsi="Times New Roman" w:cs="Times New Roman" w:eastAsia="Times New Roman" w:hint="default"/>
          <w:spacing w:val="-5"/>
        </w:rPr>
        <w:t>&gt;</w:t>
      </w:r>
      <w:r>
        <w:rPr>
          <w:rFonts w:ascii="Times New Roman" w:hAnsi="Times New Roman" w:cs="Times New Roman" w:eastAsia="Times New Roman" w:hint="default"/>
          <w:spacing w:val="16"/>
        </w:rPr>
        <w:t> </w:t>
      </w:r>
      <w:r>
        <w:rPr/>
        <w:t>的议案》、《关于提请股东大会授权董事会办理公司限制性股票激励计划相关事宜的议案》。</w:t>
      </w:r>
    </w:p>
    <w:p>
      <w:pPr>
        <w:pStyle w:val="BodyText"/>
        <w:spacing w:line="350" w:lineRule="auto" w:before="49"/>
        <w:ind w:left="153" w:right="1127" w:firstLine="42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14</w:t>
      </w:r>
      <w:r>
        <w:rPr>
          <w:spacing w:val="-2"/>
        </w:rPr>
        <w:t>日，公司召开第三届董事会第四十五次会议，审议通过了《关于调整</w:t>
      </w:r>
      <w:r>
        <w:rPr>
          <w:rFonts w:ascii="Times New Roman" w:hAnsi="Times New Roman" w:cs="Times New Roman" w:eastAsia="Times New Roman" w:hint="default"/>
          <w:spacing w:val="-2"/>
        </w:rPr>
        <w:t>2017</w:t>
      </w:r>
      <w:r>
        <w:rPr>
          <w:spacing w:val="-2"/>
        </w:rPr>
        <w:t>年限制性</w:t>
      </w:r>
      <w:r>
        <w:rPr>
          <w:spacing w:val="-3"/>
          <w:w w:val="100"/>
        </w:rPr>
        <w:t> </w:t>
      </w:r>
      <w:r>
        <w:rPr>
          <w:spacing w:val="-2"/>
        </w:rPr>
        <w:t>股票激励计划授予价格、激励对象及授予数量的议案》、《关于向激励对象授予限制性股票的议案》，并</w:t>
      </w:r>
      <w:r>
        <w:rPr>
          <w:spacing w:val="-45"/>
        </w:rPr>
        <w:t> </w:t>
      </w:r>
      <w:r>
        <w:rPr>
          <w:spacing w:val="-45"/>
        </w:rPr>
      </w:r>
      <w:r>
        <w:rPr>
          <w:spacing w:val="-2"/>
        </w:rPr>
        <w:t>于当日召开了第三届监事会第二十二次会议，对公司授予的激励对象名单进行了核实。公司独立董事对此</w:t>
      </w:r>
      <w:r>
        <w:rPr>
          <w:spacing w:val="-42"/>
        </w:rPr>
        <w:t> </w:t>
      </w:r>
      <w:r>
        <w:rPr>
          <w:spacing w:val="-42"/>
        </w:rPr>
      </w:r>
      <w:r>
        <w:rPr/>
        <w:t>发表了独立意见，认为激励对象主体资格合法有效。</w:t>
      </w:r>
    </w:p>
    <w:p>
      <w:pPr>
        <w:pStyle w:val="BodyText"/>
        <w:spacing w:line="338" w:lineRule="auto" w:before="36"/>
        <w:ind w:left="153" w:right="0" w:firstLine="419"/>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日，公司召开第三届董事会第五十次会议和第三届监事会第二十四次会议，审议</w:t>
      </w:r>
      <w:r>
        <w:rPr>
          <w:w w:val="100"/>
        </w:rPr>
        <w:t> </w:t>
      </w:r>
      <w:r>
        <w:rPr>
          <w:spacing w:val="-2"/>
        </w:rPr>
        <w:t>通过了《关于回购注销</w:t>
      </w:r>
      <w:r>
        <w:rPr>
          <w:rFonts w:ascii="Times New Roman" w:hAnsi="Times New Roman" w:cs="Times New Roman" w:eastAsia="Times New Roman" w:hint="default"/>
          <w:spacing w:val="-2"/>
        </w:rPr>
        <w:t>2017</w:t>
      </w:r>
      <w:r>
        <w:rPr>
          <w:spacing w:val="-2"/>
        </w:rPr>
        <w:t>年限制性股票激励计划不符合解锁条件的激励对象已获授但尚未解锁的限制性</w:t>
      </w:r>
      <w:r>
        <w:rPr>
          <w:spacing w:val="-42"/>
        </w:rPr>
        <w:t> </w:t>
      </w:r>
      <w:r>
        <w:rPr>
          <w:spacing w:val="-42"/>
        </w:rPr>
      </w:r>
      <w:r>
        <w:rPr>
          <w:spacing w:val="-4"/>
        </w:rPr>
        <w:t>股票的议案》，根据《限制性股票激励计划（草案）》（以下简称</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2017</w:t>
      </w:r>
      <w:r>
        <w:rPr>
          <w:spacing w:val="-4"/>
        </w:rPr>
        <w:t>年激励计划》</w:t>
      </w:r>
      <w:r>
        <w:rPr>
          <w:rFonts w:ascii="Times New Roman" w:hAnsi="Times New Roman" w:cs="Times New Roman" w:eastAsia="Times New Roman" w:hint="default"/>
          <w:spacing w:val="-4"/>
        </w:rPr>
        <w:t>”</w:t>
      </w:r>
      <w:r>
        <w:rPr>
          <w:spacing w:val="-4"/>
        </w:rPr>
        <w:t>），在锁定期内，</w:t>
      </w:r>
      <w:r>
        <w:rPr>
          <w:spacing w:val="-16"/>
        </w:rPr>
        <w:t> </w:t>
      </w:r>
      <w:r>
        <w:rPr>
          <w:spacing w:val="-16"/>
        </w:rPr>
      </w:r>
      <w:r>
        <w:rPr>
          <w:spacing w:val="-3"/>
        </w:rPr>
        <w:t>刘冈、韩笑等共</w:t>
      </w:r>
      <w:r>
        <w:rPr>
          <w:rFonts w:ascii="Times New Roman" w:hAnsi="Times New Roman" w:cs="Times New Roman" w:eastAsia="Times New Roman" w:hint="default"/>
          <w:spacing w:val="-3"/>
        </w:rPr>
        <w:t>8</w:t>
      </w:r>
      <w:r>
        <w:rPr>
          <w:spacing w:val="-3"/>
        </w:rPr>
        <w:t>名激励对象离职，公司对上述离职对象已获授但未解锁的全部限制性股票</w:t>
      </w:r>
      <w:r>
        <w:rPr>
          <w:rFonts w:ascii="Times New Roman" w:hAnsi="Times New Roman" w:cs="Times New Roman" w:eastAsia="Times New Roman" w:hint="default"/>
          <w:spacing w:val="-3"/>
        </w:rPr>
        <w:t>81,000</w:t>
      </w:r>
      <w:r>
        <w:rPr>
          <w:spacing w:val="-3"/>
        </w:rPr>
        <w:t>股进行回</w:t>
      </w:r>
      <w:r>
        <w:rPr>
          <w:spacing w:val="-38"/>
        </w:rPr>
        <w:t> </w:t>
      </w:r>
      <w:r>
        <w:rPr>
          <w:spacing w:val="-38"/>
        </w:rPr>
      </w:r>
      <w:r>
        <w:rPr>
          <w:spacing w:val="-2"/>
        </w:rPr>
        <w:t>购注销。公司独立董事对此发表了独立意见，律师出具了法律意见书。</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9</w:t>
      </w:r>
      <w:r>
        <w:rPr>
          <w:spacing w:val="-2"/>
        </w:rPr>
        <w:t>日，公司召开</w:t>
      </w:r>
      <w:r>
        <w:rPr>
          <w:rFonts w:ascii="Times New Roman" w:hAnsi="Times New Roman" w:cs="Times New Roman" w:eastAsia="Times New Roman" w:hint="default"/>
          <w:spacing w:val="-2"/>
        </w:rPr>
        <w:t>2018</w:t>
      </w:r>
      <w:r>
        <w:rPr>
          <w:spacing w:val="-2"/>
        </w:rPr>
        <w:t>年第</w:t>
      </w:r>
      <w:r>
        <w:rPr>
          <w:spacing w:val="-42"/>
        </w:rPr>
        <w:t> </w:t>
      </w:r>
      <w:r>
        <w:rPr/>
        <w:t>二次临时股东大会，审议通过了上述议案。</w:t>
      </w:r>
    </w:p>
    <w:p>
      <w:pPr>
        <w:pStyle w:val="BodyText"/>
        <w:spacing w:line="338" w:lineRule="auto" w:before="47"/>
        <w:ind w:left="154" w:right="1126" w:firstLine="419"/>
        <w:jc w:val="both"/>
      </w:pPr>
      <w:r>
        <w:rPr>
          <w:spacing w:val="-6"/>
        </w:rPr>
        <w:t>（</w:t>
      </w:r>
      <w:r>
        <w:rPr>
          <w:rFonts w:ascii="Times New Roman" w:hAnsi="Times New Roman" w:cs="Times New Roman" w:eastAsia="Times New Roman" w:hint="default"/>
          <w:spacing w:val="-6"/>
        </w:rPr>
        <w:t>6</w:t>
      </w:r>
      <w:r>
        <w:rPr>
          <w:spacing w:val="-6"/>
        </w:rPr>
        <w:t>）</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30</w:t>
      </w:r>
      <w:r>
        <w:rPr>
          <w:spacing w:val="-6"/>
        </w:rPr>
        <w:t>日，公司召开第四届董事会第三次会议和第四届监事会第二次会议，审议通过了《关</w:t>
      </w:r>
      <w:r>
        <w:rPr>
          <w:w w:val="100"/>
        </w:rPr>
        <w:t> </w:t>
      </w:r>
      <w:r>
        <w:rPr>
          <w:spacing w:val="-2"/>
        </w:rPr>
        <w:t>于回购注销</w:t>
      </w:r>
      <w:r>
        <w:rPr>
          <w:rFonts w:ascii="Times New Roman" w:hAnsi="Times New Roman" w:cs="Times New Roman" w:eastAsia="Times New Roman" w:hint="default"/>
          <w:spacing w:val="-2"/>
        </w:rPr>
        <w:t>2017</w:t>
      </w:r>
      <w:r>
        <w:rPr>
          <w:spacing w:val="-2"/>
        </w:rPr>
        <w:t>年限制性股票激励计划部分限制性股票的议案》，公司独立董事对此发表了独立意见，律</w:t>
      </w:r>
    </w:p>
    <w:p>
      <w:pPr>
        <w:spacing w:after="0" w:line="338" w:lineRule="auto"/>
        <w:jc w:val="both"/>
        <w:sectPr>
          <w:pgSz w:w="11910" w:h="16840"/>
          <w:pgMar w:header="0" w:footer="1134" w:top="1280" w:bottom="1320" w:left="980" w:right="0"/>
        </w:sectPr>
      </w:pPr>
    </w:p>
    <w:p>
      <w:pPr>
        <w:pStyle w:val="BodyText"/>
        <w:spacing w:line="336" w:lineRule="auto" w:before="112"/>
        <w:ind w:left="152" w:right="1163"/>
        <w:jc w:val="both"/>
      </w:pPr>
      <w:r>
        <w:rPr>
          <w:spacing w:val="-2"/>
        </w:rPr>
        <w:t>师出具了法律意见书。本次回购离职人员何光南、张子沃、陈蕃泓、罗世芳及监事夏林共</w:t>
      </w:r>
      <w:r>
        <w:rPr>
          <w:rFonts w:ascii="Times New Roman" w:hAnsi="Times New Roman" w:cs="Times New Roman" w:eastAsia="Times New Roman" w:hint="default"/>
          <w:spacing w:val="-2"/>
        </w:rPr>
        <w:t>5</w:t>
      </w:r>
      <w:r>
        <w:rPr>
          <w:spacing w:val="-2"/>
        </w:rPr>
        <w:t>名激励对象所</w:t>
      </w:r>
      <w:r>
        <w:rPr>
          <w:spacing w:val="-25"/>
        </w:rPr>
        <w:t> </w:t>
      </w:r>
      <w:r>
        <w:rPr>
          <w:spacing w:val="-25"/>
        </w:rPr>
      </w:r>
      <w:r>
        <w:rPr>
          <w:spacing w:val="-2"/>
        </w:rPr>
        <w:t>持限制性股票共计</w:t>
      </w:r>
      <w:r>
        <w:rPr>
          <w:rFonts w:ascii="Times New Roman" w:hAnsi="Times New Roman" w:cs="Times New Roman" w:eastAsia="Times New Roman" w:hint="default"/>
          <w:spacing w:val="-2"/>
        </w:rPr>
        <w:t>129,000</w:t>
      </w:r>
      <w:r>
        <w:rPr>
          <w:spacing w:val="-2"/>
        </w:rPr>
        <w:t>股（第一期、第二期、第三期和第四期），回购剩余</w:t>
      </w:r>
      <w:r>
        <w:rPr>
          <w:rFonts w:ascii="Times New Roman" w:hAnsi="Times New Roman" w:cs="Times New Roman" w:eastAsia="Times New Roman" w:hint="default"/>
          <w:spacing w:val="-2"/>
        </w:rPr>
        <w:t>389</w:t>
      </w:r>
      <w:r>
        <w:rPr>
          <w:spacing w:val="-2"/>
        </w:rPr>
        <w:t>名激励对象部分限制性</w:t>
      </w:r>
      <w:r>
        <w:rPr>
          <w:spacing w:val="-17"/>
        </w:rPr>
        <w:t> </w:t>
      </w:r>
      <w:r>
        <w:rPr>
          <w:spacing w:val="-17"/>
        </w:rPr>
      </w:r>
      <w:r>
        <w:rPr/>
        <w:t>股票（第一期）</w:t>
      </w:r>
      <w:r>
        <w:rPr>
          <w:rFonts w:ascii="Times New Roman" w:hAnsi="Times New Roman" w:cs="Times New Roman" w:eastAsia="Times New Roman" w:hint="default"/>
        </w:rPr>
        <w:t>5,662,500</w:t>
      </w:r>
      <w:r>
        <w:rPr/>
        <w:t>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日，公司召开</w:t>
      </w:r>
      <w:r>
        <w:rPr>
          <w:rFonts w:ascii="Times New Roman" w:hAnsi="Times New Roman" w:cs="Times New Roman" w:eastAsia="Times New Roman" w:hint="default"/>
        </w:rPr>
        <w:t>2017</w:t>
      </w:r>
      <w:r>
        <w:rPr/>
        <w:t>年年度股东大会，审议通过了上述议案。</w:t>
      </w:r>
    </w:p>
    <w:p>
      <w:pPr>
        <w:pStyle w:val="BodyText"/>
        <w:spacing w:line="338" w:lineRule="auto" w:before="26"/>
        <w:ind w:left="152" w:right="1127" w:firstLine="419"/>
        <w:jc w:val="left"/>
      </w:pPr>
      <w:r>
        <w:rPr>
          <w:spacing w:val="-4"/>
        </w:rPr>
        <w:t>（</w:t>
      </w:r>
      <w:r>
        <w:rPr>
          <w:rFonts w:ascii="Times New Roman" w:hAnsi="Times New Roman" w:cs="Times New Roman" w:eastAsia="Times New Roman" w:hint="default"/>
          <w:spacing w:val="-4"/>
        </w:rPr>
        <w:t>7</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9</w:t>
      </w:r>
      <w:r>
        <w:rPr>
          <w:spacing w:val="-4"/>
        </w:rPr>
        <w:t>日，公司召开第四届董事会第四次会议和第四届监事会第三次会议，审议通过了《关</w:t>
      </w:r>
      <w:r>
        <w:rPr>
          <w:w w:val="100"/>
        </w:rPr>
        <w:t> </w:t>
      </w:r>
      <w:r>
        <w:rPr>
          <w:spacing w:val="-2"/>
        </w:rPr>
        <w:t>于回购注销</w:t>
      </w:r>
      <w:r>
        <w:rPr>
          <w:rFonts w:ascii="Times New Roman" w:hAnsi="Times New Roman" w:cs="Times New Roman" w:eastAsia="Times New Roman" w:hint="default"/>
          <w:spacing w:val="-2"/>
        </w:rPr>
        <w:t>2017</w:t>
      </w:r>
      <w:r>
        <w:rPr>
          <w:spacing w:val="-2"/>
        </w:rPr>
        <w:t>年限制性股票激励计划部分离职人员限制性股票的议案》，公司独立董事对此发表了独立</w:t>
      </w:r>
      <w:r>
        <w:rPr>
          <w:spacing w:val="-38"/>
        </w:rPr>
        <w:t> </w:t>
      </w:r>
      <w:r>
        <w:rPr>
          <w:spacing w:val="-38"/>
        </w:rPr>
      </w:r>
      <w:r>
        <w:rPr/>
        <w:t>意见，律师出具了法律意见书。本次回购黄慧、郑寒卓、杨水华、刘洁、何升金共</w:t>
      </w:r>
      <w:r>
        <w:rPr>
          <w:rFonts w:ascii="Times New Roman" w:hAnsi="Times New Roman" w:cs="Times New Roman" w:eastAsia="Times New Roman" w:hint="default"/>
        </w:rPr>
        <w:t>5</w:t>
      </w:r>
      <w:r>
        <w:rPr/>
        <w:t>名离职人员所持限制</w:t>
      </w:r>
      <w:r>
        <w:rPr>
          <w:spacing w:val="-3"/>
          <w:w w:val="100"/>
        </w:rPr>
        <w:t> </w:t>
      </w:r>
      <w:r>
        <w:rPr>
          <w:spacing w:val="-3"/>
        </w:rPr>
        <w:t>性股票</w:t>
      </w:r>
      <w:r>
        <w:rPr>
          <w:rFonts w:ascii="Times New Roman" w:hAnsi="Times New Roman" w:cs="Times New Roman" w:eastAsia="Times New Roman" w:hint="default"/>
          <w:spacing w:val="-3"/>
        </w:rPr>
        <w:t>74,250</w:t>
      </w:r>
      <w:r>
        <w:rPr>
          <w:spacing w:val="-3"/>
        </w:rPr>
        <w:t>股（第二期、第三期和第四期）。</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20</w:t>
      </w:r>
      <w:r>
        <w:rPr>
          <w:spacing w:val="-3"/>
        </w:rPr>
        <w:t>日，公司召开</w:t>
      </w:r>
      <w:r>
        <w:rPr>
          <w:rFonts w:ascii="Times New Roman" w:hAnsi="Times New Roman" w:cs="Times New Roman" w:eastAsia="Times New Roman" w:hint="default"/>
          <w:spacing w:val="-3"/>
        </w:rPr>
        <w:t>2017</w:t>
      </w:r>
      <w:r>
        <w:rPr>
          <w:spacing w:val="-3"/>
        </w:rPr>
        <w:t>年年度股东大会，审议通过</w:t>
      </w:r>
      <w:r>
        <w:rPr>
          <w:spacing w:val="-34"/>
        </w:rPr>
        <w:t> </w:t>
      </w:r>
      <w:r>
        <w:rPr>
          <w:spacing w:val="-34"/>
        </w:rPr>
      </w:r>
      <w:r>
        <w:rPr/>
        <w:t>了上述议案。</w:t>
      </w:r>
    </w:p>
    <w:p>
      <w:pPr>
        <w:pStyle w:val="BodyText"/>
        <w:spacing w:line="240" w:lineRule="auto" w:before="47"/>
        <w:ind w:right="0"/>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日，公司召开第四届董事会第十二次会议和第四届监事会第五次会议，审议通过了</w:t>
      </w:r>
    </w:p>
    <w:p>
      <w:pPr>
        <w:pStyle w:val="BodyText"/>
        <w:spacing w:line="338" w:lineRule="auto" w:before="117"/>
        <w:ind w:left="153" w:right="0"/>
        <w:jc w:val="left"/>
      </w:pPr>
      <w:r>
        <w:rPr>
          <w:spacing w:val="-4"/>
        </w:rPr>
        <w:t>《关于回购注销</w:t>
      </w:r>
      <w:r>
        <w:rPr>
          <w:rFonts w:ascii="Times New Roman" w:hAnsi="Times New Roman" w:cs="Times New Roman" w:eastAsia="Times New Roman" w:hint="default"/>
          <w:spacing w:val="-4"/>
        </w:rPr>
        <w:t>2017</w:t>
      </w:r>
      <w:r>
        <w:rPr>
          <w:spacing w:val="-4"/>
        </w:rPr>
        <w:t>年限制性股票激励计划部分限制性股票的议案》，公司独立董事对此发表了独立意见，</w:t>
      </w:r>
      <w:r>
        <w:rPr>
          <w:spacing w:val="-43"/>
        </w:rPr>
        <w:t> </w:t>
      </w:r>
      <w:r>
        <w:rPr>
          <w:spacing w:val="-43"/>
        </w:rPr>
      </w:r>
      <w:r>
        <w:rPr>
          <w:spacing w:val="-4"/>
        </w:rPr>
        <w:t>律师出具了法律意见书。本次回购龙美英、余鹏飞等</w:t>
      </w:r>
      <w:r>
        <w:rPr>
          <w:rFonts w:ascii="Times New Roman" w:hAnsi="Times New Roman" w:cs="Times New Roman" w:eastAsia="Times New Roman" w:hint="default"/>
          <w:spacing w:val="-4"/>
        </w:rPr>
        <w:t>41</w:t>
      </w:r>
      <w:r>
        <w:rPr>
          <w:spacing w:val="-4"/>
        </w:rPr>
        <w:t>名激励对象所持限制性股票</w:t>
      </w:r>
      <w:r>
        <w:rPr>
          <w:rFonts w:ascii="Times New Roman" w:hAnsi="Times New Roman" w:cs="Times New Roman" w:eastAsia="Times New Roman" w:hint="default"/>
          <w:spacing w:val="-4"/>
        </w:rPr>
        <w:t>816,809</w:t>
      </w:r>
      <w:r>
        <w:rPr>
          <w:spacing w:val="-4"/>
        </w:rPr>
        <w:t>股（第二期、第</w:t>
      </w:r>
      <w:r>
        <w:rPr>
          <w:spacing w:val="-5"/>
        </w:rPr>
        <w:t> </w:t>
      </w:r>
      <w:r>
        <w:rPr>
          <w:spacing w:val="-5"/>
        </w:rPr>
      </w:r>
      <w:r>
        <w:rPr/>
        <w:t>三期和第四期）。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日，公司召开</w:t>
      </w:r>
      <w:r>
        <w:rPr>
          <w:rFonts w:ascii="Times New Roman" w:hAnsi="Times New Roman" w:cs="Times New Roman" w:eastAsia="Times New Roman" w:hint="default"/>
        </w:rPr>
        <w:t>2018</w:t>
      </w:r>
      <w:r>
        <w:rPr>
          <w:rFonts w:ascii="Times New Roman" w:hAnsi="Times New Roman" w:cs="Times New Roman" w:eastAsia="Times New Roman" w:hint="default"/>
          <w:spacing w:val="27"/>
        </w:rPr>
        <w:t> </w:t>
      </w:r>
      <w:r>
        <w:rPr/>
        <w:t>年第五次临时股东大会，审议通过了上述议案，目前已</w:t>
      </w:r>
      <w:r>
        <w:rPr>
          <w:w w:val="100"/>
        </w:rPr>
        <w:t> </w:t>
      </w:r>
      <w:r>
        <w:rPr/>
        <w:t>在中国证券登记结算公司完成股份注销手续。</w:t>
      </w:r>
    </w:p>
    <w:p>
      <w:pPr>
        <w:pStyle w:val="BodyText"/>
        <w:spacing w:line="240" w:lineRule="auto" w:before="47"/>
        <w:ind w:left="573" w:right="0"/>
        <w:jc w:val="left"/>
      </w:pPr>
      <w:r>
        <w:rPr>
          <w:spacing w:val="-1"/>
        </w:rPr>
        <w:t>（</w:t>
      </w:r>
      <w:r>
        <w:rPr>
          <w:rFonts w:ascii="Times New Roman" w:hAnsi="Times New Roman" w:cs="Times New Roman" w:eastAsia="Times New Roman" w:hint="default"/>
          <w:spacing w:val="-1"/>
        </w:rPr>
        <w:t>9</w:t>
      </w:r>
      <w:r>
        <w:rPr>
          <w:spacing w:val="-1"/>
        </w:rPr>
        <w:t>）</w:t>
      </w:r>
      <w:r>
        <w:rPr>
          <w:rFonts w:ascii="Times New Roman" w:hAnsi="Times New Roman" w:cs="Times New Roman" w:eastAsia="Times New Roman" w:hint="default"/>
          <w:spacing w:val="-1"/>
        </w:rPr>
        <w:t>2019</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7</w:t>
      </w:r>
      <w:r>
        <w:rPr>
          <w:spacing w:val="-2"/>
        </w:rPr>
        <w:t>日，公司召开第四届董事会第十七次会议和第四届监事会第八次会议，审议通过了</w:t>
      </w:r>
    </w:p>
    <w:p>
      <w:pPr>
        <w:pStyle w:val="BodyText"/>
        <w:spacing w:line="338" w:lineRule="auto" w:before="117"/>
        <w:ind w:left="153" w:right="1022"/>
        <w:jc w:val="left"/>
      </w:pPr>
      <w:r>
        <w:rPr/>
        <w:t>《关于终止实施</w:t>
      </w:r>
      <w:r>
        <w:rPr>
          <w:rFonts w:ascii="Times New Roman" w:hAnsi="Times New Roman" w:cs="Times New Roman" w:eastAsia="Times New Roman" w:hint="default"/>
        </w:rPr>
        <w:t>&lt;2017</w:t>
      </w:r>
      <w:r>
        <w:rPr>
          <w:rFonts w:ascii="Times New Roman" w:hAnsi="Times New Roman" w:cs="Times New Roman" w:eastAsia="Times New Roman" w:hint="default"/>
          <w:spacing w:val="25"/>
        </w:rPr>
        <w:t> </w:t>
      </w:r>
      <w:r>
        <w:rPr/>
        <w:t>年限制性股票激励计划</w:t>
      </w:r>
      <w:r>
        <w:rPr>
          <w:rFonts w:ascii="Times New Roman" w:hAnsi="Times New Roman" w:cs="Times New Roman" w:eastAsia="Times New Roman" w:hint="default"/>
        </w:rPr>
        <w:t>&gt;</w:t>
      </w:r>
      <w:r>
        <w:rPr/>
        <w:t>暨回购注销已授予但尚未解除限售的全部限制性股票的议</w:t>
      </w:r>
      <w:r>
        <w:rPr>
          <w:w w:val="100"/>
        </w:rPr>
        <w:t> </w:t>
      </w:r>
      <w:r>
        <w:rPr/>
        <w:t>案》，同意公司终止实施</w:t>
      </w:r>
      <w:r>
        <w:rPr>
          <w:rFonts w:ascii="Times New Roman" w:hAnsi="Times New Roman" w:cs="Times New Roman" w:eastAsia="Times New Roman" w:hint="default"/>
        </w:rPr>
        <w:t>2017</w:t>
      </w:r>
      <w:r>
        <w:rPr/>
        <w:t>年限制性股票激励计划，同时回购注销原</w:t>
      </w:r>
      <w:r>
        <w:rPr>
          <w:rFonts w:ascii="Times New Roman" w:hAnsi="Times New Roman" w:cs="Times New Roman" w:eastAsia="Times New Roman" w:hint="default"/>
        </w:rPr>
        <w:t>343</w:t>
      </w:r>
      <w:r>
        <w:rPr>
          <w:rFonts w:ascii="Times New Roman" w:hAnsi="Times New Roman" w:cs="Times New Roman" w:eastAsia="Times New Roman" w:hint="default"/>
          <w:spacing w:val="17"/>
        </w:rPr>
        <w:t> </w:t>
      </w:r>
      <w:r>
        <w:rPr/>
        <w:t>名激励对象已获授但尚未解除</w:t>
      </w:r>
      <w:r>
        <w:rPr>
          <w:spacing w:val="-3"/>
          <w:w w:val="100"/>
        </w:rPr>
        <w:t> </w:t>
      </w:r>
      <w:r>
        <w:rPr/>
        <w:t>限售的全部限制性股票。公司独立董事对此发表了独立意见，律师出具了法律意见书。</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w:t>
      </w:r>
      <w:r>
        <w:rPr>
          <w:spacing w:val="-3"/>
          <w:w w:val="100"/>
        </w:rPr>
        <w:t> </w:t>
      </w:r>
      <w:r>
        <w:rPr>
          <w:spacing w:val="-2"/>
        </w:rPr>
        <w:t>公司召开</w:t>
      </w:r>
      <w:r>
        <w:rPr>
          <w:rFonts w:ascii="Times New Roman" w:hAnsi="Times New Roman" w:cs="Times New Roman" w:eastAsia="Times New Roman" w:hint="default"/>
          <w:spacing w:val="-2"/>
        </w:rPr>
        <w:t>2019</w:t>
      </w:r>
      <w:r>
        <w:rPr>
          <w:spacing w:val="-2"/>
        </w:rPr>
        <w:t>年第一次临时股东大会，审议通过了上述议案，目前已在中国证券登记结算公司完成股份注</w:t>
      </w:r>
      <w:r>
        <w:rPr>
          <w:spacing w:val="-38"/>
        </w:rPr>
        <w:t> </w:t>
      </w:r>
      <w:r>
        <w:rPr>
          <w:spacing w:val="-38"/>
        </w:rPr>
      </w:r>
      <w:r>
        <w:rPr/>
        <w:t>销手续。</w:t>
      </w:r>
    </w:p>
    <w:p>
      <w:pPr>
        <w:spacing w:line="436" w:lineRule="auto" w:before="166"/>
        <w:ind w:left="572" w:right="1127" w:firstLine="2"/>
        <w:jc w:val="left"/>
        <w:rPr>
          <w:rFonts w:ascii="宋体" w:hAnsi="宋体" w:cs="宋体" w:eastAsia="宋体" w:hint="default"/>
          <w:sz w:val="21"/>
          <w:szCs w:val="21"/>
        </w:rPr>
      </w:pPr>
      <w:bookmarkStart w:name="3、取消股权激励计划对公司本报告期及以后各年度财务状况和经营成果的影响" w:id="135"/>
      <w:bookmarkEnd w:id="13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、取消股权激励计划对公司本报告期及以后各年度财务状况和经营成果的影响</w:t>
      </w:r>
      <w:r>
        <w:rPr>
          <w:rFonts w:ascii="宋体" w:hAnsi="宋体" w:cs="宋体" w:eastAsia="宋体" w:hint="default"/>
          <w:b/>
          <w:bCs/>
          <w:w w:val="100"/>
          <w:sz w:val="21"/>
          <w:szCs w:val="21"/>
        </w:rPr>
        <w:t> </w:t>
      </w:r>
      <w:r>
        <w:rPr>
          <w:rFonts w:ascii="宋体" w:hAnsi="宋体" w:cs="宋体" w:eastAsia="宋体" w:hint="default"/>
          <w:spacing w:val="-2"/>
          <w:sz w:val="21"/>
          <w:szCs w:val="21"/>
        </w:rPr>
        <w:t>实施及根据《企业会计准则》的相关规定，本次激励计划终止后对原本应在剩余等待期内确认的股份</w:t>
      </w:r>
    </w:p>
    <w:p>
      <w:pPr>
        <w:pStyle w:val="BodyText"/>
        <w:spacing w:line="254" w:lineRule="exact"/>
        <w:ind w:left="152" w:right="1127"/>
        <w:jc w:val="left"/>
      </w:pPr>
      <w:r>
        <w:rPr/>
        <w:t>支付费用</w:t>
      </w:r>
      <w:r>
        <w:rPr>
          <w:rFonts w:ascii="Times New Roman" w:hAnsi="Times New Roman" w:cs="Times New Roman" w:eastAsia="Times New Roman" w:hint="default"/>
        </w:rPr>
        <w:t>1,871.10</w:t>
      </w:r>
      <w:r>
        <w:rPr/>
        <w:t>万元加速提取，对于已离职激励对象相关的股份支付费用不予计提。综上所述，公司因</w:t>
      </w:r>
    </w:p>
    <w:p>
      <w:pPr>
        <w:pStyle w:val="BodyText"/>
        <w:spacing w:line="336" w:lineRule="auto" w:before="117"/>
        <w:ind w:left="152" w:right="1127"/>
        <w:jc w:val="left"/>
      </w:pPr>
      <w:r>
        <w:rPr/>
        <w:t>本次激励计划终止需在</w:t>
      </w:r>
      <w:r>
        <w:rPr>
          <w:rFonts w:ascii="Times New Roman" w:hAnsi="Times New Roman" w:cs="Times New Roman" w:eastAsia="Times New Roman" w:hint="default"/>
        </w:rPr>
        <w:t>2019</w:t>
      </w:r>
      <w:r>
        <w:rPr>
          <w:rFonts w:ascii="Times New Roman" w:hAnsi="Times New Roman" w:cs="Times New Roman" w:eastAsia="Times New Roman" w:hint="default"/>
          <w:spacing w:val="19"/>
        </w:rPr>
        <w:t> </w:t>
      </w:r>
      <w:r>
        <w:rPr/>
        <w:t>年共计提</w:t>
      </w:r>
      <w:r>
        <w:rPr>
          <w:rFonts w:ascii="Times New Roman" w:hAnsi="Times New Roman" w:cs="Times New Roman" w:eastAsia="Times New Roman" w:hint="default"/>
        </w:rPr>
        <w:t>1,871.10</w:t>
      </w:r>
      <w:r>
        <w:rPr/>
        <w:t>万元加速行权股份支付费用。由于股份支付费用加速提取而</w:t>
      </w:r>
      <w:r>
        <w:rPr>
          <w:spacing w:val="-3"/>
          <w:w w:val="100"/>
        </w:rPr>
        <w:t> </w:t>
      </w:r>
      <w:r>
        <w:rPr/>
        <w:t>对公司净利润产生的影响最终以会计师事务所出具的审计报告为准。</w:t>
      </w:r>
    </w:p>
    <w:p>
      <w:pPr>
        <w:pStyle w:val="BodyText"/>
        <w:spacing w:line="343" w:lineRule="auto" w:before="49"/>
        <w:ind w:left="152" w:right="1110" w:firstLine="420"/>
        <w:jc w:val="both"/>
      </w:pPr>
      <w:r>
        <w:rPr>
          <w:spacing w:val="-3"/>
        </w:rPr>
        <w:t>公司终止本次股权激励计划计划使用自有资金，共计需</w:t>
      </w:r>
      <w:r>
        <w:rPr>
          <w:rFonts w:ascii="Times New Roman" w:hAnsi="Times New Roman" w:cs="Times New Roman" w:eastAsia="Times New Roman" w:hint="default"/>
          <w:spacing w:val="-3"/>
        </w:rPr>
        <w:t>171,060,907.86</w:t>
      </w:r>
      <w:r>
        <w:rPr>
          <w:spacing w:val="-3"/>
        </w:rPr>
        <w:t>元，短期内对公司现金流有一定</w:t>
      </w:r>
      <w:r>
        <w:rPr>
          <w:w w:val="100"/>
        </w:rPr>
        <w:t> </w:t>
      </w:r>
      <w:r>
        <w:rPr>
          <w:spacing w:val="-2"/>
        </w:rPr>
        <w:t>影响。公司本次终止实施</w:t>
      </w:r>
      <w:r>
        <w:rPr>
          <w:rFonts w:ascii="Times New Roman" w:hAnsi="Times New Roman" w:cs="Times New Roman" w:eastAsia="Times New Roman" w:hint="default"/>
          <w:spacing w:val="-2"/>
        </w:rPr>
        <w:t>2017</w:t>
      </w:r>
      <w:r>
        <w:rPr>
          <w:spacing w:val="-2"/>
        </w:rPr>
        <w:t>年限制性股票激励计划，不会对公司的财务状况和经营情况产生不利影响，</w:t>
      </w:r>
      <w:r>
        <w:rPr>
          <w:spacing w:val="-23"/>
        </w:rPr>
        <w:t> </w:t>
      </w:r>
      <w:r>
        <w:rPr>
          <w:spacing w:val="-23"/>
        </w:rPr>
      </w:r>
      <w:r>
        <w:rPr>
          <w:spacing w:val="-2"/>
        </w:rPr>
        <w:t>公司管理团队、核心业务及技术人员将继续勤勉尽责，履行其工作职责，为股东创造价值，为公司发展做</w:t>
      </w:r>
      <w:r>
        <w:rPr>
          <w:spacing w:val="-47"/>
        </w:rPr>
        <w:t> </w:t>
      </w:r>
      <w:r>
        <w:rPr>
          <w:spacing w:val="-47"/>
        </w:rPr>
      </w:r>
      <w:r>
        <w:rPr/>
        <w:t>出贡献。</w:t>
      </w:r>
    </w:p>
    <w:p>
      <w:pPr>
        <w:pStyle w:val="Heading3"/>
        <w:spacing w:line="240" w:lineRule="auto" w:before="156"/>
        <w:ind w:right="1127"/>
        <w:jc w:val="left"/>
      </w:pPr>
      <w:bookmarkStart w:name="（三）2015年第一期员工持股计划" w:id="136"/>
      <w:bookmarkEnd w:id="136"/>
      <w:r>
        <w:rPr/>
      </w:r>
      <w:r>
        <w:rPr/>
        <w:t>（三）</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年第一期员工持股计划</w:t>
      </w:r>
    </w:p>
    <w:p>
      <w:pPr>
        <w:spacing w:line="240" w:lineRule="auto" w:before="4"/>
        <w:rPr>
          <w:rFonts w:ascii="黑体" w:hAnsi="黑体" w:cs="黑体" w:eastAsia="黑体" w:hint="default"/>
          <w:sz w:val="25"/>
          <w:szCs w:val="25"/>
        </w:rPr>
      </w:pPr>
    </w:p>
    <w:p>
      <w:pPr>
        <w:pStyle w:val="Heading4"/>
        <w:spacing w:line="240" w:lineRule="auto"/>
        <w:ind w:left="575" w:right="1127"/>
        <w:jc w:val="left"/>
        <w:rPr>
          <w:b w:val="0"/>
          <w:bCs w:val="0"/>
        </w:rPr>
      </w:pPr>
      <w:bookmarkStart w:name="1、员工持股计划简述" w:id="137"/>
      <w:bookmarkEnd w:id="137"/>
      <w:r>
        <w:rPr>
          <w:b w:val="0"/>
          <w:bCs w:val="0"/>
        </w:rPr>
      </w:r>
      <w:r>
        <w:rPr>
          <w:rFonts w:ascii="Times New Roman" w:hAnsi="Times New Roman" w:cs="Times New Roman" w:eastAsia="Times New Roman" w:hint="default"/>
        </w:rPr>
        <w:t>1</w:t>
      </w:r>
      <w:r>
        <w:rPr/>
        <w:t>、员工持股计划简述</w:t>
      </w:r>
      <w:r>
        <w:rPr>
          <w:b w:val="0"/>
          <w:bCs w:val="0"/>
        </w:rPr>
      </w:r>
    </w:p>
    <w:p>
      <w:pPr>
        <w:spacing w:line="240" w:lineRule="auto" w:before="2"/>
        <w:rPr>
          <w:rFonts w:ascii="宋体" w:hAnsi="宋体" w:cs="宋体" w:eastAsia="宋体" w:hint="default"/>
          <w:b/>
          <w:bCs/>
          <w:sz w:val="18"/>
          <w:szCs w:val="18"/>
        </w:rPr>
      </w:pPr>
    </w:p>
    <w:p>
      <w:pPr>
        <w:pStyle w:val="BodyText"/>
        <w:spacing w:line="338" w:lineRule="auto"/>
        <w:ind w:left="152" w:right="1127" w:firstLine="420"/>
        <w:jc w:val="left"/>
      </w:pPr>
      <w:r>
        <w:rPr>
          <w:spacing w:val="-2"/>
        </w:rPr>
        <w:t>（</w:t>
      </w:r>
      <w:r>
        <w:rPr>
          <w:rFonts w:ascii="Times New Roman" w:hAnsi="Times New Roman" w:cs="Times New Roman" w:eastAsia="Times New Roman" w:hint="default"/>
          <w:spacing w:val="-2"/>
        </w:rPr>
        <w:t>1</w:t>
      </w:r>
      <w:r>
        <w:rPr>
          <w:spacing w:val="-2"/>
        </w:rPr>
        <w:t>）本员工持股计划的持有人主要包括公司部分董事、监事、高级管理人员，公司及下属子公司中</w:t>
      </w:r>
      <w:r>
        <w:rPr>
          <w:w w:val="100"/>
        </w:rPr>
        <w:t> </w:t>
      </w:r>
      <w:r>
        <w:rPr/>
        <w:t>高层管理人员、核心业务技术人员和其他员工，合计不超过</w:t>
      </w:r>
      <w:r>
        <w:rPr>
          <w:rFonts w:ascii="Times New Roman" w:hAnsi="Times New Roman" w:cs="Times New Roman" w:eastAsia="Times New Roman" w:hint="default"/>
        </w:rPr>
        <w:t>130</w:t>
      </w:r>
      <w:r>
        <w:rPr/>
        <w:t>人；</w:t>
      </w:r>
    </w:p>
    <w:p>
      <w:pPr>
        <w:spacing w:after="0" w:line="338" w:lineRule="auto"/>
        <w:jc w:val="left"/>
        <w:sectPr>
          <w:pgSz w:w="11910" w:h="16840"/>
          <w:pgMar w:header="0" w:footer="1134" w:top="1280" w:bottom="1320" w:left="980" w:right="0"/>
        </w:sectPr>
      </w:pPr>
    </w:p>
    <w:p>
      <w:pPr>
        <w:pStyle w:val="BodyText"/>
        <w:spacing w:line="336" w:lineRule="auto" w:before="112"/>
        <w:ind w:left="152" w:right="1127" w:firstLine="419"/>
        <w:jc w:val="left"/>
      </w:pPr>
      <w:r>
        <w:rPr>
          <w:spacing w:val="-2"/>
        </w:rPr>
        <w:t>（</w:t>
      </w:r>
      <w:r>
        <w:rPr>
          <w:rFonts w:ascii="Times New Roman" w:hAnsi="Times New Roman" w:cs="Times New Roman" w:eastAsia="Times New Roman" w:hint="default"/>
          <w:spacing w:val="-2"/>
        </w:rPr>
        <w:t>2</w:t>
      </w:r>
      <w:r>
        <w:rPr>
          <w:spacing w:val="-2"/>
        </w:rPr>
        <w:t>）本员工持股计划设立时的资金总额上限为</w:t>
      </w:r>
      <w:r>
        <w:rPr>
          <w:rFonts w:ascii="Times New Roman" w:hAnsi="Times New Roman" w:cs="Times New Roman" w:eastAsia="Times New Roman" w:hint="default"/>
          <w:spacing w:val="-2"/>
        </w:rPr>
        <w:t>5,000</w:t>
      </w:r>
      <w:r>
        <w:rPr>
          <w:spacing w:val="-2"/>
        </w:rPr>
        <w:t>万元，资金来源为员工的合法薪酬、自筹资金和</w:t>
      </w:r>
      <w:r>
        <w:rPr>
          <w:w w:val="100"/>
        </w:rPr>
        <w:t> </w:t>
      </w:r>
      <w:r>
        <w:rPr/>
        <w:t>法律、行政法规允许的其他方式；</w:t>
      </w:r>
    </w:p>
    <w:p>
      <w:pPr>
        <w:pStyle w:val="BodyText"/>
        <w:spacing w:line="338" w:lineRule="auto" w:before="49"/>
        <w:ind w:left="152" w:right="1128" w:firstLine="420"/>
        <w:jc w:val="both"/>
      </w:pPr>
      <w:r>
        <w:rPr>
          <w:spacing w:val="-4"/>
        </w:rPr>
        <w:t>（</w:t>
      </w:r>
      <w:r>
        <w:rPr>
          <w:rFonts w:ascii="Times New Roman" w:hAnsi="Times New Roman" w:cs="Times New Roman" w:eastAsia="Times New Roman" w:hint="default"/>
          <w:spacing w:val="-4"/>
        </w:rPr>
        <w:t>3</w:t>
      </w:r>
      <w:r>
        <w:rPr>
          <w:spacing w:val="-4"/>
        </w:rPr>
        <w:t>）本员工持股计划将委托广发证券资产管理（广东）有限公司管理，设立广发原驰</w:t>
      </w:r>
      <w:r>
        <w:rPr>
          <w:rFonts w:ascii="Times New Roman" w:hAnsi="Times New Roman" w:cs="Times New Roman" w:eastAsia="Times New Roman" w:hint="default"/>
          <w:spacing w:val="-4"/>
        </w:rPr>
        <w:t>•</w:t>
      </w:r>
      <w:r>
        <w:rPr>
          <w:spacing w:val="-4"/>
        </w:rPr>
        <w:t>旋极信息</w:t>
      </w:r>
      <w:r>
        <w:rPr>
          <w:rFonts w:ascii="Times New Roman" w:hAnsi="Times New Roman" w:cs="Times New Roman" w:eastAsia="Times New Roman" w:hint="default"/>
          <w:spacing w:val="-4"/>
        </w:rPr>
        <w:t>1</w:t>
      </w:r>
      <w:r>
        <w:rPr>
          <w:spacing w:val="-4"/>
        </w:rPr>
        <w:t>号集</w:t>
      </w:r>
      <w:r>
        <w:rPr>
          <w:spacing w:val="-3"/>
          <w:w w:val="100"/>
        </w:rPr>
        <w:t> </w:t>
      </w:r>
      <w:r>
        <w:rPr>
          <w:spacing w:val="-3"/>
        </w:rPr>
        <w:t>合资产管理计划，按照不超过</w:t>
      </w:r>
      <w:r>
        <w:rPr>
          <w:rFonts w:ascii="Times New Roman" w:hAnsi="Times New Roman" w:cs="Times New Roman" w:eastAsia="Times New Roman" w:hint="default"/>
          <w:spacing w:val="-3"/>
        </w:rPr>
        <w:t>1:1</w:t>
      </w:r>
      <w:r>
        <w:rPr>
          <w:spacing w:val="-3"/>
        </w:rPr>
        <w:t>的比例设立优先级份额和进取级份额，旋极信息第一期员工持股计划以不</w:t>
      </w:r>
      <w:r>
        <w:rPr>
          <w:spacing w:val="-50"/>
        </w:rPr>
        <w:t> </w:t>
      </w:r>
      <w:r>
        <w:rPr>
          <w:spacing w:val="-50"/>
        </w:rPr>
      </w:r>
      <w:r>
        <w:rPr/>
        <w:t>超过</w:t>
      </w:r>
      <w:r>
        <w:rPr>
          <w:rFonts w:ascii="Times New Roman" w:hAnsi="Times New Roman" w:cs="Times New Roman" w:eastAsia="Times New Roman" w:hint="default"/>
        </w:rPr>
        <w:t>5,000</w:t>
      </w:r>
      <w:r>
        <w:rPr/>
        <w:t>万元认购旋极信息</w:t>
      </w:r>
      <w:r>
        <w:rPr>
          <w:rFonts w:ascii="Times New Roman" w:hAnsi="Times New Roman" w:cs="Times New Roman" w:eastAsia="Times New Roman" w:hint="default"/>
        </w:rPr>
        <w:t>1</w:t>
      </w:r>
      <w:r>
        <w:rPr/>
        <w:t>号进取级份额。</w:t>
      </w:r>
    </w:p>
    <w:p>
      <w:pPr>
        <w:pStyle w:val="BodyText"/>
        <w:spacing w:line="336" w:lineRule="auto" w:before="22"/>
        <w:ind w:left="152" w:right="1127" w:firstLine="420"/>
        <w:jc w:val="left"/>
      </w:pPr>
      <w:r>
        <w:rPr>
          <w:spacing w:val="-2"/>
        </w:rPr>
        <w:t>（</w:t>
      </w:r>
      <w:r>
        <w:rPr>
          <w:rFonts w:ascii="Times New Roman" w:hAnsi="Times New Roman" w:cs="Times New Roman" w:eastAsia="Times New Roman" w:hint="default"/>
          <w:spacing w:val="-2"/>
        </w:rPr>
        <w:t>4</w:t>
      </w:r>
      <w:r>
        <w:rPr>
          <w:spacing w:val="-2"/>
        </w:rPr>
        <w:t>）本次员工持股计划所获标的股票的锁定期为</w:t>
      </w:r>
      <w:r>
        <w:rPr>
          <w:rFonts w:ascii="Times New Roman" w:hAnsi="Times New Roman" w:cs="Times New Roman" w:eastAsia="Times New Roman" w:hint="default"/>
          <w:spacing w:val="-2"/>
        </w:rPr>
        <w:t>12</w:t>
      </w:r>
      <w:r>
        <w:rPr>
          <w:spacing w:val="-2"/>
        </w:rPr>
        <w:t>个月，自公司公告最后一笔买入过户至集合计划</w:t>
      </w:r>
      <w:r>
        <w:rPr>
          <w:w w:val="100"/>
        </w:rPr>
        <w:t> </w:t>
      </w:r>
      <w:r>
        <w:rPr/>
        <w:t>名下之日起计算。</w:t>
      </w:r>
    </w:p>
    <w:p>
      <w:pPr>
        <w:pStyle w:val="Heading4"/>
        <w:spacing w:line="240" w:lineRule="auto" w:before="171"/>
        <w:ind w:left="575" w:right="1127"/>
        <w:jc w:val="left"/>
        <w:rPr>
          <w:b w:val="0"/>
          <w:bCs w:val="0"/>
        </w:rPr>
      </w:pPr>
      <w:bookmarkStart w:name="2、员工持股计划已履行的决策程序和批准情况" w:id="138"/>
      <w:bookmarkEnd w:id="138"/>
      <w:r>
        <w:rPr>
          <w:b w:val="0"/>
          <w:bCs w:val="0"/>
        </w:rPr>
      </w:r>
      <w:r>
        <w:rPr>
          <w:rFonts w:ascii="Times New Roman" w:hAnsi="Times New Roman" w:cs="Times New Roman" w:eastAsia="Times New Roman" w:hint="default"/>
        </w:rPr>
        <w:t>2</w:t>
      </w:r>
      <w:r>
        <w:rPr/>
        <w:t>、员工持股计划已履行的决策程序和批准情况</w:t>
      </w:r>
      <w:r>
        <w:rPr>
          <w:b w:val="0"/>
          <w:bCs w:val="0"/>
        </w:rPr>
      </w:r>
    </w:p>
    <w:p>
      <w:pPr>
        <w:spacing w:line="240" w:lineRule="auto" w:before="2"/>
        <w:rPr>
          <w:rFonts w:ascii="宋体" w:hAnsi="宋体" w:cs="宋体" w:eastAsia="宋体" w:hint="default"/>
          <w:b/>
          <w:bCs/>
          <w:sz w:val="18"/>
          <w:szCs w:val="18"/>
        </w:rPr>
      </w:pPr>
    </w:p>
    <w:p>
      <w:pPr>
        <w:pStyle w:val="BodyText"/>
        <w:spacing w:line="345" w:lineRule="auto"/>
        <w:ind w:left="152" w:right="0" w:firstLine="419"/>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日，公司召开了第三届董事会第九次会议，审议通过了《关于</w:t>
      </w:r>
      <w:r>
        <w:rPr>
          <w:rFonts w:ascii="Times New Roman" w:hAnsi="Times New Roman" w:cs="Times New Roman" w:eastAsia="Times New Roman" w:hint="default"/>
        </w:rPr>
        <w:t>2015</w:t>
      </w:r>
      <w:r>
        <w:rPr/>
        <w:t>年第一期员工持</w:t>
      </w:r>
      <w:r>
        <w:rPr>
          <w:spacing w:val="-3"/>
          <w:w w:val="100"/>
        </w:rPr>
        <w:t> </w:t>
      </w:r>
      <w:r>
        <w:rPr>
          <w:spacing w:val="-5"/>
        </w:rPr>
        <w:t>股计划（草案）》及摘要的议案、关于提请股东大会授权董事会办理第一期员工持股计划相关事宜的议案，</w:t>
      </w:r>
      <w:r>
        <w:rPr>
          <w:spacing w:val="-10"/>
        </w:rPr>
        <w:t> </w:t>
      </w:r>
      <w:r>
        <w:rPr>
          <w:spacing w:val="-10"/>
        </w:rPr>
      </w:r>
      <w:r>
        <w:rPr/>
        <w:t>独立董事就此事项发表了明确意见。</w:t>
      </w:r>
    </w:p>
    <w:p>
      <w:pPr>
        <w:pStyle w:val="BodyText"/>
        <w:spacing w:line="338" w:lineRule="auto" w:before="41"/>
        <w:ind w:left="152" w:right="0" w:firstLine="420"/>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17</w:t>
      </w:r>
      <w:r>
        <w:rPr>
          <w:spacing w:val="-2"/>
        </w:rPr>
        <w:t>日，公司召开</w:t>
      </w:r>
      <w:r>
        <w:rPr>
          <w:rFonts w:ascii="Times New Roman" w:hAnsi="Times New Roman" w:cs="Times New Roman" w:eastAsia="Times New Roman" w:hint="default"/>
          <w:spacing w:val="-2"/>
        </w:rPr>
        <w:t>2015</w:t>
      </w:r>
      <w:r>
        <w:rPr>
          <w:spacing w:val="-2"/>
        </w:rPr>
        <w:t>年第四次临时股东大会，审议通过了《关于</w:t>
      </w:r>
      <w:r>
        <w:rPr>
          <w:rFonts w:ascii="Times New Roman" w:hAnsi="Times New Roman" w:cs="Times New Roman" w:eastAsia="Times New Roman" w:hint="default"/>
          <w:spacing w:val="-2"/>
        </w:rPr>
        <w:t>2015</w:t>
      </w:r>
      <w:r>
        <w:rPr>
          <w:spacing w:val="-2"/>
        </w:rPr>
        <w:t>年第一期员工持</w:t>
      </w:r>
      <w:r>
        <w:rPr>
          <w:w w:val="100"/>
        </w:rPr>
        <w:t> </w:t>
      </w:r>
      <w:r>
        <w:rPr>
          <w:spacing w:val="-5"/>
        </w:rPr>
        <w:t>股计划（草案）》及摘要的议案、关于提请股东大会授权董事会办理第一期员工持股计划相关事宜的议案。</w:t>
      </w:r>
    </w:p>
    <w:p>
      <w:pPr>
        <w:pStyle w:val="Heading4"/>
        <w:spacing w:line="240" w:lineRule="auto" w:before="167"/>
        <w:ind w:left="575" w:right="1127"/>
        <w:jc w:val="left"/>
        <w:rPr>
          <w:b w:val="0"/>
          <w:bCs w:val="0"/>
        </w:rPr>
      </w:pPr>
      <w:bookmarkStart w:name="3、员工持股计划股票购买情况" w:id="139"/>
      <w:bookmarkEnd w:id="139"/>
      <w:r>
        <w:rPr>
          <w:b w:val="0"/>
          <w:bCs w:val="0"/>
        </w:rPr>
      </w:r>
      <w:r>
        <w:rPr>
          <w:rFonts w:ascii="Times New Roman" w:hAnsi="Times New Roman" w:cs="Times New Roman" w:eastAsia="Times New Roman" w:hint="default"/>
        </w:rPr>
        <w:t>3</w:t>
      </w:r>
      <w:r>
        <w:rPr/>
        <w:t>、员工持股计划股票购买情况</w:t>
      </w:r>
      <w:r>
        <w:rPr>
          <w:b w:val="0"/>
          <w:bCs w:val="0"/>
        </w:rPr>
      </w:r>
    </w:p>
    <w:p>
      <w:pPr>
        <w:spacing w:line="240" w:lineRule="auto" w:before="2"/>
        <w:rPr>
          <w:rFonts w:ascii="宋体" w:hAnsi="宋体" w:cs="宋体" w:eastAsia="宋体" w:hint="default"/>
          <w:b/>
          <w:bCs/>
          <w:sz w:val="18"/>
          <w:szCs w:val="18"/>
        </w:rPr>
      </w:pPr>
    </w:p>
    <w:p>
      <w:pPr>
        <w:pStyle w:val="BodyText"/>
        <w:spacing w:line="336" w:lineRule="auto"/>
        <w:ind w:left="153" w:right="1129" w:firstLine="419"/>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21</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22</w:t>
      </w:r>
      <w:r>
        <w:rPr>
          <w:spacing w:val="-2"/>
        </w:rPr>
        <w:t>日，员工持股计划管理人广发证券资产管理（广东）有限公司通过二</w:t>
      </w:r>
      <w:r>
        <w:rPr>
          <w:w w:val="100"/>
        </w:rPr>
        <w:t> </w:t>
      </w:r>
      <w:r>
        <w:rPr>
          <w:spacing w:val="-2"/>
        </w:rPr>
        <w:t>级市场竞价交易、大宗交易的方式，共计买入旋极信息股票</w:t>
      </w:r>
      <w:r>
        <w:rPr>
          <w:rFonts w:ascii="Times New Roman" w:hAnsi="Times New Roman" w:cs="Times New Roman" w:eastAsia="Times New Roman" w:hint="default"/>
          <w:spacing w:val="-2"/>
        </w:rPr>
        <w:t>2,722,979</w:t>
      </w:r>
      <w:r>
        <w:rPr>
          <w:spacing w:val="-2"/>
        </w:rPr>
        <w:t>股，占公司总股本的</w:t>
      </w:r>
      <w:r>
        <w:rPr>
          <w:rFonts w:ascii="Times New Roman" w:hAnsi="Times New Roman" w:cs="Times New Roman" w:eastAsia="Times New Roman" w:hint="default"/>
          <w:spacing w:val="-2"/>
        </w:rPr>
        <w:t>0.58%</w:t>
      </w:r>
      <w:r>
        <w:rPr>
          <w:spacing w:val="-2"/>
        </w:rPr>
        <w:t>，购买均</w:t>
      </w:r>
      <w:r>
        <w:rPr>
          <w:spacing w:val="-10"/>
        </w:rPr>
        <w:t> </w:t>
      </w:r>
      <w:r>
        <w:rPr>
          <w:spacing w:val="-10"/>
        </w:rPr>
      </w:r>
      <w:r>
        <w:rPr/>
        <w:t>价为</w:t>
      </w:r>
      <w:r>
        <w:rPr>
          <w:rFonts w:ascii="Times New Roman" w:hAnsi="Times New Roman" w:cs="Times New Roman" w:eastAsia="Times New Roman" w:hint="default"/>
        </w:rPr>
        <w:t>34.86</w:t>
      </w:r>
      <w:r>
        <w:rPr/>
        <w:t>元</w:t>
      </w:r>
      <w:r>
        <w:rPr>
          <w:rFonts w:ascii="Times New Roman" w:hAnsi="Times New Roman" w:cs="Times New Roman" w:eastAsia="Times New Roman" w:hint="default"/>
        </w:rPr>
        <w:t>/</w:t>
      </w:r>
      <w:r>
        <w:rPr/>
        <w:t>股。公司第一期员工持股计划已完成股票购买，股票锁定期至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日止。</w:t>
      </w:r>
    </w:p>
    <w:p>
      <w:pPr>
        <w:pStyle w:val="Heading4"/>
        <w:spacing w:line="240" w:lineRule="auto" w:before="146"/>
        <w:ind w:left="575" w:right="1127"/>
        <w:jc w:val="left"/>
        <w:rPr>
          <w:b w:val="0"/>
          <w:bCs w:val="0"/>
        </w:rPr>
      </w:pPr>
      <w:bookmarkStart w:name="4、员工持股计划对公司财务状况和经营成果的影响" w:id="140"/>
      <w:bookmarkEnd w:id="140"/>
      <w:r>
        <w:rPr>
          <w:b w:val="0"/>
          <w:bCs w:val="0"/>
        </w:rPr>
      </w:r>
      <w:r>
        <w:rPr>
          <w:rFonts w:ascii="Times New Roman" w:hAnsi="Times New Roman" w:cs="Times New Roman" w:eastAsia="Times New Roman" w:hint="default"/>
        </w:rPr>
        <w:t>4</w:t>
      </w:r>
      <w:r>
        <w:rPr/>
        <w:t>、员工持股计划对公司财务状况和经营成果的影响</w:t>
      </w:r>
      <w:r>
        <w:rPr>
          <w:b w:val="0"/>
          <w:bCs w:val="0"/>
        </w:rPr>
      </w:r>
    </w:p>
    <w:p>
      <w:pPr>
        <w:spacing w:line="240" w:lineRule="auto" w:before="2"/>
        <w:rPr>
          <w:rFonts w:ascii="宋体" w:hAnsi="宋体" w:cs="宋体" w:eastAsia="宋体" w:hint="default"/>
          <w:b/>
          <w:bCs/>
          <w:sz w:val="18"/>
          <w:szCs w:val="18"/>
        </w:rPr>
      </w:pPr>
    </w:p>
    <w:p>
      <w:pPr>
        <w:pStyle w:val="BodyText"/>
        <w:spacing w:line="355" w:lineRule="auto"/>
        <w:ind w:right="0"/>
        <w:jc w:val="left"/>
      </w:pPr>
      <w:r>
        <w:rPr/>
        <w:t>公司本次员工持股计划对公司财务状况和经营成果不产生影响。</w:t>
      </w:r>
      <w:r>
        <w:rPr>
          <w:w w:val="100"/>
        </w:rPr>
        <w:t> </w:t>
      </w:r>
      <w:r>
        <w:rPr>
          <w:spacing w:val="-5"/>
        </w:rPr>
        <w:t>目前，该员工持股计划优先级份额已退出，劣后级份额待处置，计划结合市场情况择机通过集中竞价、</w:t>
      </w:r>
    </w:p>
    <w:p>
      <w:pPr>
        <w:pStyle w:val="BodyText"/>
        <w:spacing w:line="357" w:lineRule="auto" w:before="32"/>
        <w:ind w:left="152" w:right="1128"/>
        <w:jc w:val="both"/>
      </w:pPr>
      <w:r>
        <w:rPr>
          <w:spacing w:val="-2"/>
        </w:rPr>
        <w:t>大宗交易等法律法规许可的方式出售所持股份，并由管理委员会根据《员工持股计划管理办法》的规定和</w:t>
      </w:r>
      <w:r>
        <w:rPr>
          <w:spacing w:val="-44"/>
        </w:rPr>
        <w:t> </w:t>
      </w:r>
      <w:r>
        <w:rPr>
          <w:spacing w:val="-44"/>
        </w:rPr>
      </w:r>
      <w:r>
        <w:rPr>
          <w:spacing w:val="-2"/>
        </w:rPr>
        <w:t>持有人签署的《员工持股计划认购协议书》的约定统一进行权益分配，兑现持有人因持有计划份额而享有</w:t>
      </w:r>
      <w:r>
        <w:rPr>
          <w:spacing w:val="-43"/>
        </w:rPr>
        <w:t> </w:t>
      </w:r>
      <w:r>
        <w:rPr>
          <w:spacing w:val="-43"/>
        </w:rPr>
      </w:r>
      <w:r>
        <w:rPr/>
        <w:t>的权益。</w:t>
      </w:r>
    </w:p>
    <w:p>
      <w:pPr>
        <w:pStyle w:val="BodyText"/>
        <w:spacing w:line="336" w:lineRule="auto" w:before="128"/>
        <w:ind w:left="152" w:right="1022" w:firstLine="419"/>
        <w:jc w:val="left"/>
      </w:pPr>
      <w:r>
        <w:rPr>
          <w:spacing w:val="-3"/>
        </w:rPr>
        <w:t>公司需遵守《深圳证券交易所行业信息披露指引第 </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上市公司从事软件与信息技术服务业务》</w:t>
      </w:r>
      <w:r>
        <w:rPr>
          <w:w w:val="100"/>
        </w:rPr>
        <w:t> </w:t>
      </w:r>
      <w:r>
        <w:rPr/>
        <w:t>的披露要求</w:t>
      </w:r>
    </w:p>
    <w:p>
      <w:pPr>
        <w:pStyle w:val="BodyText"/>
        <w:spacing w:line="336" w:lineRule="auto" w:before="152"/>
        <w:ind w:left="152" w:right="0" w:firstLine="420"/>
        <w:jc w:val="left"/>
      </w:pPr>
      <w:r>
        <w:rPr>
          <w:spacing w:val="-2"/>
        </w:rPr>
        <w:t>本期计提股权激励费用</w:t>
      </w:r>
      <w:r>
        <w:rPr>
          <w:rFonts w:ascii="Times New Roman" w:hAnsi="Times New Roman" w:cs="Times New Roman" w:eastAsia="Times New Roman" w:hint="default"/>
          <w:spacing w:val="-2"/>
        </w:rPr>
        <w:t>51,197,334.86</w:t>
      </w:r>
      <w:r>
        <w:rPr>
          <w:spacing w:val="-2"/>
        </w:rPr>
        <w:t>元，其中计提研发人员股权激励费用</w:t>
      </w:r>
      <w:r>
        <w:rPr>
          <w:rFonts w:ascii="Times New Roman" w:hAnsi="Times New Roman" w:cs="Times New Roman" w:eastAsia="Times New Roman" w:hint="default"/>
          <w:spacing w:val="-2"/>
        </w:rPr>
        <w:t>3,155,360.83</w:t>
      </w:r>
      <w:r>
        <w:rPr>
          <w:spacing w:val="-2"/>
        </w:rPr>
        <w:t>元，占比</w:t>
      </w:r>
      <w:r>
        <w:rPr>
          <w:rFonts w:ascii="Times New Roman" w:hAnsi="Times New Roman" w:cs="Times New Roman" w:eastAsia="Times New Roman" w:hint="default"/>
          <w:spacing w:val="-2"/>
        </w:rPr>
        <w:t>6.16%</w:t>
      </w:r>
      <w:r>
        <w:rPr>
          <w:spacing w:val="-2"/>
        </w:rPr>
        <w:t>，</w:t>
      </w:r>
      <w:r>
        <w:rPr>
          <w:w w:val="100"/>
        </w:rPr>
        <w:t> </w:t>
      </w:r>
      <w:r>
        <w:rPr/>
        <w:t>股权激励费用对上市公司净利润影响较小。</w:t>
      </w:r>
    </w:p>
    <w:p>
      <w:pPr>
        <w:spacing w:line="240" w:lineRule="auto" w:before="3"/>
        <w:rPr>
          <w:rFonts w:ascii="宋体" w:hAnsi="宋体" w:cs="宋体" w:eastAsia="宋体" w:hint="default"/>
          <w:sz w:val="26"/>
          <w:szCs w:val="26"/>
        </w:rPr>
      </w:pPr>
    </w:p>
    <w:p>
      <w:pPr>
        <w:pStyle w:val="Heading2"/>
        <w:spacing w:line="240" w:lineRule="auto"/>
        <w:ind w:right="0"/>
        <w:jc w:val="both"/>
        <w:rPr>
          <w:b w:val="0"/>
          <w:bCs w:val="0"/>
        </w:rPr>
      </w:pPr>
      <w:bookmarkStart w:name="十五、重大关联交易" w:id="141"/>
      <w:bookmarkEnd w:id="141"/>
      <w:r>
        <w:rPr>
          <w:b w:val="0"/>
          <w:bCs w:val="0"/>
        </w:rPr>
      </w:r>
      <w:r>
        <w:rPr/>
        <w:t>十五、重大关联交易</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right="0"/>
        <w:jc w:val="both"/>
        <w:rPr>
          <w:b w:val="0"/>
          <w:bCs w:val="0"/>
        </w:rPr>
      </w:pPr>
      <w:bookmarkStart w:name="1、与日常经营相关的关联交易" w:id="142"/>
      <w:bookmarkEnd w:id="14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0" w:footer="1134" w:top="1280" w:bottom="1320" w:left="980" w:right="0"/>
        </w:sectPr>
      </w:pPr>
    </w:p>
    <w:p>
      <w:pPr>
        <w:pStyle w:val="BodyText"/>
        <w:spacing w:line="240" w:lineRule="auto" w:before="110"/>
        <w:ind w:right="1127"/>
        <w:jc w:val="left"/>
      </w:pPr>
      <w:r>
        <w:rPr/>
        <w:t>公司报告期未发生与日常经营相关的关联交易。</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2、资产或股权收购、出售发生的关联交易" w:id="143"/>
      <w:bookmarkEnd w:id="14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3"/>
        <w:rPr>
          <w:rFonts w:ascii="宋体" w:hAnsi="宋体" w:cs="宋体" w:eastAsia="宋体" w:hint="default"/>
          <w:b/>
          <w:bCs/>
          <w:sz w:val="21"/>
          <w:szCs w:val="21"/>
        </w:rPr>
      </w:pPr>
    </w:p>
    <w:p>
      <w:pPr>
        <w:pStyle w:val="BodyText"/>
        <w:spacing w:line="420" w:lineRule="auto"/>
        <w:ind w:right="43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公司报告期未发生资产或股权收购、出售的关联交易。</w:t>
      </w:r>
    </w:p>
    <w:p>
      <w:pPr>
        <w:spacing w:line="240" w:lineRule="auto" w:before="6"/>
        <w:rPr>
          <w:rFonts w:ascii="宋体" w:hAnsi="宋体" w:cs="宋体" w:eastAsia="宋体" w:hint="default"/>
          <w:sz w:val="21"/>
          <w:szCs w:val="21"/>
        </w:rPr>
      </w:pPr>
    </w:p>
    <w:p>
      <w:pPr>
        <w:pStyle w:val="Heading4"/>
        <w:spacing w:line="240" w:lineRule="auto"/>
        <w:ind w:right="1127"/>
        <w:jc w:val="left"/>
        <w:rPr>
          <w:b w:val="0"/>
          <w:bCs w:val="0"/>
        </w:rPr>
      </w:pPr>
      <w:bookmarkStart w:name="3、共同对外投资的关联交易" w:id="144"/>
      <w:bookmarkEnd w:id="14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3"/>
        <w:rPr>
          <w:rFonts w:ascii="宋体" w:hAnsi="宋体" w:cs="宋体" w:eastAsia="宋体" w:hint="default"/>
          <w:b/>
          <w:bCs/>
          <w:sz w:val="21"/>
          <w:szCs w:val="21"/>
        </w:rPr>
      </w:pPr>
    </w:p>
    <w:p>
      <w:pPr>
        <w:pStyle w:val="BodyText"/>
        <w:spacing w:line="420" w:lineRule="auto"/>
        <w:ind w:right="5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公司报告期未发生共同对外投资的关联交易。</w:t>
      </w:r>
    </w:p>
    <w:p>
      <w:pPr>
        <w:spacing w:line="240" w:lineRule="auto" w:before="6"/>
        <w:rPr>
          <w:rFonts w:ascii="宋体" w:hAnsi="宋体" w:cs="宋体" w:eastAsia="宋体" w:hint="default"/>
          <w:sz w:val="21"/>
          <w:szCs w:val="21"/>
        </w:rPr>
      </w:pPr>
    </w:p>
    <w:p>
      <w:pPr>
        <w:pStyle w:val="Heading4"/>
        <w:spacing w:line="240" w:lineRule="auto"/>
        <w:ind w:right="1127"/>
        <w:jc w:val="left"/>
        <w:rPr>
          <w:b w:val="0"/>
          <w:bCs w:val="0"/>
        </w:rPr>
      </w:pPr>
      <w:bookmarkStart w:name="4、关联债权债务往来" w:id="145"/>
      <w:bookmarkEnd w:id="14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3"/>
        <w:rPr>
          <w:rFonts w:ascii="宋体" w:hAnsi="宋体" w:cs="宋体" w:eastAsia="宋体" w:hint="default"/>
          <w:b/>
          <w:bCs/>
          <w:sz w:val="21"/>
          <w:szCs w:val="21"/>
        </w:rPr>
      </w:pPr>
    </w:p>
    <w:p>
      <w:pPr>
        <w:pStyle w:val="BodyText"/>
        <w:spacing w:line="420" w:lineRule="auto"/>
        <w:ind w:right="5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公司报告期不存在关联债权债务往来。</w:t>
      </w:r>
    </w:p>
    <w:p>
      <w:pPr>
        <w:spacing w:line="240" w:lineRule="auto" w:before="6"/>
        <w:rPr>
          <w:rFonts w:ascii="宋体" w:hAnsi="宋体" w:cs="宋体" w:eastAsia="宋体" w:hint="default"/>
          <w:sz w:val="21"/>
          <w:szCs w:val="21"/>
        </w:rPr>
      </w:pPr>
    </w:p>
    <w:p>
      <w:pPr>
        <w:pStyle w:val="Heading4"/>
        <w:spacing w:line="240" w:lineRule="auto"/>
        <w:ind w:right="1127"/>
        <w:jc w:val="left"/>
        <w:rPr>
          <w:b w:val="0"/>
          <w:bCs w:val="0"/>
        </w:rPr>
      </w:pPr>
      <w:bookmarkStart w:name="5、其他重大关联交易" w:id="146"/>
      <w:bookmarkEnd w:id="14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3"/>
        <w:rPr>
          <w:rFonts w:ascii="宋体" w:hAnsi="宋体" w:cs="宋体" w:eastAsia="宋体" w:hint="default"/>
          <w:b/>
          <w:bCs/>
          <w:sz w:val="21"/>
          <w:szCs w:val="21"/>
        </w:rPr>
      </w:pPr>
    </w:p>
    <w:p>
      <w:pPr>
        <w:pStyle w:val="BodyText"/>
        <w:spacing w:line="420" w:lineRule="auto"/>
        <w:ind w:right="5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公司报告期无其他重大关联交易。</w:t>
      </w:r>
    </w:p>
    <w:p>
      <w:pPr>
        <w:spacing w:line="240" w:lineRule="auto" w:before="10"/>
        <w:rPr>
          <w:rFonts w:ascii="宋体" w:hAnsi="宋体" w:cs="宋体" w:eastAsia="宋体" w:hint="default"/>
          <w:sz w:val="20"/>
          <w:szCs w:val="20"/>
        </w:rPr>
      </w:pPr>
    </w:p>
    <w:p>
      <w:pPr>
        <w:pStyle w:val="Heading2"/>
        <w:spacing w:line="240" w:lineRule="auto"/>
        <w:ind w:right="1127"/>
        <w:jc w:val="left"/>
        <w:rPr>
          <w:b w:val="0"/>
          <w:bCs w:val="0"/>
        </w:rPr>
      </w:pPr>
      <w:bookmarkStart w:name="十六、重大合同及其履行情况" w:id="147"/>
      <w:bookmarkEnd w:id="147"/>
      <w:r>
        <w:rPr>
          <w:b w:val="0"/>
          <w:bCs w:val="0"/>
        </w:rPr>
      </w:r>
      <w:r>
        <w:rPr/>
        <w:t>十六、重大合同及其履行情况</w:t>
      </w:r>
      <w:r>
        <w:rPr>
          <w:b w:val="0"/>
          <w:bCs w:val="0"/>
        </w:rPr>
      </w:r>
    </w:p>
    <w:p>
      <w:pPr>
        <w:spacing w:line="240" w:lineRule="auto" w:before="6"/>
        <w:rPr>
          <w:rFonts w:ascii="宋体" w:hAnsi="宋体" w:cs="宋体" w:eastAsia="宋体" w:hint="default"/>
          <w:b/>
          <w:bCs/>
          <w:sz w:val="23"/>
          <w:szCs w:val="23"/>
        </w:rPr>
      </w:pPr>
    </w:p>
    <w:p>
      <w:pPr>
        <w:pStyle w:val="Heading4"/>
        <w:spacing w:line="240" w:lineRule="auto"/>
        <w:ind w:right="1127"/>
        <w:jc w:val="left"/>
        <w:rPr>
          <w:b w:val="0"/>
          <w:bCs w:val="0"/>
        </w:rPr>
      </w:pPr>
      <w:bookmarkStart w:name="1、托管、承包、租赁事项情况" w:id="148"/>
      <w:bookmarkEnd w:id="14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1）托管情况" w:id="149"/>
      <w:bookmarkEnd w:id="14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宋体" w:hAnsi="宋体" w:cs="宋体" w:eastAsia="宋体" w:hint="default"/>
          <w:b/>
          <w:bCs/>
          <w:sz w:val="21"/>
          <w:szCs w:val="21"/>
        </w:rPr>
      </w:pPr>
    </w:p>
    <w:p>
      <w:pPr>
        <w:pStyle w:val="BodyText"/>
        <w:spacing w:line="417" w:lineRule="auto"/>
        <w:ind w:right="72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公司报告期不存在托管情况。</w:t>
      </w:r>
    </w:p>
    <w:p>
      <w:pPr>
        <w:spacing w:line="240" w:lineRule="auto" w:before="8"/>
        <w:rPr>
          <w:rFonts w:ascii="宋体" w:hAnsi="宋体" w:cs="宋体" w:eastAsia="宋体" w:hint="default"/>
          <w:sz w:val="21"/>
          <w:szCs w:val="21"/>
        </w:rPr>
      </w:pPr>
    </w:p>
    <w:p>
      <w:pPr>
        <w:pStyle w:val="Heading4"/>
        <w:spacing w:line="240" w:lineRule="auto"/>
        <w:ind w:right="1127"/>
        <w:jc w:val="left"/>
        <w:rPr>
          <w:b w:val="0"/>
          <w:bCs w:val="0"/>
        </w:rPr>
      </w:pPr>
      <w:bookmarkStart w:name="（2）承包情况" w:id="150"/>
      <w:bookmarkEnd w:id="15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宋体" w:hAnsi="宋体" w:cs="宋体" w:eastAsia="宋体" w:hint="default"/>
          <w:b/>
          <w:bCs/>
          <w:sz w:val="21"/>
          <w:szCs w:val="21"/>
        </w:rPr>
      </w:pPr>
    </w:p>
    <w:p>
      <w:pPr>
        <w:pStyle w:val="BodyText"/>
        <w:spacing w:line="417" w:lineRule="auto"/>
        <w:ind w:right="72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公司报告期不存在承包情况。</w:t>
      </w:r>
    </w:p>
    <w:p>
      <w:pPr>
        <w:spacing w:line="240" w:lineRule="auto" w:before="8"/>
        <w:rPr>
          <w:rFonts w:ascii="宋体" w:hAnsi="宋体" w:cs="宋体" w:eastAsia="宋体" w:hint="default"/>
          <w:sz w:val="21"/>
          <w:szCs w:val="21"/>
        </w:rPr>
      </w:pPr>
    </w:p>
    <w:p>
      <w:pPr>
        <w:pStyle w:val="Heading4"/>
        <w:spacing w:line="240" w:lineRule="auto"/>
        <w:ind w:right="1127"/>
        <w:jc w:val="left"/>
        <w:rPr>
          <w:b w:val="0"/>
          <w:bCs w:val="0"/>
        </w:rPr>
      </w:pPr>
      <w:bookmarkStart w:name="（3）租赁情况" w:id="151"/>
      <w:bookmarkEnd w:id="15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0" w:footer="1134" w:top="1280" w:bottom="1320" w:left="980" w:right="0"/>
        </w:sectPr>
      </w:pPr>
    </w:p>
    <w:p>
      <w:pPr>
        <w:pStyle w:val="BodyText"/>
        <w:spacing w:line="240" w:lineRule="auto" w:before="110"/>
        <w:ind w:right="1127"/>
        <w:jc w:val="left"/>
      </w:pPr>
      <w:r>
        <w:rPr/>
        <w:t>租赁情况说明</w:t>
      </w:r>
    </w:p>
    <w:p>
      <w:pPr>
        <w:spacing w:line="240" w:lineRule="auto" w:before="1"/>
        <w:rPr>
          <w:rFonts w:ascii="宋体" w:hAnsi="宋体" w:cs="宋体" w:eastAsia="宋体" w:hint="default"/>
          <w:sz w:val="18"/>
          <w:szCs w:val="18"/>
        </w:rPr>
      </w:pPr>
    </w:p>
    <w:p>
      <w:pPr>
        <w:pStyle w:val="BodyText"/>
        <w:spacing w:line="355" w:lineRule="auto"/>
        <w:ind w:right="1127"/>
        <w:jc w:val="left"/>
      </w:pPr>
      <w:r>
        <w:rPr>
          <w:spacing w:val="-2"/>
        </w:rPr>
        <w:t>本报告期，泰豪智能收购泰豪智能科技，截止报告期末，泰豪智能科技的部分房产仍处于租赁状态。</w:t>
      </w:r>
      <w:r>
        <w:rPr>
          <w:spacing w:val="-27"/>
        </w:rPr>
        <w:t> </w:t>
      </w:r>
      <w:r>
        <w:rPr>
          <w:spacing w:val="-27"/>
        </w:rPr>
      </w:r>
      <w:r>
        <w:rPr/>
        <w:t>泰豪智能科技坐落在北京市经济技术开发区运成街</w:t>
      </w:r>
      <w:r>
        <w:rPr>
          <w:rFonts w:ascii="Times New Roman" w:hAnsi="Times New Roman" w:cs="Times New Roman" w:eastAsia="Times New Roman" w:hint="default"/>
        </w:rPr>
        <w:t>2</w:t>
      </w:r>
      <w:r>
        <w:rPr/>
        <w:t>号，包括</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B</w:t>
      </w:r>
      <w:r>
        <w:rPr/>
        <w:t>座，</w:t>
      </w:r>
      <w:r>
        <w:rPr>
          <w:rFonts w:ascii="Times New Roman" w:hAnsi="Times New Roman" w:cs="Times New Roman" w:eastAsia="Times New Roman" w:hint="default"/>
        </w:rPr>
        <w:t>C</w:t>
      </w:r>
      <w:r>
        <w:rPr/>
        <w:t>座和厂房，已对外出租面</w:t>
      </w:r>
    </w:p>
    <w:p>
      <w:pPr>
        <w:pStyle w:val="BodyText"/>
        <w:spacing w:line="240" w:lineRule="auto" w:before="5"/>
        <w:ind w:left="152" w:right="1127"/>
        <w:jc w:val="left"/>
      </w:pPr>
      <w:r>
        <w:rPr/>
        <w:t>积</w:t>
      </w:r>
      <w:r>
        <w:rPr>
          <w:rFonts w:ascii="Times New Roman" w:hAnsi="Times New Roman" w:cs="Times New Roman" w:eastAsia="Times New Roman" w:hint="default"/>
        </w:rPr>
        <w:t>3.9</w:t>
      </w:r>
      <w:r>
        <w:rPr/>
        <w:t>万平方米。</w:t>
      </w:r>
    </w:p>
    <w:p>
      <w:pPr>
        <w:spacing w:line="240" w:lineRule="auto" w:before="9"/>
        <w:rPr>
          <w:rFonts w:ascii="宋体" w:hAnsi="宋体" w:cs="宋体" w:eastAsia="宋体" w:hint="default"/>
          <w:sz w:val="16"/>
          <w:szCs w:val="16"/>
        </w:rPr>
      </w:pPr>
    </w:p>
    <w:p>
      <w:pPr>
        <w:pStyle w:val="BodyText"/>
        <w:spacing w:line="240" w:lineRule="auto"/>
        <w:ind w:right="1127"/>
        <w:jc w:val="left"/>
      </w:pPr>
      <w:r>
        <w:rPr>
          <w:spacing w:val="-2"/>
        </w:rPr>
        <w:t>为公司带来的损益达到公司报告期利润总额</w:t>
      </w:r>
      <w:r>
        <w:rPr>
          <w:spacing w:val="-5"/>
        </w:rPr>
        <w:t> </w:t>
      </w:r>
      <w:r>
        <w:rPr>
          <w:rFonts w:ascii="Times New Roman" w:hAnsi="Times New Roman" w:cs="Times New Roman" w:eastAsia="Times New Roman" w:hint="default"/>
          <w:spacing w:val="-2"/>
        </w:rPr>
        <w:t>10%</w:t>
      </w:r>
      <w:r>
        <w:rPr>
          <w:spacing w:val="-2"/>
        </w:rPr>
        <w:t>以上的项目</w:t>
      </w:r>
      <w:r>
        <w:rPr/>
      </w:r>
    </w:p>
    <w:p>
      <w:pPr>
        <w:spacing w:line="240" w:lineRule="auto" w:before="6"/>
        <w:rPr>
          <w:rFonts w:ascii="宋体" w:hAnsi="宋体" w:cs="宋体" w:eastAsia="宋体" w:hint="default"/>
          <w:sz w:val="16"/>
          <w:szCs w:val="16"/>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6"/>
          <w:szCs w:val="16"/>
        </w:rPr>
      </w:pPr>
    </w:p>
    <w:p>
      <w:pPr>
        <w:pStyle w:val="BodyText"/>
        <w:spacing w:line="240" w:lineRule="auto"/>
        <w:ind w:right="1127"/>
        <w:jc w:val="left"/>
      </w:pPr>
      <w:r>
        <w:rPr>
          <w:spacing w:val="-2"/>
        </w:rPr>
        <w:t>公司报告期不存在为公司带来的损益达到公司报告期利润总额</w:t>
      </w:r>
      <w:r>
        <w:rPr>
          <w:spacing w:val="18"/>
        </w:rPr>
        <w:t> </w:t>
      </w:r>
      <w:r>
        <w:rPr>
          <w:rFonts w:ascii="Times New Roman" w:hAnsi="Times New Roman" w:cs="Times New Roman" w:eastAsia="Times New Roman" w:hint="default"/>
          <w:spacing w:val="-2"/>
        </w:rPr>
        <w:t>10%</w:t>
      </w:r>
      <w:r>
        <w:rPr>
          <w:spacing w:val="-2"/>
        </w:rPr>
        <w:t>以上的租赁项目。</w:t>
      </w:r>
    </w:p>
    <w:p>
      <w:pPr>
        <w:spacing w:line="240" w:lineRule="auto" w:before="3"/>
        <w:rPr>
          <w:rFonts w:ascii="宋体" w:hAnsi="宋体" w:cs="宋体" w:eastAsia="宋体" w:hint="default"/>
          <w:sz w:val="32"/>
          <w:szCs w:val="32"/>
        </w:rPr>
      </w:pPr>
    </w:p>
    <w:p>
      <w:pPr>
        <w:pStyle w:val="Heading4"/>
        <w:spacing w:line="240" w:lineRule="auto"/>
        <w:ind w:right="1127"/>
        <w:jc w:val="left"/>
        <w:rPr>
          <w:b w:val="0"/>
          <w:bCs w:val="0"/>
        </w:rPr>
      </w:pPr>
      <w:bookmarkStart w:name="2、重大担保" w:id="152"/>
      <w:bookmarkEnd w:id="15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32"/>
          <w:szCs w:val="32"/>
        </w:rPr>
      </w:pPr>
    </w:p>
    <w:p>
      <w:pPr>
        <w:pStyle w:val="Heading4"/>
        <w:spacing w:line="240" w:lineRule="auto"/>
        <w:ind w:right="1127"/>
        <w:jc w:val="left"/>
        <w:rPr>
          <w:b w:val="0"/>
          <w:bCs w:val="0"/>
        </w:rPr>
      </w:pPr>
      <w:bookmarkStart w:name="（1）担保情况" w:id="153"/>
      <w:bookmarkEnd w:id="15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left="0" w:right="1130"/>
        <w:jc w:val="right"/>
      </w:pPr>
      <w:r>
        <w:rPr>
          <w:spacing w:val="-1"/>
        </w:rPr>
        <w:t>单位：万元</w:t>
      </w:r>
    </w:p>
    <w:p>
      <w:pPr>
        <w:spacing w:line="240" w:lineRule="auto" w:before="9"/>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1709"/>
        <w:gridCol w:w="928"/>
        <w:gridCol w:w="923"/>
        <w:gridCol w:w="1296"/>
        <w:gridCol w:w="1063"/>
        <w:gridCol w:w="1034"/>
        <w:gridCol w:w="1049"/>
        <w:gridCol w:w="792"/>
        <w:gridCol w:w="780"/>
      </w:tblGrid>
      <w:tr>
        <w:trPr>
          <w:trHeight w:val="389"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854" w:hRule="exact"/>
        </w:trPr>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00"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7"/>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7"/>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7"/>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86"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854" w:hRule="exact"/>
        </w:trPr>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44"/>
              <w:ind w:left="96"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8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7"/>
              <w:ind w:left="580" w:right="36" w:hanging="540"/>
              <w:jc w:val="left"/>
              <w:rPr>
                <w:rFonts w:ascii="宋体" w:hAnsi="宋体" w:cs="宋体" w:eastAsia="宋体" w:hint="default"/>
                <w:sz w:val="18"/>
                <w:szCs w:val="18"/>
              </w:rPr>
            </w:pPr>
            <w:r>
              <w:rPr>
                <w:rFonts w:ascii="宋体" w:hAnsi="宋体" w:cs="宋体" w:eastAsia="宋体" w:hint="default"/>
                <w:sz w:val="18"/>
                <w:szCs w:val="18"/>
              </w:rPr>
              <w:t>北京泰豪智能工程有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33"/>
              <w:ind w:left="5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1" w:lineRule="exact"/>
              <w:ind w:left="14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3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p>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7"/>
              <w:ind w:left="422" w:right="60" w:hanging="36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67"/>
              <w:ind w:right="0"/>
              <w:jc w:val="center"/>
              <w:rPr>
                <w:rFonts w:ascii="Times New Roman" w:hAnsi="Times New Roman" w:cs="Times New Roman" w:eastAsia="Times New Roman" w:hint="default"/>
                <w:sz w:val="18"/>
                <w:szCs w:val="18"/>
              </w:rPr>
            </w:pPr>
            <w:r>
              <w:rPr>
                <w:rFonts w:ascii="Times New Roman"/>
                <w:sz w:val="18"/>
              </w:rPr>
              <w:t>2018.07.03</w:t>
            </w:r>
          </w:p>
          <w:p>
            <w:pPr>
              <w:pStyle w:val="TableParagraph"/>
              <w:spacing w:line="223" w:lineRule="exact"/>
              <w:ind w:right="2"/>
              <w:jc w:val="center"/>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25"/>
              <w:ind w:right="0"/>
              <w:jc w:val="center"/>
              <w:rPr>
                <w:rFonts w:ascii="Times New Roman" w:hAnsi="Times New Roman" w:cs="Times New Roman" w:eastAsia="Times New Roman" w:hint="default"/>
                <w:sz w:val="18"/>
                <w:szCs w:val="18"/>
              </w:rPr>
            </w:pPr>
            <w:r>
              <w:rPr>
                <w:rFonts w:ascii="Times New Roman"/>
                <w:sz w:val="18"/>
              </w:rPr>
              <w:t>2021.05.03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7"/>
              <w:ind w:left="400" w:right="36" w:hanging="360"/>
              <w:jc w:val="left"/>
              <w:rPr>
                <w:rFonts w:ascii="宋体" w:hAnsi="宋体" w:cs="宋体" w:eastAsia="宋体" w:hint="default"/>
                <w:sz w:val="18"/>
                <w:szCs w:val="18"/>
              </w:rPr>
            </w:pPr>
            <w:r>
              <w:rPr>
                <w:rFonts w:ascii="宋体" w:hAnsi="宋体" w:cs="宋体" w:eastAsia="宋体" w:hint="default"/>
                <w:sz w:val="18"/>
                <w:szCs w:val="18"/>
              </w:rPr>
              <w:t>上海信业智能科技股 份有限公司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33"/>
              <w:ind w:left="5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1" w:lineRule="exact"/>
              <w:ind w:left="14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3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p>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1,337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7"/>
              <w:ind w:left="422" w:right="60" w:hanging="36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67"/>
              <w:ind w:right="0"/>
              <w:jc w:val="center"/>
              <w:rPr>
                <w:rFonts w:ascii="Times New Roman" w:hAnsi="Times New Roman" w:cs="Times New Roman" w:eastAsia="Times New Roman" w:hint="default"/>
                <w:sz w:val="18"/>
                <w:szCs w:val="18"/>
              </w:rPr>
            </w:pPr>
            <w:r>
              <w:rPr>
                <w:rFonts w:ascii="Times New Roman"/>
                <w:sz w:val="18"/>
              </w:rPr>
              <w:t>2018.07.03</w:t>
            </w:r>
          </w:p>
          <w:p>
            <w:pPr>
              <w:pStyle w:val="TableParagraph"/>
              <w:spacing w:line="223" w:lineRule="exact"/>
              <w:ind w:right="2"/>
              <w:jc w:val="center"/>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25"/>
              <w:ind w:right="0"/>
              <w:jc w:val="center"/>
              <w:rPr>
                <w:rFonts w:ascii="Times New Roman" w:hAnsi="Times New Roman" w:cs="Times New Roman" w:eastAsia="Times New Roman" w:hint="default"/>
                <w:sz w:val="18"/>
                <w:szCs w:val="18"/>
              </w:rPr>
            </w:pPr>
            <w:r>
              <w:rPr>
                <w:rFonts w:ascii="Times New Roman"/>
                <w:sz w:val="18"/>
              </w:rPr>
              <w:t>2021.07.02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7"/>
              <w:ind w:left="580" w:right="36" w:hanging="540"/>
              <w:jc w:val="left"/>
              <w:rPr>
                <w:rFonts w:ascii="宋体" w:hAnsi="宋体" w:cs="宋体" w:eastAsia="宋体" w:hint="default"/>
                <w:sz w:val="18"/>
                <w:szCs w:val="18"/>
              </w:rPr>
            </w:pPr>
            <w:r>
              <w:rPr>
                <w:rFonts w:ascii="宋体" w:hAnsi="宋体" w:cs="宋体" w:eastAsia="宋体" w:hint="default"/>
                <w:sz w:val="18"/>
                <w:szCs w:val="18"/>
              </w:rPr>
              <w:t>北京泰豪智能工程有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33"/>
              <w:ind w:left="5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p>
          <w:p>
            <w:pPr>
              <w:pStyle w:val="TableParagraph"/>
              <w:spacing w:line="241" w:lineRule="exact"/>
              <w:ind w:left="14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3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p>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699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7"/>
              <w:ind w:left="422" w:right="60" w:hanging="36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67"/>
              <w:ind w:right="0"/>
              <w:jc w:val="center"/>
              <w:rPr>
                <w:rFonts w:ascii="Times New Roman" w:hAnsi="Times New Roman" w:cs="Times New Roman" w:eastAsia="Times New Roman" w:hint="default"/>
                <w:sz w:val="18"/>
                <w:szCs w:val="18"/>
              </w:rPr>
            </w:pPr>
            <w:r>
              <w:rPr>
                <w:rFonts w:ascii="Times New Roman"/>
                <w:sz w:val="18"/>
              </w:rPr>
              <w:t>2018.07.18</w:t>
            </w:r>
          </w:p>
          <w:p>
            <w:pPr>
              <w:pStyle w:val="TableParagraph"/>
              <w:spacing w:line="223" w:lineRule="exact"/>
              <w:ind w:right="2"/>
              <w:jc w:val="center"/>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2021.07.18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89" w:right="36" w:hanging="449"/>
              <w:jc w:val="left"/>
              <w:rPr>
                <w:rFonts w:ascii="宋体" w:hAnsi="宋体" w:cs="宋体" w:eastAsia="宋体" w:hint="default"/>
                <w:sz w:val="18"/>
                <w:szCs w:val="18"/>
              </w:rPr>
            </w:pPr>
            <w:r>
              <w:rPr>
                <w:rFonts w:ascii="宋体" w:hAnsi="宋体" w:cs="宋体" w:eastAsia="宋体" w:hint="default"/>
                <w:sz w:val="18"/>
                <w:szCs w:val="18"/>
              </w:rPr>
              <w:t>北京泰豪新能源科技 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30"/>
              <w:ind w:left="5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2" w:lineRule="exact"/>
              <w:ind w:left="14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30"/>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p>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144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22" w:right="60" w:hanging="36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67"/>
              <w:ind w:right="0"/>
              <w:jc w:val="center"/>
              <w:rPr>
                <w:rFonts w:ascii="Times New Roman" w:hAnsi="Times New Roman" w:cs="Times New Roman" w:eastAsia="Times New Roman" w:hint="default"/>
                <w:sz w:val="18"/>
                <w:szCs w:val="18"/>
              </w:rPr>
            </w:pPr>
            <w:r>
              <w:rPr>
                <w:rFonts w:ascii="Times New Roman"/>
                <w:sz w:val="18"/>
              </w:rPr>
              <w:t>2018.09.17</w:t>
            </w:r>
          </w:p>
          <w:p>
            <w:pPr>
              <w:pStyle w:val="TableParagraph"/>
              <w:spacing w:line="223" w:lineRule="exact"/>
              <w:ind w:right="2"/>
              <w:jc w:val="center"/>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2021.09.16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80" w:right="36" w:hanging="540"/>
              <w:jc w:val="left"/>
              <w:rPr>
                <w:rFonts w:ascii="宋体" w:hAnsi="宋体" w:cs="宋体" w:eastAsia="宋体" w:hint="default"/>
                <w:sz w:val="18"/>
                <w:szCs w:val="18"/>
              </w:rPr>
            </w:pPr>
            <w:r>
              <w:rPr>
                <w:rFonts w:ascii="宋体" w:hAnsi="宋体" w:cs="宋体" w:eastAsia="宋体" w:hint="default"/>
                <w:sz w:val="18"/>
                <w:szCs w:val="18"/>
              </w:rPr>
              <w:t>北京泰豪智能工程有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30"/>
              <w:ind w:left="5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2" w:lineRule="exact"/>
              <w:ind w:left="14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30"/>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p>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22,160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22" w:right="60" w:hanging="36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67"/>
              <w:ind w:right="0"/>
              <w:jc w:val="center"/>
              <w:rPr>
                <w:rFonts w:ascii="Times New Roman" w:hAnsi="Times New Roman" w:cs="Times New Roman" w:eastAsia="Times New Roman" w:hint="default"/>
                <w:sz w:val="18"/>
                <w:szCs w:val="18"/>
              </w:rPr>
            </w:pPr>
            <w:r>
              <w:rPr>
                <w:rFonts w:ascii="Times New Roman"/>
                <w:sz w:val="18"/>
              </w:rPr>
              <w:t>2019.11.26</w:t>
            </w:r>
          </w:p>
          <w:p>
            <w:pPr>
              <w:pStyle w:val="TableParagraph"/>
              <w:spacing w:line="223" w:lineRule="exact"/>
              <w:ind w:right="2"/>
              <w:jc w:val="center"/>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2020.11.25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19"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844" w:right="54" w:hanging="79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19" w:type="dxa"/>
            <w:gridSpan w:val="2"/>
            <w:tcBorders>
              <w:top w:val="single" w:sz="4" w:space="0" w:color="000000"/>
              <w:left w:val="single" w:sz="13" w:space="0" w:color="D4D4D4"/>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Times New Roman"/>
                <w:sz w:val="18"/>
              </w:rPr>
              <w:t>50,000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218" w:right="50" w:hanging="164"/>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22,160</w:t>
            </w:r>
          </w:p>
        </w:tc>
      </w:tr>
      <w:tr>
        <w:trPr>
          <w:trHeight w:val="622"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664" w:right="54" w:hanging="61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19" w:type="dxa"/>
            <w:gridSpan w:val="2"/>
            <w:tcBorders>
              <w:top w:val="single" w:sz="4" w:space="0" w:color="000000"/>
              <w:left w:val="single" w:sz="13" w:space="0" w:color="D4D4D4"/>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Times New Roman"/>
                <w:sz w:val="18"/>
              </w:rPr>
              <w:t>80,000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09" w:right="50" w:hanging="25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24,536</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1709"/>
        <w:gridCol w:w="897"/>
        <w:gridCol w:w="925"/>
        <w:gridCol w:w="1317"/>
        <w:gridCol w:w="1029"/>
        <w:gridCol w:w="1059"/>
        <w:gridCol w:w="1064"/>
        <w:gridCol w:w="774"/>
        <w:gridCol w:w="788"/>
      </w:tblGrid>
      <w:tr>
        <w:trPr>
          <w:trHeight w:val="388"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12"/>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21" w:hRule="exact"/>
        </w:trPr>
        <w:tc>
          <w:tcPr>
            <w:tcW w:w="1709" w:type="dxa"/>
            <w:vMerge w:val="restart"/>
            <w:tcBorders>
              <w:top w:val="single" w:sz="4" w:space="0" w:color="000000"/>
              <w:left w:val="single" w:sz="4" w:space="0" w:color="000000"/>
              <w:right w:val="single" w:sz="4" w:space="0" w:color="000000"/>
            </w:tcBorders>
            <w:shd w:val="clear" w:color="auto" w:fill="D4D4D4"/>
          </w:tcPr>
          <w:p>
            <w:pPr/>
          </w:p>
        </w:tc>
        <w:tc>
          <w:tcPr>
            <w:tcW w:w="897" w:type="dxa"/>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67"/>
              <w:ind w:left="81" w:right="8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vMerge w:val="restart"/>
            <w:tcBorders>
              <w:top w:val="single" w:sz="4" w:space="0" w:color="000000"/>
              <w:left w:val="single" w:sz="4" w:space="0" w:color="000000"/>
              <w:right w:val="single" w:sz="4" w:space="0" w:color="000000"/>
            </w:tcBorders>
            <w:shd w:val="clear" w:color="auto" w:fill="D4D4D4"/>
          </w:tcPr>
          <w:p>
            <w:pPr/>
          </w:p>
        </w:tc>
        <w:tc>
          <w:tcPr>
            <w:tcW w:w="1317" w:type="dxa"/>
            <w:vMerge w:val="restart"/>
            <w:tcBorders>
              <w:top w:val="single" w:sz="4" w:space="0" w:color="000000"/>
              <w:left w:val="single" w:sz="4" w:space="0" w:color="000000"/>
              <w:right w:val="single" w:sz="4" w:space="0" w:color="000000"/>
            </w:tcBorders>
            <w:shd w:val="clear" w:color="auto" w:fill="D4D4D4"/>
          </w:tcPr>
          <w:p>
            <w:pPr/>
          </w:p>
        </w:tc>
        <w:tc>
          <w:tcPr>
            <w:tcW w:w="1029" w:type="dxa"/>
            <w:tcBorders>
              <w:top w:val="single" w:sz="4" w:space="0" w:color="000000"/>
              <w:left w:val="single" w:sz="4" w:space="0" w:color="000000"/>
              <w:bottom w:val="nil" w:sz="6" w:space="0" w:color="auto"/>
              <w:right w:val="single" w:sz="4" w:space="0" w:color="000000"/>
            </w:tcBorders>
            <w:shd w:val="clear" w:color="auto" w:fill="D4D4D4"/>
          </w:tcPr>
          <w:p>
            <w:pPr/>
          </w:p>
        </w:tc>
        <w:tc>
          <w:tcPr>
            <w:tcW w:w="1059" w:type="dxa"/>
            <w:vMerge w:val="restart"/>
            <w:tcBorders>
              <w:top w:val="single" w:sz="4" w:space="0" w:color="000000"/>
              <w:left w:val="single" w:sz="4" w:space="0" w:color="000000"/>
              <w:right w:val="single" w:sz="4" w:space="0" w:color="000000"/>
            </w:tcBorders>
            <w:shd w:val="clear" w:color="auto" w:fill="D4D4D4"/>
          </w:tcPr>
          <w:p>
            <w:pPr/>
          </w:p>
        </w:tc>
        <w:tc>
          <w:tcPr>
            <w:tcW w:w="1064" w:type="dxa"/>
            <w:vMerge w:val="restart"/>
            <w:tcBorders>
              <w:top w:val="single" w:sz="4" w:space="0" w:color="000000"/>
              <w:left w:val="single" w:sz="4" w:space="0" w:color="000000"/>
              <w:right w:val="single" w:sz="4" w:space="0" w:color="000000"/>
            </w:tcBorders>
            <w:shd w:val="clear" w:color="auto" w:fill="D4D4D4"/>
          </w:tcPr>
          <w:p>
            <w:pPr/>
          </w:p>
        </w:tc>
        <w:tc>
          <w:tcPr>
            <w:tcW w:w="774" w:type="dxa"/>
            <w:tcBorders>
              <w:top w:val="single" w:sz="4" w:space="0" w:color="000000"/>
              <w:left w:val="single" w:sz="4" w:space="0" w:color="000000"/>
              <w:bottom w:val="nil" w:sz="6" w:space="0" w:color="auto"/>
              <w:right w:val="single" w:sz="4" w:space="0" w:color="000000"/>
            </w:tcBorders>
            <w:shd w:val="clear" w:color="auto" w:fill="D4D4D4"/>
          </w:tcPr>
          <w:p>
            <w:pPr/>
          </w:p>
        </w:tc>
        <w:tc>
          <w:tcPr>
            <w:tcW w:w="78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18" w:hRule="exact"/>
        </w:trPr>
        <w:tc>
          <w:tcPr>
            <w:tcW w:w="1709" w:type="dxa"/>
            <w:vMerge/>
            <w:tcBorders>
              <w:left w:val="single" w:sz="4" w:space="0" w:color="000000"/>
              <w:bottom w:val="nil" w:sz="6" w:space="0" w:color="auto"/>
              <w:right w:val="single" w:sz="4" w:space="0" w:color="000000"/>
            </w:tcBorders>
            <w:shd w:val="clear" w:color="auto" w:fill="D4D4D4"/>
          </w:tcPr>
          <w:p>
            <w:pPr/>
          </w:p>
        </w:tc>
        <w:tc>
          <w:tcPr>
            <w:tcW w:w="897" w:type="dxa"/>
            <w:vMerge/>
            <w:tcBorders>
              <w:left w:val="single" w:sz="4" w:space="0" w:color="000000"/>
              <w:right w:val="single" w:sz="4" w:space="0" w:color="000000"/>
            </w:tcBorders>
            <w:shd w:val="clear" w:color="auto" w:fill="D4D4D4"/>
          </w:tcPr>
          <w:p>
            <w:pPr/>
          </w:p>
        </w:tc>
        <w:tc>
          <w:tcPr>
            <w:tcW w:w="925" w:type="dxa"/>
            <w:vMerge/>
            <w:tcBorders>
              <w:left w:val="single" w:sz="4" w:space="0" w:color="000000"/>
              <w:bottom w:val="nil" w:sz="6" w:space="0" w:color="auto"/>
              <w:right w:val="single" w:sz="4" w:space="0" w:color="000000"/>
            </w:tcBorders>
            <w:shd w:val="clear" w:color="auto" w:fill="D4D4D4"/>
          </w:tcPr>
          <w:p>
            <w:pPr/>
          </w:p>
        </w:tc>
        <w:tc>
          <w:tcPr>
            <w:tcW w:w="1317" w:type="dxa"/>
            <w:vMerge/>
            <w:tcBorders>
              <w:left w:val="single" w:sz="4" w:space="0" w:color="000000"/>
              <w:bottom w:val="nil" w:sz="6" w:space="0" w:color="auto"/>
              <w:right w:val="single" w:sz="4" w:space="0" w:color="000000"/>
            </w:tcBorders>
            <w:shd w:val="clear" w:color="auto" w:fill="D4D4D4"/>
          </w:tcPr>
          <w:p>
            <w:pPr/>
          </w:p>
        </w:tc>
        <w:tc>
          <w:tcPr>
            <w:tcW w:w="1029" w:type="dxa"/>
            <w:vMerge w:val="restart"/>
            <w:tcBorders>
              <w:top w:val="nil" w:sz="6" w:space="0" w:color="auto"/>
              <w:left w:val="single" w:sz="4" w:space="0" w:color="000000"/>
              <w:right w:val="single" w:sz="4" w:space="0" w:color="000000"/>
            </w:tcBorders>
            <w:shd w:val="clear" w:color="auto" w:fill="D4D4D4"/>
          </w:tcPr>
          <w:p>
            <w:pPr>
              <w:pStyle w:val="TableParagraph"/>
              <w:spacing w:line="232" w:lineRule="exact" w:before="66"/>
              <w:ind w:left="422" w:right="5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9" w:type="dxa"/>
            <w:vMerge/>
            <w:tcBorders>
              <w:left w:val="single" w:sz="4" w:space="0" w:color="000000"/>
              <w:bottom w:val="nil" w:sz="6" w:space="0" w:color="auto"/>
              <w:right w:val="single" w:sz="4" w:space="0" w:color="000000"/>
            </w:tcBorders>
            <w:shd w:val="clear" w:color="auto" w:fill="D4D4D4"/>
          </w:tcPr>
          <w:p>
            <w:pPr/>
          </w:p>
        </w:tc>
        <w:tc>
          <w:tcPr>
            <w:tcW w:w="1064" w:type="dxa"/>
            <w:vMerge/>
            <w:tcBorders>
              <w:left w:val="single" w:sz="4" w:space="0" w:color="000000"/>
              <w:bottom w:val="nil" w:sz="6" w:space="0" w:color="auto"/>
              <w:right w:val="single" w:sz="4" w:space="0" w:color="000000"/>
            </w:tcBorders>
            <w:shd w:val="clear" w:color="auto" w:fill="D4D4D4"/>
          </w:tcPr>
          <w:p>
            <w:pPr/>
          </w:p>
        </w:tc>
        <w:tc>
          <w:tcPr>
            <w:tcW w:w="774" w:type="dxa"/>
            <w:vMerge w:val="restart"/>
            <w:tcBorders>
              <w:top w:val="nil" w:sz="6" w:space="0" w:color="auto"/>
              <w:left w:val="single" w:sz="4" w:space="0" w:color="000000"/>
              <w:right w:val="single" w:sz="4" w:space="0" w:color="000000"/>
            </w:tcBorders>
            <w:shd w:val="clear" w:color="auto" w:fill="D4D4D4"/>
          </w:tcPr>
          <w:p>
            <w:pPr>
              <w:pStyle w:val="TableParagraph"/>
              <w:spacing w:line="232" w:lineRule="exact" w:before="66"/>
              <w:ind w:left="196"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vMerge w:val="restart"/>
            <w:tcBorders>
              <w:top w:val="nil" w:sz="6" w:space="0" w:color="auto"/>
              <w:left w:val="single" w:sz="4" w:space="0" w:color="000000"/>
              <w:right w:val="single" w:sz="4" w:space="0" w:color="000000"/>
            </w:tcBorders>
            <w:shd w:val="clear" w:color="auto" w:fill="D4D4D4"/>
          </w:tcPr>
          <w:p>
            <w:pPr>
              <w:pStyle w:val="TableParagraph"/>
              <w:spacing w:line="232" w:lineRule="exact" w:before="66"/>
              <w:ind w:left="27"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77" w:hRule="exact"/>
        </w:trPr>
        <w:tc>
          <w:tcPr>
            <w:tcW w:w="17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1"/>
              <w:ind w:left="29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7" w:type="dxa"/>
            <w:vMerge/>
            <w:tcBorders>
              <w:left w:val="single" w:sz="4" w:space="0" w:color="000000"/>
              <w:right w:val="single" w:sz="4" w:space="0" w:color="000000"/>
            </w:tcBorders>
            <w:shd w:val="clear" w:color="auto" w:fill="D4D4D4"/>
          </w:tcPr>
          <w:p>
            <w:pPr/>
          </w:p>
        </w:tc>
        <w:tc>
          <w:tcPr>
            <w:tcW w:w="92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1"/>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29" w:type="dxa"/>
            <w:vMerge/>
            <w:tcBorders>
              <w:left w:val="single" w:sz="4" w:space="0" w:color="000000"/>
              <w:right w:val="single" w:sz="4" w:space="0" w:color="000000"/>
            </w:tcBorders>
            <w:shd w:val="clear" w:color="auto" w:fill="D4D4D4"/>
          </w:tcPr>
          <w:p>
            <w:pPr/>
          </w:p>
        </w:tc>
        <w:tc>
          <w:tcPr>
            <w:tcW w:w="105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1"/>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1"/>
              <w:ind w:left="2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4" w:type="dxa"/>
            <w:vMerge/>
            <w:tcBorders>
              <w:left w:val="single" w:sz="4" w:space="0" w:color="000000"/>
              <w:right w:val="single" w:sz="4" w:space="0" w:color="000000"/>
            </w:tcBorders>
            <w:shd w:val="clear" w:color="auto" w:fill="D4D4D4"/>
          </w:tcPr>
          <w:p>
            <w:pPr/>
          </w:p>
        </w:tc>
        <w:tc>
          <w:tcPr>
            <w:tcW w:w="788" w:type="dxa"/>
            <w:vMerge/>
            <w:tcBorders>
              <w:left w:val="single" w:sz="4" w:space="0" w:color="000000"/>
              <w:right w:val="single" w:sz="4" w:space="0" w:color="000000"/>
            </w:tcBorders>
            <w:shd w:val="clear" w:color="auto" w:fill="D4D4D4"/>
          </w:tcPr>
          <w:p>
            <w:pPr/>
          </w:p>
        </w:tc>
      </w:tr>
      <w:tr>
        <w:trPr>
          <w:trHeight w:val="239" w:hRule="exact"/>
        </w:trPr>
        <w:tc>
          <w:tcPr>
            <w:tcW w:w="1709" w:type="dxa"/>
            <w:tcBorders>
              <w:top w:val="nil" w:sz="6" w:space="0" w:color="auto"/>
              <w:left w:val="single" w:sz="4" w:space="0" w:color="000000"/>
              <w:bottom w:val="single" w:sz="4" w:space="0" w:color="000000"/>
              <w:right w:val="single" w:sz="4" w:space="0" w:color="000000"/>
            </w:tcBorders>
            <w:shd w:val="clear" w:color="auto" w:fill="D4D4D4"/>
          </w:tcPr>
          <w:p>
            <w:pPr/>
          </w:p>
        </w:tc>
        <w:tc>
          <w:tcPr>
            <w:tcW w:w="897" w:type="dxa"/>
            <w:vMerge/>
            <w:tcBorders>
              <w:left w:val="single" w:sz="4" w:space="0" w:color="000000"/>
              <w:bottom w:val="single" w:sz="4" w:space="0" w:color="000000"/>
              <w:right w:val="single" w:sz="4" w:space="0" w:color="000000"/>
            </w:tcBorders>
            <w:shd w:val="clear" w:color="auto" w:fill="D4D4D4"/>
          </w:tcPr>
          <w:p>
            <w:pPr/>
          </w:p>
        </w:tc>
        <w:tc>
          <w:tcPr>
            <w:tcW w:w="925" w:type="dxa"/>
            <w:tcBorders>
              <w:top w:val="nil" w:sz="6" w:space="0" w:color="auto"/>
              <w:left w:val="single" w:sz="4" w:space="0" w:color="000000"/>
              <w:bottom w:val="single" w:sz="4" w:space="0" w:color="000000"/>
              <w:right w:val="single" w:sz="4" w:space="0" w:color="000000"/>
            </w:tcBorders>
            <w:shd w:val="clear" w:color="auto" w:fill="D4D4D4"/>
          </w:tcPr>
          <w:p>
            <w:pPr/>
          </w:p>
        </w:tc>
        <w:tc>
          <w:tcPr>
            <w:tcW w:w="1317" w:type="dxa"/>
            <w:tcBorders>
              <w:top w:val="nil" w:sz="6" w:space="0" w:color="auto"/>
              <w:left w:val="single" w:sz="4" w:space="0" w:color="000000"/>
              <w:bottom w:val="single" w:sz="4" w:space="0" w:color="000000"/>
              <w:right w:val="single" w:sz="4" w:space="0" w:color="000000"/>
            </w:tcBorders>
            <w:shd w:val="clear" w:color="auto" w:fill="D4D4D4"/>
          </w:tcPr>
          <w:p>
            <w:pPr/>
          </w:p>
        </w:tc>
        <w:tc>
          <w:tcPr>
            <w:tcW w:w="1029" w:type="dxa"/>
            <w:vMerge/>
            <w:tcBorders>
              <w:left w:val="single" w:sz="4" w:space="0" w:color="000000"/>
              <w:bottom w:val="single" w:sz="4" w:space="0" w:color="000000"/>
              <w:right w:val="single" w:sz="4" w:space="0" w:color="000000"/>
            </w:tcBorders>
            <w:shd w:val="clear" w:color="auto" w:fill="D4D4D4"/>
          </w:tcPr>
          <w:p>
            <w:pPr/>
          </w:p>
        </w:tc>
        <w:tc>
          <w:tcPr>
            <w:tcW w:w="1059"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4"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4" w:space="0" w:color="000000"/>
              <w:bottom w:val="single" w:sz="4" w:space="0" w:color="000000"/>
              <w:right w:val="single" w:sz="4" w:space="0" w:color="000000"/>
            </w:tcBorders>
            <w:shd w:val="clear" w:color="auto" w:fill="D4D4D4"/>
          </w:tcPr>
          <w:p>
            <w:pPr/>
          </w:p>
        </w:tc>
        <w:tc>
          <w:tcPr>
            <w:tcW w:w="788" w:type="dxa"/>
            <w:vMerge/>
            <w:tcBorders>
              <w:left w:val="single" w:sz="4" w:space="0" w:color="000000"/>
              <w:bottom w:val="single" w:sz="4" w:space="0" w:color="000000"/>
              <w:right w:val="single" w:sz="4" w:space="0" w:color="000000"/>
            </w:tcBorders>
            <w:shd w:val="clear" w:color="auto" w:fill="D4D4D4"/>
          </w:tcPr>
          <w:p>
            <w:pPr/>
          </w:p>
        </w:tc>
      </w:tr>
      <w:tr>
        <w:trPr>
          <w:trHeight w:val="383"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left="-1" w:right="12"/>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626"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46"/>
              <w:ind w:right="0"/>
              <w:jc w:val="center"/>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8" w:lineRule="exact"/>
              <w:ind w:left="3"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2" w:type="dxa"/>
            <w:gridSpan w:val="2"/>
            <w:tcBorders>
              <w:top w:val="single" w:sz="4" w:space="0" w:color="000000"/>
              <w:left w:val="single" w:sz="13" w:space="0" w:color="D4D4D4"/>
              <w:bottom w:val="single" w:sz="4" w:space="0" w:color="000000"/>
              <w:right w:val="single" w:sz="10" w:space="0" w:color="D4D4D4"/>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50,000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71"/>
              <w:ind w:left="259" w:right="45" w:hanging="20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6"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22,160</w:t>
            </w:r>
          </w:p>
        </w:tc>
      </w:tr>
      <w:tr>
        <w:trPr>
          <w:trHeight w:val="619"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41"/>
              <w:ind w:right="0"/>
              <w:jc w:val="center"/>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8" w:lineRule="exact"/>
              <w:ind w:left="3"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2" w:type="dxa"/>
            <w:gridSpan w:val="2"/>
            <w:tcBorders>
              <w:top w:val="single" w:sz="4" w:space="0" w:color="000000"/>
              <w:left w:val="single" w:sz="13" w:space="0" w:color="D4D4D4"/>
              <w:bottom w:val="single" w:sz="4" w:space="0" w:color="000000"/>
              <w:right w:val="single" w:sz="10" w:space="0" w:color="D4D4D4"/>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80,000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348" w:right="45" w:hanging="29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6"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24,536</w:t>
            </w:r>
          </w:p>
        </w:tc>
      </w:tr>
      <w:tr>
        <w:trPr>
          <w:trHeight w:val="394"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48"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4" w:type="dxa"/>
            <w:gridSpan w:val="5"/>
            <w:tcBorders>
              <w:top w:val="single" w:sz="4" w:space="0" w:color="000000"/>
              <w:left w:val="single" w:sz="12" w:space="0" w:color="D4D4D4"/>
              <w:bottom w:val="single" w:sz="4" w:space="0" w:color="000000"/>
              <w:right w:val="single" w:sz="4" w:space="0" w:color="000000"/>
            </w:tcBorders>
          </w:tcPr>
          <w:p>
            <w:pPr>
              <w:pStyle w:val="TableParagraph"/>
              <w:spacing w:line="240" w:lineRule="auto" w:before="81"/>
              <w:ind w:right="10"/>
              <w:jc w:val="center"/>
              <w:rPr>
                <w:rFonts w:ascii="Times New Roman" w:hAnsi="Times New Roman" w:cs="Times New Roman" w:eastAsia="Times New Roman" w:hint="default"/>
                <w:sz w:val="18"/>
                <w:szCs w:val="18"/>
              </w:rPr>
            </w:pPr>
            <w:r>
              <w:rPr>
                <w:rFonts w:ascii="Times New Roman"/>
                <w:sz w:val="18"/>
              </w:rPr>
              <w:t>4.67%</w:t>
            </w:r>
          </w:p>
        </w:tc>
      </w:tr>
      <w:tr>
        <w:trPr>
          <w:trHeight w:val="377"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7"/>
              <w:ind w:left="-1" w:right="11"/>
              <w:jc w:val="center"/>
              <w:rPr>
                <w:rFonts w:ascii="宋体" w:hAnsi="宋体" w:cs="宋体" w:eastAsia="宋体" w:hint="default"/>
                <w:sz w:val="18"/>
                <w:szCs w:val="18"/>
              </w:rPr>
            </w:pPr>
            <w:r>
              <w:rPr>
                <w:rFonts w:ascii="宋体" w:hAnsi="宋体" w:cs="宋体" w:eastAsia="宋体" w:hint="default"/>
                <w:sz w:val="18"/>
                <w:szCs w:val="18"/>
              </w:rPr>
              <w:t>其中：</w:t>
            </w:r>
          </w:p>
        </w:tc>
      </w:tr>
      <w:tr>
        <w:trPr>
          <w:trHeight w:val="394"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276"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4" w:type="dxa"/>
            <w:gridSpan w:val="5"/>
            <w:tcBorders>
              <w:top w:val="single" w:sz="4" w:space="0" w:color="000000"/>
              <w:left w:val="single" w:sz="12" w:space="0" w:color="D4D4D4"/>
              <w:bottom w:val="single" w:sz="4" w:space="0" w:color="000000"/>
              <w:right w:val="single" w:sz="4" w:space="0" w:color="000000"/>
            </w:tcBorders>
          </w:tcPr>
          <w:p>
            <w:pPr>
              <w:pStyle w:val="TableParagraph"/>
              <w:spacing w:line="240" w:lineRule="auto" w:before="86"/>
              <w:ind w:right="14"/>
              <w:jc w:val="center"/>
              <w:rPr>
                <w:rFonts w:ascii="Times New Roman" w:hAnsi="Times New Roman" w:cs="Times New Roman" w:eastAsia="Times New Roman" w:hint="default"/>
                <w:sz w:val="18"/>
                <w:szCs w:val="18"/>
              </w:rPr>
            </w:pPr>
            <w:r>
              <w:rPr>
                <w:rFonts w:ascii="Times New Roman"/>
                <w:sz w:val="18"/>
              </w:rPr>
              <w:t>0</w:t>
            </w:r>
          </w:p>
        </w:tc>
      </w:tr>
      <w:tr>
        <w:trPr>
          <w:trHeight w:val="619"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816" w:right="76" w:hanging="1755"/>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4" w:type="dxa"/>
            <w:gridSpan w:val="5"/>
            <w:tcBorders>
              <w:top w:val="single" w:sz="4" w:space="0" w:color="000000"/>
              <w:left w:val="single" w:sz="12" w:space="0" w:color="D4D4D4"/>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z w:val="18"/>
              </w:rPr>
              <w:t>144</w:t>
            </w:r>
          </w:p>
        </w:tc>
      </w:tr>
      <w:tr>
        <w:trPr>
          <w:trHeight w:val="389"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3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4" w:type="dxa"/>
            <w:gridSpan w:val="5"/>
            <w:tcBorders>
              <w:top w:val="single" w:sz="4" w:space="0" w:color="000000"/>
              <w:left w:val="single" w:sz="12" w:space="0" w:color="D4D4D4"/>
              <w:bottom w:val="single" w:sz="4" w:space="0" w:color="000000"/>
              <w:right w:val="single" w:sz="4" w:space="0" w:color="000000"/>
            </w:tcBorders>
          </w:tcPr>
          <w:p>
            <w:pPr>
              <w:pStyle w:val="TableParagraph"/>
              <w:spacing w:line="240" w:lineRule="auto" w:before="81"/>
              <w:ind w:right="14"/>
              <w:jc w:val="center"/>
              <w:rPr>
                <w:rFonts w:ascii="Times New Roman" w:hAnsi="Times New Roman" w:cs="Times New Roman" w:eastAsia="Times New Roman" w:hint="default"/>
                <w:sz w:val="18"/>
                <w:szCs w:val="18"/>
              </w:rPr>
            </w:pPr>
            <w:r>
              <w:rPr>
                <w:rFonts w:ascii="Times New Roman"/>
                <w:sz w:val="18"/>
              </w:rPr>
              <w:t>0</w:t>
            </w:r>
          </w:p>
        </w:tc>
      </w:tr>
      <w:tr>
        <w:trPr>
          <w:trHeight w:val="386"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58"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4" w:type="dxa"/>
            <w:gridSpan w:val="5"/>
            <w:tcBorders>
              <w:top w:val="single" w:sz="4" w:space="0" w:color="000000"/>
              <w:left w:val="single" w:sz="12" w:space="0" w:color="D4D4D4"/>
              <w:bottom w:val="single" w:sz="4" w:space="0" w:color="000000"/>
              <w:right w:val="single" w:sz="4" w:space="0" w:color="000000"/>
            </w:tcBorders>
          </w:tcPr>
          <w:p>
            <w:pPr>
              <w:pStyle w:val="TableParagraph"/>
              <w:spacing w:line="240" w:lineRule="auto" w:before="79"/>
              <w:ind w:right="8"/>
              <w:jc w:val="center"/>
              <w:rPr>
                <w:rFonts w:ascii="Times New Roman" w:hAnsi="Times New Roman" w:cs="Times New Roman" w:eastAsia="Times New Roman" w:hint="default"/>
                <w:sz w:val="18"/>
                <w:szCs w:val="18"/>
              </w:rPr>
            </w:pPr>
            <w:r>
              <w:rPr>
                <w:rFonts w:ascii="Times New Roman"/>
                <w:sz w:val="18"/>
              </w:rPr>
              <w:t>144</w:t>
            </w:r>
          </w:p>
        </w:tc>
      </w:tr>
    </w:tbl>
    <w:p>
      <w:pPr>
        <w:pStyle w:val="BodyText"/>
        <w:spacing w:line="240" w:lineRule="auto" w:before="64"/>
        <w:ind w:right="1127"/>
        <w:jc w:val="left"/>
      </w:pPr>
      <w:r>
        <w:rPr/>
        <w:t>采用复合方式担保的具体情况说明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2）违规对外担保情况" w:id="154"/>
      <w:bookmarkEnd w:id="15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3"/>
        <w:rPr>
          <w:rFonts w:ascii="宋体" w:hAnsi="宋体" w:cs="宋体" w:eastAsia="宋体" w:hint="default"/>
          <w:b/>
          <w:bCs/>
          <w:sz w:val="21"/>
          <w:szCs w:val="21"/>
        </w:rPr>
      </w:pPr>
    </w:p>
    <w:p>
      <w:pPr>
        <w:pStyle w:val="BodyText"/>
        <w:spacing w:line="420" w:lineRule="auto"/>
        <w:ind w:right="5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公司报告期无违规对外担保情况。</w:t>
      </w:r>
    </w:p>
    <w:p>
      <w:pPr>
        <w:spacing w:line="240" w:lineRule="auto" w:before="6"/>
        <w:rPr>
          <w:rFonts w:ascii="宋体" w:hAnsi="宋体" w:cs="宋体" w:eastAsia="宋体" w:hint="default"/>
          <w:sz w:val="21"/>
          <w:szCs w:val="21"/>
        </w:rPr>
      </w:pPr>
    </w:p>
    <w:p>
      <w:pPr>
        <w:pStyle w:val="Heading4"/>
        <w:spacing w:line="240" w:lineRule="auto"/>
        <w:ind w:right="1127"/>
        <w:jc w:val="left"/>
        <w:rPr>
          <w:b w:val="0"/>
          <w:bCs w:val="0"/>
        </w:rPr>
      </w:pPr>
      <w:bookmarkStart w:name="3、委托他人进行现金资产管理情况" w:id="155"/>
      <w:bookmarkEnd w:id="15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1127"/>
        <w:jc w:val="left"/>
        <w:rPr>
          <w:b w:val="0"/>
          <w:bCs w:val="0"/>
        </w:rPr>
      </w:pPr>
      <w:bookmarkStart w:name="（1）委托理财情况" w:id="156"/>
      <w:bookmarkEnd w:id="15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宋体" w:hAnsi="宋体" w:cs="宋体" w:eastAsia="宋体" w:hint="default"/>
          <w:b/>
          <w:bCs/>
          <w:sz w:val="21"/>
          <w:szCs w:val="21"/>
        </w:rPr>
      </w:pPr>
    </w:p>
    <w:p>
      <w:pPr>
        <w:pStyle w:val="BodyText"/>
        <w:spacing w:line="420" w:lineRule="auto"/>
        <w:ind w:right="72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公司报告期不存在委托理财。</w:t>
      </w:r>
    </w:p>
    <w:p>
      <w:pPr>
        <w:spacing w:line="240" w:lineRule="auto" w:before="6"/>
        <w:rPr>
          <w:rFonts w:ascii="宋体" w:hAnsi="宋体" w:cs="宋体" w:eastAsia="宋体" w:hint="default"/>
          <w:sz w:val="21"/>
          <w:szCs w:val="21"/>
        </w:rPr>
      </w:pPr>
    </w:p>
    <w:p>
      <w:pPr>
        <w:pStyle w:val="Heading4"/>
        <w:spacing w:line="240" w:lineRule="auto"/>
        <w:ind w:right="1127"/>
        <w:jc w:val="left"/>
        <w:rPr>
          <w:b w:val="0"/>
          <w:bCs w:val="0"/>
        </w:rPr>
      </w:pPr>
      <w:bookmarkStart w:name="（2）委托贷款情况" w:id="157"/>
      <w:bookmarkEnd w:id="15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3"/>
        <w:rPr>
          <w:rFonts w:ascii="宋体" w:hAnsi="宋体" w:cs="宋体" w:eastAsia="宋体" w:hint="default"/>
          <w:b/>
          <w:bCs/>
          <w:sz w:val="21"/>
          <w:szCs w:val="21"/>
        </w:rPr>
      </w:pPr>
    </w:p>
    <w:p>
      <w:pPr>
        <w:pStyle w:val="BodyText"/>
        <w:spacing w:line="420" w:lineRule="auto"/>
        <w:ind w:right="72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公司报告期不存在委托贷款。</w:t>
      </w:r>
    </w:p>
    <w:p>
      <w:pPr>
        <w:spacing w:line="240" w:lineRule="auto" w:before="6"/>
        <w:rPr>
          <w:rFonts w:ascii="宋体" w:hAnsi="宋体" w:cs="宋体" w:eastAsia="宋体" w:hint="default"/>
          <w:sz w:val="21"/>
          <w:szCs w:val="21"/>
        </w:rPr>
      </w:pPr>
    </w:p>
    <w:p>
      <w:pPr>
        <w:pStyle w:val="Heading4"/>
        <w:spacing w:line="240" w:lineRule="auto"/>
        <w:ind w:right="1127"/>
        <w:jc w:val="left"/>
        <w:rPr>
          <w:b w:val="0"/>
          <w:bCs w:val="0"/>
        </w:rPr>
      </w:pPr>
      <w:bookmarkStart w:name="4、其他重大合同" w:id="158"/>
      <w:bookmarkEnd w:id="15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3"/>
        <w:rPr>
          <w:rFonts w:ascii="宋体" w:hAnsi="宋体" w:cs="宋体" w:eastAsia="宋体" w:hint="default"/>
          <w:b/>
          <w:bCs/>
          <w:sz w:val="21"/>
          <w:szCs w:val="21"/>
        </w:rPr>
      </w:pPr>
    </w:p>
    <w:p>
      <w:pPr>
        <w:pStyle w:val="BodyText"/>
        <w:spacing w:line="420" w:lineRule="auto"/>
        <w:ind w:right="5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公司报告期不存在其他重大合同。</w:t>
      </w:r>
    </w:p>
    <w:p>
      <w:pPr>
        <w:spacing w:after="0" w:line="420" w:lineRule="auto"/>
        <w:jc w:val="left"/>
        <w:sectPr>
          <w:pgSz w:w="11910" w:h="16840"/>
          <w:pgMar w:header="0" w:footer="1134" w:top="1280" w:bottom="1320" w:left="980" w:right="0"/>
        </w:sectPr>
      </w:pPr>
    </w:p>
    <w:p>
      <w:pPr>
        <w:pStyle w:val="Heading2"/>
        <w:spacing w:line="240" w:lineRule="auto" w:before="106"/>
        <w:ind w:right="1127"/>
        <w:jc w:val="left"/>
        <w:rPr>
          <w:b w:val="0"/>
          <w:bCs w:val="0"/>
        </w:rPr>
      </w:pPr>
      <w:bookmarkStart w:name="十七、社会责任情况" w:id="159"/>
      <w:bookmarkEnd w:id="159"/>
      <w:r>
        <w:rPr>
          <w:b w:val="0"/>
          <w:bCs w:val="0"/>
        </w:rPr>
      </w:r>
      <w:r>
        <w:rPr/>
        <w:t>十七、社会责任情况</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right="1127"/>
        <w:jc w:val="left"/>
        <w:rPr>
          <w:b w:val="0"/>
          <w:bCs w:val="0"/>
        </w:rPr>
      </w:pPr>
      <w:bookmarkStart w:name="1、履行社会责任情况" w:id="160"/>
      <w:bookmarkEnd w:id="16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1"/>
          <w:szCs w:val="21"/>
        </w:rPr>
      </w:pPr>
    </w:p>
    <w:p>
      <w:pPr>
        <w:pStyle w:val="BodyText"/>
        <w:spacing w:line="336" w:lineRule="auto"/>
        <w:ind w:left="152" w:right="1127" w:firstLine="419"/>
        <w:jc w:val="left"/>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2016</w:t>
      </w:r>
      <w:r>
        <w:rPr>
          <w:spacing w:val="-4"/>
        </w:rPr>
        <w:t>年，公司设立首都高校基础学科</w:t>
      </w:r>
      <w:r>
        <w:rPr>
          <w:rFonts w:ascii="Times New Roman" w:hAnsi="Times New Roman" w:cs="Times New Roman" w:eastAsia="Times New Roman" w:hint="default"/>
          <w:spacing w:val="-4"/>
        </w:rPr>
        <w:t>“</w:t>
      </w:r>
      <w:r>
        <w:rPr>
          <w:spacing w:val="-4"/>
        </w:rPr>
        <w:t>旋极奖学金</w:t>
      </w:r>
      <w:r>
        <w:rPr>
          <w:rFonts w:ascii="Times New Roman" w:hAnsi="Times New Roman" w:cs="Times New Roman" w:eastAsia="Times New Roman" w:hint="default"/>
          <w:spacing w:val="-4"/>
        </w:rPr>
        <w:t>”</w:t>
      </w:r>
      <w:r>
        <w:rPr>
          <w:spacing w:val="-4"/>
        </w:rPr>
        <w:t>项目并于后期持续捐助，其中</w:t>
      </w:r>
      <w:r>
        <w:rPr>
          <w:rFonts w:ascii="Times New Roman" w:hAnsi="Times New Roman" w:cs="Times New Roman" w:eastAsia="Times New Roman" w:hint="default"/>
          <w:spacing w:val="-4"/>
        </w:rPr>
        <w:t>2019</w:t>
      </w:r>
      <w:r>
        <w:rPr>
          <w:spacing w:val="-4"/>
        </w:rPr>
        <w:t>年为北京青少</w:t>
      </w:r>
      <w:r>
        <w:rPr>
          <w:spacing w:val="-3"/>
          <w:w w:val="100"/>
        </w:rPr>
        <w:t> </w:t>
      </w:r>
      <w:r>
        <w:rPr/>
        <w:t>年发展基金会捐款</w:t>
      </w:r>
      <w:r>
        <w:rPr>
          <w:rFonts w:ascii="Times New Roman" w:hAnsi="Times New Roman" w:cs="Times New Roman" w:eastAsia="Times New Roman" w:hint="default"/>
        </w:rPr>
        <w:t>20</w:t>
      </w:r>
      <w:r>
        <w:rPr/>
        <w:t>万元；</w:t>
      </w:r>
    </w:p>
    <w:p>
      <w:pPr>
        <w:pStyle w:val="BodyText"/>
        <w:spacing w:line="336" w:lineRule="auto" w:before="26"/>
        <w:ind w:left="152" w:right="1127" w:firstLine="42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2016</w:t>
      </w:r>
      <w:r>
        <w:rPr>
          <w:spacing w:val="-2"/>
        </w:rPr>
        <w:t>年，公司设立爱佑</w:t>
      </w:r>
      <w:r>
        <w:rPr>
          <w:rFonts w:ascii="Times New Roman" w:hAnsi="Times New Roman" w:cs="Times New Roman" w:eastAsia="Times New Roman" w:hint="default"/>
          <w:spacing w:val="-2"/>
        </w:rPr>
        <w:t>•</w:t>
      </w:r>
      <w:r>
        <w:rPr>
          <w:spacing w:val="-2"/>
        </w:rPr>
        <w:t>旋极北京小婴儿之家，并于后期持续捐助，其中</w:t>
      </w:r>
      <w:r>
        <w:rPr>
          <w:rFonts w:ascii="Times New Roman" w:hAnsi="Times New Roman" w:cs="Times New Roman" w:eastAsia="Times New Roman" w:hint="default"/>
          <w:spacing w:val="-2"/>
        </w:rPr>
        <w:t>2019</w:t>
      </w:r>
      <w:r>
        <w:rPr>
          <w:spacing w:val="-2"/>
        </w:rPr>
        <w:t>年为爱佑慈善基金会</w:t>
      </w:r>
      <w:r>
        <w:rPr>
          <w:spacing w:val="-3"/>
          <w:w w:val="100"/>
        </w:rPr>
        <w:t> </w:t>
      </w:r>
      <w:r>
        <w:rPr/>
        <w:t>捐款</w:t>
      </w:r>
      <w:r>
        <w:rPr>
          <w:rFonts w:ascii="Times New Roman" w:hAnsi="Times New Roman" w:cs="Times New Roman" w:eastAsia="Times New Roman" w:hint="default"/>
        </w:rPr>
        <w:t>400</w:t>
      </w:r>
      <w:r>
        <w:rPr/>
        <w:t>万元。</w:t>
      </w:r>
    </w:p>
    <w:p>
      <w:pPr>
        <w:pStyle w:val="BodyText"/>
        <w:spacing w:line="240" w:lineRule="auto" w:before="24"/>
        <w:ind w:right="1127"/>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月，公司志愿者赴北京大学人民医院清河分院向白血病儿童送去新年祝福。</w:t>
      </w:r>
    </w:p>
    <w:p>
      <w:pPr>
        <w:pStyle w:val="BodyText"/>
        <w:spacing w:line="338" w:lineRule="auto" w:before="117"/>
        <w:ind w:left="153" w:right="1127" w:firstLine="419"/>
        <w:jc w:val="left"/>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月，公司向新型冠状病毒肺炎疫区捐赠现金</w:t>
      </w:r>
      <w:r>
        <w:rPr>
          <w:rFonts w:ascii="Times New Roman" w:hAnsi="Times New Roman" w:cs="Times New Roman" w:eastAsia="Times New Roman" w:hint="default"/>
          <w:spacing w:val="-2"/>
        </w:rPr>
        <w:t>20</w:t>
      </w:r>
      <w:r>
        <w:rPr>
          <w:spacing w:val="-2"/>
        </w:rPr>
        <w:t>万元，全资子公司西安西谷通过湖北省军区</w:t>
      </w:r>
      <w:r>
        <w:rPr>
          <w:w w:val="100"/>
        </w:rPr>
        <w:t> </w:t>
      </w:r>
      <w:r>
        <w:rPr/>
        <w:t>向湖北疫区捐赠</w:t>
      </w:r>
      <w:r>
        <w:rPr>
          <w:rFonts w:ascii="Times New Roman" w:hAnsi="Times New Roman" w:cs="Times New Roman" w:eastAsia="Times New Roman" w:hint="default"/>
        </w:rPr>
        <w:t>300</w:t>
      </w:r>
      <w:r>
        <w:rPr/>
        <w:t>台空气消毒净化机，捐赠现金</w:t>
      </w:r>
      <w:r>
        <w:rPr>
          <w:rFonts w:ascii="Times New Roman" w:hAnsi="Times New Roman" w:cs="Times New Roman" w:eastAsia="Times New Roman" w:hint="default"/>
        </w:rPr>
        <w:t>100</w:t>
      </w:r>
      <w:r>
        <w:rPr/>
        <w:t>万元，向西安市高新区疫情防控指挥部捐赠</w:t>
      </w:r>
      <w:r>
        <w:rPr>
          <w:rFonts w:ascii="Times New Roman" w:hAnsi="Times New Roman" w:cs="Times New Roman" w:eastAsia="Times New Roman" w:hint="default"/>
        </w:rPr>
        <w:t>4</w:t>
      </w:r>
      <w:r>
        <w:rPr/>
        <w:t>吨消毒</w:t>
      </w:r>
      <w:r>
        <w:rPr>
          <w:spacing w:val="-3"/>
          <w:w w:val="100"/>
        </w:rPr>
        <w:t> </w:t>
      </w:r>
      <w:r>
        <w:rPr/>
        <w:t>液和</w:t>
      </w:r>
      <w:r>
        <w:rPr>
          <w:rFonts w:ascii="Times New Roman" w:hAnsi="Times New Roman" w:cs="Times New Roman" w:eastAsia="Times New Roman" w:hint="default"/>
        </w:rPr>
        <w:t>300</w:t>
      </w:r>
      <w:r>
        <w:rPr/>
        <w:t>台空气消毒净化机。</w:t>
      </w:r>
    </w:p>
    <w:p>
      <w:pPr>
        <w:spacing w:line="240" w:lineRule="auto" w:before="8"/>
        <w:rPr>
          <w:rFonts w:ascii="宋体" w:hAnsi="宋体" w:cs="宋体" w:eastAsia="宋体" w:hint="default"/>
          <w:sz w:val="24"/>
          <w:szCs w:val="24"/>
        </w:rPr>
      </w:pPr>
    </w:p>
    <w:p>
      <w:pPr>
        <w:spacing w:line="472" w:lineRule="auto" w:before="0"/>
        <w:ind w:left="572" w:right="4340" w:hanging="420"/>
        <w:jc w:val="left"/>
        <w:rPr>
          <w:rFonts w:ascii="宋体" w:hAnsi="宋体" w:cs="宋体" w:eastAsia="宋体" w:hint="default"/>
          <w:sz w:val="21"/>
          <w:szCs w:val="21"/>
        </w:rPr>
      </w:pPr>
      <w:bookmarkStart w:name="2、履行精准扶贫社会责任情况" w:id="161"/>
      <w:bookmarkEnd w:id="16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公司报告年度暂未开展精准扶贫工作，也暂无后续精准扶贫计划</w:t>
      </w:r>
    </w:p>
    <w:p>
      <w:pPr>
        <w:spacing w:line="240" w:lineRule="auto" w:before="7"/>
        <w:rPr>
          <w:rFonts w:ascii="宋体" w:hAnsi="宋体" w:cs="宋体" w:eastAsia="宋体" w:hint="default"/>
          <w:sz w:val="17"/>
          <w:szCs w:val="17"/>
        </w:rPr>
      </w:pPr>
    </w:p>
    <w:p>
      <w:pPr>
        <w:spacing w:line="458" w:lineRule="auto" w:before="0"/>
        <w:ind w:left="572" w:right="4340" w:hanging="421"/>
        <w:jc w:val="left"/>
        <w:rPr>
          <w:rFonts w:ascii="宋体" w:hAnsi="宋体" w:cs="宋体" w:eastAsia="宋体" w:hint="default"/>
          <w:sz w:val="21"/>
          <w:szCs w:val="21"/>
        </w:rPr>
      </w:pPr>
      <w:bookmarkStart w:name="3、环境保护相关的情况" w:id="162"/>
      <w:bookmarkEnd w:id="16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b/>
          <w:bCs/>
          <w:w w:val="100"/>
          <w:sz w:val="21"/>
          <w:szCs w:val="21"/>
        </w:rPr>
        <w:t> </w:t>
      </w:r>
      <w:r>
        <w:rPr>
          <w:rFonts w:ascii="宋体" w:hAnsi="宋体" w:cs="宋体" w:eastAsia="宋体" w:hint="default"/>
          <w:spacing w:val="-2"/>
          <w:sz w:val="21"/>
          <w:szCs w:val="21"/>
        </w:rPr>
        <w:t>上市公司及其子公司是否属于环境保护部门公布的重点排污单位</w:t>
      </w:r>
      <w:r>
        <w:rPr>
          <w:rFonts w:ascii="宋体" w:hAnsi="宋体" w:cs="宋体" w:eastAsia="宋体" w:hint="default"/>
          <w:w w:val="100"/>
          <w:sz w:val="21"/>
          <w:szCs w:val="21"/>
        </w:rPr>
        <w:t> </w:t>
      </w:r>
      <w:r>
        <w:rPr>
          <w:rFonts w:ascii="宋体" w:hAnsi="宋体" w:cs="宋体" w:eastAsia="宋体" w:hint="default"/>
          <w:sz w:val="21"/>
          <w:szCs w:val="21"/>
        </w:rPr>
        <w:t>否</w:t>
      </w:r>
    </w:p>
    <w:p>
      <w:pPr>
        <w:pStyle w:val="BodyText"/>
        <w:spacing w:line="240" w:lineRule="auto" w:before="45"/>
        <w:ind w:right="1127"/>
        <w:jc w:val="left"/>
      </w:pPr>
      <w:r>
        <w:rPr/>
        <w:t>不属于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2"/>
        <w:spacing w:line="240" w:lineRule="auto"/>
        <w:ind w:right="1127"/>
        <w:jc w:val="left"/>
        <w:rPr>
          <w:b w:val="0"/>
          <w:bCs w:val="0"/>
        </w:rPr>
      </w:pPr>
      <w:bookmarkStart w:name="十八、其他重大事项的说明" w:id="163"/>
      <w:bookmarkEnd w:id="163"/>
      <w:r>
        <w:rPr>
          <w:b w:val="0"/>
          <w:bCs w:val="0"/>
        </w:rPr>
      </w:r>
      <w:r>
        <w:rPr/>
        <w:t>十八、其他重大事项的说明</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17"/>
          <w:szCs w:val="17"/>
        </w:rPr>
      </w:pPr>
    </w:p>
    <w:p>
      <w:pPr>
        <w:pStyle w:val="Heading3"/>
        <w:spacing w:line="240" w:lineRule="auto"/>
        <w:ind w:right="1127"/>
        <w:jc w:val="left"/>
      </w:pPr>
      <w:bookmarkStart w:name="（一） 重大资产重组情况" w:id="164"/>
      <w:bookmarkEnd w:id="164"/>
      <w:r>
        <w:rPr/>
      </w:r>
      <w:r>
        <w:rPr/>
        <w:t>（一）</w:t>
      </w:r>
      <w:r>
        <w:rPr>
          <w:spacing w:val="-60"/>
        </w:rPr>
        <w:t> </w:t>
      </w:r>
      <w:r>
        <w:rPr/>
        <w:t>重大资产重组情况</w:t>
      </w:r>
    </w:p>
    <w:p>
      <w:pPr>
        <w:spacing w:line="240" w:lineRule="auto" w:before="12"/>
        <w:rPr>
          <w:rFonts w:ascii="黑体" w:hAnsi="黑体" w:cs="黑体" w:eastAsia="黑体" w:hint="default"/>
          <w:sz w:val="26"/>
          <w:szCs w:val="26"/>
        </w:rPr>
      </w:pPr>
    </w:p>
    <w:p>
      <w:pPr>
        <w:pStyle w:val="BodyText"/>
        <w:spacing w:line="240" w:lineRule="auto"/>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日，公司筹划重大资产购买事项，经公司向深圳证券交易所申请，公司股票于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p>
    <w:p>
      <w:pPr>
        <w:pStyle w:val="BodyText"/>
        <w:spacing w:line="336" w:lineRule="auto" w:before="117"/>
        <w:ind w:left="153" w:right="1127" w:hanging="1"/>
        <w:jc w:val="left"/>
      </w:pPr>
      <w:r>
        <w:rPr>
          <w:rFonts w:ascii="Times New Roman" w:hAnsi="Times New Roman" w:cs="Times New Roman" w:eastAsia="Times New Roman" w:hint="default"/>
          <w:spacing w:val="-2"/>
        </w:rPr>
        <w:t>30</w:t>
      </w:r>
      <w:r>
        <w:rPr>
          <w:spacing w:val="-2"/>
        </w:rPr>
        <w:t>日开市起停牌。</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29</w:t>
      </w:r>
      <w:r>
        <w:rPr>
          <w:spacing w:val="-2"/>
        </w:rPr>
        <w:t>日，公司股票复牌，决定终止收购深圳市斯普瑞特通信技术有限公司股权</w:t>
      </w:r>
      <w:r>
        <w:rPr>
          <w:spacing w:val="-36"/>
        </w:rPr>
        <w:t> </w:t>
      </w:r>
      <w:r>
        <w:rPr>
          <w:spacing w:val="-36"/>
        </w:rPr>
      </w:r>
      <w:r>
        <w:rPr/>
        <w:t>事项，后续继续推进收购合肥瑞成股权的相关事项。</w:t>
      </w:r>
    </w:p>
    <w:p>
      <w:pPr>
        <w:pStyle w:val="BodyText"/>
        <w:spacing w:line="357" w:lineRule="auto" w:before="49"/>
        <w:ind w:left="153" w:right="1106" w:firstLine="420"/>
        <w:jc w:val="both"/>
      </w:pPr>
      <w:r>
        <w:rPr>
          <w:spacing w:val="-2"/>
        </w:rPr>
        <w:t>目前公司正在继续推进与合肥瑞成各股东沟通和谈判的工作，并与项目意向投资人积极沟通和推进，</w:t>
      </w:r>
      <w:r>
        <w:rPr>
          <w:w w:val="100"/>
        </w:rPr>
        <w:t> </w:t>
      </w:r>
      <w:r>
        <w:rPr>
          <w:spacing w:val="-2"/>
        </w:rPr>
        <w:t>努力加快重组进程。公司聘请东兴证券股份有限公司、北京市天元律师事务所为本次重大资产重组的中介</w:t>
      </w:r>
      <w:r>
        <w:rPr>
          <w:spacing w:val="-42"/>
        </w:rPr>
        <w:t> </w:t>
      </w:r>
      <w:r>
        <w:rPr>
          <w:spacing w:val="-42"/>
        </w:rPr>
      </w:r>
      <w:r>
        <w:rPr>
          <w:spacing w:val="-2"/>
        </w:rPr>
        <w:t>机构。如公司与合肥瑞成及项目意向投资人的谈判工作有实质性进展，中介机构将积极配合公司开展尽职</w:t>
      </w:r>
      <w:r>
        <w:rPr>
          <w:spacing w:val="-42"/>
        </w:rPr>
        <w:t> </w:t>
      </w:r>
      <w:r>
        <w:rPr>
          <w:spacing w:val="-42"/>
        </w:rPr>
      </w:r>
      <w:r>
        <w:rPr/>
        <w:t>调查等各项工作。</w:t>
      </w:r>
    </w:p>
    <w:p>
      <w:pPr>
        <w:pStyle w:val="BodyText"/>
        <w:spacing w:line="240" w:lineRule="auto" w:before="30"/>
        <w:ind w:left="573" w:right="1127"/>
        <w:jc w:val="left"/>
      </w:pPr>
      <w:r>
        <w:rPr/>
        <w:t>上述内容详见公司在巨潮资讯网披露的相关公告。</w:t>
      </w:r>
    </w:p>
    <w:p>
      <w:pPr>
        <w:spacing w:after="0" w:line="240" w:lineRule="auto"/>
        <w:jc w:val="left"/>
        <w:sectPr>
          <w:footerReference w:type="default" r:id="rId45"/>
          <w:pgSz w:w="11910" w:h="16840"/>
          <w:pgMar w:footer="1134" w:header="0" w:top="1280" w:bottom="1320" w:left="980" w:right="0"/>
        </w:sectPr>
      </w:pPr>
    </w:p>
    <w:p>
      <w:pPr>
        <w:pStyle w:val="Heading3"/>
        <w:spacing w:line="240" w:lineRule="auto" w:before="106"/>
        <w:ind w:right="1127"/>
        <w:jc w:val="left"/>
      </w:pPr>
      <w:bookmarkStart w:name="（二）回购公司部分社会公众股份进展" w:id="165"/>
      <w:bookmarkEnd w:id="165"/>
      <w:r>
        <w:rPr/>
      </w:r>
      <w:r>
        <w:rPr/>
        <w:t>（二）回购公司部分社会公众股份进展</w:t>
      </w:r>
    </w:p>
    <w:p>
      <w:pPr>
        <w:spacing w:line="240" w:lineRule="auto" w:before="10"/>
        <w:rPr>
          <w:rFonts w:ascii="黑体" w:hAnsi="黑体" w:cs="黑体" w:eastAsia="黑体" w:hint="default"/>
          <w:sz w:val="26"/>
          <w:szCs w:val="26"/>
        </w:rPr>
      </w:pPr>
    </w:p>
    <w:p>
      <w:pPr>
        <w:pStyle w:val="BodyText"/>
        <w:spacing w:line="338" w:lineRule="auto"/>
        <w:ind w:left="152" w:right="0" w:firstLine="419"/>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日，经公司第三届董事会第五十一次会议审议通过，公司计划以自筹资金回购社会公众</w:t>
      </w:r>
      <w:r>
        <w:rPr>
          <w:w w:val="100"/>
        </w:rPr>
        <w:t> </w:t>
      </w:r>
      <w:r>
        <w:rPr>
          <w:spacing w:val="-2"/>
        </w:rPr>
        <w:t>股并予以注销，回购的资金总额最低不低于人民币</w:t>
      </w:r>
      <w:r>
        <w:rPr>
          <w:rFonts w:ascii="Times New Roman" w:hAnsi="Times New Roman" w:cs="Times New Roman" w:eastAsia="Times New Roman" w:hint="default"/>
          <w:spacing w:val="-2"/>
        </w:rPr>
        <w:t>2</w:t>
      </w:r>
      <w:r>
        <w:rPr>
          <w:spacing w:val="-2"/>
        </w:rPr>
        <w:t>亿元，最高不超过人民币</w:t>
      </w:r>
      <w:r>
        <w:rPr>
          <w:rFonts w:ascii="Times New Roman" w:hAnsi="Times New Roman" w:cs="Times New Roman" w:eastAsia="Times New Roman" w:hint="default"/>
          <w:spacing w:val="-2"/>
        </w:rPr>
        <w:t>5</w:t>
      </w:r>
      <w:r>
        <w:rPr>
          <w:spacing w:val="-2"/>
        </w:rPr>
        <w:t>亿元，回购股份的价格不超</w:t>
      </w:r>
      <w:r>
        <w:rPr>
          <w:spacing w:val="-49"/>
        </w:rPr>
        <w:t> </w:t>
      </w:r>
      <w:r>
        <w:rPr>
          <w:spacing w:val="-49"/>
        </w:rPr>
      </w:r>
      <w:r>
        <w:rPr>
          <w:spacing w:val="-3"/>
        </w:rPr>
        <w:t>过人民币</w:t>
      </w:r>
      <w:r>
        <w:rPr>
          <w:rFonts w:ascii="Times New Roman" w:hAnsi="Times New Roman" w:cs="Times New Roman" w:eastAsia="Times New Roman" w:hint="default"/>
          <w:spacing w:val="-3"/>
        </w:rPr>
        <w:t>21</w:t>
      </w:r>
      <w:r>
        <w:rPr>
          <w:spacing w:val="-3"/>
        </w:rPr>
        <w:t>元</w:t>
      </w:r>
      <w:r>
        <w:rPr>
          <w:rFonts w:ascii="Times New Roman" w:hAnsi="Times New Roman" w:cs="Times New Roman" w:eastAsia="Times New Roman" w:hint="default"/>
          <w:spacing w:val="-3"/>
        </w:rPr>
        <w:t>/</w:t>
      </w:r>
      <w:r>
        <w:rPr>
          <w:spacing w:val="-3"/>
        </w:rPr>
        <w:t>股，回购期间为自股东大会通过之日起</w:t>
      </w:r>
      <w:r>
        <w:rPr>
          <w:rFonts w:ascii="Times New Roman" w:hAnsi="Times New Roman" w:cs="Times New Roman" w:eastAsia="Times New Roman" w:hint="default"/>
          <w:spacing w:val="-3"/>
        </w:rPr>
        <w:t>12</w:t>
      </w:r>
      <w:r>
        <w:rPr>
          <w:spacing w:val="-3"/>
        </w:rPr>
        <w:t>个月。</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20</w:t>
      </w:r>
      <w:r>
        <w:rPr>
          <w:spacing w:val="-3"/>
        </w:rPr>
        <w:t>日，公司召开</w:t>
      </w:r>
      <w:r>
        <w:rPr>
          <w:rFonts w:ascii="Times New Roman" w:hAnsi="Times New Roman" w:cs="Times New Roman" w:eastAsia="Times New Roman" w:hint="default"/>
          <w:spacing w:val="-3"/>
        </w:rPr>
        <w:t>2017</w:t>
      </w:r>
      <w:r>
        <w:rPr>
          <w:spacing w:val="-3"/>
        </w:rPr>
        <w:t>年第三次临</w:t>
      </w:r>
      <w:r>
        <w:rPr>
          <w:spacing w:val="-35"/>
        </w:rPr>
        <w:t> </w:t>
      </w:r>
      <w:r>
        <w:rPr>
          <w:spacing w:val="-35"/>
        </w:rPr>
      </w:r>
      <w:r>
        <w:rPr>
          <w:spacing w:val="-4"/>
        </w:rPr>
        <w:t>时股东大会审议通过了上述事项。</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3</w:t>
      </w:r>
      <w:r>
        <w:rPr>
          <w:spacing w:val="-4"/>
        </w:rPr>
        <w:t>日，公司披露《关于回购公司部分社会公众股份的报告书》。</w:t>
      </w:r>
      <w:r>
        <w:rPr>
          <w:spacing w:val="-41"/>
        </w:rPr>
        <w:t> </w:t>
      </w:r>
      <w:r>
        <w:rPr>
          <w:spacing w:val="-41"/>
        </w:rPr>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17</w:t>
      </w:r>
      <w:r>
        <w:rPr>
          <w:spacing w:val="-2"/>
        </w:rPr>
        <w:t>日，公司首次实施了回购方案。</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w:t>
      </w:r>
      <w:r>
        <w:rPr>
          <w:spacing w:val="-2"/>
        </w:rPr>
        <w:t>日，公司累计回购股份</w:t>
      </w:r>
      <w:r>
        <w:rPr>
          <w:rFonts w:ascii="Times New Roman" w:hAnsi="Times New Roman" w:cs="Times New Roman" w:eastAsia="Times New Roman" w:hint="default"/>
          <w:spacing w:val="-2"/>
        </w:rPr>
        <w:t>11,720,125</w:t>
      </w:r>
      <w:r>
        <w:rPr>
          <w:spacing w:val="-2"/>
        </w:rPr>
        <w:t>股，占回购股份</w:t>
      </w:r>
      <w:r>
        <w:rPr>
          <w:spacing w:val="-24"/>
        </w:rPr>
        <w:t> </w:t>
      </w:r>
      <w:r>
        <w:rPr>
          <w:spacing w:val="-24"/>
        </w:rPr>
      </w:r>
      <w:r>
        <w:rPr/>
        <w:t>方案实施前公司总股本的</w:t>
      </w:r>
      <w:r>
        <w:rPr>
          <w:rFonts w:ascii="Times New Roman" w:hAnsi="Times New Roman" w:cs="Times New Roman" w:eastAsia="Times New Roman" w:hint="default"/>
        </w:rPr>
        <w:t>1.00%</w:t>
      </w:r>
      <w:r>
        <w:rPr/>
        <w:t>。</w:t>
      </w:r>
    </w:p>
    <w:p>
      <w:pPr>
        <w:pStyle w:val="BodyText"/>
        <w:spacing w:line="336" w:lineRule="auto" w:before="24"/>
        <w:ind w:left="153" w:right="1131" w:firstLine="419"/>
        <w:jc w:val="both"/>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spacing w:val="-2"/>
        </w:rPr>
        <w:t>日，公司股份回购事项已届满，</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17</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spacing w:val="-2"/>
        </w:rPr>
        <w:t>日回购期间，公司股份回</w:t>
      </w:r>
      <w:r>
        <w:rPr>
          <w:spacing w:val="-3"/>
          <w:w w:val="100"/>
        </w:rPr>
        <w:t> </w:t>
      </w:r>
      <w:r>
        <w:rPr>
          <w:spacing w:val="-3"/>
        </w:rPr>
        <w:t>购专用账户累计回购股份</w:t>
      </w:r>
      <w:r>
        <w:rPr>
          <w:rFonts w:ascii="Times New Roman" w:hAnsi="Times New Roman" w:cs="Times New Roman" w:eastAsia="Times New Roman" w:hint="default"/>
          <w:spacing w:val="-3"/>
        </w:rPr>
        <w:t>12,400,125</w:t>
      </w:r>
      <w:r>
        <w:rPr>
          <w:spacing w:val="-3"/>
        </w:rPr>
        <w:t>股，占公司总股本的</w:t>
      </w:r>
      <w:r>
        <w:rPr>
          <w:rFonts w:ascii="Times New Roman" w:hAnsi="Times New Roman" w:cs="Times New Roman" w:eastAsia="Times New Roman" w:hint="default"/>
          <w:spacing w:val="-3"/>
        </w:rPr>
        <w:t>1.06%</w:t>
      </w:r>
      <w:r>
        <w:rPr>
          <w:spacing w:val="-3"/>
        </w:rPr>
        <w:t>，最高成交价为</w:t>
      </w:r>
      <w:r>
        <w:rPr>
          <w:rFonts w:ascii="Times New Roman" w:hAnsi="Times New Roman" w:cs="Times New Roman" w:eastAsia="Times New Roman" w:hint="default"/>
          <w:spacing w:val="-3"/>
        </w:rPr>
        <w:t>19.596</w:t>
      </w:r>
      <w:r>
        <w:rPr>
          <w:spacing w:val="-3"/>
        </w:rPr>
        <w:t>元</w:t>
      </w:r>
      <w:r>
        <w:rPr>
          <w:rFonts w:ascii="Times New Roman" w:hAnsi="Times New Roman" w:cs="Times New Roman" w:eastAsia="Times New Roman" w:hint="default"/>
          <w:spacing w:val="-3"/>
        </w:rPr>
        <w:t>/</w:t>
      </w:r>
      <w:r>
        <w:rPr>
          <w:spacing w:val="-3"/>
        </w:rPr>
        <w:t>股，最低成交价为</w:t>
      </w:r>
      <w:r>
        <w:rPr>
          <w:spacing w:val="4"/>
        </w:rPr>
        <w:t> </w:t>
      </w:r>
      <w:r>
        <w:rPr>
          <w:spacing w:val="4"/>
        </w:rPr>
      </w:r>
      <w:r>
        <w:rPr>
          <w:rFonts w:ascii="Times New Roman" w:hAnsi="Times New Roman" w:cs="Times New Roman" w:eastAsia="Times New Roman" w:hint="default"/>
          <w:spacing w:val="-3"/>
        </w:rPr>
        <w:t>14.32</w:t>
      </w:r>
      <w:r>
        <w:rPr>
          <w:spacing w:val="-3"/>
        </w:rPr>
        <w:t>元</w:t>
      </w:r>
      <w:r>
        <w:rPr>
          <w:rFonts w:ascii="Times New Roman" w:hAnsi="Times New Roman" w:cs="Times New Roman" w:eastAsia="Times New Roman" w:hint="default"/>
          <w:spacing w:val="-3"/>
        </w:rPr>
        <w:t>/</w:t>
      </w:r>
      <w:r>
        <w:rPr>
          <w:spacing w:val="-3"/>
        </w:rPr>
        <w:t>股，支付总金额</w:t>
      </w:r>
      <w:r>
        <w:rPr>
          <w:rFonts w:ascii="Times New Roman" w:hAnsi="Times New Roman" w:cs="Times New Roman" w:eastAsia="Times New Roman" w:hint="default"/>
          <w:spacing w:val="-3"/>
        </w:rPr>
        <w:t>207,652,493.25</w:t>
      </w:r>
      <w:r>
        <w:rPr>
          <w:spacing w:val="-3"/>
        </w:rPr>
        <w:t>元。上述</w:t>
      </w:r>
      <w:r>
        <w:rPr>
          <w:rFonts w:ascii="Times New Roman" w:hAnsi="Times New Roman" w:cs="Times New Roman" w:eastAsia="Times New Roman" w:hint="default"/>
          <w:spacing w:val="-3"/>
        </w:rPr>
        <w:t>12,400,125</w:t>
      </w:r>
      <w:r>
        <w:rPr>
          <w:spacing w:val="-3"/>
        </w:rPr>
        <w:t>股份已在中国证券登记结算有限责任公司深圳分</w:t>
      </w:r>
      <w:r>
        <w:rPr>
          <w:spacing w:val="-11"/>
        </w:rPr>
        <w:t> </w:t>
      </w:r>
      <w:r>
        <w:rPr>
          <w:spacing w:val="-11"/>
        </w:rPr>
      </w:r>
      <w:r>
        <w:rPr/>
        <w:t>公司完成注销手续。</w:t>
      </w:r>
    </w:p>
    <w:p>
      <w:pPr>
        <w:pStyle w:val="BodyText"/>
        <w:spacing w:line="240" w:lineRule="auto" w:before="49"/>
        <w:ind w:left="573" w:right="1127"/>
        <w:jc w:val="left"/>
      </w:pPr>
      <w:r>
        <w:rPr/>
        <w:t>上述内容详见公司在巨潮资讯网披露的相关公告。</w:t>
      </w:r>
    </w:p>
    <w:p>
      <w:pPr>
        <w:spacing w:line="240" w:lineRule="auto" w:before="0"/>
        <w:rPr>
          <w:rFonts w:ascii="宋体" w:hAnsi="宋体" w:cs="宋体" w:eastAsia="宋体" w:hint="default"/>
          <w:sz w:val="19"/>
          <w:szCs w:val="19"/>
        </w:rPr>
      </w:pPr>
    </w:p>
    <w:p>
      <w:pPr>
        <w:pStyle w:val="Heading3"/>
        <w:spacing w:line="240" w:lineRule="auto"/>
        <w:ind w:right="1127"/>
        <w:jc w:val="left"/>
      </w:pPr>
      <w:bookmarkStart w:name="（三）董事、总经理辞职暨聘任总经理情况" w:id="166"/>
      <w:bookmarkEnd w:id="166"/>
      <w:r>
        <w:rPr/>
      </w:r>
      <w:r>
        <w:rPr/>
        <w:t>（三）董事、总经理辞职暨聘任总经理情况</w:t>
      </w:r>
    </w:p>
    <w:p>
      <w:pPr>
        <w:spacing w:line="240" w:lineRule="auto" w:before="10"/>
        <w:rPr>
          <w:rFonts w:ascii="黑体" w:hAnsi="黑体" w:cs="黑体" w:eastAsia="黑体" w:hint="default"/>
          <w:sz w:val="26"/>
          <w:szCs w:val="26"/>
        </w:rPr>
      </w:pPr>
    </w:p>
    <w:p>
      <w:pPr>
        <w:pStyle w:val="BodyText"/>
        <w:spacing w:line="345" w:lineRule="auto"/>
        <w:ind w:left="152" w:right="1128" w:firstLine="419"/>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7</w:t>
      </w:r>
      <w:r>
        <w:rPr>
          <w:spacing w:val="-2"/>
        </w:rPr>
        <w:t>日，公司召开第四届董事会第十七次会议，审议通过了《关于董事、总经理辞职暨聘任总</w:t>
      </w:r>
      <w:r>
        <w:rPr>
          <w:spacing w:val="-3"/>
          <w:w w:val="100"/>
        </w:rPr>
        <w:t> </w:t>
      </w:r>
      <w:r>
        <w:rPr>
          <w:spacing w:val="-2"/>
        </w:rPr>
        <w:t>经理的议案》，刘明先生因个人身体原因申请辞去公司董事、总经理职务，公司董事会同意聘任原副总经</w:t>
      </w:r>
      <w:r>
        <w:rPr>
          <w:spacing w:val="-44"/>
        </w:rPr>
        <w:t> </w:t>
      </w:r>
      <w:r>
        <w:rPr>
          <w:spacing w:val="-44"/>
        </w:rPr>
      </w:r>
      <w:r>
        <w:rPr/>
        <w:t>理谢军伟先生担任公司总经理，任期自董事会决议之日起至第四届董事会任期届满之日止。</w:t>
      </w:r>
    </w:p>
    <w:p>
      <w:pPr>
        <w:pStyle w:val="BodyText"/>
        <w:spacing w:line="240" w:lineRule="auto" w:before="43"/>
        <w:ind w:right="1127"/>
        <w:jc w:val="left"/>
      </w:pPr>
      <w:r>
        <w:rPr/>
        <w:t>上述内容详见公司在巨潮资讯网披露的相关公告。</w:t>
      </w:r>
    </w:p>
    <w:p>
      <w:pPr>
        <w:spacing w:line="240" w:lineRule="auto" w:before="11"/>
        <w:rPr>
          <w:rFonts w:ascii="宋体" w:hAnsi="宋体" w:cs="宋体" w:eastAsia="宋体" w:hint="default"/>
          <w:sz w:val="18"/>
          <w:szCs w:val="18"/>
        </w:rPr>
      </w:pPr>
    </w:p>
    <w:p>
      <w:pPr>
        <w:pStyle w:val="Heading3"/>
        <w:spacing w:line="240" w:lineRule="auto"/>
        <w:ind w:right="1127"/>
        <w:jc w:val="left"/>
      </w:pPr>
      <w:bookmarkStart w:name="（四）对外担保情况" w:id="167"/>
      <w:bookmarkEnd w:id="167"/>
      <w:r>
        <w:rPr/>
      </w:r>
      <w:r>
        <w:rPr/>
        <w:t>（四）对外担保情况</w:t>
      </w:r>
    </w:p>
    <w:p>
      <w:pPr>
        <w:spacing w:line="240" w:lineRule="auto" w:before="10"/>
        <w:rPr>
          <w:rFonts w:ascii="黑体" w:hAnsi="黑体" w:cs="黑体" w:eastAsia="黑体" w:hint="default"/>
          <w:sz w:val="26"/>
          <w:szCs w:val="26"/>
        </w:rPr>
      </w:pPr>
    </w:p>
    <w:p>
      <w:pPr>
        <w:pStyle w:val="BodyText"/>
        <w:spacing w:line="336" w:lineRule="auto"/>
        <w:ind w:left="152" w:right="1026" w:firstLine="419"/>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日，公司第四届董事会第十八次会议审议通过了《关于为全资子公司申请银行综合授信提</w:t>
      </w:r>
      <w:r>
        <w:rPr>
          <w:w w:val="100"/>
        </w:rPr>
        <w:t> </w:t>
      </w:r>
      <w:r>
        <w:rPr/>
        <w:t>供担保的议案》，同意公司为全资子公司泰豪智能向宁波银行股份有限公司北京分行申请人民币</w:t>
      </w:r>
      <w:r>
        <w:rPr>
          <w:rFonts w:ascii="Times New Roman" w:hAnsi="Times New Roman" w:cs="Times New Roman" w:eastAsia="Times New Roman" w:hint="default"/>
        </w:rPr>
        <w:t>10,000</w:t>
      </w:r>
      <w:r>
        <w:rPr/>
        <w:t>万</w:t>
      </w:r>
      <w:r>
        <w:rPr>
          <w:w w:val="100"/>
        </w:rPr>
        <w:t> </w:t>
      </w:r>
      <w:r>
        <w:rPr>
          <w:spacing w:val="-2"/>
        </w:rPr>
        <w:t>元的</w:t>
      </w:r>
      <w:r>
        <w:rPr>
          <w:rFonts w:ascii="Times New Roman" w:hAnsi="Times New Roman" w:cs="Times New Roman" w:eastAsia="Times New Roman" w:hint="default"/>
          <w:spacing w:val="-2"/>
        </w:rPr>
        <w:t>1</w:t>
      </w:r>
      <w:r>
        <w:rPr>
          <w:spacing w:val="-2"/>
        </w:rPr>
        <w:t>年期综合授信业务提供连带责任保证担保，担保期限为主合同项下的债务履行期限届满之日起两年。</w:t>
      </w:r>
    </w:p>
    <w:p>
      <w:pPr>
        <w:pStyle w:val="BodyText"/>
        <w:spacing w:line="343" w:lineRule="auto" w:before="26"/>
        <w:ind w:left="153" w:right="1127" w:firstLine="419"/>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日，公司第四届董事会第三十次会议审议通过了《关于为全资子公司申请银行综合授信</w:t>
      </w:r>
      <w:r>
        <w:rPr>
          <w:w w:val="100"/>
        </w:rPr>
        <w:t> </w:t>
      </w:r>
      <w:r>
        <w:rPr>
          <w:spacing w:val="-3"/>
        </w:rPr>
        <w:t>提供担保的议案》，同意公司为全资子公司泰豪智能向北京银行翠微路支行申请人民币</w:t>
      </w:r>
      <w:r>
        <w:rPr>
          <w:rFonts w:ascii="Times New Roman" w:hAnsi="Times New Roman" w:cs="Times New Roman" w:eastAsia="Times New Roman" w:hint="default"/>
          <w:spacing w:val="-3"/>
        </w:rPr>
        <w:t>50,000</w:t>
      </w:r>
      <w:r>
        <w:rPr>
          <w:spacing w:val="-3"/>
        </w:rPr>
        <w:t>万元的</w:t>
      </w:r>
      <w:r>
        <w:rPr>
          <w:rFonts w:ascii="Times New Roman" w:hAnsi="Times New Roman" w:cs="Times New Roman" w:eastAsia="Times New Roman" w:hint="default"/>
          <w:spacing w:val="-3"/>
        </w:rPr>
        <w:t>2</w:t>
      </w:r>
      <w:r>
        <w:rPr>
          <w:spacing w:val="-3"/>
        </w:rPr>
        <w:t>年期</w:t>
      </w:r>
      <w:r>
        <w:rPr>
          <w:spacing w:val="-43"/>
        </w:rPr>
        <w:t> </w:t>
      </w:r>
      <w:r>
        <w:rPr>
          <w:spacing w:val="-2"/>
        </w:rPr>
        <w:t>综合授信业务提供连带责任保证担保，担保期限为主合同项下的债务履行期限届满之日起两年。本议案已</w:t>
      </w:r>
      <w:r>
        <w:rPr>
          <w:spacing w:val="-42"/>
        </w:rPr>
        <w:t> </w:t>
      </w:r>
      <w:r>
        <w:rPr>
          <w:spacing w:val="-42"/>
        </w:rPr>
      </w:r>
      <w:r>
        <w:rPr/>
        <w:t>经</w:t>
      </w:r>
      <w:r>
        <w:rPr>
          <w:rFonts w:ascii="Times New Roman" w:hAnsi="Times New Roman" w:cs="Times New Roman" w:eastAsia="Times New Roman" w:hint="default"/>
        </w:rPr>
        <w:t>2019</w:t>
      </w:r>
      <w:r>
        <w:rPr/>
        <w:t>年第五次临时股东大会审议通过。</w:t>
      </w:r>
    </w:p>
    <w:p>
      <w:pPr>
        <w:pStyle w:val="BodyText"/>
        <w:spacing w:line="338" w:lineRule="auto" w:before="17"/>
        <w:ind w:left="153" w:right="1127" w:firstLine="419"/>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日，公司第四届董事会第三十一次会议审议通过了《关于为全资子公司申请银行综合授</w:t>
      </w:r>
      <w:r>
        <w:rPr>
          <w:w w:val="100"/>
        </w:rPr>
        <w:t> </w:t>
      </w:r>
      <w:r>
        <w:rPr>
          <w:spacing w:val="-3"/>
        </w:rPr>
        <w:t>信提供担保的议案》，同意公司为全资子公司上海旋极向北京银行中关村海淀园支行申请人民币</w:t>
      </w:r>
      <w:r>
        <w:rPr>
          <w:rFonts w:ascii="Times New Roman" w:hAnsi="Times New Roman" w:cs="Times New Roman" w:eastAsia="Times New Roman" w:hint="default"/>
          <w:spacing w:val="-3"/>
        </w:rPr>
        <w:t>5,000</w:t>
      </w:r>
      <w:r>
        <w:rPr>
          <w:spacing w:val="-3"/>
        </w:rPr>
        <w:t>万元</w:t>
      </w:r>
      <w:r>
        <w:rPr>
          <w:spacing w:val="-47"/>
        </w:rPr>
        <w:t> </w:t>
      </w:r>
      <w:r>
        <w:rPr/>
        <w:t>的</w:t>
      </w:r>
      <w:r>
        <w:rPr>
          <w:rFonts w:ascii="Times New Roman" w:hAnsi="Times New Roman" w:cs="Times New Roman" w:eastAsia="Times New Roman" w:hint="default"/>
        </w:rPr>
        <w:t>2</w:t>
      </w:r>
      <w:r>
        <w:rPr/>
        <w:t>年期综合授信业务提供连带责任保证担保，担保期限为主合同项下的债务履行期限届满之日起两年。</w:t>
      </w:r>
      <w:r>
        <w:rPr>
          <w:w w:val="100"/>
        </w:rPr>
        <w:t> </w:t>
      </w:r>
      <w:r>
        <w:rPr/>
        <w:t>本议案已经</w:t>
      </w:r>
      <w:r>
        <w:rPr>
          <w:rFonts w:ascii="Times New Roman" w:hAnsi="Times New Roman" w:cs="Times New Roman" w:eastAsia="Times New Roman" w:hint="default"/>
        </w:rPr>
        <w:t>2020</w:t>
      </w:r>
      <w:r>
        <w:rPr/>
        <w:t>年第一次临时股东大会审议通过。</w:t>
      </w:r>
    </w:p>
    <w:p>
      <w:pPr>
        <w:pStyle w:val="Heading3"/>
        <w:spacing w:line="240" w:lineRule="auto" w:before="135"/>
        <w:ind w:right="1127"/>
        <w:jc w:val="left"/>
      </w:pPr>
      <w:bookmarkStart w:name="（五）公司股本变更情况" w:id="168"/>
      <w:bookmarkEnd w:id="168"/>
      <w:r>
        <w:rPr/>
      </w:r>
      <w:r>
        <w:rPr/>
        <w:t>（五）公司股本变更情况</w:t>
      </w:r>
    </w:p>
    <w:p>
      <w:pPr>
        <w:spacing w:line="240" w:lineRule="auto" w:before="12"/>
        <w:rPr>
          <w:rFonts w:ascii="黑体" w:hAnsi="黑体" w:cs="黑体" w:eastAsia="黑体" w:hint="default"/>
          <w:sz w:val="26"/>
          <w:szCs w:val="26"/>
        </w:rPr>
      </w:pPr>
    </w:p>
    <w:p>
      <w:pPr>
        <w:pStyle w:val="BodyText"/>
        <w:spacing w:line="240" w:lineRule="auto"/>
        <w:ind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日，公司股份回购事项已届满，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日回购期间，公司股份回购专</w:t>
      </w:r>
    </w:p>
    <w:p>
      <w:pPr>
        <w:spacing w:after="0" w:line="240" w:lineRule="auto"/>
        <w:jc w:val="left"/>
        <w:sectPr>
          <w:footerReference w:type="default" r:id="rId46"/>
          <w:pgSz w:w="11910" w:h="16840"/>
          <w:pgMar w:footer="1134" w:header="0" w:top="1280" w:bottom="1320" w:left="980" w:right="0"/>
          <w:pgNumType w:start="81"/>
        </w:sectPr>
      </w:pPr>
    </w:p>
    <w:p>
      <w:pPr>
        <w:pStyle w:val="BodyText"/>
        <w:spacing w:line="336" w:lineRule="auto" w:before="112"/>
        <w:ind w:left="153" w:right="0" w:hanging="1"/>
        <w:jc w:val="left"/>
      </w:pPr>
      <w:r>
        <w:rPr/>
        <w:t>用账户累计回购股份</w:t>
      </w:r>
      <w:r>
        <w:rPr>
          <w:rFonts w:ascii="Times New Roman" w:hAnsi="Times New Roman" w:cs="Times New Roman" w:eastAsia="Times New Roman" w:hint="default"/>
        </w:rPr>
        <w:t>12,400,125</w:t>
      </w:r>
      <w:r>
        <w:rPr/>
        <w:t>股，公司已在中国证券登记结算有限责任公司深圳分公司完成注销手续，</w:t>
      </w:r>
      <w:r>
        <w:rPr>
          <w:w w:val="100"/>
        </w:rPr>
        <w:t> </w:t>
      </w:r>
      <w:r>
        <w:rPr>
          <w:spacing w:val="-3"/>
        </w:rPr>
        <w:t>公司注册资本减少至</w:t>
      </w:r>
      <w:r>
        <w:rPr>
          <w:rFonts w:ascii="Times New Roman" w:hAnsi="Times New Roman" w:cs="Times New Roman" w:eastAsia="Times New Roman" w:hint="default"/>
          <w:spacing w:val="-3"/>
        </w:rPr>
        <w:t>1,736,261,988.00</w:t>
      </w:r>
      <w:r>
        <w:rPr>
          <w:spacing w:val="-3"/>
        </w:rPr>
        <w:t>元，股本减少至人民币</w:t>
      </w:r>
      <w:r>
        <w:rPr>
          <w:rFonts w:ascii="Times New Roman" w:hAnsi="Times New Roman" w:cs="Times New Roman" w:eastAsia="Times New Roman" w:hint="default"/>
          <w:spacing w:val="-3"/>
        </w:rPr>
        <w:t>1,736,261,988.00</w:t>
      </w:r>
      <w:r>
        <w:rPr>
          <w:spacing w:val="-3"/>
        </w:rPr>
        <w:t>元。目前已完成工商变更手续。</w:t>
      </w:r>
    </w:p>
    <w:p>
      <w:pPr>
        <w:pStyle w:val="BodyText"/>
        <w:spacing w:line="240" w:lineRule="auto" w:before="24"/>
        <w:ind w:left="573"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日，公司召开第四届董事会第十七次会议和第四届监事会第八次会议，同意公司终止实施</w:t>
      </w:r>
    </w:p>
    <w:p>
      <w:pPr>
        <w:pStyle w:val="BodyText"/>
        <w:spacing w:line="336" w:lineRule="auto" w:before="119"/>
        <w:ind w:left="153" w:right="1127" w:hanging="1"/>
        <w:jc w:val="left"/>
      </w:pPr>
      <w:r>
        <w:rPr>
          <w:rFonts w:ascii="Times New Roman" w:hAnsi="Times New Roman" w:cs="Times New Roman" w:eastAsia="Times New Roman" w:hint="default"/>
        </w:rPr>
        <w:t>2017</w:t>
      </w:r>
      <w:r>
        <w:rPr/>
        <w:t>年限制性股票激励计划，同时回购注销原</w:t>
      </w:r>
      <w:r>
        <w:rPr>
          <w:rFonts w:ascii="Times New Roman" w:hAnsi="Times New Roman" w:cs="Times New Roman" w:eastAsia="Times New Roman" w:hint="default"/>
        </w:rPr>
        <w:t>343</w:t>
      </w:r>
      <w:r>
        <w:rPr/>
        <w:t>名激励对象已获授但尚未解除限售的全部限制性股票。</w:t>
      </w:r>
      <w:r>
        <w:rPr>
          <w:w w:val="100"/>
        </w:rPr>
        <w:t> </w:t>
      </w:r>
      <w:r>
        <w:rPr>
          <w:spacing w:val="-4"/>
        </w:rPr>
        <w:t>根据立信会计师事务所（特殊普通合伙）出具的信会师报字</w:t>
      </w:r>
      <w:r>
        <w:rPr>
          <w:rFonts w:ascii="Times New Roman" w:hAnsi="Times New Roman" w:cs="Times New Roman" w:eastAsia="Times New Roman" w:hint="default"/>
          <w:spacing w:val="-4"/>
        </w:rPr>
        <w:t>(2019)</w:t>
      </w:r>
      <w:r>
        <w:rPr>
          <w:spacing w:val="-4"/>
        </w:rPr>
        <w:t>第</w:t>
      </w:r>
      <w:r>
        <w:rPr>
          <w:rFonts w:ascii="Times New Roman" w:hAnsi="Times New Roman" w:cs="Times New Roman" w:eastAsia="Times New Roman" w:hint="default"/>
          <w:spacing w:val="-4"/>
        </w:rPr>
        <w:t>ZB10326</w:t>
      </w:r>
      <w:r>
        <w:rPr>
          <w:spacing w:val="-4"/>
        </w:rPr>
        <w:t>号验资报告，对公司截至</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日止减少注册资本及实收资本（股本）情况进行了审验，变更后的注册资本为人民币</w:t>
      </w:r>
      <w:r>
        <w:rPr>
          <w:w w:val="100"/>
        </w:rPr>
        <w:t> </w:t>
      </w:r>
      <w:r>
        <w:rPr>
          <w:rFonts w:ascii="Times New Roman" w:hAnsi="Times New Roman" w:cs="Times New Roman" w:eastAsia="Times New Roman" w:hint="default"/>
        </w:rPr>
        <w:t>1,710,802,595.00</w:t>
      </w:r>
      <w:r>
        <w:rPr/>
        <w:t>元，股本为人民币</w:t>
      </w:r>
      <w:r>
        <w:rPr>
          <w:rFonts w:ascii="Times New Roman" w:hAnsi="Times New Roman" w:cs="Times New Roman" w:eastAsia="Times New Roman" w:hint="default"/>
        </w:rPr>
        <w:t>1,710,802,595.00</w:t>
      </w:r>
      <w:r>
        <w:rPr/>
        <w:t>元。目前已完成工商变更手续。</w:t>
      </w:r>
    </w:p>
    <w:p>
      <w:pPr>
        <w:pStyle w:val="BodyText"/>
        <w:spacing w:line="336" w:lineRule="auto" w:before="26"/>
        <w:ind w:left="153" w:right="1127" w:firstLine="419"/>
        <w:jc w:val="left"/>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8</w:t>
      </w:r>
      <w:r>
        <w:rPr>
          <w:spacing w:val="-4"/>
        </w:rPr>
        <w:t>日，公司</w:t>
      </w:r>
      <w:r>
        <w:rPr>
          <w:rFonts w:ascii="Times New Roman" w:hAnsi="Times New Roman" w:cs="Times New Roman" w:eastAsia="Times New Roman" w:hint="default"/>
          <w:spacing w:val="-4"/>
        </w:rPr>
        <w:t>2019</w:t>
      </w:r>
      <w:r>
        <w:rPr>
          <w:spacing w:val="-4"/>
        </w:rPr>
        <w:t>年限制性股票与股票期权激励计划已授予完成。根据立信会计师事务所（特</w:t>
      </w:r>
      <w:r>
        <w:rPr>
          <w:w w:val="100"/>
        </w:rPr>
        <w:t> </w:t>
      </w:r>
      <w:r>
        <w:rPr>
          <w:spacing w:val="-2"/>
        </w:rPr>
        <w:t>殊普通合伙）出具的信会师报字</w:t>
      </w:r>
      <w:r>
        <w:rPr>
          <w:rFonts w:ascii="Times New Roman" w:hAnsi="Times New Roman" w:cs="Times New Roman" w:eastAsia="Times New Roman" w:hint="default"/>
          <w:spacing w:val="-2"/>
        </w:rPr>
        <w:t>[2019]</w:t>
      </w:r>
      <w:r>
        <w:rPr>
          <w:spacing w:val="-2"/>
        </w:rPr>
        <w:t>第</w:t>
      </w:r>
      <w:r>
        <w:rPr>
          <w:rFonts w:ascii="Times New Roman" w:hAnsi="Times New Roman" w:cs="Times New Roman" w:eastAsia="Times New Roman" w:hint="default"/>
          <w:spacing w:val="-2"/>
        </w:rPr>
        <w:t>ZB10326</w:t>
      </w:r>
      <w:r>
        <w:rPr>
          <w:spacing w:val="-2"/>
        </w:rPr>
        <w:t>号验资报告，对公司截至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日止新增注册资本</w:t>
      </w:r>
      <w:r>
        <w:rPr>
          <w:spacing w:val="-23"/>
        </w:rPr>
        <w:t> </w:t>
      </w:r>
      <w:r>
        <w:rPr>
          <w:spacing w:val="-23"/>
        </w:rPr>
      </w:r>
      <w:r>
        <w:rPr/>
        <w:t>及实收资本（股本）情况进行了审验，变更后的注册资本为人民币</w:t>
      </w:r>
      <w:r>
        <w:rPr>
          <w:rFonts w:ascii="Times New Roman" w:hAnsi="Times New Roman" w:cs="Times New Roman" w:eastAsia="Times New Roman" w:hint="default"/>
        </w:rPr>
        <w:t>1,747,134,595.00</w:t>
      </w:r>
      <w:r>
        <w:rPr/>
        <w:t>元，股本为人民币</w:t>
      </w:r>
      <w:r>
        <w:rPr>
          <w:w w:val="100"/>
        </w:rPr>
        <w:t> </w:t>
      </w:r>
      <w:r>
        <w:rPr>
          <w:rFonts w:ascii="Times New Roman" w:hAnsi="Times New Roman" w:cs="Times New Roman" w:eastAsia="Times New Roman" w:hint="default"/>
        </w:rPr>
        <w:t>1,747,134,595.00</w:t>
      </w:r>
      <w:r>
        <w:rPr/>
        <w:t>元。目前已完成工商变更手续。</w:t>
      </w:r>
    </w:p>
    <w:p>
      <w:pPr>
        <w:pStyle w:val="BodyText"/>
        <w:spacing w:line="338" w:lineRule="auto" w:before="24"/>
        <w:ind w:left="153" w:right="1106" w:firstLine="419"/>
        <w:jc w:val="both"/>
      </w:pP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6</w:t>
      </w:r>
      <w:r>
        <w:rPr>
          <w:spacing w:val="-2"/>
        </w:rPr>
        <w:t>日，公司</w:t>
      </w:r>
      <w:r>
        <w:rPr>
          <w:rFonts w:ascii="Times New Roman" w:hAnsi="Times New Roman" w:cs="Times New Roman" w:eastAsia="Times New Roman" w:hint="default"/>
          <w:spacing w:val="-2"/>
        </w:rPr>
        <w:t>2019</w:t>
      </w:r>
      <w:r>
        <w:rPr>
          <w:spacing w:val="-2"/>
        </w:rPr>
        <w:t>年限制性股票与股票期权激励计划之部分暂缓授予限制性股票已授予完成。</w:t>
      </w:r>
      <w:r>
        <w:rPr>
          <w:w w:val="100"/>
        </w:rPr>
        <w:t> </w:t>
      </w:r>
      <w:r>
        <w:rPr>
          <w:spacing w:val="-2"/>
        </w:rPr>
        <w:t>根据立信会计师事务所（特殊普通合伙）信会师报字</w:t>
      </w:r>
      <w:r>
        <w:rPr>
          <w:rFonts w:ascii="Times New Roman" w:hAnsi="Times New Roman" w:cs="Times New Roman" w:eastAsia="Times New Roman" w:hint="default"/>
          <w:spacing w:val="-2"/>
        </w:rPr>
        <w:t>[2019]</w:t>
      </w:r>
      <w:r>
        <w:rPr>
          <w:spacing w:val="-2"/>
        </w:rPr>
        <w:t>第</w:t>
      </w:r>
      <w:r>
        <w:rPr>
          <w:rFonts w:ascii="Times New Roman" w:hAnsi="Times New Roman" w:cs="Times New Roman" w:eastAsia="Times New Roman" w:hint="default"/>
          <w:spacing w:val="-2"/>
        </w:rPr>
        <w:t>ZG11874</w:t>
      </w:r>
      <w:r>
        <w:rPr>
          <w:spacing w:val="-2"/>
        </w:rPr>
        <w:t>号验资报告</w:t>
      </w:r>
      <w:r>
        <w:rPr>
          <w:rFonts w:ascii="Times New Roman" w:hAnsi="Times New Roman" w:cs="Times New Roman" w:eastAsia="Times New Roman" w:hint="default"/>
          <w:spacing w:val="-2"/>
        </w:rPr>
        <w:t>,</w:t>
      </w:r>
      <w:r>
        <w:rPr>
          <w:spacing w:val="-2"/>
        </w:rPr>
        <w:t>对公司截至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spacing w:val="-6"/>
        </w:rPr>
        <w:t> </w:t>
      </w:r>
      <w:r>
        <w:rPr>
          <w:rFonts w:ascii="Times New Roman" w:hAnsi="Times New Roman" w:cs="Times New Roman" w:eastAsia="Times New Roman" w:hint="default"/>
          <w:spacing w:val="-2"/>
        </w:rPr>
        <w:t>24</w:t>
      </w:r>
      <w:r>
        <w:rPr>
          <w:spacing w:val="-2"/>
        </w:rPr>
        <w:t>日止新增注册资本及实收资本</w:t>
      </w:r>
      <w:r>
        <w:rPr>
          <w:rFonts w:ascii="Times New Roman" w:hAnsi="Times New Roman" w:cs="Times New Roman" w:eastAsia="Times New Roman" w:hint="default"/>
          <w:spacing w:val="-2"/>
        </w:rPr>
        <w:t>(</w:t>
      </w:r>
      <w:r>
        <w:rPr>
          <w:spacing w:val="-2"/>
        </w:rPr>
        <w:t>股本</w:t>
      </w:r>
      <w:r>
        <w:rPr>
          <w:rFonts w:ascii="Times New Roman" w:hAnsi="Times New Roman" w:cs="Times New Roman" w:eastAsia="Times New Roman" w:hint="default"/>
          <w:spacing w:val="-2"/>
        </w:rPr>
        <w:t>)</w:t>
      </w:r>
      <w:r>
        <w:rPr>
          <w:spacing w:val="-2"/>
        </w:rPr>
        <w:t>情况进行了审验，变更后的注册资本为人民币</w:t>
      </w:r>
      <w:r>
        <w:rPr>
          <w:rFonts w:ascii="Times New Roman" w:hAnsi="Times New Roman" w:cs="Times New Roman" w:eastAsia="Times New Roman" w:hint="default"/>
          <w:spacing w:val="-2"/>
        </w:rPr>
        <w:t>1,749,134,595.00</w:t>
      </w:r>
      <w:r>
        <w:rPr>
          <w:spacing w:val="-2"/>
        </w:rPr>
        <w:t>元、</w:t>
      </w:r>
      <w:r>
        <w:rPr>
          <w:spacing w:val="-1"/>
        </w:rPr>
        <w:t> </w:t>
      </w:r>
      <w:r>
        <w:rPr/>
        <w:t>股本为人民币</w:t>
      </w:r>
      <w:r>
        <w:rPr>
          <w:rFonts w:ascii="Times New Roman" w:hAnsi="Times New Roman" w:cs="Times New Roman" w:eastAsia="Times New Roman" w:hint="default"/>
        </w:rPr>
        <w:t>1,749,134,595.00</w:t>
      </w:r>
      <w:r>
        <w:rPr/>
        <w:t>元。目前已完成工商变更手续。</w:t>
      </w:r>
    </w:p>
    <w:p>
      <w:pPr>
        <w:pStyle w:val="BodyText"/>
        <w:spacing w:line="338" w:lineRule="auto" w:before="22"/>
        <w:ind w:left="153" w:right="0" w:firstLine="419"/>
        <w:jc w:val="left"/>
      </w:pP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13</w:t>
      </w:r>
      <w:r>
        <w:rPr>
          <w:spacing w:val="-2"/>
        </w:rPr>
        <w:t>日，公司</w:t>
      </w:r>
      <w:r>
        <w:rPr>
          <w:rFonts w:ascii="Times New Roman" w:hAnsi="Times New Roman" w:cs="Times New Roman" w:eastAsia="Times New Roman" w:hint="default"/>
          <w:spacing w:val="-2"/>
        </w:rPr>
        <w:t>2019</w:t>
      </w:r>
      <w:r>
        <w:rPr>
          <w:spacing w:val="-2"/>
        </w:rPr>
        <w:t>年限制性股票与股票期权激励计划之部分暂缓授予限制性股票已授予完成。</w:t>
      </w:r>
      <w:r>
        <w:rPr>
          <w:w w:val="100"/>
        </w:rPr>
        <w:t> </w:t>
      </w:r>
      <w:r>
        <w:rPr>
          <w:spacing w:val="-2"/>
        </w:rPr>
        <w:t>根据立信会计师事务所（特殊普通合伙）信会师报字</w:t>
      </w:r>
      <w:r>
        <w:rPr>
          <w:rFonts w:ascii="Times New Roman" w:hAnsi="Times New Roman" w:cs="Times New Roman" w:eastAsia="Times New Roman" w:hint="default"/>
          <w:spacing w:val="-2"/>
        </w:rPr>
        <w:t>[2020]</w:t>
      </w:r>
      <w:r>
        <w:rPr>
          <w:spacing w:val="-2"/>
        </w:rPr>
        <w:t>第</w:t>
      </w:r>
      <w:r>
        <w:rPr>
          <w:rFonts w:ascii="Times New Roman" w:hAnsi="Times New Roman" w:cs="Times New Roman" w:eastAsia="Times New Roman" w:hint="default"/>
          <w:spacing w:val="-2"/>
        </w:rPr>
        <w:t>ZG10104</w:t>
      </w:r>
      <w:r>
        <w:rPr>
          <w:spacing w:val="-2"/>
        </w:rPr>
        <w:t>号验资报告，对公司截至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spacing w:val="-30"/>
        </w:rPr>
        <w:t> </w:t>
      </w:r>
      <w:r>
        <w:rPr>
          <w:rFonts w:ascii="Times New Roman" w:hAnsi="Times New Roman" w:cs="Times New Roman" w:eastAsia="Times New Roman" w:hint="default"/>
          <w:spacing w:val="-3"/>
        </w:rPr>
        <w:t>4</w:t>
      </w:r>
      <w:r>
        <w:rPr>
          <w:spacing w:val="-3"/>
        </w:rPr>
        <w:t>日止新增注册资本及实收资本</w:t>
      </w:r>
      <w:r>
        <w:rPr>
          <w:rFonts w:ascii="Times New Roman" w:hAnsi="Times New Roman" w:cs="Times New Roman" w:eastAsia="Times New Roman" w:hint="default"/>
          <w:spacing w:val="-3"/>
        </w:rPr>
        <w:t>(</w:t>
      </w:r>
      <w:r>
        <w:rPr>
          <w:spacing w:val="-3"/>
        </w:rPr>
        <w:t>股本</w:t>
      </w:r>
      <w:r>
        <w:rPr>
          <w:rFonts w:ascii="Times New Roman" w:hAnsi="Times New Roman" w:cs="Times New Roman" w:eastAsia="Times New Roman" w:hint="default"/>
          <w:spacing w:val="-3"/>
        </w:rPr>
        <w:t>)</w:t>
      </w:r>
      <w:r>
        <w:rPr>
          <w:spacing w:val="-3"/>
        </w:rPr>
        <w:t>情况进行了审验，变更后的注册资本为人民币</w:t>
      </w:r>
      <w:r>
        <w:rPr>
          <w:rFonts w:ascii="Times New Roman" w:hAnsi="Times New Roman" w:cs="Times New Roman" w:eastAsia="Times New Roman" w:hint="default"/>
          <w:spacing w:val="-3"/>
        </w:rPr>
        <w:t>1,753,134,595.00</w:t>
      </w:r>
      <w:r>
        <w:rPr>
          <w:spacing w:val="-3"/>
        </w:rPr>
        <w:t>元、股</w:t>
      </w:r>
      <w:r>
        <w:rPr>
          <w:spacing w:val="-36"/>
        </w:rPr>
        <w:t> </w:t>
      </w:r>
      <w:r>
        <w:rPr>
          <w:spacing w:val="-36"/>
        </w:rPr>
      </w:r>
      <w:r>
        <w:rPr/>
        <w:t>本为人民币</w:t>
      </w:r>
      <w:r>
        <w:rPr>
          <w:rFonts w:ascii="Times New Roman" w:hAnsi="Times New Roman" w:cs="Times New Roman" w:eastAsia="Times New Roman" w:hint="default"/>
        </w:rPr>
        <w:t>1,753,134,595.00</w:t>
      </w:r>
      <w:r>
        <w:rPr/>
        <w:t>元。目前尚未完成工商变更手续。</w:t>
      </w:r>
    </w:p>
    <w:p>
      <w:pPr>
        <w:pStyle w:val="BodyText"/>
        <w:spacing w:line="338" w:lineRule="auto" w:before="22"/>
        <w:ind w:left="153" w:right="1105" w:firstLine="419"/>
        <w:jc w:val="both"/>
      </w:pP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w:t>
      </w:r>
      <w:r>
        <w:rPr>
          <w:spacing w:val="-2"/>
        </w:rPr>
        <w:t>日，公司</w:t>
      </w:r>
      <w:r>
        <w:rPr>
          <w:rFonts w:ascii="Times New Roman" w:hAnsi="Times New Roman" w:cs="Times New Roman" w:eastAsia="Times New Roman" w:hint="default"/>
          <w:spacing w:val="-2"/>
        </w:rPr>
        <w:t>2019</w:t>
      </w:r>
      <w:r>
        <w:rPr>
          <w:spacing w:val="-2"/>
        </w:rPr>
        <w:t>年限制性股票与股票期权激励计划之部分股票期权与限制性股票注销完成，</w:t>
      </w:r>
      <w:r>
        <w:rPr>
          <w:w w:val="100"/>
        </w:rPr>
        <w:t> </w:t>
      </w:r>
      <w:r>
        <w:rPr>
          <w:spacing w:val="-2"/>
        </w:rPr>
        <w:t>根据立信会计师事务所（特殊普通合伙）信会师报字</w:t>
      </w:r>
      <w:r>
        <w:rPr>
          <w:rFonts w:ascii="Times New Roman" w:hAnsi="Times New Roman" w:cs="Times New Roman" w:eastAsia="Times New Roman" w:hint="default"/>
          <w:spacing w:val="-2"/>
        </w:rPr>
        <w:t>[2020]</w:t>
      </w:r>
      <w:r>
        <w:rPr>
          <w:spacing w:val="-2"/>
        </w:rPr>
        <w:t>第</w:t>
      </w:r>
      <w:r>
        <w:rPr>
          <w:rFonts w:ascii="Times New Roman" w:hAnsi="Times New Roman" w:cs="Times New Roman" w:eastAsia="Times New Roman" w:hint="default"/>
          <w:spacing w:val="-2"/>
        </w:rPr>
        <w:t>ZG10306</w:t>
      </w:r>
      <w:r>
        <w:rPr>
          <w:spacing w:val="-2"/>
        </w:rPr>
        <w:t>号验资报告，对公司截至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spacing w:val="-30"/>
        </w:rPr>
        <w:t> </w:t>
      </w:r>
      <w:r>
        <w:rPr>
          <w:rFonts w:ascii="Times New Roman" w:hAnsi="Times New Roman" w:cs="Times New Roman" w:eastAsia="Times New Roman" w:hint="default"/>
          <w:spacing w:val="-2"/>
        </w:rPr>
        <w:t>13</w:t>
      </w:r>
      <w:r>
        <w:rPr>
          <w:spacing w:val="-2"/>
        </w:rPr>
        <w:t>日止新增注册资本及实收资本</w:t>
      </w:r>
      <w:r>
        <w:rPr>
          <w:rFonts w:ascii="Times New Roman" w:hAnsi="Times New Roman" w:cs="Times New Roman" w:eastAsia="Times New Roman" w:hint="default"/>
          <w:spacing w:val="-2"/>
        </w:rPr>
        <w:t>(</w:t>
      </w:r>
      <w:r>
        <w:rPr>
          <w:spacing w:val="-2"/>
        </w:rPr>
        <w:t>股本</w:t>
      </w:r>
      <w:r>
        <w:rPr>
          <w:rFonts w:ascii="Times New Roman" w:hAnsi="Times New Roman" w:cs="Times New Roman" w:eastAsia="Times New Roman" w:hint="default"/>
          <w:spacing w:val="-2"/>
        </w:rPr>
        <w:t>)</w:t>
      </w:r>
      <w:r>
        <w:rPr>
          <w:spacing w:val="-2"/>
        </w:rPr>
        <w:t>情况进行了审验，变更后的注册资本为人民币</w:t>
      </w:r>
      <w:r>
        <w:rPr>
          <w:rFonts w:ascii="Times New Roman" w:hAnsi="Times New Roman" w:cs="Times New Roman" w:eastAsia="Times New Roman" w:hint="default"/>
          <w:spacing w:val="-2"/>
        </w:rPr>
        <w:t>1,753,014,595.00</w:t>
      </w:r>
      <w:r>
        <w:rPr>
          <w:spacing w:val="-2"/>
        </w:rPr>
        <w:t>元、</w:t>
      </w:r>
      <w:r>
        <w:rPr>
          <w:spacing w:val="-1"/>
        </w:rPr>
        <w:t> </w:t>
      </w:r>
      <w:r>
        <w:rPr/>
        <w:t>股本为人民币</w:t>
      </w:r>
      <w:r>
        <w:rPr>
          <w:rFonts w:ascii="Times New Roman" w:hAnsi="Times New Roman" w:cs="Times New Roman" w:eastAsia="Times New Roman" w:hint="default"/>
        </w:rPr>
        <w:t>1,753,014,595.00</w:t>
      </w:r>
      <w:r>
        <w:rPr/>
        <w:t>元。目前尚未完成工商变更手续。</w:t>
      </w:r>
    </w:p>
    <w:p>
      <w:pPr>
        <w:pStyle w:val="Heading3"/>
        <w:spacing w:line="240" w:lineRule="auto" w:before="135"/>
        <w:ind w:right="1127"/>
        <w:jc w:val="left"/>
      </w:pPr>
      <w:bookmarkStart w:name="（六）公司大股东资金占用的情况" w:id="169"/>
      <w:bookmarkEnd w:id="169"/>
      <w:r>
        <w:rPr/>
      </w:r>
      <w:r>
        <w:rPr/>
        <w:t>（六）公司大股东资金占用的情况</w:t>
      </w:r>
    </w:p>
    <w:p>
      <w:pPr>
        <w:spacing w:line="240" w:lineRule="auto" w:before="10"/>
        <w:rPr>
          <w:rFonts w:ascii="黑体" w:hAnsi="黑体" w:cs="黑体" w:eastAsia="黑体" w:hint="default"/>
          <w:sz w:val="26"/>
          <w:szCs w:val="26"/>
        </w:rPr>
      </w:pPr>
    </w:p>
    <w:p>
      <w:pPr>
        <w:pStyle w:val="BodyText"/>
        <w:spacing w:line="355" w:lineRule="auto"/>
        <w:ind w:right="5512"/>
        <w:jc w:val="left"/>
      </w:pPr>
      <w:r>
        <w:rPr/>
        <w:t>公司自查发现的控股股东占用资金已全部归还。</w:t>
      </w:r>
      <w:r>
        <w:rPr>
          <w:w w:val="100"/>
        </w:rPr>
        <w:t> </w:t>
      </w:r>
      <w:r>
        <w:rPr>
          <w:spacing w:val="-2"/>
        </w:rPr>
        <w:t>上述内容详见公司在巨潮资讯网披露的相关公告。</w:t>
      </w:r>
    </w:p>
    <w:p>
      <w:pPr>
        <w:pStyle w:val="Heading3"/>
        <w:spacing w:line="240" w:lineRule="auto" w:before="148"/>
        <w:ind w:right="1127"/>
        <w:jc w:val="left"/>
      </w:pPr>
      <w:bookmarkStart w:name="（七）关于控股股东、董事及高级管理人员减持计划的情况" w:id="170"/>
      <w:bookmarkEnd w:id="170"/>
      <w:r>
        <w:rPr/>
      </w:r>
      <w:r>
        <w:rPr/>
        <w:t>（七）关于控股股东、董事及高级管理人员减持计划的情况</w:t>
      </w:r>
    </w:p>
    <w:p>
      <w:pPr>
        <w:spacing w:line="240" w:lineRule="auto" w:before="10"/>
        <w:rPr>
          <w:rFonts w:ascii="黑体" w:hAnsi="黑体" w:cs="黑体" w:eastAsia="黑体" w:hint="default"/>
          <w:sz w:val="26"/>
          <w:szCs w:val="26"/>
        </w:rPr>
      </w:pPr>
    </w:p>
    <w:p>
      <w:pPr>
        <w:pStyle w:val="BodyText"/>
        <w:spacing w:line="345" w:lineRule="auto"/>
        <w:ind w:left="152" w:right="1127" w:firstLine="419"/>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日，公司发布《关于控股股东、实际控制人及董事减持股份的预披露公告》，公司控股</w:t>
      </w:r>
      <w:r>
        <w:rPr>
          <w:w w:val="100"/>
        </w:rPr>
        <w:t> </w:t>
      </w:r>
      <w:r>
        <w:rPr>
          <w:spacing w:val="-2"/>
        </w:rPr>
        <w:t>股东、实际控制人陈江涛先生及其一致行动人、公司董事兼副总经理蔡厚富先生计划于公告之日起十五个</w:t>
      </w:r>
      <w:r>
        <w:rPr>
          <w:spacing w:val="-42"/>
        </w:rPr>
        <w:t> </w:t>
      </w:r>
      <w:r>
        <w:rPr>
          <w:spacing w:val="-42"/>
        </w:rPr>
      </w:r>
      <w:r>
        <w:rPr/>
        <w:t>交易日后六个月内以集中竞价的方式减持公司股份合计不超过</w:t>
      </w:r>
      <w:r>
        <w:rPr>
          <w:rFonts w:ascii="Times New Roman" w:hAnsi="Times New Roman" w:cs="Times New Roman" w:eastAsia="Times New Roman" w:hint="default"/>
        </w:rPr>
        <w:t>39,055,239</w:t>
      </w:r>
      <w:r>
        <w:rPr/>
        <w:t>股，占公司总股本的</w:t>
      </w:r>
      <w:r>
        <w:rPr>
          <w:rFonts w:ascii="Times New Roman" w:hAnsi="Times New Roman" w:cs="Times New Roman" w:eastAsia="Times New Roman" w:hint="default"/>
        </w:rPr>
        <w:t>2.25%</w:t>
      </w:r>
      <w:r>
        <w:rPr/>
        <w:t>。</w:t>
      </w:r>
    </w:p>
    <w:p>
      <w:pPr>
        <w:pStyle w:val="BodyText"/>
        <w:spacing w:line="336" w:lineRule="auto" w:before="17"/>
        <w:ind w:left="573" w:right="1127"/>
        <w:jc w:val="left"/>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日，蔡厚富先生减持计划已完成，共减持股份</w:t>
      </w:r>
      <w:r>
        <w:rPr>
          <w:rFonts w:ascii="Times New Roman" w:hAnsi="Times New Roman" w:cs="Times New Roman" w:eastAsia="Times New Roman" w:hint="default"/>
          <w:spacing w:val="-2"/>
        </w:rPr>
        <w:t>4,331,555</w:t>
      </w:r>
      <w:r>
        <w:rPr>
          <w:spacing w:val="-2"/>
        </w:rPr>
        <w:t>股，占公司总股本的</w:t>
      </w:r>
      <w:r>
        <w:rPr>
          <w:rFonts w:ascii="Times New Roman" w:hAnsi="Times New Roman" w:cs="Times New Roman" w:eastAsia="Times New Roman" w:hint="default"/>
          <w:spacing w:val="-2"/>
        </w:rPr>
        <w:t>0.25%</w:t>
      </w:r>
      <w:r>
        <w:rPr>
          <w:spacing w:val="-2"/>
        </w:rPr>
        <w:t>。</w:t>
      </w:r>
      <w:r>
        <w:rPr>
          <w:spacing w:val="-7"/>
        </w:rPr>
        <w:t> </w:t>
      </w:r>
      <w:r>
        <w:rPr>
          <w:spacing w:val="-2"/>
        </w:rPr>
        <w:t>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日，陈江涛及其一致行动人减持计划已完成，共减持公司股份</w:t>
      </w:r>
      <w:r>
        <w:rPr>
          <w:rFonts w:ascii="Times New Roman" w:hAnsi="Times New Roman" w:cs="Times New Roman" w:eastAsia="Times New Roman" w:hint="default"/>
          <w:spacing w:val="-2"/>
        </w:rPr>
        <w:t>16,550,001</w:t>
      </w:r>
      <w:r>
        <w:rPr>
          <w:spacing w:val="-2"/>
        </w:rPr>
        <w:t>股，占公司</w:t>
      </w:r>
    </w:p>
    <w:p>
      <w:pPr>
        <w:spacing w:after="0" w:line="336" w:lineRule="auto"/>
        <w:jc w:val="left"/>
        <w:sectPr>
          <w:pgSz w:w="11910" w:h="16840"/>
          <w:pgMar w:header="0" w:footer="1134" w:top="1280" w:bottom="1320" w:left="980" w:right="0"/>
        </w:sectPr>
      </w:pPr>
    </w:p>
    <w:p>
      <w:pPr>
        <w:pStyle w:val="BodyText"/>
        <w:spacing w:line="240" w:lineRule="auto" w:before="112"/>
        <w:ind w:left="152" w:right="1127"/>
        <w:jc w:val="left"/>
      </w:pPr>
      <w:r>
        <w:rPr/>
        <w:t>总股本的</w:t>
      </w:r>
      <w:r>
        <w:rPr>
          <w:rFonts w:ascii="Times New Roman" w:hAnsi="Times New Roman" w:cs="Times New Roman" w:eastAsia="Times New Roman" w:hint="default"/>
        </w:rPr>
        <w:t>0.97%</w:t>
      </w:r>
      <w:r>
        <w:rPr/>
        <w:t>。</w:t>
      </w:r>
    </w:p>
    <w:p>
      <w:pPr>
        <w:pStyle w:val="BodyText"/>
        <w:spacing w:line="348" w:lineRule="auto" w:before="117"/>
        <w:ind w:left="153" w:right="1127" w:firstLine="419"/>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23</w:t>
      </w:r>
      <w:r>
        <w:rPr>
          <w:spacing w:val="-2"/>
        </w:rPr>
        <w:t>日，公司发布《关于高级管理人员减持股份的预披露公告》，公司财务负责人陈为群女</w:t>
      </w:r>
      <w:r>
        <w:rPr>
          <w:w w:val="100"/>
        </w:rPr>
        <w:t> </w:t>
      </w:r>
      <w:r>
        <w:rPr/>
        <w:t>士计划于公告之日起十五个交易日后六个月内以集中竞价、大宗交易的方式减持公司股份合计不超过</w:t>
      </w:r>
      <w:r>
        <w:rPr>
          <w:w w:val="100"/>
        </w:rPr>
        <w:t> </w:t>
      </w:r>
      <w:r>
        <w:rPr>
          <w:rFonts w:ascii="Times New Roman" w:hAnsi="Times New Roman" w:cs="Times New Roman" w:eastAsia="Times New Roman" w:hint="default"/>
        </w:rPr>
        <w:t>3,713,516</w:t>
      </w:r>
      <w:r>
        <w:rPr/>
        <w:t>股，占公司总股本的</w:t>
      </w:r>
      <w:r>
        <w:rPr>
          <w:rFonts w:ascii="Times New Roman" w:hAnsi="Times New Roman" w:cs="Times New Roman" w:eastAsia="Times New Roman" w:hint="default"/>
        </w:rPr>
        <w:t>0.22%</w:t>
      </w:r>
      <w:r>
        <w:rPr/>
        <w:t>。</w:t>
      </w:r>
    </w:p>
    <w:p>
      <w:pPr>
        <w:pStyle w:val="BodyText"/>
        <w:spacing w:line="336" w:lineRule="auto" w:before="12"/>
        <w:ind w:left="573" w:right="1127"/>
        <w:jc w:val="left"/>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日，陈为群女士减持计划已完成，共减持股份</w:t>
      </w:r>
      <w:r>
        <w:rPr>
          <w:rFonts w:ascii="Times New Roman" w:hAnsi="Times New Roman" w:cs="Times New Roman" w:eastAsia="Times New Roman" w:hint="default"/>
          <w:spacing w:val="-2"/>
        </w:rPr>
        <w:t>3,713,516</w:t>
      </w:r>
      <w:r>
        <w:rPr>
          <w:spacing w:val="-2"/>
        </w:rPr>
        <w:t>股，占公司总股本的</w:t>
      </w:r>
      <w:r>
        <w:rPr>
          <w:rFonts w:ascii="Times New Roman" w:hAnsi="Times New Roman" w:cs="Times New Roman" w:eastAsia="Times New Roman" w:hint="default"/>
          <w:spacing w:val="-2"/>
        </w:rPr>
        <w:t>0.22%</w:t>
      </w:r>
      <w:r>
        <w:rPr>
          <w:spacing w:val="-2"/>
        </w:rPr>
        <w:t>。</w:t>
      </w:r>
      <w:r>
        <w:rPr>
          <w:spacing w:val="-6"/>
        </w:rPr>
        <w:t> </w:t>
      </w:r>
      <w:r>
        <w:rPr/>
        <w:t>上述内容详见公司在巨潮资讯网披露的相关公告。</w:t>
      </w:r>
    </w:p>
    <w:p>
      <w:pPr>
        <w:pStyle w:val="Heading3"/>
        <w:spacing w:line="240" w:lineRule="auto" w:before="163"/>
        <w:ind w:right="1127"/>
        <w:jc w:val="left"/>
      </w:pPr>
      <w:bookmarkStart w:name="（八）控股股东股票质押与司法冻结情况" w:id="171"/>
      <w:bookmarkEnd w:id="171"/>
      <w:r>
        <w:rPr/>
      </w:r>
      <w:r>
        <w:rPr/>
        <w:t>（八）控股股东股票质押与司法冻结情况</w:t>
      </w:r>
    </w:p>
    <w:p>
      <w:pPr>
        <w:spacing w:line="240" w:lineRule="auto" w:before="12"/>
        <w:rPr>
          <w:rFonts w:ascii="黑体" w:hAnsi="黑体" w:cs="黑体" w:eastAsia="黑体" w:hint="default"/>
          <w:sz w:val="26"/>
          <w:szCs w:val="26"/>
        </w:rPr>
      </w:pPr>
    </w:p>
    <w:p>
      <w:pPr>
        <w:pStyle w:val="BodyText"/>
        <w:spacing w:line="336" w:lineRule="auto"/>
        <w:ind w:left="152" w:right="1127" w:firstLine="419"/>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spacing w:val="-2"/>
        </w:rPr>
        <w:t>日，公司接到控股股东、实际控制人陈江涛先生的通知，陈江涛先生因个人需要，与靖江</w:t>
      </w:r>
      <w:r>
        <w:rPr>
          <w:spacing w:val="-3"/>
          <w:w w:val="100"/>
        </w:rPr>
        <w:t> </w:t>
      </w:r>
      <w:r>
        <w:rPr/>
        <w:t>市润元农村小额贷款有限公司办理了股权质押业务，质押股份数量为</w:t>
      </w:r>
      <w:r>
        <w:rPr>
          <w:rFonts w:ascii="Times New Roman" w:hAnsi="Times New Roman" w:cs="Times New Roman" w:eastAsia="Times New Roman" w:hint="default"/>
        </w:rPr>
        <w:t>20,000,000</w:t>
      </w:r>
      <w:r>
        <w:rPr/>
        <w:t>股，占其所持公司股份总</w:t>
      </w:r>
      <w:r>
        <w:rPr>
          <w:spacing w:val="-3"/>
          <w:w w:val="100"/>
        </w:rPr>
        <w:t> </w:t>
      </w:r>
      <w:r>
        <w:rPr>
          <w:spacing w:val="-3"/>
        </w:rPr>
        <w:t>数的</w:t>
      </w:r>
      <w:r>
        <w:rPr>
          <w:rFonts w:ascii="Times New Roman" w:hAnsi="Times New Roman" w:cs="Times New Roman" w:eastAsia="Times New Roman" w:hint="default"/>
          <w:spacing w:val="-3"/>
        </w:rPr>
        <w:t>3.40%</w:t>
      </w:r>
      <w:r>
        <w:rPr>
          <w:spacing w:val="-3"/>
        </w:rPr>
        <w:t>；并与靖江市润元农村小额贷款有限公司办理了解除质押业务，解除质押股份数量为</w:t>
      </w:r>
      <w:r>
        <w:rPr>
          <w:rFonts w:ascii="Times New Roman" w:hAnsi="Times New Roman" w:cs="Times New Roman" w:eastAsia="Times New Roman" w:hint="default"/>
          <w:spacing w:val="-3"/>
        </w:rPr>
        <w:t>20,000,000</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股，占其所持公司股份总数的</w:t>
      </w:r>
      <w:r>
        <w:rPr>
          <w:rFonts w:ascii="Times New Roman" w:hAnsi="Times New Roman" w:cs="Times New Roman" w:eastAsia="Times New Roman" w:hint="default"/>
        </w:rPr>
        <w:t>3.40%</w:t>
      </w:r>
      <w:r>
        <w:rPr/>
        <w:t>。</w:t>
      </w:r>
    </w:p>
    <w:p>
      <w:pPr>
        <w:pStyle w:val="BodyText"/>
        <w:spacing w:line="338" w:lineRule="auto" w:before="24"/>
        <w:ind w:left="153" w:right="1127" w:firstLine="419"/>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8</w:t>
      </w:r>
      <w:r>
        <w:rPr>
          <w:spacing w:val="-2"/>
        </w:rPr>
        <w:t>日，公司接到控股股东、实际控制人陈江涛先生的通知，陈江涛先生因个人需要，与银河</w:t>
      </w:r>
      <w:r>
        <w:rPr>
          <w:spacing w:val="-3"/>
          <w:w w:val="100"/>
        </w:rPr>
        <w:t> </w:t>
      </w:r>
      <w:r>
        <w:rPr/>
        <w:t>金汇证券资产管理有限公司办理了股权质押业务，质押股份数量为</w:t>
      </w:r>
      <w:r>
        <w:rPr>
          <w:rFonts w:ascii="Times New Roman" w:hAnsi="Times New Roman" w:cs="Times New Roman" w:eastAsia="Times New Roman" w:hint="default"/>
        </w:rPr>
        <w:t>10,000,000</w:t>
      </w:r>
      <w:r>
        <w:rPr/>
        <w:t>股，占其所持公司股份总数</w:t>
      </w:r>
      <w:r>
        <w:rPr>
          <w:w w:val="100"/>
        </w:rPr>
        <w:t> </w:t>
      </w:r>
      <w:r>
        <w:rPr>
          <w:spacing w:val="-2"/>
        </w:rPr>
        <w:t>的</w:t>
      </w:r>
      <w:r>
        <w:rPr>
          <w:rFonts w:ascii="Times New Roman" w:hAnsi="Times New Roman" w:cs="Times New Roman" w:eastAsia="Times New Roman" w:hint="default"/>
          <w:spacing w:val="-2"/>
        </w:rPr>
        <w:t>1.75%</w:t>
      </w:r>
      <w:r>
        <w:rPr>
          <w:spacing w:val="-2"/>
        </w:rPr>
        <w:t>；并与银河金汇证券资产管理有限公司办理了解除质押业务，解除质押股份数量为</w:t>
      </w:r>
      <w:r>
        <w:rPr>
          <w:rFonts w:ascii="Times New Roman" w:hAnsi="Times New Roman" w:cs="Times New Roman" w:eastAsia="Times New Roman" w:hint="default"/>
          <w:spacing w:val="-2"/>
        </w:rPr>
        <w:t>10,000,000</w:t>
      </w:r>
      <w:r>
        <w:rPr>
          <w:spacing w:val="-2"/>
        </w:rPr>
        <w:t>股，</w:t>
      </w:r>
      <w:r>
        <w:rPr>
          <w:spacing w:val="-9"/>
        </w:rPr>
        <w:t> </w:t>
      </w:r>
      <w:r>
        <w:rPr/>
        <w:t>占其所持公司股份总数的</w:t>
      </w:r>
      <w:r>
        <w:rPr>
          <w:rFonts w:ascii="Times New Roman" w:hAnsi="Times New Roman" w:cs="Times New Roman" w:eastAsia="Times New Roman" w:hint="default"/>
        </w:rPr>
        <w:t>1.75%</w:t>
      </w:r>
      <w:r>
        <w:rPr/>
        <w:t>。</w:t>
      </w:r>
    </w:p>
    <w:p>
      <w:pPr>
        <w:pStyle w:val="BodyText"/>
        <w:spacing w:line="338" w:lineRule="auto" w:before="22"/>
        <w:ind w:left="153" w:right="1211" w:firstLine="419"/>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16</w:t>
      </w:r>
      <w:r>
        <w:rPr>
          <w:spacing w:val="-2"/>
        </w:rPr>
        <w:t>日，公司接到控股股东、实际控制人陈江涛先生的通知，陈江涛先生因个人需要，与江</w:t>
      </w:r>
      <w:r>
        <w:rPr>
          <w:w w:val="100"/>
        </w:rPr>
        <w:t> </w:t>
      </w:r>
      <w:r>
        <w:rPr>
          <w:spacing w:val="-2"/>
        </w:rPr>
        <w:t>苏民营投资控股有限公司办理了股权质押业务，质押股份数量为</w:t>
      </w:r>
      <w:r>
        <w:rPr>
          <w:rFonts w:ascii="Times New Roman" w:hAnsi="Times New Roman" w:cs="Times New Roman" w:eastAsia="Times New Roman" w:hint="default"/>
          <w:spacing w:val="-2"/>
        </w:rPr>
        <w:t>11,000,000</w:t>
      </w:r>
      <w:r>
        <w:rPr>
          <w:spacing w:val="-2"/>
        </w:rPr>
        <w:t>股，占其所持公司股份总数的</w:t>
      </w:r>
      <w:r>
        <w:rPr>
          <w:spacing w:val="-15"/>
        </w:rPr>
        <w:t> </w:t>
      </w:r>
      <w:r>
        <w:rPr>
          <w:spacing w:val="-15"/>
        </w:rPr>
      </w:r>
      <w:r>
        <w:rPr>
          <w:rFonts w:ascii="Times New Roman" w:hAnsi="Times New Roman" w:cs="Times New Roman" w:eastAsia="Times New Roman" w:hint="default"/>
        </w:rPr>
        <w:t>1.93%</w:t>
      </w:r>
      <w:r>
        <w:rPr/>
        <w:t>。</w:t>
      </w:r>
    </w:p>
    <w:p>
      <w:pPr>
        <w:pStyle w:val="BodyText"/>
        <w:spacing w:line="338" w:lineRule="auto" w:before="22"/>
        <w:ind w:left="153" w:right="1127" w:firstLine="419"/>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日，公司接到控股股东、实际控制人陈江涛先生的通知，陈江涛先生因个人需要，与四</w:t>
      </w:r>
      <w:r>
        <w:rPr>
          <w:spacing w:val="-3"/>
          <w:w w:val="100"/>
        </w:rPr>
        <w:t> </w:t>
      </w:r>
      <w:r>
        <w:rPr/>
        <w:t>川港荣投资发展集团有限公司办理了股权质押业务，质押股份数量为</w:t>
      </w:r>
      <w:r>
        <w:rPr>
          <w:rFonts w:ascii="Times New Roman" w:hAnsi="Times New Roman" w:cs="Times New Roman" w:eastAsia="Times New Roman" w:hint="default"/>
        </w:rPr>
        <w:t>55,180,000</w:t>
      </w:r>
      <w:r>
        <w:rPr/>
        <w:t>股，占其所持公司股份总</w:t>
      </w:r>
      <w:r>
        <w:rPr>
          <w:spacing w:val="-3"/>
          <w:w w:val="100"/>
        </w:rPr>
        <w:t> </w:t>
      </w:r>
      <w:r>
        <w:rPr>
          <w:spacing w:val="-2"/>
        </w:rPr>
        <w:t>数的</w:t>
      </w:r>
      <w:r>
        <w:rPr>
          <w:rFonts w:ascii="Times New Roman" w:hAnsi="Times New Roman" w:cs="Times New Roman" w:eastAsia="Times New Roman" w:hint="default"/>
          <w:spacing w:val="-2"/>
        </w:rPr>
        <w:t>9.66%</w:t>
      </w:r>
      <w:r>
        <w:rPr>
          <w:spacing w:val="-2"/>
        </w:rPr>
        <w:t>；并与海通证券股份有限公司、华泰证券股份有限公司办理了解除质押业务，解除质押股份数</w:t>
      </w:r>
      <w:r>
        <w:rPr>
          <w:spacing w:val="-16"/>
        </w:rPr>
        <w:t> </w:t>
      </w:r>
      <w:r>
        <w:rPr>
          <w:spacing w:val="-16"/>
        </w:rPr>
      </w:r>
      <w:r>
        <w:rPr/>
        <w:t>量共计</w:t>
      </w:r>
      <w:r>
        <w:rPr>
          <w:rFonts w:ascii="Times New Roman" w:hAnsi="Times New Roman" w:cs="Times New Roman" w:eastAsia="Times New Roman" w:hint="default"/>
        </w:rPr>
        <w:t>55,293,221</w:t>
      </w:r>
      <w:r>
        <w:rPr/>
        <w:t>股，占其所持公司股份总数的</w:t>
      </w:r>
      <w:r>
        <w:rPr>
          <w:rFonts w:ascii="Times New Roman" w:hAnsi="Times New Roman" w:cs="Times New Roman" w:eastAsia="Times New Roman" w:hint="default"/>
        </w:rPr>
        <w:t>9.68%</w:t>
      </w:r>
      <w:r>
        <w:rPr/>
        <w:t>。</w:t>
      </w:r>
    </w:p>
    <w:p>
      <w:pPr>
        <w:pStyle w:val="BodyText"/>
        <w:spacing w:line="336" w:lineRule="auto" w:before="22"/>
        <w:ind w:left="153" w:right="1224" w:firstLine="420"/>
        <w:jc w:val="left"/>
      </w:pPr>
      <w:r>
        <w:rPr/>
        <w:t>截止本报告披露日，陈江涛先生累计质押股份</w:t>
      </w:r>
      <w:r>
        <w:rPr>
          <w:spacing w:val="-26"/>
        </w:rPr>
        <w:t> </w:t>
      </w:r>
      <w:r>
        <w:rPr>
          <w:rFonts w:ascii="Times New Roman" w:hAnsi="Times New Roman" w:cs="Times New Roman" w:eastAsia="Times New Roman" w:hint="default"/>
        </w:rPr>
        <w:t>535,242,442</w:t>
      </w:r>
      <w:r>
        <w:rPr/>
        <w:t>股，累计司法冻结股份</w:t>
      </w:r>
      <w:r>
        <w:rPr>
          <w:rFonts w:ascii="Times New Roman" w:hAnsi="Times New Roman" w:cs="Times New Roman" w:eastAsia="Times New Roman" w:hint="default"/>
        </w:rPr>
        <w:t>570,995,475</w:t>
      </w:r>
      <w:r>
        <w:rPr/>
        <w:t>股，累</w:t>
      </w:r>
      <w:r>
        <w:rPr>
          <w:w w:val="100"/>
        </w:rPr>
        <w:t> </w:t>
      </w:r>
      <w:r>
        <w:rPr/>
        <w:t>计轮候冻结股份</w:t>
      </w:r>
      <w:r>
        <w:rPr>
          <w:rFonts w:ascii="Times New Roman" w:hAnsi="Times New Roman" w:cs="Times New Roman" w:eastAsia="Times New Roman" w:hint="default"/>
        </w:rPr>
        <w:t>107,352,703</w:t>
      </w:r>
      <w:r>
        <w:rPr/>
        <w:t>股。陈江涛先生目前正在与债权人协商，解除冻结事项正在办理中。</w:t>
      </w:r>
    </w:p>
    <w:p>
      <w:pPr>
        <w:pStyle w:val="Heading3"/>
        <w:spacing w:line="240" w:lineRule="auto" w:before="137"/>
        <w:ind w:right="1127"/>
        <w:jc w:val="left"/>
      </w:pPr>
      <w:bookmarkStart w:name="（九）控股股东、实际控制人签署股份转让协议" w:id="172"/>
      <w:bookmarkEnd w:id="172"/>
      <w:r>
        <w:rPr/>
      </w:r>
      <w:r>
        <w:rPr/>
        <w:t>（九）控股股东、实际控制人签署股份转让协议</w:t>
      </w:r>
    </w:p>
    <w:p>
      <w:pPr>
        <w:spacing w:line="240" w:lineRule="auto" w:before="10"/>
        <w:rPr>
          <w:rFonts w:ascii="黑体" w:hAnsi="黑体" w:cs="黑体" w:eastAsia="黑体" w:hint="default"/>
          <w:sz w:val="26"/>
          <w:szCs w:val="26"/>
        </w:rPr>
      </w:pPr>
    </w:p>
    <w:p>
      <w:pPr>
        <w:pStyle w:val="BodyText"/>
        <w:spacing w:line="338" w:lineRule="auto"/>
        <w:ind w:left="152" w:right="0" w:firstLine="419"/>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日，公司控股股东、实际控制人陈江涛先生与保利赋新（嘉兴）股权投资合伙企业（有</w:t>
      </w:r>
      <w:r>
        <w:rPr>
          <w:w w:val="100"/>
        </w:rPr>
        <w:t> </w:t>
      </w:r>
      <w:r>
        <w:rPr/>
        <w:t>限合伙）（以下简称</w:t>
      </w:r>
      <w:r>
        <w:rPr>
          <w:rFonts w:ascii="Times New Roman" w:hAnsi="Times New Roman" w:cs="Times New Roman" w:eastAsia="Times New Roman" w:hint="default"/>
        </w:rPr>
        <w:t>“</w:t>
      </w:r>
      <w:r>
        <w:rPr/>
        <w:t>保利赋新</w:t>
      </w:r>
      <w:r>
        <w:rPr>
          <w:rFonts w:ascii="Times New Roman" w:hAnsi="Times New Roman" w:cs="Times New Roman" w:eastAsia="Times New Roman" w:hint="default"/>
        </w:rPr>
        <w:t>”</w:t>
      </w:r>
      <w:r>
        <w:rPr/>
        <w:t>）签署了《陈江涛与保利赋新（嘉兴）股权投资合伙企业（有限合伙）关</w:t>
      </w:r>
      <w:r>
        <w:rPr>
          <w:w w:val="100"/>
        </w:rPr>
        <w:t> </w:t>
      </w:r>
      <w:r>
        <w:rPr/>
        <w:t>于北京旋极信息技术股份有限公司之股份转让协议，陈江涛以人民币</w:t>
      </w:r>
      <w:r>
        <w:rPr>
          <w:rFonts w:ascii="Times New Roman" w:hAnsi="Times New Roman" w:cs="Times New Roman" w:eastAsia="Times New Roman" w:hint="default"/>
        </w:rPr>
        <w:t>4.98</w:t>
      </w:r>
      <w:r>
        <w:rPr/>
        <w:t>元</w:t>
      </w:r>
      <w:r>
        <w:rPr>
          <w:rFonts w:ascii="Times New Roman" w:hAnsi="Times New Roman" w:cs="Times New Roman" w:eastAsia="Times New Roman" w:hint="default"/>
        </w:rPr>
        <w:t>/</w:t>
      </w:r>
      <w:r>
        <w:rPr/>
        <w:t>股转让其持有的</w:t>
      </w:r>
      <w:r>
        <w:rPr>
          <w:rFonts w:ascii="Times New Roman" w:hAnsi="Times New Roman" w:cs="Times New Roman" w:eastAsia="Times New Roman" w:hint="default"/>
        </w:rPr>
        <w:t>100,000,000</w:t>
      </w:r>
      <w:r>
        <w:rPr>
          <w:rFonts w:ascii="Times New Roman" w:hAnsi="Times New Roman" w:cs="Times New Roman" w:eastAsia="Times New Roman" w:hint="default"/>
          <w:w w:val="100"/>
        </w:rPr>
        <w:t> </w:t>
      </w:r>
      <w:r>
        <w:rPr>
          <w:spacing w:val="-4"/>
        </w:rPr>
        <w:t>股，转让总价款为人民币</w:t>
      </w:r>
      <w:r>
        <w:rPr>
          <w:rFonts w:ascii="Times New Roman" w:hAnsi="Times New Roman" w:cs="Times New Roman" w:eastAsia="Times New Roman" w:hint="default"/>
          <w:spacing w:val="-4"/>
        </w:rPr>
        <w:t>498,000,000</w:t>
      </w:r>
      <w:r>
        <w:rPr>
          <w:spacing w:val="-4"/>
        </w:rPr>
        <w:t>元，转让完成后，保利赋新将持有公司</w:t>
      </w:r>
      <w:r>
        <w:rPr>
          <w:rFonts w:ascii="Times New Roman" w:hAnsi="Times New Roman" w:cs="Times New Roman" w:eastAsia="Times New Roman" w:hint="default"/>
          <w:spacing w:val="-4"/>
        </w:rPr>
        <w:t>5.845%</w:t>
      </w:r>
      <w:r>
        <w:rPr>
          <w:spacing w:val="-4"/>
        </w:rPr>
        <w:t>股份。本次权益变动前，</w:t>
      </w:r>
      <w:r>
        <w:rPr>
          <w:spacing w:val="-43"/>
        </w:rPr>
        <w:t> </w:t>
      </w:r>
      <w:r>
        <w:rPr>
          <w:spacing w:val="-43"/>
        </w:rPr>
      </w:r>
      <w:r>
        <w:rPr/>
        <w:t>陈江涛先生持有公司</w:t>
      </w:r>
      <w:r>
        <w:rPr>
          <w:rFonts w:ascii="Times New Roman" w:hAnsi="Times New Roman" w:cs="Times New Roman" w:eastAsia="Times New Roman" w:hint="default"/>
        </w:rPr>
        <w:t>570,995,475</w:t>
      </w:r>
      <w:r>
        <w:rPr/>
        <w:t>股股份，占公司总股本</w:t>
      </w:r>
      <w:r>
        <w:rPr>
          <w:rFonts w:ascii="Times New Roman" w:hAnsi="Times New Roman" w:cs="Times New Roman" w:eastAsia="Times New Roman" w:hint="default"/>
        </w:rPr>
        <w:t>32.64%</w:t>
      </w:r>
      <w:r>
        <w:rPr/>
        <w:t>。本次权益变动后，陈江涛先生持有公司</w:t>
      </w:r>
      <w:r>
        <w:rPr>
          <w:w w:val="100"/>
        </w:rPr>
        <w:t> </w:t>
      </w:r>
      <w:r>
        <w:rPr>
          <w:rFonts w:ascii="Times New Roman" w:hAnsi="Times New Roman" w:cs="Times New Roman" w:eastAsia="Times New Roman" w:hint="default"/>
          <w:spacing w:val="-2"/>
        </w:rPr>
        <w:t>470,995,475</w:t>
      </w:r>
      <w:r>
        <w:rPr>
          <w:spacing w:val="-2"/>
        </w:rPr>
        <w:t>股股份，占公司总股本</w:t>
      </w:r>
      <w:r>
        <w:rPr>
          <w:rFonts w:ascii="Times New Roman" w:hAnsi="Times New Roman" w:cs="Times New Roman" w:eastAsia="Times New Roman" w:hint="default"/>
          <w:spacing w:val="-2"/>
        </w:rPr>
        <w:t>26.93%</w:t>
      </w:r>
      <w:r>
        <w:rPr>
          <w:spacing w:val="-2"/>
        </w:rPr>
        <w:t>，仍为公司控股股东、实际控制人。本次权益变动不会导致公司</w:t>
      </w:r>
      <w:r>
        <w:rPr>
          <w:spacing w:val="-50"/>
        </w:rPr>
        <w:t> </w:t>
      </w:r>
      <w:r>
        <w:rPr>
          <w:spacing w:val="-50"/>
        </w:rPr>
      </w:r>
      <w:r>
        <w:rPr/>
        <w:t>控股股东及实际控制人发生变化。目前交割手续尚未完成。</w:t>
      </w:r>
    </w:p>
    <w:p>
      <w:pPr>
        <w:spacing w:after="0" w:line="338" w:lineRule="auto"/>
        <w:jc w:val="left"/>
        <w:sectPr>
          <w:pgSz w:w="11910" w:h="16840"/>
          <w:pgMar w:header="0" w:footer="1134" w:top="1280" w:bottom="1320" w:left="980" w:right="0"/>
        </w:sectPr>
      </w:pPr>
    </w:p>
    <w:p>
      <w:pPr>
        <w:pStyle w:val="BodyText"/>
        <w:spacing w:line="240" w:lineRule="auto" w:before="112"/>
        <w:ind w:right="1127"/>
        <w:jc w:val="left"/>
      </w:pPr>
      <w:r>
        <w:rPr/>
        <w:t>上述内容详见公司在巨潮资讯网披露的相关公告。</w:t>
      </w:r>
    </w:p>
    <w:p>
      <w:pPr>
        <w:spacing w:line="240" w:lineRule="auto" w:before="11"/>
        <w:rPr>
          <w:rFonts w:ascii="宋体" w:hAnsi="宋体" w:cs="宋体" w:eastAsia="宋体" w:hint="default"/>
          <w:sz w:val="18"/>
          <w:szCs w:val="18"/>
        </w:rPr>
      </w:pPr>
    </w:p>
    <w:p>
      <w:pPr>
        <w:pStyle w:val="Heading3"/>
        <w:spacing w:line="240" w:lineRule="auto"/>
        <w:ind w:right="1127"/>
        <w:jc w:val="left"/>
      </w:pPr>
      <w:bookmarkStart w:name="（十）签订战略协议情况" w:id="173"/>
      <w:bookmarkEnd w:id="173"/>
      <w:r>
        <w:rPr/>
      </w:r>
      <w:r>
        <w:rPr/>
        <w:t>（十）签订战略协议情况</w:t>
      </w:r>
    </w:p>
    <w:p>
      <w:pPr>
        <w:spacing w:line="240" w:lineRule="auto" w:before="10"/>
        <w:rPr>
          <w:rFonts w:ascii="黑体" w:hAnsi="黑体" w:cs="黑体" w:eastAsia="黑体" w:hint="default"/>
          <w:sz w:val="26"/>
          <w:szCs w:val="26"/>
        </w:rPr>
      </w:pPr>
    </w:p>
    <w:p>
      <w:pPr>
        <w:pStyle w:val="BodyText"/>
        <w:spacing w:line="240" w:lineRule="auto"/>
        <w:ind w:right="1127"/>
        <w:jc w:val="left"/>
      </w:pPr>
      <w:r>
        <w:rPr>
          <w:rFonts w:ascii="Times New Roman" w:hAnsi="Times New Roman" w:cs="Times New Roman" w:eastAsia="Times New Roman" w:hint="default"/>
        </w:rPr>
        <w:t>1</w:t>
      </w:r>
      <w:r>
        <w:rPr/>
        <w:t>、与成都振芯科技股份有限公司签订协议情况</w:t>
      </w:r>
    </w:p>
    <w:p>
      <w:pPr>
        <w:pStyle w:val="BodyText"/>
        <w:spacing w:line="336" w:lineRule="auto" w:before="119"/>
        <w:ind w:left="152" w:right="1127" w:firstLine="419"/>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日，公司与成都振芯科技股份有限公司签订《战略合作协议》。双方就基于各自在地理</w:t>
      </w:r>
      <w:r>
        <w:rPr>
          <w:spacing w:val="-3"/>
          <w:w w:val="100"/>
        </w:rPr>
        <w:t> </w:t>
      </w:r>
      <w:r>
        <w:rPr/>
        <w:t>信息、北斗及高精度位置服务、视频安防等领域优势开展深度战略合作达成共识。</w:t>
      </w:r>
    </w:p>
    <w:p>
      <w:pPr>
        <w:pStyle w:val="BodyText"/>
        <w:spacing w:line="240" w:lineRule="auto" w:before="49"/>
        <w:ind w:right="1127"/>
        <w:jc w:val="left"/>
      </w:pPr>
      <w:r>
        <w:rPr>
          <w:rFonts w:ascii="Times New Roman" w:hAnsi="Times New Roman" w:cs="Times New Roman" w:eastAsia="Times New Roman" w:hint="default"/>
        </w:rPr>
        <w:t>2</w:t>
      </w:r>
      <w:r>
        <w:rPr/>
        <w:t>、与保利科技有限公司签订协议情况</w:t>
      </w:r>
    </w:p>
    <w:p>
      <w:pPr>
        <w:pStyle w:val="BodyText"/>
        <w:spacing w:line="350" w:lineRule="auto" w:before="117"/>
        <w:ind w:left="152" w:right="1128" w:firstLine="419"/>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日，公司与保利科技有限公司（以下简称</w:t>
      </w:r>
      <w:r>
        <w:rPr>
          <w:rFonts w:ascii="Times New Roman" w:hAnsi="Times New Roman" w:cs="Times New Roman" w:eastAsia="Times New Roman" w:hint="default"/>
          <w:spacing w:val="-2"/>
        </w:rPr>
        <w:t>“</w:t>
      </w:r>
      <w:r>
        <w:rPr>
          <w:spacing w:val="-2"/>
        </w:rPr>
        <w:t>保利科技</w:t>
      </w:r>
      <w:r>
        <w:rPr>
          <w:rFonts w:ascii="Times New Roman" w:hAnsi="Times New Roman" w:cs="Times New Roman" w:eastAsia="Times New Roman" w:hint="default"/>
          <w:spacing w:val="-2"/>
        </w:rPr>
        <w:t>”</w:t>
      </w:r>
      <w:r>
        <w:rPr>
          <w:spacing w:val="-2"/>
        </w:rPr>
        <w:t>）签订了《合作框架协议》。保利</w:t>
      </w:r>
      <w:r>
        <w:rPr>
          <w:w w:val="100"/>
        </w:rPr>
        <w:t> </w:t>
      </w:r>
      <w:r>
        <w:rPr>
          <w:spacing w:val="-2"/>
        </w:rPr>
        <w:t>科技与东南亚及中东某国的相关客户签订了特种装备出口和实施特种工程的合同，保利科技有意将上述合</w:t>
      </w:r>
      <w:r>
        <w:rPr>
          <w:spacing w:val="-43"/>
        </w:rPr>
        <w:t> </w:t>
      </w:r>
      <w:r>
        <w:rPr>
          <w:spacing w:val="-43"/>
        </w:rPr>
      </w:r>
      <w:r>
        <w:rPr>
          <w:spacing w:val="-2"/>
        </w:rPr>
        <w:t>同的部分交由公司实施。其中包括特种装备的相关系统及元器件检验检测服务、特种工程中的智慧城市和</w:t>
      </w:r>
      <w:r>
        <w:rPr>
          <w:spacing w:val="-42"/>
        </w:rPr>
        <w:t> </w:t>
      </w:r>
      <w:r>
        <w:rPr>
          <w:spacing w:val="-42"/>
        </w:rPr>
      </w:r>
      <w:r>
        <w:rPr/>
        <w:t>安防业务等。</w:t>
      </w:r>
    </w:p>
    <w:p>
      <w:pPr>
        <w:pStyle w:val="BodyText"/>
        <w:spacing w:line="338" w:lineRule="auto" w:before="36"/>
        <w:ind w:left="153" w:right="1127" w:firstLine="419"/>
        <w:jc w:val="lef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日，公司收到《中标通知书》，泰豪智能组建联合体投标亚洲某国基地通讯与安防分系</w:t>
      </w:r>
      <w:r>
        <w:rPr>
          <w:w w:val="100"/>
        </w:rPr>
        <w:t> </w:t>
      </w:r>
      <w:r>
        <w:rPr>
          <w:spacing w:val="-2"/>
        </w:rPr>
        <w:t>统招标项目，并顺利中标，联合体中标金额</w:t>
      </w:r>
      <w:r>
        <w:rPr>
          <w:spacing w:val="42"/>
        </w:rPr>
        <w:t> </w:t>
      </w:r>
      <w:r>
        <w:rPr>
          <w:rFonts w:ascii="Times New Roman" w:hAnsi="Times New Roman" w:cs="Times New Roman" w:eastAsia="Times New Roman" w:hint="default"/>
          <w:spacing w:val="-2"/>
        </w:rPr>
        <w:t>7,524.18</w:t>
      </w:r>
      <w:r>
        <w:rPr>
          <w:spacing w:val="-2"/>
        </w:rPr>
        <w:t>万元。本项目为保利集团与公司的深度合作，保利科</w:t>
      </w:r>
      <w:r>
        <w:rPr>
          <w:spacing w:val="-88"/>
        </w:rPr>
        <w:t> </w:t>
      </w:r>
      <w:r>
        <w:rPr>
          <w:spacing w:val="-88"/>
        </w:rPr>
      </w:r>
      <w:r>
        <w:rPr/>
        <w:t>技首次将项目交由公司实施，进一步提升公司在海外智慧城市和智慧建筑的市场份额和影响力。</w:t>
      </w:r>
    </w:p>
    <w:p>
      <w:pPr>
        <w:pStyle w:val="BodyText"/>
        <w:spacing w:line="240" w:lineRule="auto" w:before="47"/>
        <w:ind w:left="573" w:right="1127"/>
        <w:jc w:val="left"/>
      </w:pPr>
      <w:r>
        <w:rPr>
          <w:rFonts w:ascii="Times New Roman" w:hAnsi="Times New Roman" w:cs="Times New Roman" w:eastAsia="Times New Roman" w:hint="default"/>
        </w:rPr>
        <w:t>3</w:t>
      </w:r>
      <w:r>
        <w:rPr/>
        <w:t>、与宜宾临港经济技术开发区管理委员会等签订协议情况</w:t>
      </w:r>
    </w:p>
    <w:p>
      <w:pPr>
        <w:pStyle w:val="BodyText"/>
        <w:spacing w:line="350" w:lineRule="auto" w:before="117"/>
        <w:ind w:left="153" w:right="1127" w:firstLine="419"/>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日，公司、宜宾临港经济技术开发区管理委员会及公司控股股东（实际控制人）陈江涛</w:t>
      </w:r>
      <w:r>
        <w:rPr>
          <w:w w:val="100"/>
        </w:rPr>
        <w:t> </w:t>
      </w:r>
      <w:r>
        <w:rPr>
          <w:spacing w:val="-2"/>
        </w:rPr>
        <w:t>先生签订了《战略合作框架协议》。结合宜宾产业政策及市场发展环境，根据公司和陈江涛先生的现有资</w:t>
      </w:r>
      <w:r>
        <w:rPr>
          <w:spacing w:val="-47"/>
        </w:rPr>
        <w:t> </w:t>
      </w:r>
      <w:r>
        <w:rPr>
          <w:spacing w:val="-47"/>
        </w:rPr>
      </w:r>
      <w:r>
        <w:rPr>
          <w:spacing w:val="-2"/>
        </w:rPr>
        <w:t>源及项目的成熟程度，各方拟在宜宾临港经济技术开发区共同打造高端智能装备产业项目，并分阶段落地</w:t>
      </w:r>
      <w:r>
        <w:rPr>
          <w:spacing w:val="-42"/>
        </w:rPr>
        <w:t> </w:t>
      </w:r>
      <w:r>
        <w:rPr>
          <w:spacing w:val="-42"/>
        </w:rPr>
      </w:r>
      <w:r>
        <w:rPr/>
        <w:t>相关项目。</w:t>
      </w:r>
    </w:p>
    <w:p>
      <w:pPr>
        <w:pStyle w:val="BodyText"/>
        <w:spacing w:line="240" w:lineRule="auto" w:before="36"/>
        <w:ind w:left="573" w:right="1127"/>
        <w:jc w:val="left"/>
      </w:pPr>
      <w:r>
        <w:rPr/>
        <w:t>上述内容详见公司在巨潮资讯网披露的相关公告。</w:t>
      </w:r>
    </w:p>
    <w:p>
      <w:pPr>
        <w:spacing w:line="240" w:lineRule="auto" w:before="11"/>
        <w:rPr>
          <w:rFonts w:ascii="宋体" w:hAnsi="宋体" w:cs="宋体" w:eastAsia="宋体" w:hint="default"/>
          <w:sz w:val="18"/>
          <w:szCs w:val="18"/>
        </w:rPr>
      </w:pPr>
    </w:p>
    <w:p>
      <w:pPr>
        <w:pStyle w:val="Heading3"/>
        <w:spacing w:line="240" w:lineRule="auto"/>
        <w:ind w:right="1127"/>
        <w:jc w:val="left"/>
      </w:pPr>
      <w:bookmarkStart w:name="（十一）限售股解除限售情况" w:id="174"/>
      <w:bookmarkEnd w:id="174"/>
      <w:r>
        <w:rPr/>
      </w:r>
      <w:r>
        <w:rPr/>
        <w:t>（十一）限售股解除限售情况</w:t>
      </w:r>
    </w:p>
    <w:p>
      <w:pPr>
        <w:spacing w:line="240" w:lineRule="auto" w:before="10"/>
        <w:rPr>
          <w:rFonts w:ascii="黑体" w:hAnsi="黑体" w:cs="黑体" w:eastAsia="黑体" w:hint="default"/>
          <w:sz w:val="26"/>
          <w:szCs w:val="26"/>
        </w:rPr>
      </w:pPr>
    </w:p>
    <w:p>
      <w:pPr>
        <w:pStyle w:val="BodyText"/>
        <w:spacing w:line="338" w:lineRule="auto"/>
        <w:ind w:left="152" w:right="1197" w:firstLine="419"/>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6</w:t>
      </w:r>
      <w:r>
        <w:rPr>
          <w:spacing w:val="-2"/>
        </w:rPr>
        <w:t>日，公司</w:t>
      </w:r>
      <w:r>
        <w:rPr>
          <w:rFonts w:ascii="Times New Roman" w:hAnsi="Times New Roman" w:cs="Times New Roman" w:eastAsia="Times New Roman" w:hint="default"/>
          <w:spacing w:val="-2"/>
        </w:rPr>
        <w:t>2016</w:t>
      </w:r>
      <w:r>
        <w:rPr>
          <w:spacing w:val="-2"/>
        </w:rPr>
        <w:t>年发行股份购买资产并募集配套资金暨关联交易的购买资产部分股份已达</w:t>
      </w:r>
      <w:r>
        <w:rPr>
          <w:w w:val="100"/>
        </w:rPr>
        <w:t> </w:t>
      </w:r>
      <w:r>
        <w:rPr>
          <w:spacing w:val="-2"/>
        </w:rPr>
        <w:t>到解除限售条件，解除限售股份数量共计</w:t>
      </w:r>
      <w:r>
        <w:rPr>
          <w:rFonts w:ascii="Times New Roman" w:hAnsi="Times New Roman" w:cs="Times New Roman" w:eastAsia="Times New Roman" w:hint="default"/>
          <w:spacing w:val="-2"/>
        </w:rPr>
        <w:t>138,029,900</w:t>
      </w:r>
      <w:r>
        <w:rPr>
          <w:spacing w:val="-2"/>
        </w:rPr>
        <w:t>股，占总股本的</w:t>
      </w:r>
      <w:r>
        <w:rPr>
          <w:rFonts w:ascii="Times New Roman" w:hAnsi="Times New Roman" w:cs="Times New Roman" w:eastAsia="Times New Roman" w:hint="default"/>
          <w:spacing w:val="-2"/>
        </w:rPr>
        <w:t>7.90%</w:t>
      </w:r>
      <w:r>
        <w:rPr>
          <w:spacing w:val="-2"/>
        </w:rPr>
        <w:t>；于解禁日实际可上市流通限</w:t>
      </w:r>
      <w:r>
        <w:rPr>
          <w:spacing w:val="-11"/>
        </w:rPr>
        <w:t> </w:t>
      </w:r>
      <w:r>
        <w:rPr>
          <w:spacing w:val="-11"/>
        </w:rPr>
      </w:r>
      <w:r>
        <w:rPr/>
        <w:t>售股份数量为</w:t>
      </w:r>
      <w:r>
        <w:rPr>
          <w:rFonts w:ascii="Times New Roman" w:hAnsi="Times New Roman" w:cs="Times New Roman" w:eastAsia="Times New Roman" w:hint="default"/>
        </w:rPr>
        <w:t>138,029,900</w:t>
      </w:r>
      <w:r>
        <w:rPr/>
        <w:t>股，占总股本的</w:t>
      </w:r>
      <w:r>
        <w:rPr>
          <w:rFonts w:ascii="Times New Roman" w:hAnsi="Times New Roman" w:cs="Times New Roman" w:eastAsia="Times New Roman" w:hint="default"/>
        </w:rPr>
        <w:t>7.90%</w:t>
      </w:r>
      <w:r>
        <w:rPr/>
        <w:t>。</w:t>
      </w:r>
    </w:p>
    <w:p>
      <w:pPr>
        <w:pStyle w:val="Heading3"/>
        <w:spacing w:line="240" w:lineRule="auto" w:before="135"/>
        <w:ind w:right="1127"/>
        <w:jc w:val="left"/>
      </w:pPr>
      <w:bookmarkStart w:name="（十二）设立全资子公司四川旋极智能科技有限公司情况" w:id="175"/>
      <w:bookmarkEnd w:id="175"/>
      <w:r>
        <w:rPr/>
      </w:r>
      <w:r>
        <w:rPr/>
        <w:t>（十二）设立全资子公司四川旋极智能科技有限公司情况</w:t>
      </w:r>
    </w:p>
    <w:p>
      <w:pPr>
        <w:spacing w:line="240" w:lineRule="auto" w:before="10"/>
        <w:rPr>
          <w:rFonts w:ascii="黑体" w:hAnsi="黑体" w:cs="黑体" w:eastAsia="黑体" w:hint="default"/>
          <w:sz w:val="26"/>
          <w:szCs w:val="26"/>
        </w:rPr>
      </w:pPr>
    </w:p>
    <w:p>
      <w:pPr>
        <w:pStyle w:val="BodyText"/>
        <w:spacing w:line="338" w:lineRule="auto"/>
        <w:ind w:left="153" w:right="1128" w:firstLine="419"/>
        <w:jc w:val="both"/>
      </w:pP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日召开第四届董事会第三十一次会议，审议通过了《关于对外投资设立四川旋极</w:t>
      </w:r>
      <w:r>
        <w:rPr>
          <w:w w:val="100"/>
        </w:rPr>
        <w:t> </w:t>
      </w:r>
      <w:r>
        <w:rPr>
          <w:spacing w:val="-2"/>
        </w:rPr>
        <w:t>智能科技有限公司的议案》，董事会同意公司使用自筹资金</w:t>
      </w:r>
      <w:r>
        <w:rPr>
          <w:rFonts w:ascii="Times New Roman" w:hAnsi="Times New Roman" w:cs="Times New Roman" w:eastAsia="Times New Roman" w:hint="default"/>
          <w:spacing w:val="-2"/>
        </w:rPr>
        <w:t>20,000</w:t>
      </w:r>
      <w:r>
        <w:rPr>
          <w:spacing w:val="-2"/>
        </w:rPr>
        <w:t>万元投资设立全资子公司四川旋极智能</w:t>
      </w:r>
      <w:r>
        <w:rPr>
          <w:spacing w:val="-12"/>
        </w:rPr>
        <w:t> </w:t>
      </w:r>
      <w:r>
        <w:rPr>
          <w:spacing w:val="-12"/>
        </w:rPr>
      </w:r>
      <w:r>
        <w:rPr/>
        <w:t>科技有限公司。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日，四川旋极智能科技有限公司已完成工商登记手续。</w:t>
      </w:r>
    </w:p>
    <w:p>
      <w:pPr>
        <w:pStyle w:val="BodyText"/>
        <w:spacing w:line="240" w:lineRule="auto" w:before="22"/>
        <w:ind w:left="573" w:right="1127"/>
        <w:jc w:val="left"/>
      </w:pPr>
      <w:r>
        <w:rPr/>
        <w:t>上述内容详见公司在巨潮资讯网披露的相关公告。</w:t>
      </w:r>
    </w:p>
    <w:p>
      <w:pPr>
        <w:spacing w:line="240" w:lineRule="auto" w:before="11"/>
        <w:rPr>
          <w:rFonts w:ascii="宋体" w:hAnsi="宋体" w:cs="宋体" w:eastAsia="宋体" w:hint="default"/>
          <w:sz w:val="18"/>
          <w:szCs w:val="18"/>
        </w:rPr>
      </w:pPr>
    </w:p>
    <w:p>
      <w:pPr>
        <w:pStyle w:val="Heading3"/>
        <w:spacing w:line="240" w:lineRule="auto"/>
        <w:ind w:right="1127"/>
        <w:jc w:val="left"/>
      </w:pPr>
      <w:bookmarkStart w:name="（十三）对外投资进展情况" w:id="176"/>
      <w:bookmarkEnd w:id="176"/>
      <w:r>
        <w:rPr/>
      </w:r>
      <w:r>
        <w:rPr/>
        <w:t>（十三）对外投资进展情况</w:t>
      </w:r>
    </w:p>
    <w:p>
      <w:pPr>
        <w:spacing w:line="240" w:lineRule="auto" w:before="10"/>
        <w:rPr>
          <w:rFonts w:ascii="黑体" w:hAnsi="黑体" w:cs="黑体" w:eastAsia="黑体" w:hint="default"/>
          <w:sz w:val="26"/>
          <w:szCs w:val="26"/>
        </w:rPr>
      </w:pPr>
    </w:p>
    <w:p>
      <w:pPr>
        <w:pStyle w:val="BodyText"/>
        <w:spacing w:line="240" w:lineRule="auto"/>
        <w:ind w:right="1127"/>
        <w:jc w:val="left"/>
      </w:pPr>
      <w:r>
        <w:rPr>
          <w:rFonts w:ascii="Times New Roman" w:hAnsi="Times New Roman" w:cs="Times New Roman" w:eastAsia="Times New Roman" w:hint="default"/>
        </w:rPr>
        <w:t>1</w:t>
      </w:r>
      <w:r>
        <w:rPr/>
        <w:t>、北京华控产业投资基金投资进展</w:t>
      </w:r>
    </w:p>
    <w:p>
      <w:pPr>
        <w:spacing w:after="0" w:line="240" w:lineRule="auto"/>
        <w:jc w:val="left"/>
        <w:sectPr>
          <w:pgSz w:w="11910" w:h="16840"/>
          <w:pgMar w:header="0" w:footer="1134" w:top="1280" w:bottom="1320" w:left="980" w:right="0"/>
        </w:sectPr>
      </w:pPr>
    </w:p>
    <w:p>
      <w:pPr>
        <w:pStyle w:val="BodyText"/>
        <w:spacing w:line="345" w:lineRule="auto" w:before="112"/>
        <w:ind w:left="152" w:right="1128" w:firstLine="419"/>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月，北京华控产业基金的原有限合伙人华控科工（宁波梅山保税港区）股权投资基金合伙企</w:t>
      </w:r>
      <w:r>
        <w:rPr>
          <w:w w:val="100"/>
        </w:rPr>
        <w:t> </w:t>
      </w:r>
      <w:r>
        <w:rPr>
          <w:spacing w:val="-2"/>
        </w:rPr>
        <w:t>业（有限合伙）将全部出资份额转让给其关联企业嘉兴华控创跃股权投资合伙企业（有限合伙），公司放</w:t>
      </w:r>
      <w:r>
        <w:rPr>
          <w:spacing w:val="-43"/>
        </w:rPr>
        <w:t> </w:t>
      </w:r>
      <w:r>
        <w:rPr>
          <w:spacing w:val="-43"/>
        </w:rPr>
      </w:r>
      <w:r>
        <w:rPr/>
        <w:t>弃</w:t>
      </w:r>
      <w:r>
        <w:rPr>
          <w:rFonts w:ascii="Times New Roman" w:hAnsi="Times New Roman" w:cs="Times New Roman" w:eastAsia="Times New Roman" w:hint="default"/>
        </w:rPr>
        <w:t>1252.08</w:t>
      </w:r>
      <w:r>
        <w:rPr/>
        <w:t>万元出资额的优先购买权。</w:t>
      </w:r>
    </w:p>
    <w:p>
      <w:pPr>
        <w:pStyle w:val="BodyText"/>
        <w:spacing w:line="240" w:lineRule="auto" w:before="17"/>
        <w:ind w:right="1127"/>
        <w:jc w:val="left"/>
      </w:pPr>
      <w:r>
        <w:rPr>
          <w:rFonts w:ascii="Times New Roman" w:hAnsi="Times New Roman" w:cs="Times New Roman" w:eastAsia="Times New Roman" w:hint="default"/>
        </w:rPr>
        <w:t>2</w:t>
      </w:r>
      <w:r>
        <w:rPr/>
        <w:t>、百望股份有限公司投资进展</w:t>
      </w:r>
    </w:p>
    <w:p>
      <w:pPr>
        <w:pStyle w:val="BodyText"/>
        <w:spacing w:line="240" w:lineRule="auto" w:before="117"/>
        <w:ind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日，深圳朋灯共丰创业投资合伙企业（有限合伙）退出投资，百望股份进行减资；</w:t>
      </w:r>
      <w:r>
        <w:rPr>
          <w:rFonts w:ascii="Times New Roman" w:hAnsi="Times New Roman" w:cs="Times New Roman" w:eastAsia="Times New Roman" w:hint="default"/>
        </w:rPr>
        <w:t>2019</w:t>
      </w:r>
      <w:r>
        <w:rPr/>
        <w:t>年</w:t>
      </w:r>
    </w:p>
    <w:p>
      <w:pPr>
        <w:pStyle w:val="BodyText"/>
        <w:spacing w:line="338" w:lineRule="auto" w:before="117"/>
        <w:ind w:left="153" w:right="1127"/>
        <w:jc w:val="both"/>
      </w:pP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9</w:t>
      </w:r>
      <w:r>
        <w:rPr>
          <w:spacing w:val="-2"/>
        </w:rPr>
        <w:t>日，上海复星高科技（集团）有限公司、上海复星惟实一期股权投资基金合伙企业（有限合伙）等将</w:t>
      </w:r>
      <w:r>
        <w:rPr>
          <w:spacing w:val="-40"/>
        </w:rPr>
        <w:t> </w:t>
      </w:r>
      <w:r>
        <w:rPr>
          <w:spacing w:val="-40"/>
        </w:rPr>
      </w:r>
      <w:r>
        <w:rPr>
          <w:spacing w:val="-2"/>
        </w:rPr>
        <w:t>共</w:t>
      </w:r>
      <w:r>
        <w:rPr>
          <w:rFonts w:ascii="Times New Roman" w:hAnsi="Times New Roman" w:cs="Times New Roman" w:eastAsia="Times New Roman" w:hint="default"/>
          <w:spacing w:val="-2"/>
        </w:rPr>
        <w:t>10,000</w:t>
      </w:r>
      <w:r>
        <w:rPr>
          <w:spacing w:val="-2"/>
        </w:rPr>
        <w:t>万元借款转为增资款；</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日，深圳市创新投资集团有限公司、深圳富海股投邦六号投</w:t>
      </w:r>
      <w:r>
        <w:rPr>
          <w:spacing w:val="-4"/>
        </w:rPr>
        <w:t> </w:t>
      </w:r>
      <w:r>
        <w:rPr>
          <w:spacing w:val="-4"/>
        </w:rPr>
      </w:r>
      <w:r>
        <w:rPr>
          <w:spacing w:val="-2"/>
        </w:rPr>
        <w:t>资企业（有限合伙）等投资人共出资</w:t>
      </w:r>
      <w:r>
        <w:rPr>
          <w:rFonts w:ascii="Times New Roman" w:hAnsi="Times New Roman" w:cs="Times New Roman" w:eastAsia="Times New Roman" w:hint="default"/>
          <w:spacing w:val="-2"/>
        </w:rPr>
        <w:t>35,000</w:t>
      </w:r>
      <w:r>
        <w:rPr>
          <w:spacing w:val="-2"/>
        </w:rPr>
        <w:t>万元进行增资，上述事项完成后，公司持有百望股份比例变为</w:t>
      </w:r>
      <w:r>
        <w:rPr>
          <w:spacing w:val="-12"/>
        </w:rPr>
        <w:t> </w:t>
      </w:r>
      <w:r>
        <w:rPr>
          <w:spacing w:val="-12"/>
        </w:rPr>
      </w:r>
      <w:r>
        <w:rPr>
          <w:rFonts w:ascii="Times New Roman" w:hAnsi="Times New Roman" w:cs="Times New Roman" w:eastAsia="Times New Roman" w:hint="default"/>
        </w:rPr>
        <w:t>14.95%</w:t>
      </w:r>
      <w:r>
        <w:rPr/>
        <w:t>。</w:t>
      </w:r>
    </w:p>
    <w:p>
      <w:pPr>
        <w:pStyle w:val="BodyText"/>
        <w:spacing w:line="336" w:lineRule="auto" w:before="22"/>
        <w:ind w:left="573" w:right="1127"/>
        <w:jc w:val="left"/>
      </w:pPr>
      <w:r>
        <w:rPr>
          <w:rFonts w:ascii="Times New Roman" w:hAnsi="Times New Roman" w:cs="Times New Roman" w:eastAsia="Times New Roman" w:hint="default"/>
        </w:rPr>
        <w:t>3</w:t>
      </w:r>
      <w:r>
        <w:rPr/>
        <w:t>、伏羲科技投资进展</w:t>
      </w:r>
      <w:r>
        <w:rPr>
          <w:spacing w:val="-3"/>
          <w:w w:val="100"/>
        </w:rPr>
        <w:t> </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日召开第四届董事会第二十次会议，审议通过了《关于北京都在哪网讯科技有限</w:t>
      </w:r>
    </w:p>
    <w:p>
      <w:pPr>
        <w:pStyle w:val="BodyText"/>
        <w:spacing w:line="343" w:lineRule="auto" w:before="24"/>
        <w:ind w:left="153" w:right="1127"/>
        <w:jc w:val="left"/>
      </w:pPr>
      <w:r>
        <w:rPr>
          <w:spacing w:val="-2"/>
        </w:rPr>
        <w:t>公司业绩承诺变更的议案》，公司董事会同意豁免北京都在哪网讯科技有限公司（现名北京旋极伏羲科技</w:t>
      </w:r>
      <w:r>
        <w:rPr>
          <w:spacing w:val="-43"/>
        </w:rPr>
        <w:t> </w:t>
      </w:r>
      <w:r>
        <w:rPr>
          <w:spacing w:val="-43"/>
        </w:rPr>
      </w:r>
      <w:r>
        <w:rPr>
          <w:spacing w:val="-3"/>
        </w:rPr>
        <w:t>有限公司，以下简称</w:t>
      </w:r>
      <w:r>
        <w:rPr>
          <w:rFonts w:ascii="Times New Roman" w:hAnsi="Times New Roman" w:cs="Times New Roman" w:eastAsia="Times New Roman" w:hint="default"/>
          <w:spacing w:val="-3"/>
        </w:rPr>
        <w:t>“</w:t>
      </w:r>
      <w:r>
        <w:rPr>
          <w:spacing w:val="-3"/>
        </w:rPr>
        <w:t>伏羲科技</w:t>
      </w:r>
      <w:r>
        <w:rPr>
          <w:rFonts w:ascii="Times New Roman" w:hAnsi="Times New Roman" w:cs="Times New Roman" w:eastAsia="Times New Roman" w:hint="default"/>
          <w:spacing w:val="-3"/>
        </w:rPr>
        <w:t>”</w:t>
      </w:r>
      <w:r>
        <w:rPr>
          <w:spacing w:val="-3"/>
        </w:rPr>
        <w:t>）经营团队</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-2020</w:t>
      </w:r>
      <w:r>
        <w:rPr>
          <w:spacing w:val="-3"/>
        </w:rPr>
        <w:t>年业绩补偿义务，伏羲科技原股东将代替经营团队</w:t>
      </w:r>
      <w:r>
        <w:rPr>
          <w:spacing w:val="-33"/>
        </w:rPr>
        <w:t> </w:t>
      </w:r>
      <w:r>
        <w:rPr>
          <w:spacing w:val="-33"/>
        </w:rPr>
      </w:r>
      <w:r>
        <w:rPr/>
        <w:t>对上市公司进行补偿，其中</w:t>
      </w:r>
      <w:r>
        <w:rPr>
          <w:rFonts w:ascii="Times New Roman" w:hAnsi="Times New Roman" w:cs="Times New Roman" w:eastAsia="Times New Roman" w:hint="default"/>
        </w:rPr>
        <w:t>2018</w:t>
      </w:r>
      <w:r>
        <w:rPr/>
        <w:t>年补偿款共计</w:t>
      </w:r>
      <w:r>
        <w:rPr>
          <w:rFonts w:ascii="Times New Roman" w:hAnsi="Times New Roman" w:cs="Times New Roman" w:eastAsia="Times New Roman" w:hint="default"/>
        </w:rPr>
        <w:t>3,678,756.4125</w:t>
      </w:r>
      <w:r>
        <w:rPr/>
        <w:t>元。目前公司已收到原股东的赔偿款共计</w:t>
      </w:r>
      <w:r>
        <w:rPr>
          <w:w w:val="100"/>
        </w:rPr>
        <w:t> </w:t>
      </w:r>
      <w:r>
        <w:rPr>
          <w:rFonts w:ascii="Times New Roman" w:hAnsi="Times New Roman" w:cs="Times New Roman" w:eastAsia="Times New Roman" w:hint="default"/>
        </w:rPr>
        <w:t>3,678,756.85</w:t>
      </w:r>
      <w:r>
        <w:rPr/>
        <w:t>元。本议案已经</w:t>
      </w:r>
      <w:r>
        <w:rPr>
          <w:rFonts w:ascii="Times New Roman" w:hAnsi="Times New Roman" w:cs="Times New Roman" w:eastAsia="Times New Roman" w:hint="default"/>
        </w:rPr>
        <w:t>2019</w:t>
      </w:r>
      <w:r>
        <w:rPr/>
        <w:t>年第二次临时股东大会审议通过。</w:t>
      </w:r>
    </w:p>
    <w:p>
      <w:pPr>
        <w:pStyle w:val="BodyText"/>
        <w:spacing w:line="338" w:lineRule="auto" w:before="17"/>
        <w:ind w:left="153" w:right="1160" w:firstLine="419"/>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月，伏羲科技引入新股东高小离，投资额</w:t>
      </w:r>
      <w:r>
        <w:rPr>
          <w:rFonts w:ascii="Times New Roman" w:hAnsi="Times New Roman" w:cs="Times New Roman" w:eastAsia="Times New Roman" w:hint="default"/>
          <w:spacing w:val="-2"/>
        </w:rPr>
        <w:t>1000</w:t>
      </w:r>
      <w:r>
        <w:rPr>
          <w:spacing w:val="-2"/>
        </w:rPr>
        <w:t>万元，投前估值</w:t>
      </w:r>
      <w:r>
        <w:rPr>
          <w:rFonts w:ascii="Times New Roman" w:hAnsi="Times New Roman" w:cs="Times New Roman" w:eastAsia="Times New Roman" w:hint="default"/>
          <w:spacing w:val="-2"/>
        </w:rPr>
        <w:t>2.8</w:t>
      </w:r>
      <w:r>
        <w:rPr>
          <w:spacing w:val="-2"/>
        </w:rPr>
        <w:t>亿元。投资完成后，新股东</w:t>
      </w:r>
      <w:r>
        <w:rPr>
          <w:w w:val="100"/>
        </w:rPr>
        <w:t> </w:t>
      </w:r>
      <w:r>
        <w:rPr>
          <w:spacing w:val="-2"/>
        </w:rPr>
        <w:t>占伏羲科技</w:t>
      </w:r>
      <w:r>
        <w:rPr>
          <w:rFonts w:ascii="Times New Roman" w:hAnsi="Times New Roman" w:cs="Times New Roman" w:eastAsia="Times New Roman" w:hint="default"/>
          <w:spacing w:val="-2"/>
        </w:rPr>
        <w:t>3.45%</w:t>
      </w:r>
      <w:r>
        <w:rPr>
          <w:spacing w:val="-2"/>
        </w:rPr>
        <w:t>股权，其中</w:t>
      </w:r>
      <w:r>
        <w:rPr>
          <w:rFonts w:ascii="Times New Roman" w:hAnsi="Times New Roman" w:cs="Times New Roman" w:eastAsia="Times New Roman" w:hint="default"/>
          <w:spacing w:val="-2"/>
        </w:rPr>
        <w:t>42.02</w:t>
      </w:r>
      <w:r>
        <w:rPr>
          <w:spacing w:val="-2"/>
        </w:rPr>
        <w:t>万元记入注册资本，</w:t>
      </w:r>
      <w:r>
        <w:rPr>
          <w:rFonts w:ascii="Times New Roman" w:hAnsi="Times New Roman" w:cs="Times New Roman" w:eastAsia="Times New Roman" w:hint="default"/>
          <w:spacing w:val="-2"/>
        </w:rPr>
        <w:t>957.98</w:t>
      </w:r>
      <w:r>
        <w:rPr>
          <w:spacing w:val="-2"/>
        </w:rPr>
        <w:t>万元计入资本公积。按照协议约定，</w:t>
      </w:r>
      <w:r>
        <w:rPr>
          <w:rFonts w:ascii="Times New Roman" w:hAnsi="Times New Roman" w:cs="Times New Roman" w:eastAsia="Times New Roman" w:hint="default"/>
          <w:spacing w:val="-2"/>
        </w:rPr>
        <w:t>12</w:t>
      </w:r>
      <w:r>
        <w:rPr>
          <w:spacing w:val="-2"/>
        </w:rPr>
        <w:t>月底</w:t>
      </w:r>
      <w:r>
        <w:rPr>
          <w:spacing w:val="-10"/>
        </w:rPr>
        <w:t> </w:t>
      </w:r>
      <w:r>
        <w:rPr/>
        <w:t>已完成首期</w:t>
      </w:r>
      <w:r>
        <w:rPr>
          <w:rFonts w:ascii="Times New Roman" w:hAnsi="Times New Roman" w:cs="Times New Roman" w:eastAsia="Times New Roman" w:hint="default"/>
        </w:rPr>
        <w:t>200</w:t>
      </w:r>
      <w:r>
        <w:rPr/>
        <w:t>万入资。</w:t>
      </w:r>
    </w:p>
    <w:p>
      <w:pPr>
        <w:pStyle w:val="BodyText"/>
        <w:spacing w:line="240" w:lineRule="auto" w:before="120"/>
        <w:ind w:left="573" w:right="1127"/>
        <w:jc w:val="left"/>
      </w:pPr>
      <w:r>
        <w:rPr>
          <w:rFonts w:ascii="Times New Roman" w:hAnsi="Times New Roman" w:cs="Times New Roman" w:eastAsia="Times New Roman" w:hint="default"/>
        </w:rPr>
        <w:t>4</w:t>
      </w:r>
      <w:r>
        <w:rPr/>
        <w:t>、旋极伏羲投资进展</w:t>
      </w:r>
    </w:p>
    <w:p>
      <w:pPr>
        <w:spacing w:line="240" w:lineRule="auto" w:before="9"/>
        <w:rPr>
          <w:rFonts w:ascii="宋体" w:hAnsi="宋体" w:cs="宋体" w:eastAsia="宋体" w:hint="default"/>
          <w:sz w:val="16"/>
          <w:szCs w:val="16"/>
        </w:rPr>
      </w:pPr>
    </w:p>
    <w:p>
      <w:pPr>
        <w:pStyle w:val="BodyText"/>
        <w:spacing w:line="338" w:lineRule="auto"/>
        <w:ind w:left="153" w:right="0" w:firstLine="419"/>
        <w:jc w:val="left"/>
      </w:pP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31</w:t>
      </w:r>
      <w:r>
        <w:rPr>
          <w:spacing w:val="-6"/>
        </w:rPr>
        <w:t>日，旋极伏羲、旋极伏羲原股东与四川北新大弘置业集团有限公司（以下简称</w:t>
      </w:r>
      <w:r>
        <w:rPr>
          <w:rFonts w:ascii="Times New Roman" w:hAnsi="Times New Roman" w:cs="Times New Roman" w:eastAsia="Times New Roman" w:hint="default"/>
          <w:spacing w:val="-6"/>
        </w:rPr>
        <w:t>“</w:t>
      </w:r>
      <w:r>
        <w:rPr>
          <w:spacing w:val="-6"/>
        </w:rPr>
        <w:t>北新大弘</w:t>
      </w:r>
      <w:r>
        <w:rPr>
          <w:rFonts w:ascii="Times New Roman" w:hAnsi="Times New Roman" w:cs="Times New Roman" w:eastAsia="Times New Roman" w:hint="default"/>
          <w:spacing w:val="-6"/>
        </w:rPr>
        <w:t>”</w:t>
      </w:r>
      <w:r>
        <w:rPr>
          <w:spacing w:val="-6"/>
        </w:rPr>
        <w:t>）</w:t>
      </w:r>
      <w:r>
        <w:rPr>
          <w:w w:val="100"/>
        </w:rPr>
        <w:t> </w:t>
      </w:r>
      <w:r>
        <w:rPr>
          <w:spacing w:val="-3"/>
        </w:rPr>
        <w:t>签订《增资扩股协议》，旋极伏羲通过增资扩股的方式向北新大弘融资</w:t>
      </w:r>
      <w:r>
        <w:rPr>
          <w:rFonts w:ascii="Times New Roman" w:hAnsi="Times New Roman" w:cs="Times New Roman" w:eastAsia="Times New Roman" w:hint="default"/>
          <w:spacing w:val="-3"/>
        </w:rPr>
        <w:t>8,000</w:t>
      </w:r>
      <w:r>
        <w:rPr>
          <w:spacing w:val="-3"/>
        </w:rPr>
        <w:t>万元，其他股东放弃优先认购</w:t>
      </w:r>
      <w:r>
        <w:rPr>
          <w:spacing w:val="-43"/>
        </w:rPr>
        <w:t> </w:t>
      </w:r>
      <w:r>
        <w:rPr>
          <w:spacing w:val="-43"/>
        </w:rPr>
      </w:r>
      <w:r>
        <w:rPr/>
        <w:t>权。增资完成后，北新大弘持有旋极伏羲</w:t>
      </w:r>
      <w:r>
        <w:rPr>
          <w:rFonts w:ascii="Times New Roman" w:hAnsi="Times New Roman" w:cs="Times New Roman" w:eastAsia="Times New Roman" w:hint="default"/>
        </w:rPr>
        <w:t>27.5862%</w:t>
      </w:r>
      <w:r>
        <w:rPr/>
        <w:t>股权，公司持有旋极伏羲</w:t>
      </w:r>
      <w:r>
        <w:rPr>
          <w:rFonts w:ascii="Times New Roman" w:hAnsi="Times New Roman" w:cs="Times New Roman" w:eastAsia="Times New Roman" w:hint="default"/>
        </w:rPr>
        <w:t>46.3448%</w:t>
      </w:r>
      <w:r>
        <w:rPr/>
        <w:t>股权。</w:t>
      </w:r>
    </w:p>
    <w:p>
      <w:pPr>
        <w:pStyle w:val="BodyText"/>
        <w:spacing w:line="240" w:lineRule="auto" w:before="22"/>
        <w:ind w:left="574" w:right="1127"/>
        <w:jc w:val="left"/>
      </w:pPr>
      <w:r>
        <w:rPr/>
        <w:t>上述内容详见公司在巨潮资讯网披露的相关公告。</w:t>
      </w:r>
    </w:p>
    <w:p>
      <w:pPr>
        <w:spacing w:line="240" w:lineRule="auto" w:before="11"/>
        <w:rPr>
          <w:rFonts w:ascii="宋体" w:hAnsi="宋体" w:cs="宋体" w:eastAsia="宋体" w:hint="default"/>
          <w:sz w:val="18"/>
          <w:szCs w:val="18"/>
        </w:rPr>
      </w:pPr>
    </w:p>
    <w:p>
      <w:pPr>
        <w:pStyle w:val="Heading3"/>
        <w:spacing w:line="240" w:lineRule="auto"/>
        <w:ind w:right="1127"/>
        <w:jc w:val="left"/>
      </w:pPr>
      <w:bookmarkStart w:name="（十四）董事长、董事及监事变更情况" w:id="177"/>
      <w:bookmarkEnd w:id="177"/>
      <w:r>
        <w:rPr/>
      </w:r>
      <w:r>
        <w:rPr/>
        <w:t>（十四）董事长、董事及监事变更情况</w:t>
      </w:r>
    </w:p>
    <w:p>
      <w:pPr>
        <w:spacing w:line="240" w:lineRule="auto" w:before="12"/>
        <w:rPr>
          <w:rFonts w:ascii="黑体" w:hAnsi="黑体" w:cs="黑体" w:eastAsia="黑体" w:hint="default"/>
          <w:sz w:val="26"/>
          <w:szCs w:val="26"/>
        </w:rPr>
      </w:pPr>
    </w:p>
    <w:p>
      <w:pPr>
        <w:pStyle w:val="BodyText"/>
        <w:spacing w:line="345" w:lineRule="auto"/>
        <w:ind w:left="153" w:right="1127" w:firstLine="419"/>
        <w:jc w:val="left"/>
      </w:pPr>
      <w:r>
        <w:rPr/>
        <w:t>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日召开第四届董事会第三十三次会议，审议通过了《关于提名第四届董事会董事</w:t>
      </w:r>
      <w:r>
        <w:rPr>
          <w:w w:val="100"/>
        </w:rPr>
        <w:t> </w:t>
      </w:r>
      <w:r>
        <w:rPr>
          <w:spacing w:val="-2"/>
        </w:rPr>
        <w:t>候选人的议案》，董事会同意提名姜平先生为公司第四届董事会董事候选人，任期自股东大会审议通过之</w:t>
      </w:r>
      <w:r>
        <w:rPr>
          <w:spacing w:val="-44"/>
        </w:rPr>
        <w:t> </w:t>
      </w:r>
      <w:r>
        <w:rPr>
          <w:spacing w:val="-44"/>
        </w:rPr>
      </w:r>
      <w:r>
        <w:rPr/>
        <w:t>日起至第四届董事会任期届满时止。本议案已经</w:t>
      </w:r>
      <w:r>
        <w:rPr>
          <w:rFonts w:ascii="Times New Roman" w:hAnsi="Times New Roman" w:cs="Times New Roman" w:eastAsia="Times New Roman" w:hint="default"/>
        </w:rPr>
        <w:t>2020</w:t>
      </w:r>
      <w:r>
        <w:rPr/>
        <w:t>年第二次临时股东大会审议通过。</w:t>
      </w:r>
    </w:p>
    <w:p>
      <w:pPr>
        <w:pStyle w:val="BodyText"/>
        <w:spacing w:line="348" w:lineRule="auto" w:before="15"/>
        <w:ind w:left="153" w:right="1127" w:firstLine="419"/>
        <w:jc w:val="left"/>
      </w:pPr>
      <w:r>
        <w:rPr/>
        <w:t>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日召开第四届监事会第十八次会议，审议通过了《关于提名第四届监事会非职工</w:t>
      </w:r>
      <w:r>
        <w:rPr>
          <w:w w:val="100"/>
        </w:rPr>
        <w:t> </w:t>
      </w:r>
      <w:r>
        <w:rPr>
          <w:spacing w:val="-2"/>
        </w:rPr>
        <w:t>代表监事候选人的议案》及《关于选举第四届监事会主席的议案》，监事会同意提名宋捷先生为第四届监</w:t>
      </w:r>
      <w:r>
        <w:rPr>
          <w:spacing w:val="-47"/>
        </w:rPr>
        <w:t> </w:t>
      </w:r>
      <w:r>
        <w:rPr>
          <w:spacing w:val="-47"/>
        </w:rPr>
      </w:r>
      <w:r>
        <w:rPr>
          <w:spacing w:val="-2"/>
        </w:rPr>
        <w:t>事会非职工代表监事候选人，任期自股东大会审议通过之日起至第四届监事会任期届满时止，本议案已经</w:t>
      </w:r>
      <w:r>
        <w:rPr>
          <w:spacing w:val="-42"/>
        </w:rPr>
        <w:t> </w:t>
      </w:r>
      <w:r>
        <w:rPr>
          <w:spacing w:val="-42"/>
        </w:rPr>
      </w:r>
      <w:r>
        <w:rPr>
          <w:rFonts w:ascii="Times New Roman" w:hAnsi="Times New Roman" w:cs="Times New Roman" w:eastAsia="Times New Roman" w:hint="default"/>
          <w:spacing w:val="-2"/>
        </w:rPr>
        <w:t>2020</w:t>
      </w:r>
      <w:r>
        <w:rPr>
          <w:spacing w:val="-2"/>
        </w:rPr>
        <w:t>年第二次临时股东大会审议通过。监事会同意选举职工代表监事夏林为第四届监事会主席，任期自监</w:t>
      </w:r>
      <w:r>
        <w:rPr>
          <w:spacing w:val="-38"/>
        </w:rPr>
        <w:t> </w:t>
      </w:r>
      <w:r>
        <w:rPr>
          <w:spacing w:val="-38"/>
        </w:rPr>
      </w:r>
      <w:r>
        <w:rPr/>
        <w:t>事会审议通过之日起至第四届监事会任期届满时止。</w:t>
      </w:r>
    </w:p>
    <w:p>
      <w:pPr>
        <w:pStyle w:val="BodyText"/>
        <w:spacing w:line="240" w:lineRule="auto" w:before="38"/>
        <w:ind w:left="573" w:right="0"/>
        <w:jc w:val="left"/>
      </w:pPr>
      <w:r>
        <w:rPr/>
        <w:t>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日召开第四届董事会第三十六次会议，审议通过了《关于变更第四届董事会董事长</w:t>
      </w:r>
    </w:p>
    <w:p>
      <w:pPr>
        <w:spacing w:after="0" w:line="240" w:lineRule="auto"/>
        <w:jc w:val="left"/>
        <w:sectPr>
          <w:pgSz w:w="11910" w:h="16840"/>
          <w:pgMar w:header="0" w:footer="1134" w:top="1280" w:bottom="1320" w:left="980" w:right="0"/>
        </w:sectPr>
      </w:pPr>
    </w:p>
    <w:p>
      <w:pPr>
        <w:pStyle w:val="BodyText"/>
        <w:spacing w:line="355" w:lineRule="auto" w:before="112"/>
        <w:ind w:left="152" w:right="1128"/>
        <w:jc w:val="both"/>
      </w:pPr>
      <w:r>
        <w:rPr>
          <w:spacing w:val="-2"/>
        </w:rPr>
        <w:t>的议案》，董事会同意选举姜平先生为公司第四届董事会董事长，任期自本次董事会决议之日起至第四届</w:t>
      </w:r>
      <w:r>
        <w:rPr>
          <w:spacing w:val="-44"/>
        </w:rPr>
        <w:t> </w:t>
      </w:r>
      <w:r>
        <w:rPr>
          <w:spacing w:val="-44"/>
        </w:rPr>
      </w:r>
      <w:r>
        <w:rPr/>
        <w:t>董事会任期届满之日止。</w:t>
      </w:r>
    </w:p>
    <w:p>
      <w:pPr>
        <w:pStyle w:val="BodyText"/>
        <w:spacing w:line="240" w:lineRule="auto" w:before="32"/>
        <w:ind w:right="1127"/>
        <w:jc w:val="left"/>
      </w:pPr>
      <w:r>
        <w:rPr/>
        <w:t>上述内容详见公司在巨潮资讯网披露的相关公告。</w:t>
      </w:r>
    </w:p>
    <w:p>
      <w:pPr>
        <w:spacing w:line="240" w:lineRule="auto" w:before="0"/>
        <w:rPr>
          <w:rFonts w:ascii="宋体" w:hAnsi="宋体" w:cs="宋体" w:eastAsia="宋体" w:hint="default"/>
          <w:sz w:val="20"/>
          <w:szCs w:val="20"/>
        </w:rPr>
      </w:pPr>
    </w:p>
    <w:p>
      <w:pPr>
        <w:pStyle w:val="Heading2"/>
        <w:spacing w:line="240" w:lineRule="auto" w:before="167"/>
        <w:ind w:right="0"/>
        <w:jc w:val="both"/>
        <w:rPr>
          <w:b w:val="0"/>
          <w:bCs w:val="0"/>
        </w:rPr>
      </w:pPr>
      <w:bookmarkStart w:name="十九、公司子公司重大事项" w:id="178"/>
      <w:bookmarkEnd w:id="178"/>
      <w:r>
        <w:rPr>
          <w:b w:val="0"/>
          <w:bCs w:val="0"/>
        </w:rPr>
      </w:r>
      <w:r>
        <w:rPr/>
        <w:t>十九、公司子公司重大事项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17"/>
          <w:szCs w:val="17"/>
        </w:rPr>
      </w:pPr>
    </w:p>
    <w:p>
      <w:pPr>
        <w:pStyle w:val="Heading3"/>
        <w:spacing w:line="240" w:lineRule="auto"/>
        <w:ind w:right="1127"/>
        <w:jc w:val="left"/>
      </w:pPr>
      <w:bookmarkStart w:name="（一）泰豪智能购买北京泰豪智能科技有限公司100%股权事项" w:id="179"/>
      <w:bookmarkEnd w:id="179"/>
      <w:r>
        <w:rPr/>
      </w:r>
      <w:r>
        <w:rPr/>
        <w:t>（一）泰豪智能购买北京泰豪智能科技有限公司</w:t>
      </w:r>
      <w:r>
        <w:rPr>
          <w:spacing w:val="-61"/>
        </w:rPr>
        <w:t> </w:t>
      </w:r>
      <w:r>
        <w:rPr>
          <w:rFonts w:ascii="Times New Roman" w:hAnsi="Times New Roman" w:cs="Times New Roman" w:eastAsia="Times New Roman" w:hint="default"/>
        </w:rPr>
        <w:t>100%</w:t>
      </w:r>
      <w:r>
        <w:rPr/>
        <w:t>股权事项</w:t>
      </w:r>
    </w:p>
    <w:p>
      <w:pPr>
        <w:spacing w:line="240" w:lineRule="auto" w:before="4"/>
        <w:rPr>
          <w:rFonts w:ascii="黑体" w:hAnsi="黑体" w:cs="黑体" w:eastAsia="黑体" w:hint="default"/>
          <w:sz w:val="25"/>
          <w:szCs w:val="25"/>
        </w:rPr>
      </w:pPr>
    </w:p>
    <w:p>
      <w:pPr>
        <w:pStyle w:val="BodyText"/>
        <w:spacing w:line="338" w:lineRule="auto"/>
        <w:ind w:left="152" w:right="1127" w:firstLine="419"/>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日，公司召开第四届董事会第二十三次会议，审议通过了《关于签署股权收购意向书的</w:t>
      </w:r>
      <w:r>
        <w:rPr>
          <w:w w:val="100"/>
        </w:rPr>
        <w:t> </w:t>
      </w:r>
      <w:r>
        <w:rPr>
          <w:spacing w:val="-2"/>
        </w:rPr>
        <w:t>议案》，董事会同意泰豪智能与泰豪集团有限公司（以下简称</w:t>
      </w:r>
      <w:r>
        <w:rPr>
          <w:rFonts w:ascii="Times New Roman" w:hAnsi="Times New Roman" w:cs="Times New Roman" w:eastAsia="Times New Roman" w:hint="default"/>
          <w:spacing w:val="-2"/>
        </w:rPr>
        <w:t>“</w:t>
      </w:r>
      <w:r>
        <w:rPr>
          <w:spacing w:val="-2"/>
        </w:rPr>
        <w:t>泰豪集团</w:t>
      </w:r>
      <w:r>
        <w:rPr>
          <w:rFonts w:ascii="Times New Roman" w:hAnsi="Times New Roman" w:cs="Times New Roman" w:eastAsia="Times New Roman" w:hint="default"/>
          <w:spacing w:val="-2"/>
        </w:rPr>
        <w:t>”</w:t>
      </w:r>
      <w:r>
        <w:rPr>
          <w:spacing w:val="-2"/>
        </w:rPr>
        <w:t>）、北京汇金茗枫投资有限公司</w:t>
      </w:r>
    </w:p>
    <w:p>
      <w:pPr>
        <w:pStyle w:val="BodyText"/>
        <w:spacing w:line="336" w:lineRule="auto" w:before="22"/>
        <w:ind w:left="152" w:right="1152"/>
        <w:jc w:val="both"/>
      </w:pPr>
      <w:r>
        <w:rPr>
          <w:spacing w:val="-2"/>
        </w:rPr>
        <w:t>（以下简称</w:t>
      </w:r>
      <w:r>
        <w:rPr>
          <w:rFonts w:ascii="Times New Roman" w:hAnsi="Times New Roman" w:cs="Times New Roman" w:eastAsia="Times New Roman" w:hint="default"/>
          <w:spacing w:val="-2"/>
        </w:rPr>
        <w:t>“</w:t>
      </w:r>
      <w:r>
        <w:rPr>
          <w:spacing w:val="-2"/>
        </w:rPr>
        <w:t>汇金茗枫</w:t>
      </w:r>
      <w:r>
        <w:rPr>
          <w:rFonts w:ascii="Times New Roman" w:hAnsi="Times New Roman" w:cs="Times New Roman" w:eastAsia="Times New Roman" w:hint="default"/>
          <w:spacing w:val="-2"/>
        </w:rPr>
        <w:t>”</w:t>
      </w:r>
      <w:r>
        <w:rPr>
          <w:spacing w:val="-2"/>
        </w:rPr>
        <w:t>）、国华安邦有限公司（以下简称</w:t>
      </w:r>
      <w:r>
        <w:rPr>
          <w:rFonts w:ascii="Times New Roman" w:hAnsi="Times New Roman" w:cs="Times New Roman" w:eastAsia="Times New Roman" w:hint="default"/>
          <w:spacing w:val="-2"/>
        </w:rPr>
        <w:t>“</w:t>
      </w:r>
      <w:r>
        <w:rPr>
          <w:spacing w:val="-2"/>
        </w:rPr>
        <w:t>国华安邦</w:t>
      </w:r>
      <w:r>
        <w:rPr>
          <w:rFonts w:ascii="Times New Roman" w:hAnsi="Times New Roman" w:cs="Times New Roman" w:eastAsia="Times New Roman" w:hint="default"/>
          <w:spacing w:val="-2"/>
        </w:rPr>
        <w:t>”</w:t>
      </w:r>
      <w:r>
        <w:rPr>
          <w:spacing w:val="-2"/>
        </w:rPr>
        <w:t>）签订《股权收购之收购意向书》，</w:t>
      </w:r>
      <w:r>
        <w:rPr>
          <w:spacing w:val="-20"/>
        </w:rPr>
        <w:t> </w:t>
      </w:r>
      <w:r>
        <w:rPr>
          <w:spacing w:val="-20"/>
        </w:rPr>
      </w:r>
      <w:r>
        <w:rPr>
          <w:spacing w:val="-2"/>
        </w:rPr>
        <w:t>泰豪智能拟购买北京泰豪智能科技有限公司（以下简称</w:t>
      </w:r>
      <w:r>
        <w:rPr>
          <w:rFonts w:ascii="Times New Roman" w:hAnsi="Times New Roman" w:cs="Times New Roman" w:eastAsia="Times New Roman" w:hint="default"/>
          <w:spacing w:val="-2"/>
        </w:rPr>
        <w:t>“</w:t>
      </w:r>
      <w:r>
        <w:rPr>
          <w:spacing w:val="-2"/>
        </w:rPr>
        <w:t>智能科技</w:t>
      </w:r>
      <w:r>
        <w:rPr>
          <w:rFonts w:ascii="Times New Roman" w:hAnsi="Times New Roman" w:cs="Times New Roman" w:eastAsia="Times New Roman" w:hint="default"/>
          <w:spacing w:val="-2"/>
        </w:rPr>
        <w:t>”</w:t>
      </w:r>
      <w:r>
        <w:rPr>
          <w:spacing w:val="-2"/>
        </w:rPr>
        <w:t>）不低于</w:t>
      </w:r>
      <w:r>
        <w:rPr>
          <w:rFonts w:ascii="Times New Roman" w:hAnsi="Times New Roman" w:cs="Times New Roman" w:eastAsia="Times New Roman" w:hint="default"/>
          <w:spacing w:val="-2"/>
        </w:rPr>
        <w:t>51%</w:t>
      </w:r>
      <w:r>
        <w:rPr>
          <w:spacing w:val="-2"/>
        </w:rPr>
        <w:t>股权，并向泰豪集团、汇</w:t>
      </w:r>
      <w:r>
        <w:rPr>
          <w:spacing w:val="-18"/>
        </w:rPr>
        <w:t> </w:t>
      </w:r>
      <w:r>
        <w:rPr>
          <w:spacing w:val="-18"/>
        </w:rPr>
      </w:r>
      <w:r>
        <w:rPr>
          <w:spacing w:val="-2"/>
        </w:rPr>
        <w:t>金茗枫、国华安邦支付</w:t>
      </w:r>
      <w:r>
        <w:rPr>
          <w:rFonts w:ascii="Times New Roman" w:hAnsi="Times New Roman" w:cs="Times New Roman" w:eastAsia="Times New Roman" w:hint="default"/>
          <w:spacing w:val="-2"/>
        </w:rPr>
        <w:t>1</w:t>
      </w:r>
      <w:r>
        <w:rPr>
          <w:spacing w:val="-2"/>
        </w:rPr>
        <w:t>亿元意向金，</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日，公司召开</w:t>
      </w:r>
      <w:r>
        <w:rPr>
          <w:rFonts w:ascii="Times New Roman" w:hAnsi="Times New Roman" w:cs="Times New Roman" w:eastAsia="Times New Roman" w:hint="default"/>
          <w:spacing w:val="-2"/>
        </w:rPr>
        <w:t>2019</w:t>
      </w:r>
      <w:r>
        <w:rPr>
          <w:spacing w:val="-2"/>
        </w:rPr>
        <w:t>年第三次临时股东大会，审议通过了</w:t>
      </w:r>
      <w:r>
        <w:rPr>
          <w:spacing w:val="-12"/>
        </w:rPr>
        <w:t> </w:t>
      </w:r>
      <w:r>
        <w:rPr>
          <w:spacing w:val="-12"/>
        </w:rPr>
      </w:r>
      <w:r>
        <w:rPr/>
        <w:t>上述议案。</w:t>
      </w:r>
    </w:p>
    <w:p>
      <w:pPr>
        <w:pStyle w:val="BodyText"/>
        <w:spacing w:line="340" w:lineRule="auto" w:before="51"/>
        <w:ind w:left="152" w:right="0" w:firstLine="419"/>
        <w:jc w:val="left"/>
      </w:pP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14</w:t>
      </w:r>
      <w:r>
        <w:rPr>
          <w:spacing w:val="-2"/>
        </w:rPr>
        <w:t>日召开第四届董事会第二十六次会议，审议通过了《关于全资子公司购买北京泰</w:t>
      </w:r>
      <w:r>
        <w:rPr>
          <w:w w:val="100"/>
        </w:rPr>
        <w:t> </w:t>
      </w:r>
      <w:r>
        <w:rPr>
          <w:spacing w:val="-3"/>
        </w:rPr>
        <w:t>豪智能科技有限公司</w:t>
      </w:r>
      <w:r>
        <w:rPr>
          <w:rFonts w:ascii="Times New Roman" w:hAnsi="Times New Roman" w:cs="Times New Roman" w:eastAsia="Times New Roman" w:hint="default"/>
          <w:spacing w:val="-3"/>
        </w:rPr>
        <w:t>100%</w:t>
      </w:r>
      <w:r>
        <w:rPr>
          <w:spacing w:val="-3"/>
        </w:rPr>
        <w:t>股权的议案》，同意泰豪智能以自筹资金</w:t>
      </w:r>
      <w:r>
        <w:rPr>
          <w:rFonts w:ascii="Times New Roman" w:hAnsi="Times New Roman" w:cs="Times New Roman" w:eastAsia="Times New Roman" w:hint="default"/>
          <w:spacing w:val="-3"/>
        </w:rPr>
        <w:t>834,90</w:t>
      </w:r>
      <w:r>
        <w:rPr>
          <w:spacing w:val="-3"/>
        </w:rPr>
        <w:t>万元向泰豪集团、汇金茗枫、国 </w:t>
      </w:r>
      <w:r>
        <w:rPr>
          <w:spacing w:val="-2"/>
        </w:rPr>
        <w:t>华安邦购买智能科技</w:t>
      </w:r>
      <w:r>
        <w:rPr>
          <w:rFonts w:ascii="Times New Roman" w:hAnsi="Times New Roman" w:cs="Times New Roman" w:eastAsia="Times New Roman" w:hint="default"/>
          <w:spacing w:val="-2"/>
        </w:rPr>
        <w:t>100%</w:t>
      </w:r>
      <w:r>
        <w:rPr>
          <w:spacing w:val="-2"/>
        </w:rPr>
        <w:t>股权。泰豪智能最终意向为购买智能科技所持有的房产及土地，在购买日之前，</w:t>
      </w:r>
      <w:r>
        <w:rPr>
          <w:spacing w:val="-18"/>
        </w:rPr>
        <w:t> </w:t>
      </w:r>
      <w:r>
        <w:rPr>
          <w:spacing w:val="-18"/>
        </w:rPr>
      </w:r>
      <w:r>
        <w:rPr>
          <w:spacing w:val="-2"/>
        </w:rPr>
        <w:t>智能科技已剥离除房产和土地以外的其他资产和负债，保留与房产和土地相关的债权和债务。本议案已经</w:t>
      </w:r>
      <w:r>
        <w:rPr>
          <w:spacing w:val="-42"/>
        </w:rPr>
        <w:t> </w:t>
      </w:r>
      <w:r>
        <w:rPr>
          <w:spacing w:val="-42"/>
        </w:rPr>
      </w:r>
      <w:r>
        <w:rPr>
          <w:rFonts w:ascii="Times New Roman" w:hAnsi="Times New Roman" w:cs="Times New Roman" w:eastAsia="Times New Roman" w:hint="default"/>
        </w:rPr>
        <w:t>2019</w:t>
      </w:r>
      <w:r>
        <w:rPr/>
        <w:t>年第四次临时股东大会审议通过。</w:t>
      </w:r>
    </w:p>
    <w:p>
      <w:pPr>
        <w:pStyle w:val="BodyText"/>
        <w:spacing w:line="240" w:lineRule="auto" w:before="22"/>
        <w:ind w:left="573" w:right="1127"/>
        <w:jc w:val="left"/>
      </w:pPr>
      <w:r>
        <w:rPr/>
        <w:t>上述内容详见公司在巨潮资讯网披露的相关公告。</w:t>
      </w:r>
    </w:p>
    <w:p>
      <w:pPr>
        <w:spacing w:line="240" w:lineRule="auto" w:before="11"/>
        <w:rPr>
          <w:rFonts w:ascii="宋体" w:hAnsi="宋体" w:cs="宋体" w:eastAsia="宋体" w:hint="default"/>
          <w:sz w:val="18"/>
          <w:szCs w:val="18"/>
        </w:rPr>
      </w:pPr>
    </w:p>
    <w:p>
      <w:pPr>
        <w:pStyle w:val="Heading3"/>
        <w:spacing w:line="240" w:lineRule="auto"/>
        <w:ind w:right="1127"/>
        <w:jc w:val="left"/>
      </w:pPr>
      <w:bookmarkStart w:name="（二）旋极伏羲投资设立旋极伏羲（福州）大数据技术有限公司" w:id="180"/>
      <w:bookmarkEnd w:id="180"/>
      <w:r>
        <w:rPr/>
      </w:r>
      <w:r>
        <w:rPr/>
        <w:t>（二）旋极伏羲投资设立旋极伏羲（福州）大数据技术有限公司</w:t>
      </w:r>
    </w:p>
    <w:p>
      <w:pPr>
        <w:spacing w:line="240" w:lineRule="auto" w:before="10"/>
        <w:rPr>
          <w:rFonts w:ascii="黑体" w:hAnsi="黑体" w:cs="黑体" w:eastAsia="黑体" w:hint="default"/>
          <w:sz w:val="26"/>
          <w:szCs w:val="26"/>
        </w:rPr>
      </w:pPr>
    </w:p>
    <w:p>
      <w:pPr>
        <w:pStyle w:val="BodyText"/>
        <w:spacing w:line="343" w:lineRule="auto"/>
        <w:ind w:left="153" w:right="0" w:firstLine="419"/>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日召开第四届董事会第二十一次会议，审议通过了《关于控股子公司对外投资设</w:t>
      </w:r>
      <w:r>
        <w:rPr>
          <w:w w:val="100"/>
        </w:rPr>
        <w:t> </w:t>
      </w:r>
      <w:r>
        <w:rPr>
          <w:spacing w:val="-7"/>
        </w:rPr>
        <w:t>立旋极伏羲（福州）大数据技术有限公司的议案》，同意控股子公司北京旋极伏羲大数据技术有限公司（以</w:t>
      </w:r>
      <w:r>
        <w:rPr>
          <w:spacing w:val="-20"/>
        </w:rPr>
        <w:t> </w:t>
      </w:r>
      <w:r>
        <w:rPr>
          <w:spacing w:val="-20"/>
        </w:rPr>
      </w:r>
      <w:r>
        <w:rPr>
          <w:spacing w:val="-5"/>
        </w:rPr>
        <w:t>下简称</w:t>
      </w:r>
      <w:r>
        <w:rPr>
          <w:rFonts w:ascii="Times New Roman" w:hAnsi="Times New Roman" w:cs="Times New Roman" w:eastAsia="Times New Roman" w:hint="default"/>
          <w:spacing w:val="-5"/>
        </w:rPr>
        <w:t>“</w:t>
      </w:r>
      <w:r>
        <w:rPr>
          <w:spacing w:val="-5"/>
        </w:rPr>
        <w:t>旋极伏羲</w:t>
      </w:r>
      <w:r>
        <w:rPr>
          <w:rFonts w:ascii="Times New Roman" w:hAnsi="Times New Roman" w:cs="Times New Roman" w:eastAsia="Times New Roman" w:hint="default"/>
          <w:spacing w:val="-5"/>
        </w:rPr>
        <w:t>”</w:t>
      </w:r>
      <w:r>
        <w:rPr>
          <w:spacing w:val="-5"/>
        </w:rPr>
        <w:t>）出资</w:t>
      </w:r>
      <w:r>
        <w:rPr>
          <w:rFonts w:ascii="Times New Roman" w:hAnsi="Times New Roman" w:cs="Times New Roman" w:eastAsia="Times New Roman" w:hint="default"/>
          <w:spacing w:val="-5"/>
        </w:rPr>
        <w:t>6,000</w:t>
      </w:r>
      <w:r>
        <w:rPr>
          <w:spacing w:val="-5"/>
        </w:rPr>
        <w:t>万元，设立全资子公司旋极伏羲（福州）大数据技术有限公司（以下简称</w:t>
      </w:r>
      <w:r>
        <w:rPr>
          <w:rFonts w:ascii="Times New Roman" w:hAnsi="Times New Roman" w:cs="Times New Roman" w:eastAsia="Times New Roman" w:hint="default"/>
          <w:spacing w:val="-5"/>
        </w:rPr>
        <w:t>“</w:t>
      </w:r>
      <w:r>
        <w:rPr>
          <w:spacing w:val="-5"/>
        </w:rPr>
        <w:t>福</w:t>
      </w:r>
      <w:r>
        <w:rPr>
          <w:spacing w:val="-12"/>
        </w:rPr>
        <w:t> </w:t>
      </w:r>
      <w:r>
        <w:rPr>
          <w:spacing w:val="-7"/>
        </w:rPr>
        <w:t>州伏羲</w:t>
      </w:r>
      <w:r>
        <w:rPr>
          <w:rFonts w:ascii="Times New Roman" w:hAnsi="Times New Roman" w:cs="Times New Roman" w:eastAsia="Times New Roman" w:hint="default"/>
          <w:spacing w:val="-7"/>
        </w:rPr>
        <w:t>”</w:t>
      </w:r>
      <w:r>
        <w:rPr>
          <w:spacing w:val="-7"/>
        </w:rPr>
        <w:t>），持股比例</w:t>
      </w:r>
      <w:r>
        <w:rPr>
          <w:rFonts w:ascii="Times New Roman" w:hAnsi="Times New Roman" w:cs="Times New Roman" w:eastAsia="Times New Roman" w:hint="default"/>
          <w:spacing w:val="-7"/>
        </w:rPr>
        <w:t>100%</w:t>
      </w:r>
      <w:r>
        <w:rPr>
          <w:spacing w:val="-7"/>
        </w:rPr>
        <w:t>。旋极伏羲与福州市仓山区人民政府于</w:t>
      </w:r>
      <w:r>
        <w:rPr>
          <w:rFonts w:ascii="Times New Roman" w:hAnsi="Times New Roman" w:cs="Times New Roman" w:eastAsia="Times New Roman" w:hint="default"/>
          <w:spacing w:val="-7"/>
        </w:rPr>
        <w:t>2019</w:t>
      </w:r>
      <w:r>
        <w:rPr>
          <w:spacing w:val="-7"/>
        </w:rPr>
        <w:t>年</w:t>
      </w:r>
      <w:r>
        <w:rPr>
          <w:rFonts w:ascii="Times New Roman" w:hAnsi="Times New Roman" w:cs="Times New Roman" w:eastAsia="Times New Roman" w:hint="default"/>
          <w:spacing w:val="-7"/>
        </w:rPr>
        <w:t>8</w:t>
      </w:r>
      <w:r>
        <w:rPr>
          <w:spacing w:val="-7"/>
        </w:rPr>
        <w:t>月</w:t>
      </w:r>
      <w:r>
        <w:rPr>
          <w:rFonts w:ascii="Times New Roman" w:hAnsi="Times New Roman" w:cs="Times New Roman" w:eastAsia="Times New Roman" w:hint="default"/>
          <w:spacing w:val="-7"/>
        </w:rPr>
        <w:t>2</w:t>
      </w:r>
      <w:r>
        <w:rPr>
          <w:spacing w:val="-7"/>
        </w:rPr>
        <w:t>日签订了《项目合作协议书》。</w:t>
      </w:r>
    </w:p>
    <w:p>
      <w:pPr>
        <w:pStyle w:val="BodyText"/>
        <w:spacing w:line="240" w:lineRule="auto" w:before="17"/>
        <w:ind w:left="573" w:right="1127"/>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日，福州伏羲已完成相关工商变更登记，并领取了福州市仓山区市场监督管理局颁发的</w:t>
      </w:r>
    </w:p>
    <w:p>
      <w:pPr>
        <w:pStyle w:val="BodyText"/>
        <w:spacing w:line="240" w:lineRule="auto" w:before="117"/>
        <w:ind w:left="153" w:right="0"/>
        <w:jc w:val="both"/>
      </w:pPr>
      <w:r>
        <w:rPr/>
        <w:t>《营业执照》。</w:t>
      </w:r>
    </w:p>
    <w:p>
      <w:pPr>
        <w:pStyle w:val="BodyText"/>
        <w:spacing w:line="338" w:lineRule="auto" w:before="133"/>
        <w:ind w:left="153" w:right="1127" w:firstLine="419"/>
        <w:jc w:val="left"/>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27</w:t>
      </w:r>
      <w:r>
        <w:rPr>
          <w:spacing w:val="-4"/>
        </w:rPr>
        <w:t>日，根据《项目合作协议书》，福州伏羲完成注册资本实缴</w:t>
      </w:r>
      <w:r>
        <w:rPr>
          <w:rFonts w:ascii="Times New Roman" w:hAnsi="Times New Roman" w:cs="Times New Roman" w:eastAsia="Times New Roman" w:hint="default"/>
          <w:spacing w:val="-4"/>
        </w:rPr>
        <w:t>10%</w:t>
      </w:r>
      <w:r>
        <w:rPr>
          <w:spacing w:val="-4"/>
        </w:rPr>
        <w:t>后，福州市仓山区人民政</w:t>
      </w:r>
      <w:r>
        <w:rPr>
          <w:w w:val="100"/>
        </w:rPr>
        <w:t> </w:t>
      </w:r>
      <w:r>
        <w:rPr/>
        <w:t>府提供创新实验室科研启动经费</w:t>
      </w:r>
      <w:r>
        <w:rPr>
          <w:rFonts w:ascii="Times New Roman" w:hAnsi="Times New Roman" w:cs="Times New Roman" w:eastAsia="Times New Roman" w:hint="default"/>
        </w:rPr>
        <w:t>600</w:t>
      </w:r>
      <w:r>
        <w:rPr/>
        <w:t>万元，福州伏羲已收到上述补助。</w:t>
      </w:r>
    </w:p>
    <w:p>
      <w:pPr>
        <w:pStyle w:val="BodyText"/>
        <w:spacing w:line="240" w:lineRule="auto" w:before="22"/>
        <w:ind w:left="573" w:right="1127"/>
        <w:jc w:val="left"/>
      </w:pPr>
      <w:r>
        <w:rPr/>
        <w:t>上述内容详见公司在巨潮资讯网披露的相关公告。</w:t>
      </w:r>
    </w:p>
    <w:p>
      <w:pPr>
        <w:spacing w:line="240" w:lineRule="auto" w:before="11"/>
        <w:rPr>
          <w:rFonts w:ascii="宋体" w:hAnsi="宋体" w:cs="宋体" w:eastAsia="宋体" w:hint="default"/>
          <w:sz w:val="18"/>
          <w:szCs w:val="18"/>
        </w:rPr>
      </w:pPr>
    </w:p>
    <w:p>
      <w:pPr>
        <w:pStyle w:val="Heading3"/>
        <w:spacing w:line="240" w:lineRule="auto"/>
        <w:ind w:right="1127"/>
        <w:jc w:val="left"/>
      </w:pPr>
      <w:bookmarkStart w:name="（三）厦门蓝图清创投资管理合伙企业减少出资份额等事项" w:id="181"/>
      <w:bookmarkEnd w:id="181"/>
      <w:r>
        <w:rPr/>
      </w:r>
      <w:r>
        <w:rPr/>
        <w:t>（三）厦门蓝图清创投资管理合伙企业减少出资份额等事项</w:t>
      </w:r>
    </w:p>
    <w:p>
      <w:pPr>
        <w:spacing w:line="240" w:lineRule="auto" w:before="10"/>
        <w:rPr>
          <w:rFonts w:ascii="黑体" w:hAnsi="黑体" w:cs="黑体" w:eastAsia="黑体" w:hint="default"/>
          <w:sz w:val="26"/>
          <w:szCs w:val="26"/>
        </w:rPr>
      </w:pPr>
    </w:p>
    <w:p>
      <w:pPr>
        <w:pStyle w:val="BodyText"/>
        <w:spacing w:line="240" w:lineRule="auto"/>
        <w:ind w:right="1127"/>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日召开第三届董事会第四十九次会议，审议通过了《关于全资子公司参与设立产</w:t>
      </w:r>
    </w:p>
    <w:p>
      <w:pPr>
        <w:spacing w:after="0" w:line="240" w:lineRule="auto"/>
        <w:jc w:val="left"/>
        <w:sectPr>
          <w:footerReference w:type="default" r:id="rId47"/>
          <w:pgSz w:w="11910" w:h="16840"/>
          <w:pgMar w:footer="1134" w:header="0" w:top="1280" w:bottom="1320" w:left="980" w:right="0"/>
          <w:pgNumType w:start="86"/>
        </w:sectPr>
      </w:pPr>
    </w:p>
    <w:p>
      <w:pPr>
        <w:pStyle w:val="BodyText"/>
        <w:spacing w:line="336" w:lineRule="auto" w:before="112"/>
        <w:ind w:left="152" w:right="1127"/>
        <w:jc w:val="left"/>
      </w:pPr>
      <w:r>
        <w:rPr>
          <w:spacing w:val="-3"/>
        </w:rPr>
        <w:t>业投资基金的议案》，董事会同意泰豪智能以自有资金出资</w:t>
      </w:r>
      <w:r>
        <w:rPr>
          <w:rFonts w:ascii="Times New Roman" w:hAnsi="Times New Roman" w:cs="Times New Roman" w:eastAsia="Times New Roman" w:hint="default"/>
          <w:spacing w:val="-3"/>
        </w:rPr>
        <w:t>3,000</w:t>
      </w:r>
      <w:r>
        <w:rPr>
          <w:spacing w:val="-3"/>
        </w:rPr>
        <w:t>万元作为有限合伙人，与厦门清创华元投</w:t>
      </w:r>
      <w:r>
        <w:rPr>
          <w:spacing w:val="-44"/>
        </w:rPr>
        <w:t> </w:t>
      </w:r>
      <w:r>
        <w:rPr>
          <w:spacing w:val="-44"/>
        </w:rPr>
      </w:r>
      <w:r>
        <w:rPr>
          <w:spacing w:val="-2"/>
        </w:rPr>
        <w:t>资合伙企业（有限合伙）（以下简称</w:t>
      </w:r>
      <w:r>
        <w:rPr>
          <w:rFonts w:ascii="Times New Roman" w:hAnsi="Times New Roman" w:cs="Times New Roman" w:eastAsia="Times New Roman" w:hint="default"/>
          <w:spacing w:val="-2"/>
        </w:rPr>
        <w:t>“</w:t>
      </w:r>
      <w:r>
        <w:rPr>
          <w:spacing w:val="-2"/>
        </w:rPr>
        <w:t>清创华元</w:t>
      </w:r>
      <w:r>
        <w:rPr>
          <w:rFonts w:ascii="Times New Roman" w:hAnsi="Times New Roman" w:cs="Times New Roman" w:eastAsia="Times New Roman" w:hint="default"/>
          <w:spacing w:val="-2"/>
        </w:rPr>
        <w:t>”</w:t>
      </w:r>
      <w:r>
        <w:rPr>
          <w:spacing w:val="-2"/>
        </w:rPr>
        <w:t>）等合伙人共同发起设立厦门蓝图清创投资管理合伙企业</w:t>
      </w:r>
    </w:p>
    <w:p>
      <w:pPr>
        <w:pStyle w:val="BodyText"/>
        <w:spacing w:line="338" w:lineRule="auto" w:before="24"/>
        <w:ind w:left="152" w:right="1127"/>
        <w:jc w:val="left"/>
      </w:pPr>
      <w:r>
        <w:rPr>
          <w:spacing w:val="-2"/>
        </w:rPr>
        <w:t>（有限合伙）（以下简称</w:t>
      </w:r>
      <w:r>
        <w:rPr>
          <w:rFonts w:ascii="Times New Roman" w:hAnsi="Times New Roman" w:cs="Times New Roman" w:eastAsia="Times New Roman" w:hint="default"/>
          <w:spacing w:val="-2"/>
        </w:rPr>
        <w:t>“</w:t>
      </w:r>
      <w:r>
        <w:rPr>
          <w:spacing w:val="-2"/>
        </w:rPr>
        <w:t>蓝图清创</w:t>
      </w:r>
      <w:r>
        <w:rPr>
          <w:rFonts w:ascii="Times New Roman" w:hAnsi="Times New Roman" w:cs="Times New Roman" w:eastAsia="Times New Roman" w:hint="default"/>
          <w:spacing w:val="-2"/>
        </w:rPr>
        <w:t>”</w:t>
      </w:r>
      <w:r>
        <w:rPr>
          <w:spacing w:val="-2"/>
        </w:rPr>
        <w:t>）。各方签署了《厦门蓝图清创投资管理合伙企业（有限合伙）之合</w:t>
      </w:r>
      <w:r>
        <w:rPr>
          <w:spacing w:val="-22"/>
        </w:rPr>
        <w:t> </w:t>
      </w:r>
      <w:r>
        <w:rPr>
          <w:spacing w:val="-22"/>
        </w:rPr>
      </w:r>
      <w:r>
        <w:rPr/>
        <w:t>伙协议》（以下简称</w:t>
      </w:r>
      <w:r>
        <w:rPr>
          <w:rFonts w:ascii="Times New Roman" w:hAnsi="Times New Roman" w:cs="Times New Roman" w:eastAsia="Times New Roman" w:hint="default"/>
        </w:rPr>
        <w:t>“</w:t>
      </w:r>
      <w:r>
        <w:rPr/>
        <w:t>合伙协议</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日，蓝图清创完成了相关工商变更手续。</w:t>
      </w:r>
    </w:p>
    <w:p>
      <w:pPr>
        <w:pStyle w:val="BodyText"/>
        <w:spacing w:line="336" w:lineRule="auto" w:before="22"/>
        <w:ind w:left="152" w:right="1199" w:firstLine="419"/>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6</w:t>
      </w:r>
      <w:r>
        <w:rPr>
          <w:spacing w:val="-2"/>
        </w:rPr>
        <w:t>日，鉴于部分合伙人尚未按照</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21</w:t>
      </w:r>
      <w:r>
        <w:rPr>
          <w:spacing w:val="-2"/>
        </w:rPr>
        <w:t>日签署的《合伙协议》履行出资实缴义务，</w:t>
      </w:r>
      <w:r>
        <w:rPr>
          <w:spacing w:val="-3"/>
          <w:w w:val="100"/>
        </w:rPr>
        <w:t> </w:t>
      </w:r>
      <w:r>
        <w:rPr>
          <w:spacing w:val="-2"/>
        </w:rPr>
        <w:t>且合伙企业未就认缴出资变更事宜办理工商变更登记手续，蓝图清创全体合伙人签署《</w:t>
      </w:r>
      <w:r>
        <w:rPr>
          <w:rFonts w:ascii="Times New Roman" w:hAnsi="Times New Roman" w:cs="Times New Roman" w:eastAsia="Times New Roman" w:hint="default"/>
          <w:spacing w:val="-2"/>
        </w:rPr>
        <w:t>&lt;</w:t>
      </w:r>
      <w:r>
        <w:rPr>
          <w:spacing w:val="-2"/>
        </w:rPr>
        <w:t>厦门蓝图清创投</w:t>
      </w:r>
      <w:r>
        <w:rPr>
          <w:spacing w:val="-24"/>
        </w:rPr>
        <w:t> </w:t>
      </w:r>
      <w:r>
        <w:rPr>
          <w:spacing w:val="-24"/>
        </w:rPr>
      </w:r>
      <w:r>
        <w:rPr/>
        <w:t>资管理合伙企业（有限合伙）之合伙协议</w:t>
      </w:r>
      <w:r>
        <w:rPr>
          <w:rFonts w:ascii="Times New Roman" w:hAnsi="Times New Roman" w:cs="Times New Roman" w:eastAsia="Times New Roman" w:hint="default"/>
        </w:rPr>
        <w:t>&gt;</w:t>
      </w:r>
      <w:r>
        <w:rPr/>
        <w:t>终止协议》，约定未实缴合伙人不再作为有限合伙人。</w:t>
      </w:r>
    </w:p>
    <w:p>
      <w:pPr>
        <w:pStyle w:val="BodyText"/>
        <w:spacing w:line="336" w:lineRule="auto" w:before="26"/>
        <w:ind w:left="152" w:right="1127" w:firstLine="42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日，鉴于目前缺少优质项目资源，蓝图清创全体合伙人签署《合伙企业变更决定书》，</w:t>
      </w:r>
      <w:r>
        <w:rPr>
          <w:w w:val="100"/>
        </w:rPr>
        <w:t> </w:t>
      </w:r>
      <w:r>
        <w:rPr/>
        <w:t>一致决定蓝图清创的总认缴出资额将由人民币</w:t>
      </w:r>
      <w:r>
        <w:rPr>
          <w:rFonts w:ascii="Times New Roman" w:hAnsi="Times New Roman" w:cs="Times New Roman" w:eastAsia="Times New Roman" w:hint="default"/>
        </w:rPr>
        <w:t>15,200</w:t>
      </w:r>
      <w:r>
        <w:rPr/>
        <w:t>万元减少至</w:t>
      </w:r>
      <w:r>
        <w:rPr>
          <w:rFonts w:ascii="Times New Roman" w:hAnsi="Times New Roman" w:cs="Times New Roman" w:eastAsia="Times New Roman" w:hint="default"/>
        </w:rPr>
        <w:t>4,350</w:t>
      </w:r>
      <w:r>
        <w:rPr/>
        <w:t>万元，总实缴出资额由人民币</w:t>
      </w:r>
      <w:r>
        <w:rPr>
          <w:rFonts w:ascii="Times New Roman" w:hAnsi="Times New Roman" w:cs="Times New Roman" w:eastAsia="Times New Roman" w:hint="default"/>
        </w:rPr>
        <w:t>7,650</w:t>
      </w:r>
      <w:r>
        <w:rPr>
          <w:rFonts w:ascii="Times New Roman" w:hAnsi="Times New Roman" w:cs="Times New Roman" w:eastAsia="Times New Roman" w:hint="default"/>
          <w:w w:val="100"/>
        </w:rPr>
        <w:t> </w:t>
      </w:r>
      <w:r>
        <w:rPr>
          <w:spacing w:val="-3"/>
        </w:rPr>
        <w:t>万元减少至人民币</w:t>
      </w:r>
      <w:r>
        <w:rPr>
          <w:rFonts w:ascii="Times New Roman" w:hAnsi="Times New Roman" w:cs="Times New Roman" w:eastAsia="Times New Roman" w:hint="default"/>
          <w:spacing w:val="-3"/>
        </w:rPr>
        <w:t>4,350</w:t>
      </w:r>
      <w:r>
        <w:rPr>
          <w:spacing w:val="-3"/>
        </w:rPr>
        <w:t>万元。其中泰豪智能认缴出资额由人民币</w:t>
      </w:r>
      <w:r>
        <w:rPr>
          <w:rFonts w:ascii="Times New Roman" w:hAnsi="Times New Roman" w:cs="Times New Roman" w:eastAsia="Times New Roman" w:hint="default"/>
          <w:spacing w:val="-3"/>
        </w:rPr>
        <w:t>3,000</w:t>
      </w:r>
      <w:r>
        <w:rPr>
          <w:spacing w:val="-3"/>
        </w:rPr>
        <w:t>万元减少至人民币</w:t>
      </w:r>
      <w:r>
        <w:rPr>
          <w:rFonts w:ascii="Times New Roman" w:hAnsi="Times New Roman" w:cs="Times New Roman" w:eastAsia="Times New Roman" w:hint="default"/>
          <w:spacing w:val="-3"/>
        </w:rPr>
        <w:t>852.9412</w:t>
      </w:r>
      <w:r>
        <w:rPr>
          <w:spacing w:val="-3"/>
        </w:rPr>
        <w:t>万元，蓝</w:t>
      </w:r>
      <w:r>
        <w:rPr>
          <w:spacing w:val="-26"/>
        </w:rPr>
        <w:t> </w:t>
      </w:r>
      <w:r>
        <w:rPr>
          <w:spacing w:val="-26"/>
        </w:rPr>
      </w:r>
      <w:r>
        <w:rPr/>
        <w:t>图清创退还财产份额共计人民币</w:t>
      </w:r>
      <w:r>
        <w:rPr>
          <w:rFonts w:ascii="Times New Roman" w:hAnsi="Times New Roman" w:cs="Times New Roman" w:eastAsia="Times New Roman" w:hint="default"/>
        </w:rPr>
        <w:t>647.0588</w:t>
      </w:r>
      <w:r>
        <w:rPr/>
        <w:t>万元。</w:t>
      </w:r>
    </w:p>
    <w:p>
      <w:pPr>
        <w:pStyle w:val="BodyText"/>
        <w:spacing w:line="343" w:lineRule="auto" w:before="24"/>
        <w:ind w:left="153" w:right="0" w:firstLine="419"/>
        <w:jc w:val="left"/>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月，蓝图清创有限合伙人天津友风子雨大数据科技合伙企业（有限合伙）申请退出合伙企业，</w:t>
      </w:r>
      <w:r>
        <w:rPr>
          <w:w w:val="100"/>
        </w:rPr>
        <w:t> </w:t>
      </w:r>
      <w:r>
        <w:rPr/>
        <w:t>同时合伙企业以人民币</w:t>
      </w:r>
      <w:r>
        <w:rPr>
          <w:rFonts w:ascii="Times New Roman" w:hAnsi="Times New Roman" w:cs="Times New Roman" w:eastAsia="Times New Roman" w:hint="default"/>
        </w:rPr>
        <w:t>3411.7647</w:t>
      </w:r>
      <w:r>
        <w:rPr/>
        <w:t>万元的价格将合伙企业所持有的北京科信美德生物医药科技有限公司全</w:t>
      </w:r>
      <w:r>
        <w:rPr>
          <w:w w:val="100"/>
        </w:rPr>
        <w:t> </w:t>
      </w:r>
      <w:r>
        <w:rPr>
          <w:spacing w:val="-2"/>
        </w:rPr>
        <w:t>部股权转让给有限合伙人天津友风子雨大数据科技合伙企业（有限合伙）。合伙企业总认缴出资额及总实</w:t>
      </w:r>
      <w:r>
        <w:rPr>
          <w:spacing w:val="-42"/>
        </w:rPr>
        <w:t> </w:t>
      </w:r>
      <w:r>
        <w:rPr>
          <w:spacing w:val="-42"/>
        </w:rPr>
      </w:r>
      <w:r>
        <w:rPr/>
        <w:t>缴出资额均将由</w:t>
      </w:r>
      <w:r>
        <w:rPr>
          <w:rFonts w:ascii="Times New Roman" w:hAnsi="Times New Roman" w:cs="Times New Roman" w:eastAsia="Times New Roman" w:hint="default"/>
        </w:rPr>
        <w:t>4,350</w:t>
      </w:r>
      <w:r>
        <w:rPr/>
        <w:t>万元减少至</w:t>
      </w:r>
      <w:r>
        <w:rPr>
          <w:rFonts w:ascii="Times New Roman" w:hAnsi="Times New Roman" w:cs="Times New Roman" w:eastAsia="Times New Roman" w:hint="default"/>
        </w:rPr>
        <w:t>938.2353</w:t>
      </w:r>
      <w:r>
        <w:rPr/>
        <w:t>万元，其中泰豪智能出资额仍为</w:t>
      </w:r>
      <w:r>
        <w:rPr>
          <w:rFonts w:ascii="Times New Roman" w:hAnsi="Times New Roman" w:cs="Times New Roman" w:eastAsia="Times New Roman" w:hint="default"/>
        </w:rPr>
        <w:t>852.9412</w:t>
      </w:r>
      <w:r>
        <w:rPr/>
        <w:t>万元，占出资总额的比</w:t>
      </w:r>
      <w:r>
        <w:rPr>
          <w:spacing w:val="-3"/>
          <w:w w:val="100"/>
        </w:rPr>
        <w:t> </w:t>
      </w:r>
      <w:r>
        <w:rPr/>
        <w:t>例变为</w:t>
      </w:r>
      <w:r>
        <w:rPr>
          <w:rFonts w:ascii="Times New Roman" w:hAnsi="Times New Roman" w:cs="Times New Roman" w:eastAsia="Times New Roman" w:hint="default"/>
        </w:rPr>
        <w:t>90.9091%</w:t>
      </w:r>
      <w:r>
        <w:rPr/>
        <w:t>。</w:t>
      </w:r>
    </w:p>
    <w:p>
      <w:pPr>
        <w:pStyle w:val="BodyText"/>
        <w:spacing w:line="240" w:lineRule="auto" w:before="17"/>
        <w:ind w:left="573" w:right="1127"/>
        <w:jc w:val="left"/>
      </w:pPr>
      <w:r>
        <w:rPr/>
        <w:t>上述内容详见公司在巨潮资讯网披露的相关公告。</w:t>
      </w:r>
    </w:p>
    <w:p>
      <w:pPr>
        <w:spacing w:after="0" w:line="240" w:lineRule="auto"/>
        <w:jc w:val="left"/>
        <w:sectPr>
          <w:pgSz w:w="11910" w:h="16840"/>
          <w:pgMar w:header="0" w:footer="1134" w:top="1280" w:bottom="1320" w:left="980" w:right="0"/>
        </w:sectPr>
      </w:pPr>
    </w:p>
    <w:p>
      <w:pPr>
        <w:spacing w:line="240" w:lineRule="auto" w:before="0"/>
        <w:rPr>
          <w:rFonts w:ascii="宋体" w:hAnsi="宋体" w:cs="宋体" w:eastAsia="宋体" w:hint="default"/>
          <w:sz w:val="20"/>
          <w:szCs w:val="20"/>
        </w:rPr>
      </w:pPr>
    </w:p>
    <w:p>
      <w:pPr>
        <w:pStyle w:val="Heading1"/>
        <w:spacing w:line="240" w:lineRule="auto" w:before="168"/>
        <w:ind w:left="2970" w:right="1127"/>
        <w:jc w:val="left"/>
      </w:pPr>
      <w:bookmarkStart w:name="_TOC_250007" w:id="182"/>
      <w:bookmarkStart w:name="第六节 股份变动及股东情况" w:id="183"/>
      <w:r>
        <w:rPr/>
      </w:r>
      <w:r>
        <w:rPr/>
        <w:t>第六节</w:t>
      </w:r>
      <w:r>
        <w:rPr>
          <w:spacing w:val="-2"/>
        </w:rPr>
        <w:t> </w:t>
      </w:r>
      <w:bookmarkEnd w:id="182"/>
      <w:r>
        <w:rPr/>
        <w:t>股份变动及股东情况</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8"/>
          <w:szCs w:val="28"/>
        </w:rPr>
      </w:pPr>
    </w:p>
    <w:p>
      <w:pPr>
        <w:pStyle w:val="Heading2"/>
        <w:spacing w:line="240" w:lineRule="auto" w:before="26"/>
        <w:ind w:right="1127"/>
        <w:jc w:val="left"/>
        <w:rPr>
          <w:b w:val="0"/>
          <w:bCs w:val="0"/>
        </w:rPr>
      </w:pPr>
      <w:bookmarkStart w:name="一、股份变动情况" w:id="184"/>
      <w:bookmarkEnd w:id="184"/>
      <w:r>
        <w:rPr>
          <w:b w:val="0"/>
          <w:bCs w:val="0"/>
        </w:rPr>
      </w:r>
      <w:r>
        <w:rPr/>
        <w:t>一、股份变动情况</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right="1127"/>
        <w:jc w:val="left"/>
        <w:rPr>
          <w:b w:val="0"/>
          <w:bCs w:val="0"/>
        </w:rPr>
      </w:pPr>
      <w:bookmarkStart w:name="1、股份变动情况" w:id="185"/>
      <w:bookmarkEnd w:id="18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36"/>
        <w:ind w:left="0" w:right="1130"/>
        <w:jc w:val="right"/>
      </w:pPr>
      <w:r>
        <w:rPr>
          <w:spacing w:val="-1"/>
        </w:rPr>
        <w:t>单位：股</w:t>
      </w:r>
    </w:p>
    <w:p>
      <w:pPr>
        <w:spacing w:line="240" w:lineRule="auto" w:before="9"/>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1831"/>
        <w:gridCol w:w="1207"/>
        <w:gridCol w:w="823"/>
        <w:gridCol w:w="662"/>
        <w:gridCol w:w="566"/>
        <w:gridCol w:w="569"/>
        <w:gridCol w:w="1274"/>
        <w:gridCol w:w="1135"/>
        <w:gridCol w:w="991"/>
        <w:gridCol w:w="708"/>
      </w:tblGrid>
      <w:tr>
        <w:trPr>
          <w:trHeight w:val="386" w:hRule="exact"/>
        </w:trPr>
        <w:tc>
          <w:tcPr>
            <w:tcW w:w="1831" w:type="dxa"/>
            <w:tcBorders>
              <w:top w:val="single" w:sz="4" w:space="0" w:color="000000"/>
              <w:left w:val="single" w:sz="4" w:space="0" w:color="000000"/>
              <w:bottom w:val="nil" w:sz="6" w:space="0" w:color="auto"/>
              <w:right w:val="single" w:sz="4" w:space="0" w:color="000000"/>
            </w:tcBorders>
            <w:shd w:val="clear" w:color="auto" w:fill="D4D4D4"/>
          </w:tcPr>
          <w:p>
            <w:pP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5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07"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9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240" w:hRule="exact"/>
        </w:trPr>
        <w:tc>
          <w:tcPr>
            <w:tcW w:w="1831" w:type="dxa"/>
            <w:vMerge w:val="restart"/>
            <w:tcBorders>
              <w:top w:val="nil" w:sz="6" w:space="0" w:color="auto"/>
              <w:left w:val="single" w:sz="4" w:space="0" w:color="000000"/>
              <w:right w:val="single" w:sz="4" w:space="0" w:color="000000"/>
            </w:tcBorders>
            <w:shd w:val="clear" w:color="auto" w:fill="D4D4D4"/>
          </w:tcPr>
          <w:p>
            <w:pPr/>
          </w:p>
        </w:tc>
        <w:tc>
          <w:tcPr>
            <w:tcW w:w="1207"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237" w:right="53"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56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9" w:type="dxa"/>
            <w:vMerge w:val="restart"/>
            <w:tcBorders>
              <w:top w:val="single" w:sz="4" w:space="0" w:color="000000"/>
              <w:left w:val="single" w:sz="4" w:space="0" w:color="000000"/>
              <w:right w:val="single" w:sz="4" w:space="0" w:color="000000"/>
            </w:tcBorders>
            <w:shd w:val="clear" w:color="auto" w:fill="D4D4D4"/>
          </w:tcPr>
          <w:p>
            <w:pPr>
              <w:pStyle w:val="TableParagraph"/>
              <w:spacing w:line="237" w:lineRule="auto" w:before="44"/>
              <w:ind w:left="98" w:right="98"/>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1274" w:type="dxa"/>
            <w:tcBorders>
              <w:top w:val="single" w:sz="4" w:space="0" w:color="000000"/>
              <w:left w:val="single" w:sz="4" w:space="0" w:color="000000"/>
              <w:bottom w:val="nil" w:sz="6" w:space="0" w:color="auto"/>
              <w:right w:val="single" w:sz="4" w:space="0" w:color="000000"/>
            </w:tcBorders>
            <w:shd w:val="clear" w:color="auto" w:fill="D4D4D4"/>
          </w:tcPr>
          <w:p>
            <w:pPr/>
          </w:p>
        </w:tc>
        <w:tc>
          <w:tcPr>
            <w:tcW w:w="1135" w:type="dxa"/>
            <w:tcBorders>
              <w:top w:val="single" w:sz="4" w:space="0" w:color="000000"/>
              <w:left w:val="single" w:sz="4" w:space="0" w:color="000000"/>
              <w:bottom w:val="nil" w:sz="6" w:space="0" w:color="auto"/>
              <w:right w:val="single" w:sz="4" w:space="0" w:color="000000"/>
            </w:tcBorders>
            <w:shd w:val="clear" w:color="auto" w:fill="D4D4D4"/>
          </w:tcPr>
          <w:p>
            <w:pPr/>
          </w:p>
        </w:tc>
        <w:tc>
          <w:tcPr>
            <w:tcW w:w="991" w:type="dxa"/>
            <w:tcBorders>
              <w:top w:val="single" w:sz="4" w:space="0" w:color="000000"/>
              <w:left w:val="single" w:sz="4" w:space="0" w:color="000000"/>
              <w:bottom w:val="nil" w:sz="6" w:space="0" w:color="auto"/>
              <w:right w:val="single" w:sz="4" w:space="0" w:color="000000"/>
            </w:tcBorders>
            <w:shd w:val="clear" w:color="auto" w:fill="D4D4D4"/>
          </w:tcPr>
          <w:p>
            <w:pPr/>
          </w:p>
        </w:tc>
        <w:tc>
          <w:tcPr>
            <w:tcW w:w="70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70" w:hRule="exact"/>
        </w:trPr>
        <w:tc>
          <w:tcPr>
            <w:tcW w:w="1831" w:type="dxa"/>
            <w:vMerge/>
            <w:tcBorders>
              <w:left w:val="single" w:sz="4" w:space="0" w:color="000000"/>
              <w:bottom w:val="nil" w:sz="6" w:space="0" w:color="auto"/>
              <w:right w:val="single" w:sz="4" w:space="0" w:color="000000"/>
            </w:tcBorders>
            <w:shd w:val="clear" w:color="auto" w:fill="D4D4D4"/>
          </w:tcPr>
          <w:p>
            <w:pPr/>
          </w:p>
        </w:tc>
        <w:tc>
          <w:tcPr>
            <w:tcW w:w="120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62" w:type="dxa"/>
            <w:vMerge/>
            <w:tcBorders>
              <w:left w:val="single" w:sz="4" w:space="0" w:color="000000"/>
              <w:right w:val="single" w:sz="4" w:space="0" w:color="000000"/>
            </w:tcBorders>
            <w:shd w:val="clear" w:color="auto" w:fill="D4D4D4"/>
          </w:tcPr>
          <w:p>
            <w:pPr/>
          </w:p>
        </w:tc>
        <w:tc>
          <w:tcPr>
            <w:tcW w:w="56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569" w:type="dxa"/>
            <w:vMerge/>
            <w:tcBorders>
              <w:left w:val="single" w:sz="4" w:space="0" w:color="000000"/>
              <w:right w:val="single" w:sz="4" w:space="0" w:color="000000"/>
            </w:tcBorders>
            <w:shd w:val="clear" w:color="auto" w:fill="D4D4D4"/>
          </w:tcPr>
          <w:p>
            <w:pPr/>
          </w:p>
        </w:tc>
        <w:tc>
          <w:tcPr>
            <w:tcW w:w="127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3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31" w:type="dxa"/>
            <w:vMerge w:val="restart"/>
            <w:tcBorders>
              <w:top w:val="nil" w:sz="6" w:space="0" w:color="auto"/>
              <w:left w:val="single" w:sz="4" w:space="0" w:color="000000"/>
              <w:right w:val="single" w:sz="4" w:space="0" w:color="000000"/>
            </w:tcBorders>
            <w:shd w:val="clear" w:color="auto" w:fill="D4D4D4"/>
          </w:tcPr>
          <w:p>
            <w:pPr/>
          </w:p>
        </w:tc>
        <w:tc>
          <w:tcPr>
            <w:tcW w:w="1207"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566" w:type="dxa"/>
            <w:vMerge/>
            <w:tcBorders>
              <w:left w:val="single" w:sz="4" w:space="0" w:color="000000"/>
              <w:bottom w:val="nil" w:sz="6" w:space="0" w:color="auto"/>
              <w:right w:val="single" w:sz="4" w:space="0" w:color="000000"/>
            </w:tcBorders>
            <w:shd w:val="clear" w:color="auto" w:fill="D4D4D4"/>
          </w:tcPr>
          <w:p>
            <w:pPr/>
          </w:p>
        </w:tc>
        <w:tc>
          <w:tcPr>
            <w:tcW w:w="569"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bottom w:val="nil" w:sz="6" w:space="0" w:color="auto"/>
              <w:right w:val="single" w:sz="4" w:space="0" w:color="000000"/>
            </w:tcBorders>
            <w:shd w:val="clear" w:color="auto" w:fill="D4D4D4"/>
          </w:tcPr>
          <w:p>
            <w:pPr/>
          </w:p>
        </w:tc>
        <w:tc>
          <w:tcPr>
            <w:tcW w:w="1135" w:type="dxa"/>
            <w:vMerge/>
            <w:tcBorders>
              <w:left w:val="single" w:sz="4" w:space="0" w:color="000000"/>
              <w:bottom w:val="nil" w:sz="6" w:space="0" w:color="auto"/>
              <w:right w:val="single" w:sz="4" w:space="0" w:color="000000"/>
            </w:tcBorders>
            <w:shd w:val="clear" w:color="auto" w:fill="D4D4D4"/>
          </w:tcPr>
          <w:p>
            <w:pPr/>
          </w:p>
        </w:tc>
        <w:tc>
          <w:tcPr>
            <w:tcW w:w="991" w:type="dxa"/>
            <w:vMerge/>
            <w:tcBorders>
              <w:left w:val="single" w:sz="4" w:space="0" w:color="000000"/>
              <w:bottom w:val="nil" w:sz="6" w:space="0" w:color="auto"/>
              <w:right w:val="single" w:sz="4" w:space="0" w:color="000000"/>
            </w:tcBorders>
            <w:shd w:val="clear" w:color="auto" w:fill="D4D4D4"/>
          </w:tcPr>
          <w:p>
            <w:pPr/>
          </w:p>
        </w:tc>
        <w:tc>
          <w:tcPr>
            <w:tcW w:w="708" w:type="dxa"/>
            <w:vMerge/>
            <w:tcBorders>
              <w:left w:val="single" w:sz="4" w:space="0" w:color="000000"/>
              <w:bottom w:val="nil" w:sz="6" w:space="0" w:color="auto"/>
              <w:right w:val="single" w:sz="4" w:space="0" w:color="000000"/>
            </w:tcBorders>
            <w:shd w:val="clear" w:color="auto" w:fill="D4D4D4"/>
          </w:tcPr>
          <w:p>
            <w:pPr/>
          </w:p>
        </w:tc>
      </w:tr>
      <w:tr>
        <w:trPr>
          <w:trHeight w:val="238" w:hRule="exact"/>
        </w:trPr>
        <w:tc>
          <w:tcPr>
            <w:tcW w:w="1831" w:type="dxa"/>
            <w:vMerge/>
            <w:tcBorders>
              <w:left w:val="single" w:sz="4" w:space="0" w:color="000000"/>
              <w:bottom w:val="single" w:sz="4" w:space="0" w:color="000000"/>
              <w:right w:val="single" w:sz="4" w:space="0" w:color="000000"/>
            </w:tcBorders>
            <w:shd w:val="clear" w:color="auto" w:fill="D4D4D4"/>
          </w:tcPr>
          <w:p>
            <w:pPr/>
          </w:p>
        </w:tc>
        <w:tc>
          <w:tcPr>
            <w:tcW w:w="1207"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vMerge/>
            <w:tcBorders>
              <w:left w:val="single" w:sz="4" w:space="0" w:color="000000"/>
              <w:bottom w:val="single" w:sz="4" w:space="0" w:color="000000"/>
              <w:right w:val="single" w:sz="4" w:space="0" w:color="000000"/>
            </w:tcBorders>
            <w:shd w:val="clear" w:color="auto" w:fill="D4D4D4"/>
          </w:tcPr>
          <w:p>
            <w:pPr/>
          </w:p>
        </w:tc>
        <w:tc>
          <w:tcPr>
            <w:tcW w:w="56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9"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single" w:sz="4" w:space="0" w:color="000000"/>
              <w:right w:val="single" w:sz="4" w:space="0" w:color="000000"/>
            </w:tcBorders>
            <w:shd w:val="clear" w:color="auto" w:fill="D4D4D4"/>
          </w:tcPr>
          <w:p>
            <w:pPr/>
          </w:p>
        </w:tc>
        <w:tc>
          <w:tcPr>
            <w:tcW w:w="1135" w:type="dxa"/>
            <w:tcBorders>
              <w:top w:val="nil" w:sz="6" w:space="0" w:color="auto"/>
              <w:left w:val="single" w:sz="4" w:space="0" w:color="000000"/>
              <w:bottom w:val="single" w:sz="4" w:space="0" w:color="000000"/>
              <w:right w:val="single" w:sz="4" w:space="0" w:color="000000"/>
            </w:tcBorders>
            <w:shd w:val="clear" w:color="auto" w:fill="D4D4D4"/>
          </w:tcPr>
          <w:p>
            <w:pPr/>
          </w:p>
        </w:tc>
        <w:tc>
          <w:tcPr>
            <w:tcW w:w="991" w:type="dxa"/>
            <w:tcBorders>
              <w:top w:val="nil" w:sz="6" w:space="0" w:color="auto"/>
              <w:left w:val="single" w:sz="4" w:space="0" w:color="000000"/>
              <w:bottom w:val="single" w:sz="4" w:space="0" w:color="000000"/>
              <w:right w:val="single" w:sz="4" w:space="0" w:color="000000"/>
            </w:tcBorders>
            <w:shd w:val="clear" w:color="auto" w:fill="D4D4D4"/>
          </w:tcPr>
          <w:p>
            <w:pPr/>
          </w:p>
        </w:tc>
        <w:tc>
          <w:tcPr>
            <w:tcW w:w="70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86" w:hRule="exact"/>
        </w:trPr>
        <w:tc>
          <w:tcPr>
            <w:tcW w:w="18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7"/>
              <w:jc w:val="center"/>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0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671,903,928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4"/>
              <w:jc w:val="right"/>
              <w:rPr>
                <w:rFonts w:ascii="Times New Roman" w:hAnsi="Times New Roman" w:cs="Times New Roman" w:eastAsia="Times New Roman" w:hint="default"/>
                <w:sz w:val="18"/>
                <w:szCs w:val="18"/>
              </w:rPr>
            </w:pPr>
            <w:r>
              <w:rPr>
                <w:rFonts w:ascii="Times New Roman"/>
                <w:sz w:val="18"/>
              </w:rPr>
              <w:t>38.42%</w:t>
            </w:r>
          </w:p>
        </w:tc>
        <w:tc>
          <w:tcPr>
            <w:tcW w:w="662" w:type="dxa"/>
            <w:tcBorders>
              <w:top w:val="single" w:sz="51" w:space="0" w:color="D4D4D4"/>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-110,250,002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-73,918,002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597,985,926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4"/>
              <w:jc w:val="right"/>
              <w:rPr>
                <w:rFonts w:ascii="Times New Roman" w:hAnsi="Times New Roman" w:cs="Times New Roman" w:eastAsia="Times New Roman" w:hint="default"/>
                <w:sz w:val="18"/>
                <w:szCs w:val="18"/>
              </w:rPr>
            </w:pPr>
            <w:r>
              <w:rPr>
                <w:rFonts w:ascii="Times New Roman"/>
                <w:sz w:val="18"/>
              </w:rPr>
              <w:t>34.23%</w:t>
            </w:r>
          </w:p>
        </w:tc>
      </w:tr>
      <w:tr>
        <w:trPr>
          <w:trHeight w:val="389" w:hRule="exact"/>
        </w:trPr>
        <w:tc>
          <w:tcPr>
            <w:tcW w:w="18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0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0.00%</w:t>
            </w:r>
          </w:p>
        </w:tc>
      </w:tr>
      <w:tr>
        <w:trPr>
          <w:trHeight w:val="386" w:hRule="exact"/>
        </w:trPr>
        <w:tc>
          <w:tcPr>
            <w:tcW w:w="18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0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0.00%</w:t>
            </w:r>
          </w:p>
        </w:tc>
      </w:tr>
      <w:tr>
        <w:trPr>
          <w:trHeight w:val="389" w:hRule="exact"/>
        </w:trPr>
        <w:tc>
          <w:tcPr>
            <w:tcW w:w="18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0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671,903,928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4"/>
              <w:jc w:val="right"/>
              <w:rPr>
                <w:rFonts w:ascii="Times New Roman" w:hAnsi="Times New Roman" w:cs="Times New Roman" w:eastAsia="Times New Roman" w:hint="default"/>
                <w:sz w:val="18"/>
                <w:szCs w:val="18"/>
              </w:rPr>
            </w:pPr>
            <w:r>
              <w:rPr>
                <w:rFonts w:ascii="Times New Roman"/>
                <w:sz w:val="18"/>
              </w:rPr>
              <w:t>38.42%</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-110,250,002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-73,918,002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597,985,926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4"/>
              <w:jc w:val="right"/>
              <w:rPr>
                <w:rFonts w:ascii="Times New Roman" w:hAnsi="Times New Roman" w:cs="Times New Roman" w:eastAsia="Times New Roman" w:hint="default"/>
                <w:sz w:val="18"/>
                <w:szCs w:val="18"/>
              </w:rPr>
            </w:pPr>
            <w:r>
              <w:rPr>
                <w:rFonts w:ascii="Times New Roman"/>
                <w:sz w:val="18"/>
              </w:rPr>
              <w:t>34.23%</w:t>
            </w:r>
          </w:p>
        </w:tc>
      </w:tr>
      <w:tr>
        <w:trPr>
          <w:trHeight w:val="386" w:hRule="exact"/>
        </w:trPr>
        <w:tc>
          <w:tcPr>
            <w:tcW w:w="18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7"/>
              <w:jc w:val="center"/>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0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138,029,900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7"/>
              <w:jc w:val="right"/>
              <w:rPr>
                <w:rFonts w:ascii="Times New Roman" w:hAnsi="Times New Roman" w:cs="Times New Roman" w:eastAsia="Times New Roman" w:hint="default"/>
                <w:sz w:val="18"/>
                <w:szCs w:val="18"/>
              </w:rPr>
            </w:pPr>
            <w:r>
              <w:rPr>
                <w:rFonts w:ascii="Times New Roman"/>
                <w:sz w:val="18"/>
              </w:rPr>
              <w:t>7.89%</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-138,029,900</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-138,029,900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7"/>
              <w:jc w:val="right"/>
              <w:rPr>
                <w:rFonts w:ascii="Times New Roman" w:hAnsi="Times New Roman" w:cs="Times New Roman" w:eastAsia="Times New Roman" w:hint="default"/>
                <w:sz w:val="18"/>
                <w:szCs w:val="18"/>
              </w:rPr>
            </w:pPr>
            <w:r>
              <w:rPr>
                <w:rFonts w:ascii="Times New Roman"/>
                <w:sz w:val="18"/>
              </w:rPr>
              <w:t>0.00%</w:t>
            </w:r>
          </w:p>
        </w:tc>
      </w:tr>
      <w:tr>
        <w:trPr>
          <w:trHeight w:val="622" w:hRule="exact"/>
        </w:trPr>
        <w:tc>
          <w:tcPr>
            <w:tcW w:w="18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16" w:right="103" w:hanging="180"/>
              <w:jc w:val="left"/>
              <w:rPr>
                <w:rFonts w:ascii="宋体" w:hAnsi="宋体" w:cs="宋体" w:eastAsia="宋体" w:hint="default"/>
                <w:sz w:val="18"/>
                <w:szCs w:val="18"/>
              </w:rPr>
            </w:pPr>
            <w:r>
              <w:rPr>
                <w:rFonts w:ascii="宋体" w:hAnsi="宋体" w:cs="宋体" w:eastAsia="宋体" w:hint="default"/>
                <w:sz w:val="18"/>
                <w:szCs w:val="18"/>
              </w:rPr>
              <w:t>境内自然人持 股</w:t>
            </w:r>
          </w:p>
        </w:tc>
        <w:tc>
          <w:tcPr>
            <w:tcW w:w="120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533,874,028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30.53%</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27,779,898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64,111,898</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597,985,926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34.23%</w:t>
            </w:r>
          </w:p>
        </w:tc>
      </w:tr>
      <w:tr>
        <w:trPr>
          <w:trHeight w:val="386" w:hRule="exact"/>
        </w:trPr>
        <w:tc>
          <w:tcPr>
            <w:tcW w:w="18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20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0.00%</w:t>
            </w:r>
          </w:p>
        </w:tc>
      </w:tr>
      <w:tr>
        <w:trPr>
          <w:trHeight w:val="389" w:hRule="exact"/>
        </w:trPr>
        <w:tc>
          <w:tcPr>
            <w:tcW w:w="18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0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0.00%</w:t>
            </w:r>
          </w:p>
        </w:tc>
      </w:tr>
      <w:tr>
        <w:trPr>
          <w:trHeight w:val="622" w:hRule="exact"/>
        </w:trPr>
        <w:tc>
          <w:tcPr>
            <w:tcW w:w="18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816" w:right="103" w:hanging="180"/>
              <w:jc w:val="left"/>
              <w:rPr>
                <w:rFonts w:ascii="宋体" w:hAnsi="宋体" w:cs="宋体" w:eastAsia="宋体" w:hint="default"/>
                <w:sz w:val="18"/>
                <w:szCs w:val="18"/>
              </w:rPr>
            </w:pPr>
            <w:r>
              <w:rPr>
                <w:rFonts w:ascii="宋体" w:hAnsi="宋体" w:cs="宋体" w:eastAsia="宋体" w:hint="default"/>
                <w:sz w:val="18"/>
                <w:szCs w:val="18"/>
              </w:rPr>
              <w:t>境外自然人持 股</w:t>
            </w:r>
          </w:p>
        </w:tc>
        <w:tc>
          <w:tcPr>
            <w:tcW w:w="120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94" w:hRule="exact"/>
        </w:trPr>
        <w:tc>
          <w:tcPr>
            <w:tcW w:w="1831" w:type="dxa"/>
            <w:tcBorders>
              <w:top w:val="single" w:sz="4" w:space="0" w:color="000000"/>
              <w:left w:val="single" w:sz="4" w:space="0" w:color="000000"/>
              <w:bottom w:val="nil" w:sz="6" w:space="0" w:color="auto"/>
              <w:right w:val="single" w:sz="4" w:space="0" w:color="000000"/>
            </w:tcBorders>
            <w:shd w:val="clear" w:color="auto" w:fill="D4D4D4"/>
          </w:tcPr>
          <w:p>
            <w:pPr/>
          </w:p>
        </w:tc>
        <w:tc>
          <w:tcPr>
            <w:tcW w:w="1207" w:type="dxa"/>
            <w:vMerge w:val="restart"/>
            <w:tcBorders>
              <w:top w:val="single" w:sz="4" w:space="0" w:color="000000"/>
              <w:left w:val="single" w:sz="12" w:space="0" w:color="D4D4D4"/>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1,076,758,185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61.58%</w:t>
            </w:r>
          </w:p>
        </w:tc>
        <w:tc>
          <w:tcPr>
            <w:tcW w:w="662"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72,390,484</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72,390,484</w:t>
            </w:r>
          </w:p>
        </w:tc>
        <w:tc>
          <w:tcPr>
            <w:tcW w:w="991" w:type="dxa"/>
            <w:vMerge w:val="restart"/>
            <w:tcBorders>
              <w:top w:val="single" w:sz="4" w:space="0" w:color="000000"/>
              <w:left w:val="single" w:sz="4" w:space="0" w:color="000000"/>
              <w:right w:val="single" w:sz="4" w:space="0" w:color="000000"/>
            </w:tcBorders>
          </w:tcPr>
          <w:p>
            <w:pPr>
              <w:pStyle w:val="TableParagraph"/>
              <w:spacing w:line="207" w:lineRule="exact" w:before="67"/>
              <w:ind w:right="18"/>
              <w:jc w:val="right"/>
              <w:rPr>
                <w:rFonts w:ascii="Times New Roman" w:hAnsi="Times New Roman" w:cs="Times New Roman" w:eastAsia="Times New Roman" w:hint="default"/>
                <w:sz w:val="18"/>
                <w:szCs w:val="18"/>
              </w:rPr>
            </w:pPr>
            <w:r>
              <w:rPr>
                <w:rFonts w:ascii="Times New Roman"/>
                <w:spacing w:val="-1"/>
                <w:sz w:val="18"/>
              </w:rPr>
              <w:t>1,149,148,6</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69</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65.77%</w:t>
            </w:r>
          </w:p>
        </w:tc>
      </w:tr>
      <w:tr>
        <w:trPr>
          <w:trHeight w:val="473" w:hRule="exact"/>
        </w:trPr>
        <w:tc>
          <w:tcPr>
            <w:tcW w:w="1831"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41"/>
              <w:ind w:right="7"/>
              <w:jc w:val="center"/>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07" w:type="dxa"/>
            <w:vMerge/>
            <w:tcBorders>
              <w:left w:val="single" w:sz="12"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r>
      <w:tr>
        <w:trPr>
          <w:trHeight w:val="96" w:hRule="exact"/>
        </w:trPr>
        <w:tc>
          <w:tcPr>
            <w:tcW w:w="1831" w:type="dxa"/>
            <w:tcBorders>
              <w:top w:val="single" w:sz="4" w:space="0" w:color="000000"/>
              <w:left w:val="single" w:sz="4" w:space="0" w:color="000000"/>
              <w:bottom w:val="nil" w:sz="6" w:space="0" w:color="auto"/>
              <w:right w:val="single" w:sz="4" w:space="0" w:color="000000"/>
            </w:tcBorders>
            <w:shd w:val="clear" w:color="auto" w:fill="D4D4D4"/>
          </w:tcPr>
          <w:p>
            <w:pPr/>
          </w:p>
        </w:tc>
        <w:tc>
          <w:tcPr>
            <w:tcW w:w="1207" w:type="dxa"/>
            <w:vMerge w:val="restart"/>
            <w:tcBorders>
              <w:top w:val="single" w:sz="4" w:space="0" w:color="000000"/>
              <w:left w:val="single" w:sz="12" w:space="0" w:color="D4D4D4"/>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1,076,758,185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61.58%</w:t>
            </w:r>
          </w:p>
        </w:tc>
        <w:tc>
          <w:tcPr>
            <w:tcW w:w="662"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72,390,484</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72,390,484</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67"/>
              <w:ind w:right="18"/>
              <w:jc w:val="right"/>
              <w:rPr>
                <w:rFonts w:ascii="Times New Roman" w:hAnsi="Times New Roman" w:cs="Times New Roman" w:eastAsia="Times New Roman" w:hint="default"/>
                <w:sz w:val="18"/>
                <w:szCs w:val="18"/>
              </w:rPr>
            </w:pPr>
            <w:r>
              <w:rPr>
                <w:rFonts w:ascii="Times New Roman"/>
                <w:spacing w:val="-1"/>
                <w:sz w:val="18"/>
              </w:rPr>
              <w:t>1,149,148,6</w:t>
            </w:r>
          </w:p>
          <w:p>
            <w:pPr>
              <w:pStyle w:val="TableParagraph"/>
              <w:spacing w:line="240" w:lineRule="auto" w:before="2"/>
              <w:ind w:right="17"/>
              <w:jc w:val="right"/>
              <w:rPr>
                <w:rFonts w:ascii="Times New Roman" w:hAnsi="Times New Roman" w:cs="Times New Roman" w:eastAsia="Times New Roman" w:hint="default"/>
                <w:sz w:val="18"/>
                <w:szCs w:val="18"/>
              </w:rPr>
            </w:pPr>
            <w:r>
              <w:rPr>
                <w:rFonts w:ascii="Times New Roman"/>
                <w:sz w:val="18"/>
              </w:rPr>
              <w:t>69</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65.77%</w:t>
            </w:r>
          </w:p>
        </w:tc>
      </w:tr>
      <w:tr>
        <w:trPr>
          <w:trHeight w:val="473" w:hRule="exact"/>
        </w:trPr>
        <w:tc>
          <w:tcPr>
            <w:tcW w:w="1831"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4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07" w:type="dxa"/>
            <w:vMerge/>
            <w:tcBorders>
              <w:left w:val="single" w:sz="12"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r>
      <w:tr>
        <w:trPr>
          <w:trHeight w:val="386" w:hRule="exact"/>
        </w:trPr>
        <w:tc>
          <w:tcPr>
            <w:tcW w:w="18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20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7"/>
              <w:jc w:val="right"/>
              <w:rPr>
                <w:rFonts w:ascii="Times New Roman" w:hAnsi="Times New Roman" w:cs="Times New Roman" w:eastAsia="Times New Roman" w:hint="default"/>
                <w:sz w:val="18"/>
                <w:szCs w:val="18"/>
              </w:rPr>
            </w:pPr>
            <w:r>
              <w:rPr>
                <w:rFonts w:ascii="Times New Roman"/>
                <w:sz w:val="18"/>
              </w:rPr>
              <w:t>0.00%</w:t>
            </w:r>
          </w:p>
        </w:tc>
      </w:tr>
      <w:tr>
        <w:trPr>
          <w:trHeight w:val="389" w:hRule="exact"/>
        </w:trPr>
        <w:tc>
          <w:tcPr>
            <w:tcW w:w="18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20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0.00%</w:t>
            </w:r>
          </w:p>
        </w:tc>
      </w:tr>
      <w:tr>
        <w:trPr>
          <w:trHeight w:val="386" w:hRule="exact"/>
        </w:trPr>
        <w:tc>
          <w:tcPr>
            <w:tcW w:w="18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0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7"/>
              <w:jc w:val="right"/>
              <w:rPr>
                <w:rFonts w:ascii="Times New Roman" w:hAnsi="Times New Roman" w:cs="Times New Roman" w:eastAsia="Times New Roman" w:hint="default"/>
                <w:sz w:val="18"/>
                <w:szCs w:val="18"/>
              </w:rPr>
            </w:pPr>
            <w:r>
              <w:rPr>
                <w:rFonts w:ascii="Times New Roman"/>
                <w:sz w:val="18"/>
              </w:rPr>
              <w:t>0.00%</w:t>
            </w:r>
          </w:p>
        </w:tc>
      </w:tr>
      <w:tr>
        <w:trPr>
          <w:trHeight w:val="96" w:hRule="exact"/>
        </w:trPr>
        <w:tc>
          <w:tcPr>
            <w:tcW w:w="1831" w:type="dxa"/>
            <w:tcBorders>
              <w:top w:val="single" w:sz="4" w:space="0" w:color="000000"/>
              <w:left w:val="single" w:sz="4" w:space="0" w:color="000000"/>
              <w:bottom w:val="nil" w:sz="6" w:space="0" w:color="auto"/>
              <w:right w:val="single" w:sz="4" w:space="0" w:color="000000"/>
            </w:tcBorders>
            <w:shd w:val="clear" w:color="auto" w:fill="D4D4D4"/>
          </w:tcPr>
          <w:p>
            <w:pPr/>
          </w:p>
        </w:tc>
        <w:tc>
          <w:tcPr>
            <w:tcW w:w="1207" w:type="dxa"/>
            <w:vMerge w:val="restart"/>
            <w:tcBorders>
              <w:top w:val="single" w:sz="4" w:space="0" w:color="000000"/>
              <w:left w:val="single" w:sz="12" w:space="0" w:color="D4D4D4"/>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1,748,662,113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662"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-37,859,518</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-1,527,518</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67"/>
              <w:ind w:right="18"/>
              <w:jc w:val="right"/>
              <w:rPr>
                <w:rFonts w:ascii="Times New Roman" w:hAnsi="Times New Roman" w:cs="Times New Roman" w:eastAsia="Times New Roman" w:hint="default"/>
                <w:sz w:val="18"/>
                <w:szCs w:val="18"/>
              </w:rPr>
            </w:pPr>
            <w:r>
              <w:rPr>
                <w:rFonts w:ascii="Times New Roman"/>
                <w:spacing w:val="-1"/>
                <w:sz w:val="18"/>
              </w:rPr>
              <w:t>1,747,134,5</w:t>
            </w:r>
          </w:p>
          <w:p>
            <w:pPr>
              <w:pStyle w:val="TableParagraph"/>
              <w:spacing w:line="240" w:lineRule="auto" w:before="2"/>
              <w:ind w:right="17"/>
              <w:jc w:val="right"/>
              <w:rPr>
                <w:rFonts w:ascii="Times New Roman" w:hAnsi="Times New Roman" w:cs="Times New Roman" w:eastAsia="Times New Roman" w:hint="default"/>
                <w:sz w:val="18"/>
                <w:szCs w:val="18"/>
              </w:rPr>
            </w:pPr>
            <w:r>
              <w:rPr>
                <w:rFonts w:ascii="Times New Roman"/>
                <w:sz w:val="18"/>
              </w:rPr>
              <w:t>95</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r>
      <w:tr>
        <w:trPr>
          <w:trHeight w:val="473" w:hRule="exact"/>
        </w:trPr>
        <w:tc>
          <w:tcPr>
            <w:tcW w:w="1831"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41"/>
              <w:ind w:right="11"/>
              <w:jc w:val="center"/>
              <w:rPr>
                <w:rFonts w:ascii="宋体" w:hAnsi="宋体" w:cs="宋体" w:eastAsia="宋体" w:hint="default"/>
                <w:sz w:val="18"/>
                <w:szCs w:val="18"/>
              </w:rPr>
            </w:pPr>
            <w:r>
              <w:rPr>
                <w:rFonts w:ascii="宋体" w:hAnsi="宋体" w:cs="宋体" w:eastAsia="宋体" w:hint="default"/>
                <w:sz w:val="18"/>
                <w:szCs w:val="18"/>
              </w:rPr>
              <w:t>三、股份总数</w:t>
            </w:r>
          </w:p>
        </w:tc>
        <w:tc>
          <w:tcPr>
            <w:tcW w:w="1207" w:type="dxa"/>
            <w:vMerge/>
            <w:tcBorders>
              <w:left w:val="single" w:sz="12"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r>
    </w:tbl>
    <w:p>
      <w:pPr>
        <w:pStyle w:val="BodyText"/>
        <w:spacing w:line="240" w:lineRule="auto" w:before="64"/>
        <w:ind w:right="1127"/>
        <w:jc w:val="left"/>
      </w:pPr>
      <w:r>
        <w:rPr/>
        <w:t>股份变动的原因</w:t>
      </w:r>
    </w:p>
    <w:p>
      <w:pPr>
        <w:spacing w:line="240" w:lineRule="auto" w:before="9"/>
        <w:rPr>
          <w:rFonts w:ascii="宋体" w:hAnsi="宋体" w:cs="宋体" w:eastAsia="宋体" w:hint="default"/>
          <w:sz w:val="17"/>
          <w:szCs w:val="17"/>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16"/>
          <w:szCs w:val="16"/>
        </w:rPr>
      </w:pPr>
    </w:p>
    <w:p>
      <w:pPr>
        <w:pStyle w:val="BodyText"/>
        <w:spacing w:line="338" w:lineRule="auto"/>
        <w:ind w:left="152" w:right="0" w:firstLine="42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日，高管锁定股年初共计增加锁定</w:t>
      </w:r>
      <w:r>
        <w:rPr>
          <w:rFonts w:ascii="Times New Roman" w:hAnsi="Times New Roman" w:cs="Times New Roman" w:eastAsia="Times New Roman" w:hint="default"/>
          <w:spacing w:val="-2"/>
        </w:rPr>
        <w:t>1,248,108</w:t>
      </w:r>
      <w:r>
        <w:rPr>
          <w:spacing w:val="-2"/>
        </w:rPr>
        <w:t>股。公司有限售条件股份增加</w:t>
      </w:r>
      <w:r>
        <w:rPr>
          <w:rFonts w:ascii="Times New Roman" w:hAnsi="Times New Roman" w:cs="Times New Roman" w:eastAsia="Times New Roman" w:hint="default"/>
          <w:spacing w:val="-2"/>
        </w:rPr>
        <w:t>1,248,108</w:t>
      </w:r>
      <w:r>
        <w:rPr>
          <w:spacing w:val="-2"/>
        </w:rPr>
        <w:t>股，</w:t>
      </w:r>
      <w:r>
        <w:rPr>
          <w:w w:val="100"/>
        </w:rPr>
        <w:t> </w:t>
      </w:r>
      <w:r>
        <w:rPr/>
        <w:t>无限售条件股份减少</w:t>
      </w:r>
      <w:r>
        <w:rPr>
          <w:rFonts w:ascii="Times New Roman" w:hAnsi="Times New Roman" w:cs="Times New Roman" w:eastAsia="Times New Roman" w:hint="default"/>
        </w:rPr>
        <w:t>1,248,108</w:t>
      </w:r>
      <w:r>
        <w:rPr/>
        <w:t>股，股份总数不变。</w:t>
      </w:r>
    </w:p>
    <w:p>
      <w:pPr>
        <w:pStyle w:val="BodyText"/>
        <w:spacing w:line="240" w:lineRule="auto" w:before="22"/>
        <w:ind w:right="1127"/>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日，刘明先生因个人身体原因申请辞去公司董事、总经理职务，其全部股份在离任后</w:t>
      </w:r>
    </w:p>
    <w:p>
      <w:pPr>
        <w:spacing w:after="0" w:line="240" w:lineRule="auto"/>
        <w:jc w:val="left"/>
        <w:sectPr>
          <w:pgSz w:w="11910" w:h="16840"/>
          <w:pgMar w:header="0" w:footer="1134" w:top="1280" w:bottom="1320" w:left="980" w:right="0"/>
        </w:sectPr>
      </w:pPr>
    </w:p>
    <w:p>
      <w:pPr>
        <w:pStyle w:val="BodyText"/>
        <w:spacing w:line="240" w:lineRule="auto" w:before="112"/>
        <w:ind w:left="152" w:right="1127"/>
        <w:jc w:val="left"/>
      </w:pPr>
      <w:r>
        <w:rPr/>
        <w:t>六个月锁定，公司有限售条件股份增加</w:t>
      </w:r>
      <w:r>
        <w:rPr>
          <w:rFonts w:ascii="Times New Roman" w:hAnsi="Times New Roman" w:cs="Times New Roman" w:eastAsia="Times New Roman" w:hint="default"/>
        </w:rPr>
        <w:t>8,300,167</w:t>
      </w:r>
      <w:r>
        <w:rPr/>
        <w:t>股，无限售条件股份减少</w:t>
      </w:r>
      <w:r>
        <w:rPr>
          <w:rFonts w:ascii="Times New Roman" w:hAnsi="Times New Roman" w:cs="Times New Roman" w:eastAsia="Times New Roman" w:hint="default"/>
        </w:rPr>
        <w:t>8,300,167</w:t>
      </w:r>
      <w:r>
        <w:rPr/>
        <w:t>股，股份总数不变。</w:t>
      </w:r>
    </w:p>
    <w:p>
      <w:pPr>
        <w:pStyle w:val="BodyText"/>
        <w:spacing w:line="336" w:lineRule="auto" w:before="117"/>
        <w:ind w:left="152" w:right="1127" w:firstLine="42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15</w:t>
      </w:r>
      <w:r>
        <w:rPr>
          <w:spacing w:val="-2"/>
        </w:rPr>
        <w:t>日，公司回购社会公众股</w:t>
      </w:r>
      <w:r>
        <w:rPr>
          <w:rFonts w:ascii="Times New Roman" w:hAnsi="Times New Roman" w:cs="Times New Roman" w:eastAsia="Times New Roman" w:hint="default"/>
          <w:spacing w:val="-2"/>
        </w:rPr>
        <w:t>12,400,125</w:t>
      </w:r>
      <w:r>
        <w:rPr>
          <w:spacing w:val="-2"/>
        </w:rPr>
        <w:t>股已在中国证券登记结算有限责任公司深圳分公</w:t>
      </w:r>
      <w:r>
        <w:rPr>
          <w:w w:val="100"/>
        </w:rPr>
        <w:t> </w:t>
      </w:r>
      <w:r>
        <w:rPr/>
        <w:t>司完成注销手续。公司无限售条件股份减少</w:t>
      </w:r>
      <w:r>
        <w:rPr>
          <w:rFonts w:ascii="Times New Roman" w:hAnsi="Times New Roman" w:cs="Times New Roman" w:eastAsia="Times New Roman" w:hint="default"/>
        </w:rPr>
        <w:t>12,400,125</w:t>
      </w:r>
      <w:r>
        <w:rPr/>
        <w:t>股，股份总数减少</w:t>
      </w:r>
      <w:r>
        <w:rPr>
          <w:rFonts w:ascii="Times New Roman" w:hAnsi="Times New Roman" w:cs="Times New Roman" w:eastAsia="Times New Roman" w:hint="default"/>
        </w:rPr>
        <w:t>12,400,125</w:t>
      </w:r>
      <w:r>
        <w:rPr/>
        <w:t>股。</w:t>
      </w:r>
    </w:p>
    <w:p>
      <w:pPr>
        <w:pStyle w:val="BodyText"/>
        <w:spacing w:line="336" w:lineRule="auto" w:before="26"/>
        <w:ind w:left="153" w:right="1127" w:firstLine="420"/>
        <w:jc w:val="left"/>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12</w:t>
      </w:r>
      <w:r>
        <w:rPr>
          <w:spacing w:val="-2"/>
        </w:rPr>
        <w:t>日，公司回购注销部分限制性股票事项已完成，共计回购注销</w:t>
      </w:r>
      <w:r>
        <w:rPr>
          <w:rFonts w:ascii="Times New Roman" w:hAnsi="Times New Roman" w:cs="Times New Roman" w:eastAsia="Times New Roman" w:hint="default"/>
          <w:spacing w:val="-2"/>
        </w:rPr>
        <w:t>25,459,393</w:t>
      </w:r>
      <w:r>
        <w:rPr>
          <w:spacing w:val="-2"/>
        </w:rPr>
        <w:t>股，公司有</w:t>
      </w:r>
      <w:r>
        <w:rPr>
          <w:w w:val="100"/>
        </w:rPr>
        <w:t> </w:t>
      </w:r>
      <w:r>
        <w:rPr/>
        <w:t>限售条件股份减少</w:t>
      </w:r>
      <w:r>
        <w:rPr>
          <w:rFonts w:ascii="Times New Roman" w:hAnsi="Times New Roman" w:cs="Times New Roman" w:eastAsia="Times New Roman" w:hint="default"/>
        </w:rPr>
        <w:t>25,459,393</w:t>
      </w:r>
      <w:r>
        <w:rPr/>
        <w:t>股，股份总数减少</w:t>
      </w:r>
      <w:r>
        <w:rPr>
          <w:rFonts w:ascii="Times New Roman" w:hAnsi="Times New Roman" w:cs="Times New Roman" w:eastAsia="Times New Roman" w:hint="default"/>
        </w:rPr>
        <w:t>25,459,393</w:t>
      </w:r>
      <w:r>
        <w:rPr/>
        <w:t>股。</w:t>
      </w:r>
    </w:p>
    <w:p>
      <w:pPr>
        <w:pStyle w:val="BodyText"/>
        <w:spacing w:line="338" w:lineRule="auto" w:before="24"/>
        <w:ind w:left="153" w:right="1111" w:firstLine="419"/>
        <w:jc w:val="both"/>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28</w:t>
      </w:r>
      <w:r>
        <w:rPr>
          <w:spacing w:val="-2"/>
        </w:rPr>
        <w:t>日，公司控股股东、实际控制人陈江涛先生</w:t>
      </w:r>
      <w:r>
        <w:rPr>
          <w:rFonts w:ascii="Times New Roman" w:hAnsi="Times New Roman" w:cs="Times New Roman" w:eastAsia="Times New Roman" w:hint="default"/>
          <w:spacing w:val="-2"/>
        </w:rPr>
        <w:t>135,955,825</w:t>
      </w:r>
      <w:r>
        <w:rPr>
          <w:spacing w:val="-2"/>
        </w:rPr>
        <w:t>股份由银河证券九交易单元转</w:t>
      </w:r>
      <w:r>
        <w:rPr>
          <w:w w:val="100"/>
        </w:rPr>
        <w:t> </w:t>
      </w:r>
      <w:r>
        <w:rPr>
          <w:spacing w:val="-2"/>
        </w:rPr>
        <w:t>入银河证券质押特别交易单元，其高管锁定股增加</w:t>
      </w:r>
      <w:r>
        <w:rPr>
          <w:rFonts w:ascii="Times New Roman" w:hAnsi="Times New Roman" w:cs="Times New Roman" w:eastAsia="Times New Roman" w:hint="default"/>
          <w:spacing w:val="-2"/>
        </w:rPr>
        <w:t>60,660,410</w:t>
      </w:r>
      <w:r>
        <w:rPr>
          <w:spacing w:val="-2"/>
        </w:rPr>
        <w:t>股，公司有限售条件股份增加</w:t>
      </w:r>
      <w:r>
        <w:rPr>
          <w:rFonts w:ascii="Times New Roman" w:hAnsi="Times New Roman" w:cs="Times New Roman" w:eastAsia="Times New Roman" w:hint="default"/>
          <w:spacing w:val="-2"/>
        </w:rPr>
        <w:t>60,660,410</w:t>
      </w:r>
      <w:r>
        <w:rPr>
          <w:spacing w:val="-2"/>
        </w:rPr>
        <w:t>股，</w:t>
      </w:r>
      <w:r>
        <w:rPr>
          <w:spacing w:val="-6"/>
        </w:rPr>
        <w:t> </w:t>
      </w:r>
      <w:r>
        <w:rPr/>
        <w:t>股份总数不变。</w:t>
      </w:r>
    </w:p>
    <w:p>
      <w:pPr>
        <w:pStyle w:val="BodyText"/>
        <w:spacing w:line="336" w:lineRule="auto" w:before="47"/>
        <w:ind w:left="153" w:right="1127" w:firstLine="419"/>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日，公司控股股东、实际控制人陈江涛先生</w:t>
      </w:r>
      <w:r>
        <w:rPr>
          <w:rFonts w:ascii="Times New Roman" w:hAnsi="Times New Roman" w:cs="Times New Roman" w:eastAsia="Times New Roman" w:hint="default"/>
        </w:rPr>
        <w:t>135,955,825</w:t>
      </w:r>
      <w:r>
        <w:rPr/>
        <w:t>股份由银河证券质押特别交易</w:t>
      </w:r>
      <w:r>
        <w:rPr>
          <w:spacing w:val="-3"/>
          <w:w w:val="100"/>
        </w:rPr>
        <w:t> </w:t>
      </w:r>
      <w:r>
        <w:rPr>
          <w:spacing w:val="-2"/>
        </w:rPr>
        <w:t>单元转入银河证券九交易单元，其高管锁定股减少</w:t>
      </w:r>
      <w:r>
        <w:rPr>
          <w:rFonts w:ascii="Times New Roman" w:hAnsi="Times New Roman" w:cs="Times New Roman" w:eastAsia="Times New Roman" w:hint="default"/>
          <w:spacing w:val="-2"/>
        </w:rPr>
        <w:t>60,660,410</w:t>
      </w:r>
      <w:r>
        <w:rPr>
          <w:spacing w:val="-2"/>
        </w:rPr>
        <w:t>股，公司有限售条件股份减少</w:t>
      </w:r>
      <w:r>
        <w:rPr>
          <w:rFonts w:ascii="Times New Roman" w:hAnsi="Times New Roman" w:cs="Times New Roman" w:eastAsia="Times New Roman" w:hint="default"/>
          <w:spacing w:val="-2"/>
        </w:rPr>
        <w:t>60,660,410</w:t>
      </w:r>
      <w:r>
        <w:rPr>
          <w:spacing w:val="-2"/>
        </w:rPr>
        <w:t>股，</w:t>
      </w:r>
      <w:r>
        <w:rPr>
          <w:spacing w:val="-6"/>
        </w:rPr>
        <w:t> </w:t>
      </w:r>
      <w:r>
        <w:rPr/>
        <w:t>股份总数不变。</w:t>
      </w:r>
    </w:p>
    <w:p>
      <w:pPr>
        <w:pStyle w:val="BodyText"/>
        <w:spacing w:line="338" w:lineRule="auto" w:before="49"/>
        <w:ind w:left="153" w:right="1127" w:firstLine="420"/>
        <w:jc w:val="left"/>
      </w:pPr>
      <w:r>
        <w:rPr>
          <w:rFonts w:ascii="Times New Roman" w:hAnsi="Times New Roman" w:cs="Times New Roman" w:eastAsia="Times New Roman" w:hint="default"/>
          <w:spacing w:val="-3"/>
        </w:rPr>
        <w:t>7</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7</w:t>
      </w:r>
      <w:r>
        <w:rPr>
          <w:spacing w:val="-3"/>
        </w:rPr>
        <w:t>日，原总经理刘明先生离职满</w:t>
      </w:r>
      <w:r>
        <w:rPr>
          <w:rFonts w:ascii="Times New Roman" w:hAnsi="Times New Roman" w:cs="Times New Roman" w:eastAsia="Times New Roman" w:hint="default"/>
          <w:spacing w:val="-3"/>
        </w:rPr>
        <w:t>6</w:t>
      </w:r>
      <w:r>
        <w:rPr>
          <w:spacing w:val="-3"/>
        </w:rPr>
        <w:t>个月，高管锁定股比例由</w:t>
      </w:r>
      <w:r>
        <w:rPr>
          <w:rFonts w:ascii="Times New Roman" w:hAnsi="Times New Roman" w:cs="Times New Roman" w:eastAsia="Times New Roman" w:hint="default"/>
          <w:spacing w:val="-3"/>
        </w:rPr>
        <w:t>100%</w:t>
      </w:r>
      <w:r>
        <w:rPr>
          <w:spacing w:val="-3"/>
        </w:rPr>
        <w:t>变为</w:t>
      </w:r>
      <w:r>
        <w:rPr>
          <w:rFonts w:ascii="Times New Roman" w:hAnsi="Times New Roman" w:cs="Times New Roman" w:eastAsia="Times New Roman" w:hint="default"/>
          <w:spacing w:val="-3"/>
        </w:rPr>
        <w:t>75%</w:t>
      </w:r>
      <w:r>
        <w:rPr>
          <w:spacing w:val="-3"/>
        </w:rPr>
        <w:t>，公司有限售条</w:t>
      </w:r>
      <w:r>
        <w:rPr>
          <w:w w:val="100"/>
        </w:rPr>
        <w:t> </w:t>
      </w:r>
      <w:r>
        <w:rPr/>
        <w:t>件股份减少</w:t>
      </w:r>
      <w:r>
        <w:rPr>
          <w:rFonts w:ascii="Times New Roman" w:hAnsi="Times New Roman" w:cs="Times New Roman" w:eastAsia="Times New Roman" w:hint="default"/>
        </w:rPr>
        <w:t>6,969,394</w:t>
      </w:r>
      <w:r>
        <w:rPr/>
        <w:t>股，股份总数不变。</w:t>
      </w:r>
    </w:p>
    <w:p>
      <w:pPr>
        <w:pStyle w:val="BodyText"/>
        <w:spacing w:line="336" w:lineRule="auto" w:before="22"/>
        <w:ind w:left="153" w:right="1127" w:firstLine="419"/>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日，公司控股股东、实际控制人陈江涛先生</w:t>
      </w:r>
      <w:r>
        <w:rPr>
          <w:rFonts w:ascii="Times New Roman" w:hAnsi="Times New Roman" w:cs="Times New Roman" w:eastAsia="Times New Roman" w:hint="default"/>
        </w:rPr>
        <w:t>125,955,825</w:t>
      </w:r>
      <w:r>
        <w:rPr/>
        <w:t>股份由银河证券九交易单元转</w:t>
      </w:r>
      <w:r>
        <w:rPr>
          <w:spacing w:val="-3"/>
          <w:w w:val="100"/>
        </w:rPr>
        <w:t> </w:t>
      </w:r>
      <w:r>
        <w:rPr>
          <w:spacing w:val="-2"/>
        </w:rPr>
        <w:t>入银河证券质押特别交易单元，其高管锁定股增加</w:t>
      </w:r>
      <w:r>
        <w:rPr>
          <w:rFonts w:ascii="Times New Roman" w:hAnsi="Times New Roman" w:cs="Times New Roman" w:eastAsia="Times New Roman" w:hint="default"/>
          <w:spacing w:val="-2"/>
        </w:rPr>
        <w:t>50,660,410</w:t>
      </w:r>
      <w:r>
        <w:rPr>
          <w:spacing w:val="-2"/>
        </w:rPr>
        <w:t>股，公司有限售条件股份增加</w:t>
      </w:r>
      <w:r>
        <w:rPr>
          <w:rFonts w:ascii="Times New Roman" w:hAnsi="Times New Roman" w:cs="Times New Roman" w:eastAsia="Times New Roman" w:hint="default"/>
          <w:spacing w:val="-2"/>
        </w:rPr>
        <w:t>50,660,410</w:t>
      </w:r>
      <w:r>
        <w:rPr>
          <w:spacing w:val="-2"/>
        </w:rPr>
        <w:t>股，</w:t>
      </w:r>
      <w:r>
        <w:rPr>
          <w:spacing w:val="-6"/>
        </w:rPr>
        <w:t> </w:t>
      </w:r>
      <w:r>
        <w:rPr/>
        <w:t>股份总数不变。</w:t>
      </w:r>
    </w:p>
    <w:p>
      <w:pPr>
        <w:pStyle w:val="BodyText"/>
        <w:spacing w:line="338" w:lineRule="auto" w:before="49"/>
        <w:ind w:left="153" w:right="1127" w:firstLine="419"/>
        <w:jc w:val="left"/>
      </w:pP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8</w:t>
      </w:r>
      <w:r>
        <w:rPr>
          <w:spacing w:val="-2"/>
        </w:rPr>
        <w:t>日，公司完成</w:t>
      </w:r>
      <w:r>
        <w:rPr>
          <w:rFonts w:ascii="Times New Roman" w:hAnsi="Times New Roman" w:cs="Times New Roman" w:eastAsia="Times New Roman" w:hint="default"/>
          <w:spacing w:val="-2"/>
        </w:rPr>
        <w:t>2019</w:t>
      </w:r>
      <w:r>
        <w:rPr>
          <w:spacing w:val="-2"/>
        </w:rPr>
        <w:t>年股票期权与限制性股票激励计划之限制性股票授予事项，公司有</w:t>
      </w:r>
      <w:r>
        <w:rPr>
          <w:w w:val="100"/>
        </w:rPr>
        <w:t> </w:t>
      </w:r>
      <w:r>
        <w:rPr/>
        <w:t>限售条件股份增加</w:t>
      </w:r>
      <w:r>
        <w:rPr>
          <w:rFonts w:ascii="Times New Roman" w:hAnsi="Times New Roman" w:cs="Times New Roman" w:eastAsia="Times New Roman" w:hint="default"/>
        </w:rPr>
        <w:t>36,332,000</w:t>
      </w:r>
      <w:r>
        <w:rPr/>
        <w:t>股，股份总数增加</w:t>
      </w:r>
      <w:r>
        <w:rPr>
          <w:rFonts w:ascii="Times New Roman" w:hAnsi="Times New Roman" w:cs="Times New Roman" w:eastAsia="Times New Roman" w:hint="default"/>
        </w:rPr>
        <w:t>36,332,000</w:t>
      </w:r>
      <w:r>
        <w:rPr/>
        <w:t>股。</w:t>
      </w:r>
    </w:p>
    <w:p>
      <w:pPr>
        <w:pStyle w:val="BodyText"/>
        <w:spacing w:line="336" w:lineRule="auto" w:before="22"/>
        <w:ind w:left="153" w:right="1127" w:firstLine="420"/>
        <w:jc w:val="left"/>
      </w:pP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6</w:t>
      </w:r>
      <w:r>
        <w:rPr>
          <w:spacing w:val="-2"/>
        </w:rPr>
        <w:t>日，公司</w:t>
      </w:r>
      <w:r>
        <w:rPr>
          <w:rFonts w:ascii="Times New Roman" w:hAnsi="Times New Roman" w:cs="Times New Roman" w:eastAsia="Times New Roman" w:hint="default"/>
          <w:spacing w:val="-2"/>
        </w:rPr>
        <w:t>2016</w:t>
      </w:r>
      <w:r>
        <w:rPr>
          <w:spacing w:val="-2"/>
        </w:rPr>
        <w:t>年发行股份购买资产并募集配套资金暨关联交易的购买资产部分股份</w:t>
      </w:r>
      <w:r>
        <w:rPr>
          <w:w w:val="100"/>
        </w:rPr>
        <w:t> </w:t>
      </w:r>
      <w:r>
        <w:rPr/>
        <w:t>解除限售，公司有限售条件股份减少</w:t>
      </w:r>
      <w:r>
        <w:rPr>
          <w:rFonts w:ascii="Times New Roman" w:hAnsi="Times New Roman" w:cs="Times New Roman" w:eastAsia="Times New Roman" w:hint="default"/>
        </w:rPr>
        <w:t>138,029,900</w:t>
      </w:r>
      <w:r>
        <w:rPr/>
        <w:t>股，股份总数不变。</w:t>
      </w:r>
    </w:p>
    <w:p>
      <w:pPr>
        <w:pStyle w:val="BodyText"/>
        <w:spacing w:line="240" w:lineRule="auto" w:before="122"/>
        <w:ind w:left="573" w:right="1127"/>
        <w:jc w:val="left"/>
      </w:pPr>
      <w:r>
        <w:rPr/>
        <w:t>股份变动的批准情况</w:t>
      </w:r>
    </w:p>
    <w:p>
      <w:pPr>
        <w:spacing w:line="240" w:lineRule="auto" w:before="12"/>
        <w:rPr>
          <w:rFonts w:ascii="宋体" w:hAnsi="宋体" w:cs="宋体" w:eastAsia="宋体" w:hint="default"/>
          <w:sz w:val="17"/>
          <w:szCs w:val="17"/>
        </w:rPr>
      </w:pPr>
    </w:p>
    <w:p>
      <w:pPr>
        <w:pStyle w:val="BodyText"/>
        <w:spacing w:line="240" w:lineRule="auto"/>
        <w:ind w:left="573"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16"/>
          <w:szCs w:val="16"/>
        </w:rPr>
      </w:pPr>
    </w:p>
    <w:p>
      <w:pPr>
        <w:pStyle w:val="BodyText"/>
        <w:spacing w:line="336" w:lineRule="auto"/>
        <w:ind w:left="153" w:right="1127" w:firstLine="42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7</w:t>
      </w:r>
      <w:r>
        <w:rPr>
          <w:spacing w:val="-2"/>
        </w:rPr>
        <w:t>日，公司召开第四届董事会第十七次会议，审议通过了《关于董事、总经理辞职暨聘</w:t>
      </w:r>
      <w:r>
        <w:rPr>
          <w:w w:val="100"/>
        </w:rPr>
        <w:t> </w:t>
      </w:r>
      <w:r>
        <w:rPr/>
        <w:t>任总经理的议案》，刘明先生因个人身体原因申请辞去公司董事、总经理职务。</w:t>
      </w:r>
    </w:p>
    <w:p>
      <w:pPr>
        <w:pStyle w:val="BodyText"/>
        <w:spacing w:line="338" w:lineRule="auto" w:before="49"/>
        <w:ind w:left="153" w:right="0" w:firstLine="420"/>
        <w:jc w:val="left"/>
      </w:pPr>
      <w:r>
        <w:rPr>
          <w:rFonts w:ascii="Times New Roman" w:hAnsi="Times New Roman" w:cs="Times New Roman" w:eastAsia="Times New Roman" w:hint="default"/>
          <w:spacing w:val="-10"/>
        </w:rPr>
        <w:t>2</w:t>
      </w:r>
      <w:r>
        <w:rPr>
          <w:spacing w:val="-10"/>
        </w:rPr>
        <w:t>、</w:t>
      </w:r>
      <w:r>
        <w:rPr>
          <w:rFonts w:ascii="Times New Roman" w:hAnsi="Times New Roman" w:cs="Times New Roman" w:eastAsia="Times New Roman" w:hint="default"/>
          <w:spacing w:val="-10"/>
        </w:rPr>
        <w:t>2019</w:t>
      </w:r>
      <w:r>
        <w:rPr>
          <w:rFonts w:ascii="Times New Roman" w:hAnsi="Times New Roman" w:cs="Times New Roman" w:eastAsia="Times New Roman" w:hint="default"/>
          <w:spacing w:val="25"/>
        </w:rPr>
        <w:t> </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7</w:t>
      </w:r>
      <w:r>
        <w:rPr>
          <w:spacing w:val="-6"/>
        </w:rPr>
        <w:t>日，公司召开第四届董事会第十七次会议和第四届监事会第八次会议，审议通过了《关</w:t>
      </w:r>
      <w:r>
        <w:rPr>
          <w:w w:val="100"/>
        </w:rPr>
        <w:t> </w:t>
      </w:r>
      <w:r>
        <w:rPr/>
        <w:t>于终止实施</w:t>
      </w:r>
      <w:r>
        <w:rPr>
          <w:rFonts w:ascii="Times New Roman" w:hAnsi="Times New Roman" w:cs="Times New Roman" w:eastAsia="Times New Roman" w:hint="default"/>
        </w:rPr>
        <w:t>&lt;2017</w:t>
      </w:r>
      <w:r>
        <w:rPr>
          <w:rFonts w:ascii="Times New Roman" w:hAnsi="Times New Roman" w:cs="Times New Roman" w:eastAsia="Times New Roman" w:hint="default"/>
          <w:spacing w:val="41"/>
        </w:rPr>
        <w:t> </w:t>
      </w:r>
      <w:r>
        <w:rPr>
          <w:spacing w:val="-3"/>
        </w:rPr>
        <w:t>年限制性股票激励计划</w:t>
      </w:r>
      <w:r>
        <w:rPr>
          <w:rFonts w:ascii="Times New Roman" w:hAnsi="Times New Roman" w:cs="Times New Roman" w:eastAsia="Times New Roman" w:hint="default"/>
          <w:spacing w:val="-3"/>
        </w:rPr>
        <w:t>&gt;</w:t>
      </w:r>
      <w:r>
        <w:rPr>
          <w:spacing w:val="-3"/>
        </w:rPr>
        <w:t>暨回购注销已授予但尚未解除限售的全部限制性股票的议案》，</w:t>
      </w:r>
      <w:r>
        <w:rPr>
          <w:spacing w:val="-89"/>
        </w:rPr>
        <w:t> </w:t>
      </w:r>
      <w:r>
        <w:rPr>
          <w:spacing w:val="-89"/>
        </w:rPr>
      </w:r>
      <w:r>
        <w:rPr/>
        <w:t>同意公司终止实施</w:t>
      </w:r>
      <w:r>
        <w:rPr>
          <w:rFonts w:ascii="Times New Roman" w:hAnsi="Times New Roman" w:cs="Times New Roman" w:eastAsia="Times New Roman" w:hint="default"/>
        </w:rPr>
        <w:t>2017</w:t>
      </w:r>
      <w:r>
        <w:rPr/>
        <w:t>年限制性股票激励计划，同时回购注销原</w:t>
      </w:r>
      <w:r>
        <w:rPr>
          <w:rFonts w:ascii="Times New Roman" w:hAnsi="Times New Roman" w:cs="Times New Roman" w:eastAsia="Times New Roman" w:hint="default"/>
        </w:rPr>
        <w:t>343</w:t>
      </w:r>
      <w:r>
        <w:rPr>
          <w:rFonts w:ascii="Times New Roman" w:hAnsi="Times New Roman" w:cs="Times New Roman" w:eastAsia="Times New Roman" w:hint="default"/>
          <w:spacing w:val="26"/>
        </w:rPr>
        <w:t> </w:t>
      </w:r>
      <w:r>
        <w:rPr/>
        <w:t>名激励对象已获授但尚未解除限售的</w:t>
      </w:r>
      <w:r>
        <w:rPr>
          <w:w w:val="100"/>
        </w:rPr>
        <w:t> </w:t>
      </w:r>
      <w:r>
        <w:rPr/>
        <w:t>全部限制性股票。公司独立董事对此发表了独立意见，律师出具了法律意见书。</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日，公司召</w:t>
      </w:r>
      <w:r>
        <w:rPr>
          <w:spacing w:val="-3"/>
          <w:w w:val="100"/>
        </w:rPr>
        <w:t> </w:t>
      </w:r>
      <w:r>
        <w:rPr/>
        <w:t>开</w:t>
      </w:r>
      <w:r>
        <w:rPr>
          <w:rFonts w:ascii="Times New Roman" w:hAnsi="Times New Roman" w:cs="Times New Roman" w:eastAsia="Times New Roman" w:hint="default"/>
        </w:rPr>
        <w:t>2019</w:t>
      </w:r>
      <w:r>
        <w:rPr/>
        <w:t>年第一次临时股东大会，审议通过了上述议案。</w:t>
      </w:r>
    </w:p>
    <w:p>
      <w:pPr>
        <w:pStyle w:val="BodyText"/>
        <w:spacing w:line="343" w:lineRule="auto" w:before="22"/>
        <w:ind w:left="153" w:right="1127" w:firstLine="419"/>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日，公司召开</w:t>
      </w:r>
      <w:r>
        <w:rPr>
          <w:rFonts w:ascii="Times New Roman" w:hAnsi="Times New Roman" w:cs="Times New Roman" w:eastAsia="Times New Roman" w:hint="default"/>
        </w:rPr>
        <w:t>2019</w:t>
      </w:r>
      <w:r>
        <w:rPr/>
        <w:t>年第三次临时股东大会，审议通过了《</w:t>
      </w:r>
      <w:r>
        <w:rPr>
          <w:rFonts w:ascii="Times New Roman" w:hAnsi="Times New Roman" w:cs="Times New Roman" w:eastAsia="Times New Roman" w:hint="default"/>
        </w:rPr>
        <w:t>2019</w:t>
      </w:r>
      <w:r>
        <w:rPr/>
        <w:t>年股票期权与限制性股</w:t>
      </w:r>
      <w:r>
        <w:rPr>
          <w:w w:val="100"/>
        </w:rPr>
        <w:t> </w:t>
      </w:r>
      <w:r>
        <w:rPr>
          <w:spacing w:val="-3"/>
        </w:rPr>
        <w:t>票激励计划</w:t>
      </w:r>
      <w:r>
        <w:rPr>
          <w:rFonts w:ascii="Times New Roman" w:hAnsi="Times New Roman" w:cs="Times New Roman" w:eastAsia="Times New Roman" w:hint="default"/>
          <w:spacing w:val="-3"/>
        </w:rPr>
        <w:t>(</w:t>
      </w:r>
      <w:r>
        <w:rPr>
          <w:spacing w:val="-3"/>
        </w:rPr>
        <w:t>草案</w:t>
      </w:r>
      <w:r>
        <w:rPr>
          <w:rFonts w:ascii="Times New Roman" w:hAnsi="Times New Roman" w:cs="Times New Roman" w:eastAsia="Times New Roman" w:hint="default"/>
          <w:spacing w:val="-3"/>
        </w:rPr>
        <w:t>)</w:t>
      </w:r>
      <w:r>
        <w:rPr>
          <w:spacing w:val="-3"/>
        </w:rPr>
        <w:t>》（修订稿）及摘要等相关议案，律师出具了法律意见书。</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16</w:t>
      </w:r>
      <w:r>
        <w:rPr>
          <w:spacing w:val="-3"/>
        </w:rPr>
        <w:t>日，公司召开第</w:t>
      </w:r>
      <w:r>
        <w:rPr>
          <w:spacing w:val="-20"/>
        </w:rPr>
        <w:t> </w:t>
      </w:r>
      <w:r>
        <w:rPr>
          <w:spacing w:val="-20"/>
        </w:rPr>
      </w:r>
      <w:r>
        <w:rPr>
          <w:spacing w:val="-2"/>
        </w:rPr>
        <w:t>四届董事会第二十五次会议、第四届监事会第十四次会议，审议通过了《关于向激励对象授予股票期权与</w:t>
      </w:r>
      <w:r>
        <w:rPr>
          <w:spacing w:val="-42"/>
        </w:rPr>
        <w:t> </w:t>
      </w:r>
      <w:r>
        <w:rPr>
          <w:spacing w:val="-42"/>
        </w:rPr>
      </w:r>
      <w:r>
        <w:rPr>
          <w:spacing w:val="-2"/>
        </w:rPr>
        <w:t>限制性股票的议案》，监事会对公司授予的激励对象名单进行了核实，独立董事发表了明确的同意意见，</w:t>
      </w:r>
    </w:p>
    <w:p>
      <w:pPr>
        <w:spacing w:after="0" w:line="343" w:lineRule="auto"/>
        <w:jc w:val="left"/>
        <w:sectPr>
          <w:pgSz w:w="11910" w:h="16840"/>
          <w:pgMar w:header="0" w:footer="1134" w:top="1280" w:bottom="1320" w:left="980" w:right="0"/>
        </w:sectPr>
      </w:pPr>
    </w:p>
    <w:p>
      <w:pPr>
        <w:pStyle w:val="BodyText"/>
        <w:spacing w:line="441" w:lineRule="auto" w:before="112"/>
        <w:ind w:right="4340" w:hanging="420"/>
        <w:jc w:val="left"/>
      </w:pPr>
      <w:r>
        <w:rPr>
          <w:spacing w:val="-2"/>
        </w:rPr>
        <w:t>财务顾问出具了财务顾问报告，律师出具了相应的法律意见书。</w:t>
      </w:r>
      <w:r>
        <w:rPr>
          <w:spacing w:val="-52"/>
        </w:rPr>
        <w:t> </w:t>
      </w:r>
      <w:r>
        <w:rPr>
          <w:spacing w:val="-52"/>
        </w:rPr>
      </w:r>
      <w:r>
        <w:rPr/>
        <w:t>股份变动的过户情况</w:t>
      </w:r>
    </w:p>
    <w:p>
      <w:pPr>
        <w:pStyle w:val="BodyText"/>
        <w:spacing w:line="432" w:lineRule="auto" w:before="57"/>
        <w:ind w:right="5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前述股份变动均已完成相关手续。</w:t>
      </w:r>
      <w:r>
        <w:rPr>
          <w:spacing w:val="-75"/>
        </w:rPr>
        <w:t> </w:t>
      </w:r>
      <w:r>
        <w:rPr>
          <w:spacing w:val="-75"/>
        </w:rPr>
      </w:r>
      <w:r>
        <w:rPr/>
        <w:t>股份回购的实施进展情况</w:t>
      </w:r>
    </w:p>
    <w:p>
      <w:pPr>
        <w:pStyle w:val="BodyText"/>
        <w:spacing w:line="240" w:lineRule="auto" w:before="63"/>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16"/>
          <w:szCs w:val="16"/>
        </w:rPr>
      </w:pPr>
    </w:p>
    <w:p>
      <w:pPr>
        <w:pStyle w:val="BodyText"/>
        <w:spacing w:line="338" w:lineRule="auto"/>
        <w:ind w:left="152" w:right="0" w:firstLine="419"/>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日，经公司第三届董事会第五十一次会议审议通过，公司计划以自筹资金回购社会公众</w:t>
      </w:r>
      <w:r>
        <w:rPr>
          <w:w w:val="100"/>
        </w:rPr>
        <w:t> </w:t>
      </w:r>
      <w:r>
        <w:rPr>
          <w:spacing w:val="-2"/>
        </w:rPr>
        <w:t>股并予以注销，回购的资金总额最低不低于人民币</w:t>
      </w:r>
      <w:r>
        <w:rPr>
          <w:rFonts w:ascii="Times New Roman" w:hAnsi="Times New Roman" w:cs="Times New Roman" w:eastAsia="Times New Roman" w:hint="default"/>
          <w:spacing w:val="-2"/>
        </w:rPr>
        <w:t>2</w:t>
      </w:r>
      <w:r>
        <w:rPr>
          <w:spacing w:val="-2"/>
        </w:rPr>
        <w:t>亿元，最高不超过人民币</w:t>
      </w:r>
      <w:r>
        <w:rPr>
          <w:rFonts w:ascii="Times New Roman" w:hAnsi="Times New Roman" w:cs="Times New Roman" w:eastAsia="Times New Roman" w:hint="default"/>
          <w:spacing w:val="-2"/>
        </w:rPr>
        <w:t>5</w:t>
      </w:r>
      <w:r>
        <w:rPr>
          <w:spacing w:val="-2"/>
        </w:rPr>
        <w:t>亿元，回购股份的价格不超</w:t>
      </w:r>
      <w:r>
        <w:rPr>
          <w:spacing w:val="-49"/>
        </w:rPr>
        <w:t> </w:t>
      </w:r>
      <w:r>
        <w:rPr>
          <w:spacing w:val="-49"/>
        </w:rPr>
      </w:r>
      <w:r>
        <w:rPr>
          <w:spacing w:val="-3"/>
        </w:rPr>
        <w:t>过人民币</w:t>
      </w:r>
      <w:r>
        <w:rPr>
          <w:rFonts w:ascii="Times New Roman" w:hAnsi="Times New Roman" w:cs="Times New Roman" w:eastAsia="Times New Roman" w:hint="default"/>
          <w:spacing w:val="-3"/>
        </w:rPr>
        <w:t>21</w:t>
      </w:r>
      <w:r>
        <w:rPr>
          <w:spacing w:val="-3"/>
        </w:rPr>
        <w:t>元</w:t>
      </w:r>
      <w:r>
        <w:rPr>
          <w:rFonts w:ascii="Times New Roman" w:hAnsi="Times New Roman" w:cs="Times New Roman" w:eastAsia="Times New Roman" w:hint="default"/>
          <w:spacing w:val="-3"/>
        </w:rPr>
        <w:t>/</w:t>
      </w:r>
      <w:r>
        <w:rPr>
          <w:spacing w:val="-3"/>
        </w:rPr>
        <w:t>股，回购期间为自股东大会通过之日起</w:t>
      </w:r>
      <w:r>
        <w:rPr>
          <w:rFonts w:ascii="Times New Roman" w:hAnsi="Times New Roman" w:cs="Times New Roman" w:eastAsia="Times New Roman" w:hint="default"/>
          <w:spacing w:val="-3"/>
        </w:rPr>
        <w:t>12</w:t>
      </w:r>
      <w:r>
        <w:rPr>
          <w:spacing w:val="-3"/>
        </w:rPr>
        <w:t>个月。</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20</w:t>
      </w:r>
      <w:r>
        <w:rPr>
          <w:spacing w:val="-3"/>
        </w:rPr>
        <w:t>日，公司召开</w:t>
      </w:r>
      <w:r>
        <w:rPr>
          <w:rFonts w:ascii="Times New Roman" w:hAnsi="Times New Roman" w:cs="Times New Roman" w:eastAsia="Times New Roman" w:hint="default"/>
          <w:spacing w:val="-3"/>
        </w:rPr>
        <w:t>2017</w:t>
      </w:r>
      <w:r>
        <w:rPr>
          <w:spacing w:val="-3"/>
        </w:rPr>
        <w:t>年第三次临</w:t>
      </w:r>
      <w:r>
        <w:rPr>
          <w:spacing w:val="-35"/>
        </w:rPr>
        <w:t> </w:t>
      </w:r>
      <w:r>
        <w:rPr>
          <w:spacing w:val="-35"/>
        </w:rPr>
      </w:r>
      <w:r>
        <w:rPr>
          <w:spacing w:val="-4"/>
        </w:rPr>
        <w:t>时股东大会审议通过了上述事项。</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3</w:t>
      </w:r>
      <w:r>
        <w:rPr>
          <w:spacing w:val="-4"/>
        </w:rPr>
        <w:t>日，公司披露《关于回购公司部分社会公众股份的报告书》。</w:t>
      </w:r>
      <w:r>
        <w:rPr>
          <w:spacing w:val="-41"/>
        </w:rPr>
        <w:t> </w:t>
      </w:r>
      <w:r>
        <w:rPr>
          <w:spacing w:val="-41"/>
        </w:rPr>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17</w:t>
      </w:r>
      <w:r>
        <w:rPr>
          <w:spacing w:val="-2"/>
        </w:rPr>
        <w:t>日，公司首次实施了回购方案。</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w:t>
      </w:r>
      <w:r>
        <w:rPr>
          <w:spacing w:val="-2"/>
        </w:rPr>
        <w:t>日，公司累计回购股份</w:t>
      </w:r>
      <w:r>
        <w:rPr>
          <w:rFonts w:ascii="Times New Roman" w:hAnsi="Times New Roman" w:cs="Times New Roman" w:eastAsia="Times New Roman" w:hint="default"/>
          <w:spacing w:val="-2"/>
        </w:rPr>
        <w:t>11,720,125</w:t>
      </w:r>
      <w:r>
        <w:rPr>
          <w:spacing w:val="-2"/>
        </w:rPr>
        <w:t>股，占回购股份</w:t>
      </w:r>
      <w:r>
        <w:rPr>
          <w:spacing w:val="-24"/>
        </w:rPr>
        <w:t> </w:t>
      </w:r>
      <w:r>
        <w:rPr>
          <w:spacing w:val="-24"/>
        </w:rPr>
      </w:r>
      <w:r>
        <w:rPr/>
        <w:t>方案实施前公司总股本的</w:t>
      </w:r>
      <w:r>
        <w:rPr>
          <w:rFonts w:ascii="Times New Roman" w:hAnsi="Times New Roman" w:cs="Times New Roman" w:eastAsia="Times New Roman" w:hint="default"/>
        </w:rPr>
        <w:t>1.00%</w:t>
      </w:r>
      <w:r>
        <w:rPr/>
        <w:t>。</w:t>
      </w:r>
    </w:p>
    <w:p>
      <w:pPr>
        <w:pStyle w:val="BodyText"/>
        <w:spacing w:line="336" w:lineRule="auto" w:before="24"/>
        <w:ind w:left="153" w:right="1132" w:firstLine="419"/>
        <w:jc w:val="both"/>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spacing w:val="-2"/>
        </w:rPr>
        <w:t>日，公司股份回购事项已届满，</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17</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spacing w:val="-2"/>
        </w:rPr>
        <w:t>日回购期间，公司股份回</w:t>
      </w:r>
      <w:r>
        <w:rPr>
          <w:spacing w:val="-3"/>
          <w:w w:val="100"/>
        </w:rPr>
        <w:t> </w:t>
      </w:r>
      <w:r>
        <w:rPr>
          <w:spacing w:val="-3"/>
        </w:rPr>
        <w:t>购专用账户累计回购股份</w:t>
      </w:r>
      <w:r>
        <w:rPr>
          <w:rFonts w:ascii="Times New Roman" w:hAnsi="Times New Roman" w:cs="Times New Roman" w:eastAsia="Times New Roman" w:hint="default"/>
          <w:spacing w:val="-3"/>
        </w:rPr>
        <w:t>12,400,125</w:t>
      </w:r>
      <w:r>
        <w:rPr>
          <w:spacing w:val="-3"/>
        </w:rPr>
        <w:t>股，占公司总股本的</w:t>
      </w:r>
      <w:r>
        <w:rPr>
          <w:rFonts w:ascii="Times New Roman" w:hAnsi="Times New Roman" w:cs="Times New Roman" w:eastAsia="Times New Roman" w:hint="default"/>
          <w:spacing w:val="-3"/>
        </w:rPr>
        <w:t>1.06%</w:t>
      </w:r>
      <w:r>
        <w:rPr>
          <w:spacing w:val="-3"/>
        </w:rPr>
        <w:t>，最高成交价为</w:t>
      </w:r>
      <w:r>
        <w:rPr>
          <w:rFonts w:ascii="Times New Roman" w:hAnsi="Times New Roman" w:cs="Times New Roman" w:eastAsia="Times New Roman" w:hint="default"/>
          <w:spacing w:val="-3"/>
        </w:rPr>
        <w:t>19.596</w:t>
      </w:r>
      <w:r>
        <w:rPr>
          <w:spacing w:val="-3"/>
        </w:rPr>
        <w:t>元</w:t>
      </w:r>
      <w:r>
        <w:rPr>
          <w:rFonts w:ascii="Times New Roman" w:hAnsi="Times New Roman" w:cs="Times New Roman" w:eastAsia="Times New Roman" w:hint="default"/>
          <w:spacing w:val="-3"/>
        </w:rPr>
        <w:t>/</w:t>
      </w:r>
      <w:r>
        <w:rPr>
          <w:spacing w:val="-3"/>
        </w:rPr>
        <w:t>股，最低成交价为</w:t>
      </w:r>
      <w:r>
        <w:rPr>
          <w:spacing w:val="4"/>
        </w:rPr>
        <w:t> </w:t>
      </w:r>
      <w:r>
        <w:rPr>
          <w:spacing w:val="4"/>
        </w:rPr>
      </w:r>
      <w:r>
        <w:rPr>
          <w:rFonts w:ascii="Times New Roman" w:hAnsi="Times New Roman" w:cs="Times New Roman" w:eastAsia="Times New Roman" w:hint="default"/>
          <w:spacing w:val="-3"/>
        </w:rPr>
        <w:t>14.32</w:t>
      </w:r>
      <w:r>
        <w:rPr>
          <w:spacing w:val="-3"/>
        </w:rPr>
        <w:t>元</w:t>
      </w:r>
      <w:r>
        <w:rPr>
          <w:rFonts w:ascii="Times New Roman" w:hAnsi="Times New Roman" w:cs="Times New Roman" w:eastAsia="Times New Roman" w:hint="default"/>
          <w:spacing w:val="-3"/>
        </w:rPr>
        <w:t>/</w:t>
      </w:r>
      <w:r>
        <w:rPr>
          <w:spacing w:val="-3"/>
        </w:rPr>
        <w:t>股，支付总金额</w:t>
      </w:r>
      <w:r>
        <w:rPr>
          <w:rFonts w:ascii="Times New Roman" w:hAnsi="Times New Roman" w:cs="Times New Roman" w:eastAsia="Times New Roman" w:hint="default"/>
          <w:spacing w:val="-3"/>
        </w:rPr>
        <w:t>207,652,493.25</w:t>
      </w:r>
      <w:r>
        <w:rPr>
          <w:spacing w:val="-3"/>
        </w:rPr>
        <w:t>元。上述</w:t>
      </w:r>
      <w:r>
        <w:rPr>
          <w:rFonts w:ascii="Times New Roman" w:hAnsi="Times New Roman" w:cs="Times New Roman" w:eastAsia="Times New Roman" w:hint="default"/>
          <w:spacing w:val="-3"/>
        </w:rPr>
        <w:t>12,400,125</w:t>
      </w:r>
      <w:r>
        <w:rPr>
          <w:spacing w:val="-3"/>
        </w:rPr>
        <w:t>股份已在中国证券登记结算有限责任公司深圳分</w:t>
      </w:r>
      <w:r>
        <w:rPr>
          <w:spacing w:val="-11"/>
        </w:rPr>
        <w:t> </w:t>
      </w:r>
      <w:r>
        <w:rPr>
          <w:spacing w:val="-11"/>
        </w:rPr>
      </w:r>
      <w:r>
        <w:rPr/>
        <w:t>公司完成注销手续。</w:t>
      </w:r>
    </w:p>
    <w:p>
      <w:pPr>
        <w:pStyle w:val="BodyText"/>
        <w:spacing w:line="240" w:lineRule="auto" w:before="147"/>
        <w:ind w:left="573" w:right="1127"/>
        <w:jc w:val="left"/>
      </w:pPr>
      <w:r>
        <w:rPr/>
        <w:t>采用集中竞价方式减持回购股份的实施进展情况</w:t>
      </w:r>
    </w:p>
    <w:p>
      <w:pPr>
        <w:spacing w:line="240" w:lineRule="auto" w:before="12"/>
        <w:rPr>
          <w:rFonts w:ascii="宋体" w:hAnsi="宋体" w:cs="宋体" w:eastAsia="宋体" w:hint="default"/>
          <w:sz w:val="17"/>
          <w:szCs w:val="17"/>
        </w:rPr>
      </w:pPr>
    </w:p>
    <w:p>
      <w:pPr>
        <w:pStyle w:val="BodyText"/>
        <w:spacing w:line="422" w:lineRule="auto"/>
        <w:ind w:left="573"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股份变动对最近一年和最近一期基本每股收益和稀释每股收益、归属于公司普通股股东的每股净资产</w:t>
      </w:r>
    </w:p>
    <w:p>
      <w:pPr>
        <w:pStyle w:val="BodyText"/>
        <w:spacing w:line="246" w:lineRule="exact"/>
        <w:ind w:left="153" w:right="1127"/>
        <w:jc w:val="left"/>
      </w:pPr>
      <w:r>
        <w:rPr/>
        <w:t>等财务指标的影响</w:t>
      </w:r>
    </w:p>
    <w:p>
      <w:pPr>
        <w:spacing w:line="240" w:lineRule="auto" w:before="12"/>
        <w:rPr>
          <w:rFonts w:ascii="宋体" w:hAnsi="宋体" w:cs="宋体" w:eastAsia="宋体" w:hint="default"/>
          <w:sz w:val="17"/>
          <w:szCs w:val="17"/>
        </w:rPr>
      </w:pPr>
    </w:p>
    <w:p>
      <w:pPr>
        <w:pStyle w:val="BodyText"/>
        <w:spacing w:line="240" w:lineRule="auto"/>
        <w:ind w:left="573"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19"/>
          <w:szCs w:val="19"/>
        </w:rPr>
      </w:pPr>
    </w:p>
    <w:tbl>
      <w:tblPr>
        <w:tblW w:w="0" w:type="auto"/>
        <w:jc w:val="left"/>
        <w:tblInd w:w="148" w:type="dxa"/>
        <w:tblLayout w:type="fixed"/>
        <w:tblCellMar>
          <w:top w:w="0" w:type="dxa"/>
          <w:left w:w="0" w:type="dxa"/>
          <w:bottom w:w="0" w:type="dxa"/>
          <w:right w:w="0" w:type="dxa"/>
        </w:tblCellMar>
        <w:tblLook w:val="01E0"/>
      </w:tblPr>
      <w:tblGrid>
        <w:gridCol w:w="1517"/>
        <w:gridCol w:w="1738"/>
        <w:gridCol w:w="2117"/>
        <w:gridCol w:w="2323"/>
        <w:gridCol w:w="1426"/>
      </w:tblGrid>
      <w:tr>
        <w:trPr>
          <w:trHeight w:val="402" w:hRule="exact"/>
        </w:trPr>
        <w:tc>
          <w:tcPr>
            <w:tcW w:w="151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3854" w:type="dxa"/>
            <w:gridSpan w:val="2"/>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r>
          </w:p>
        </w:tc>
        <w:tc>
          <w:tcPr>
            <w:tcW w:w="3749" w:type="dxa"/>
            <w:gridSpan w:val="2"/>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r>
          </w:p>
        </w:tc>
      </w:tr>
      <w:tr>
        <w:trPr>
          <w:trHeight w:val="408" w:hRule="exact"/>
        </w:trPr>
        <w:tc>
          <w:tcPr>
            <w:tcW w:w="1517" w:type="dxa"/>
            <w:tcBorders>
              <w:top w:val="single" w:sz="4" w:space="0" w:color="000000"/>
              <w:left w:val="single" w:sz="4" w:space="0" w:color="000000"/>
              <w:bottom w:val="single" w:sz="4" w:space="0" w:color="000000"/>
              <w:right w:val="single" w:sz="4" w:space="0" w:color="000000"/>
            </w:tcBorders>
            <w:shd w:val="clear" w:color="auto" w:fill="DADADA"/>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按新股本计算</w:t>
            </w:r>
          </w:p>
        </w:tc>
        <w:tc>
          <w:tcPr>
            <w:tcW w:w="211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按原股本计算</w:t>
            </w:r>
          </w:p>
        </w:tc>
        <w:tc>
          <w:tcPr>
            <w:tcW w:w="232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按新股本计算</w:t>
            </w:r>
          </w:p>
        </w:tc>
        <w:tc>
          <w:tcPr>
            <w:tcW w:w="142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按原股本计算</w:t>
            </w:r>
          </w:p>
        </w:tc>
      </w:tr>
      <w:tr>
        <w:trPr>
          <w:trHeight w:val="407" w:hRule="exact"/>
        </w:trPr>
        <w:tc>
          <w:tcPr>
            <w:tcW w:w="151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74" w:right="0"/>
              <w:jc w:val="center"/>
              <w:rPr>
                <w:rFonts w:ascii="Times New Roman" w:hAnsi="Times New Roman" w:cs="Times New Roman" w:eastAsia="Times New Roman" w:hint="default"/>
                <w:sz w:val="18"/>
                <w:szCs w:val="18"/>
              </w:rPr>
            </w:pPr>
            <w:r>
              <w:rPr>
                <w:rFonts w:ascii="Times New Roman"/>
                <w:sz w:val="18"/>
              </w:rPr>
              <w:t>0.15120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73" w:right="0"/>
              <w:jc w:val="center"/>
              <w:rPr>
                <w:rFonts w:ascii="Times New Roman" w:hAnsi="Times New Roman" w:cs="Times New Roman" w:eastAsia="Times New Roman" w:hint="default"/>
                <w:sz w:val="18"/>
                <w:szCs w:val="18"/>
              </w:rPr>
            </w:pPr>
            <w:r>
              <w:rPr>
                <w:rFonts w:ascii="Times New Roman"/>
                <w:sz w:val="18"/>
              </w:rPr>
              <w:t>0.1497</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8" w:right="0"/>
              <w:jc w:val="center"/>
              <w:rPr>
                <w:rFonts w:ascii="Times New Roman" w:hAnsi="Times New Roman" w:cs="Times New Roman" w:eastAsia="Times New Roman" w:hint="default"/>
                <w:sz w:val="18"/>
                <w:szCs w:val="18"/>
              </w:rPr>
            </w:pPr>
            <w:r>
              <w:rPr>
                <w:rFonts w:ascii="Times New Roman"/>
                <w:sz w:val="18"/>
              </w:rPr>
              <w:t>0.0258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73" w:right="0"/>
              <w:jc w:val="center"/>
              <w:rPr>
                <w:rFonts w:ascii="Times New Roman" w:hAnsi="Times New Roman" w:cs="Times New Roman" w:eastAsia="Times New Roman" w:hint="default"/>
                <w:sz w:val="18"/>
                <w:szCs w:val="18"/>
              </w:rPr>
            </w:pPr>
            <w:r>
              <w:rPr>
                <w:rFonts w:ascii="Times New Roman"/>
                <w:sz w:val="18"/>
              </w:rPr>
              <w:t>0.0256</w:t>
            </w:r>
          </w:p>
        </w:tc>
      </w:tr>
      <w:tr>
        <w:trPr>
          <w:trHeight w:val="408" w:hRule="exact"/>
        </w:trPr>
        <w:tc>
          <w:tcPr>
            <w:tcW w:w="151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738" w:type="dxa"/>
            <w:tcBorders>
              <w:top w:val="single" w:sz="4" w:space="0" w:color="000000"/>
              <w:left w:val="single" w:sz="4" w:space="0" w:color="000000"/>
              <w:bottom w:val="single" w:sz="4" w:space="0" w:color="DADADA"/>
              <w:right w:val="single" w:sz="4" w:space="0" w:color="000000"/>
            </w:tcBorders>
          </w:tcPr>
          <w:p>
            <w:pPr>
              <w:pStyle w:val="TableParagraph"/>
              <w:spacing w:line="240" w:lineRule="auto" w:before="77"/>
              <w:ind w:left="74" w:right="0"/>
              <w:jc w:val="center"/>
              <w:rPr>
                <w:rFonts w:ascii="Times New Roman" w:hAnsi="Times New Roman" w:cs="Times New Roman" w:eastAsia="Times New Roman" w:hint="default"/>
                <w:sz w:val="18"/>
                <w:szCs w:val="18"/>
              </w:rPr>
            </w:pPr>
            <w:r>
              <w:rPr>
                <w:rFonts w:ascii="Times New Roman"/>
                <w:sz w:val="18"/>
              </w:rPr>
              <w:t>0.15030</w:t>
            </w:r>
          </w:p>
        </w:tc>
        <w:tc>
          <w:tcPr>
            <w:tcW w:w="2117" w:type="dxa"/>
            <w:tcBorders>
              <w:top w:val="single" w:sz="4" w:space="0" w:color="000000"/>
              <w:left w:val="single" w:sz="4" w:space="0" w:color="000000"/>
              <w:bottom w:val="single" w:sz="4" w:space="0" w:color="DADADA"/>
              <w:right w:val="single" w:sz="4" w:space="0" w:color="000000"/>
            </w:tcBorders>
          </w:tcPr>
          <w:p>
            <w:pPr>
              <w:pStyle w:val="TableParagraph"/>
              <w:spacing w:line="240" w:lineRule="auto" w:before="77"/>
              <w:ind w:left="73" w:right="0"/>
              <w:jc w:val="center"/>
              <w:rPr>
                <w:rFonts w:ascii="Times New Roman" w:hAnsi="Times New Roman" w:cs="Times New Roman" w:eastAsia="Times New Roman" w:hint="default"/>
                <w:sz w:val="18"/>
                <w:szCs w:val="18"/>
              </w:rPr>
            </w:pPr>
            <w:r>
              <w:rPr>
                <w:rFonts w:ascii="Times New Roman"/>
                <w:sz w:val="18"/>
              </w:rPr>
              <w:t>0.1500</w:t>
            </w:r>
          </w:p>
        </w:tc>
        <w:tc>
          <w:tcPr>
            <w:tcW w:w="2323" w:type="dxa"/>
            <w:tcBorders>
              <w:top w:val="single" w:sz="4" w:space="0" w:color="000000"/>
              <w:left w:val="single" w:sz="4" w:space="0" w:color="000000"/>
              <w:bottom w:val="single" w:sz="4" w:space="0" w:color="DADADA"/>
              <w:right w:val="single" w:sz="4" w:space="0" w:color="000000"/>
            </w:tcBorders>
          </w:tcPr>
          <w:p>
            <w:pPr>
              <w:pStyle w:val="TableParagraph"/>
              <w:spacing w:line="240" w:lineRule="auto" w:before="77"/>
              <w:ind w:left="68" w:right="0"/>
              <w:jc w:val="center"/>
              <w:rPr>
                <w:rFonts w:ascii="Times New Roman" w:hAnsi="Times New Roman" w:cs="Times New Roman" w:eastAsia="Times New Roman" w:hint="default"/>
                <w:sz w:val="18"/>
                <w:szCs w:val="18"/>
              </w:rPr>
            </w:pPr>
            <w:r>
              <w:rPr>
                <w:rFonts w:ascii="Times New Roman"/>
                <w:sz w:val="18"/>
              </w:rPr>
              <w:t>0.0258</w:t>
            </w:r>
          </w:p>
        </w:tc>
        <w:tc>
          <w:tcPr>
            <w:tcW w:w="1426" w:type="dxa"/>
            <w:tcBorders>
              <w:top w:val="single" w:sz="4" w:space="0" w:color="000000"/>
              <w:left w:val="single" w:sz="4" w:space="0" w:color="000000"/>
              <w:bottom w:val="single" w:sz="4" w:space="0" w:color="DADADA"/>
              <w:right w:val="single" w:sz="4" w:space="0" w:color="000000"/>
            </w:tcBorders>
          </w:tcPr>
          <w:p>
            <w:pPr>
              <w:pStyle w:val="TableParagraph"/>
              <w:spacing w:line="240" w:lineRule="auto" w:before="77"/>
              <w:ind w:left="73" w:right="0"/>
              <w:jc w:val="center"/>
              <w:rPr>
                <w:rFonts w:ascii="Times New Roman" w:hAnsi="Times New Roman" w:cs="Times New Roman" w:eastAsia="Times New Roman" w:hint="default"/>
                <w:sz w:val="18"/>
                <w:szCs w:val="18"/>
              </w:rPr>
            </w:pPr>
            <w:r>
              <w:rPr>
                <w:rFonts w:ascii="Times New Roman"/>
                <w:sz w:val="18"/>
              </w:rPr>
              <w:t>0.0256</w:t>
            </w:r>
          </w:p>
        </w:tc>
      </w:tr>
      <w:tr>
        <w:trPr>
          <w:trHeight w:val="408" w:hRule="exact"/>
        </w:trPr>
        <w:tc>
          <w:tcPr>
            <w:tcW w:w="1517" w:type="dxa"/>
            <w:tcBorders>
              <w:top w:val="single" w:sz="4" w:space="0" w:color="000000"/>
              <w:left w:val="single" w:sz="4" w:space="0" w:color="000000"/>
              <w:bottom w:val="single" w:sz="4" w:space="0" w:color="000000"/>
              <w:right w:val="single" w:sz="4" w:space="0" w:color="000000"/>
            </w:tcBorders>
            <w:shd w:val="clear" w:color="auto" w:fill="DADADA"/>
          </w:tcPr>
          <w:p>
            <w:pPr/>
          </w:p>
        </w:tc>
        <w:tc>
          <w:tcPr>
            <w:tcW w:w="3854" w:type="dxa"/>
            <w:gridSpan w:val="2"/>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1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3749" w:type="dxa"/>
            <w:gridSpan w:val="2"/>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11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406" w:hRule="exact"/>
        </w:trPr>
        <w:tc>
          <w:tcPr>
            <w:tcW w:w="1517" w:type="dxa"/>
            <w:tcBorders>
              <w:top w:val="single" w:sz="4" w:space="0" w:color="000000"/>
              <w:left w:val="single" w:sz="4" w:space="0" w:color="000000"/>
              <w:bottom w:val="single" w:sz="4" w:space="0" w:color="000000"/>
              <w:right w:val="single" w:sz="4" w:space="0" w:color="000000"/>
            </w:tcBorders>
            <w:shd w:val="clear" w:color="auto" w:fill="DADADA"/>
          </w:tcPr>
          <w:p>
            <w:pPr/>
          </w:p>
        </w:tc>
        <w:tc>
          <w:tcPr>
            <w:tcW w:w="173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按新股本计算</w:t>
            </w:r>
          </w:p>
        </w:tc>
        <w:tc>
          <w:tcPr>
            <w:tcW w:w="211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按原股本计算</w:t>
            </w:r>
          </w:p>
        </w:tc>
        <w:tc>
          <w:tcPr>
            <w:tcW w:w="232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按新股本计算</w:t>
            </w:r>
          </w:p>
        </w:tc>
        <w:tc>
          <w:tcPr>
            <w:tcW w:w="142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按原股本计算</w:t>
            </w:r>
          </w:p>
        </w:tc>
      </w:tr>
      <w:tr>
        <w:trPr>
          <w:trHeight w:val="643" w:hRule="exact"/>
        </w:trPr>
        <w:tc>
          <w:tcPr>
            <w:tcW w:w="151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32" w:lineRule="exact" w:before="78"/>
              <w:ind w:left="124" w:right="31" w:hanging="92"/>
              <w:jc w:val="left"/>
              <w:rPr>
                <w:rFonts w:ascii="宋体" w:hAnsi="宋体" w:cs="宋体" w:eastAsia="宋体" w:hint="default"/>
                <w:sz w:val="18"/>
                <w:szCs w:val="18"/>
              </w:rPr>
            </w:pPr>
            <w:r>
              <w:rPr>
                <w:rFonts w:ascii="宋体" w:hAnsi="宋体" w:cs="宋体" w:eastAsia="宋体" w:hint="default"/>
                <w:sz w:val="18"/>
                <w:szCs w:val="18"/>
              </w:rPr>
              <w:t>归属于上市公司股 东的每股净资产</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3.0678</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3.0457</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2.8572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2.8366</w:t>
            </w:r>
          </w:p>
        </w:tc>
      </w:tr>
    </w:tbl>
    <w:p>
      <w:pPr>
        <w:pStyle w:val="BodyText"/>
        <w:spacing w:line="240" w:lineRule="auto" w:before="64"/>
        <w:ind w:right="1127"/>
        <w:jc w:val="left"/>
      </w:pPr>
      <w:r>
        <w:rPr/>
        <w:t>公司认为必要或证券监管机构要求披露的其他内容</w:t>
      </w:r>
    </w:p>
    <w:p>
      <w:pPr>
        <w:spacing w:line="240" w:lineRule="auto" w:before="9"/>
        <w:rPr>
          <w:rFonts w:ascii="宋体" w:hAnsi="宋体" w:cs="宋体" w:eastAsia="宋体" w:hint="default"/>
          <w:sz w:val="17"/>
          <w:szCs w:val="17"/>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48"/>
          <w:pgSz w:w="11910" w:h="16840"/>
          <w:pgMar w:footer="1134" w:header="0" w:top="1280" w:bottom="1320" w:left="980" w:right="0"/>
        </w:sectPr>
      </w:pPr>
    </w:p>
    <w:p>
      <w:pPr>
        <w:pStyle w:val="Heading4"/>
        <w:spacing w:line="240" w:lineRule="auto" w:before="115"/>
        <w:ind w:right="1127"/>
        <w:jc w:val="left"/>
        <w:rPr>
          <w:b w:val="0"/>
          <w:bCs w:val="0"/>
        </w:rPr>
      </w:pPr>
      <w:bookmarkStart w:name="2、限售股份变动情况" w:id="186"/>
      <w:bookmarkEnd w:id="18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13"/>
          <w:szCs w:val="13"/>
        </w:rPr>
      </w:pPr>
    </w:p>
    <w:p>
      <w:pPr>
        <w:pStyle w:val="BodyText"/>
        <w:spacing w:line="240" w:lineRule="auto" w:before="36"/>
        <w:ind w:left="0" w:right="1132"/>
        <w:jc w:val="right"/>
      </w:pPr>
      <w:r>
        <w:rPr>
          <w:spacing w:val="-1"/>
        </w:rPr>
        <w:t>单位：股</w:t>
      </w:r>
    </w:p>
    <w:p>
      <w:pPr>
        <w:spacing w:line="240" w:lineRule="auto" w:before="9"/>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1207"/>
        <w:gridCol w:w="1488"/>
        <w:gridCol w:w="1488"/>
        <w:gridCol w:w="1488"/>
        <w:gridCol w:w="1488"/>
        <w:gridCol w:w="1202"/>
        <w:gridCol w:w="1205"/>
      </w:tblGrid>
      <w:tr>
        <w:trPr>
          <w:trHeight w:val="619" w:hRule="exact"/>
        </w:trPr>
        <w:tc>
          <w:tcPr>
            <w:tcW w:w="12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期初限售股数</w:t>
            </w:r>
          </w:p>
        </w:tc>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650" w:right="10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650" w:right="10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期末限售股数</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506" w:right="55" w:hanging="449"/>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440,659,108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111,320,820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-60,660,411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491,319,517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44"/>
              <w:ind w:left="57" w:right="55"/>
              <w:jc w:val="center"/>
              <w:rPr>
                <w:rFonts w:ascii="Times New Roman" w:hAnsi="Times New Roman" w:cs="Times New Roman" w:eastAsia="Times New Roman" w:hint="default"/>
                <w:sz w:val="18"/>
                <w:szCs w:val="18"/>
              </w:rPr>
            </w:pPr>
            <w:r>
              <w:rPr>
                <w:rFonts w:ascii="宋体" w:hAnsi="宋体" w:cs="宋体" w:eastAsia="宋体" w:hint="default"/>
                <w:sz w:val="18"/>
                <w:szCs w:val="18"/>
              </w:rPr>
              <w:t>按照高管锁定 每年可解除 </w:t>
            </w:r>
            <w:r>
              <w:rPr>
                <w:rFonts w:ascii="Times New Roman" w:hAnsi="Times New Roman" w:cs="Times New Roman" w:eastAsia="Times New Roman" w:hint="default"/>
                <w:sz w:val="18"/>
                <w:szCs w:val="18"/>
              </w:rPr>
              <w:t>25%</w:t>
            </w:r>
          </w:p>
        </w:tc>
      </w:tr>
      <w:tr>
        <w:trPr>
          <w:trHeight w:val="109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刘明</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24,456,908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8,743,758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-12,292,486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20,908,180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57" w:right="55" w:hanging="3"/>
              <w:jc w:val="center"/>
              <w:rPr>
                <w:rFonts w:ascii="Times New Roman" w:hAnsi="Times New Roman" w:cs="Times New Roman" w:eastAsia="Times New Roman" w:hint="default"/>
                <w:sz w:val="18"/>
                <w:szCs w:val="18"/>
              </w:rPr>
            </w:pPr>
            <w:r>
              <w:rPr>
                <w:rFonts w:ascii="宋体" w:hAnsi="宋体" w:cs="宋体" w:eastAsia="宋体" w:hint="default"/>
                <w:sz w:val="18"/>
                <w:szCs w:val="18"/>
              </w:rPr>
              <w:t>在原定任期 内，按照高管 锁定每年可解 除</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刘希平</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27,136,737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27,136,738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41"/>
              <w:ind w:left="57" w:right="55"/>
              <w:jc w:val="center"/>
              <w:rPr>
                <w:rFonts w:ascii="Times New Roman" w:hAnsi="Times New Roman" w:cs="Times New Roman" w:eastAsia="Times New Roman" w:hint="default"/>
                <w:sz w:val="18"/>
                <w:szCs w:val="18"/>
              </w:rPr>
            </w:pPr>
            <w:r>
              <w:rPr>
                <w:rFonts w:ascii="宋体" w:hAnsi="宋体" w:cs="宋体" w:eastAsia="宋体" w:hint="default"/>
                <w:sz w:val="18"/>
                <w:szCs w:val="18"/>
              </w:rPr>
              <w:t>按照高管锁定 每年可解除 </w:t>
            </w:r>
            <w:r>
              <w:rPr>
                <w:rFonts w:ascii="Times New Roman" w:hAnsi="Times New Roman" w:cs="Times New Roman" w:eastAsia="Times New Roman" w:hint="default"/>
                <w:sz w:val="18"/>
                <w:szCs w:val="18"/>
              </w:rPr>
              <w:t>25%</w:t>
            </w:r>
          </w:p>
        </w:tc>
      </w:tr>
      <w:tr>
        <w:trPr>
          <w:trHeight w:val="82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12,928,974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66,312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-677,382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12,317,904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41"/>
              <w:ind w:left="57" w:right="55"/>
              <w:jc w:val="center"/>
              <w:rPr>
                <w:rFonts w:ascii="Times New Roman" w:hAnsi="Times New Roman" w:cs="Times New Roman" w:eastAsia="Times New Roman" w:hint="default"/>
                <w:sz w:val="18"/>
                <w:szCs w:val="18"/>
              </w:rPr>
            </w:pPr>
            <w:r>
              <w:rPr>
                <w:rFonts w:ascii="宋体" w:hAnsi="宋体" w:cs="宋体" w:eastAsia="宋体" w:hint="default"/>
                <w:sz w:val="18"/>
                <w:szCs w:val="18"/>
              </w:rPr>
              <w:t>按照高管锁定 每年可解除 </w:t>
            </w:r>
            <w:r>
              <w:rPr>
                <w:rFonts w:ascii="Times New Roman" w:hAnsi="Times New Roman" w:cs="Times New Roman" w:eastAsia="Times New Roman" w:hint="default"/>
                <w:sz w:val="18"/>
                <w:szCs w:val="18"/>
              </w:rPr>
              <w:t>25%</w:t>
            </w: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陈为群</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10,773,527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367,019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-4,404,223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6,736,323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44"/>
              <w:ind w:left="57" w:right="55"/>
              <w:jc w:val="center"/>
              <w:rPr>
                <w:rFonts w:ascii="Times New Roman" w:hAnsi="Times New Roman" w:cs="Times New Roman" w:eastAsia="Times New Roman" w:hint="default"/>
                <w:sz w:val="18"/>
                <w:szCs w:val="18"/>
              </w:rPr>
            </w:pPr>
            <w:r>
              <w:rPr>
                <w:rFonts w:ascii="宋体" w:hAnsi="宋体" w:cs="宋体" w:eastAsia="宋体" w:hint="default"/>
                <w:sz w:val="18"/>
                <w:szCs w:val="18"/>
              </w:rPr>
              <w:t>按照高管锁定 每年可解除 </w:t>
            </w:r>
            <w:r>
              <w:rPr>
                <w:rFonts w:ascii="Times New Roman" w:hAnsi="Times New Roman" w:cs="Times New Roman" w:eastAsia="Times New Roman" w:hint="default"/>
                <w:sz w:val="18"/>
                <w:szCs w:val="18"/>
              </w:rPr>
              <w:t>25%</w:t>
            </w:r>
          </w:p>
        </w:tc>
      </w:tr>
      <w:tr>
        <w:trPr>
          <w:trHeight w:val="1322"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赵庭荣</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1,069,066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2,080,589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-886,241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2,263,414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326" w:right="53" w:hanging="269"/>
              <w:jc w:val="left"/>
              <w:rPr>
                <w:rFonts w:ascii="宋体" w:hAnsi="宋体" w:cs="宋体" w:eastAsia="宋体" w:hint="default"/>
                <w:sz w:val="18"/>
                <w:szCs w:val="18"/>
              </w:rPr>
            </w:pPr>
            <w:r>
              <w:rPr>
                <w:rFonts w:ascii="宋体" w:hAnsi="宋体" w:cs="宋体" w:eastAsia="宋体" w:hint="default"/>
                <w:sz w:val="18"/>
                <w:szCs w:val="18"/>
              </w:rPr>
              <w:t>高管锁定，股 权激励</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48"/>
              <w:ind w:left="24" w:right="19" w:hanging="3"/>
              <w:jc w:val="center"/>
              <w:rPr>
                <w:rFonts w:ascii="宋体" w:hAnsi="宋体" w:cs="宋体" w:eastAsia="宋体" w:hint="default"/>
                <w:sz w:val="18"/>
                <w:szCs w:val="18"/>
              </w:rPr>
            </w:pPr>
            <w:r>
              <w:rPr>
                <w:rFonts w:ascii="宋体" w:hAnsi="宋体" w:cs="宋体" w:eastAsia="宋体" w:hint="default"/>
                <w:sz w:val="18"/>
                <w:szCs w:val="18"/>
              </w:rPr>
              <w:t>按照高管锁定 每年可解除 </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、按照公司</w:t>
            </w:r>
            <w:r>
              <w:rPr>
                <w:rFonts w:ascii="宋体" w:hAnsi="宋体" w:cs="宋体" w:eastAsia="宋体" w:hint="default"/>
                <w:sz w:val="18"/>
                <w:szCs w:val="18"/>
              </w:rPr>
              <w:t> 股权激励计划 规定解限</w:t>
            </w: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5,193,775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290,597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-2,512,522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2,971,850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41"/>
              <w:ind w:left="57" w:right="55"/>
              <w:jc w:val="center"/>
              <w:rPr>
                <w:rFonts w:ascii="Times New Roman" w:hAnsi="Times New Roman" w:cs="Times New Roman" w:eastAsia="Times New Roman" w:hint="default"/>
                <w:sz w:val="18"/>
                <w:szCs w:val="18"/>
              </w:rPr>
            </w:pPr>
            <w:r>
              <w:rPr>
                <w:rFonts w:ascii="宋体" w:hAnsi="宋体" w:cs="宋体" w:eastAsia="宋体" w:hint="default"/>
                <w:sz w:val="18"/>
                <w:szCs w:val="18"/>
              </w:rPr>
              <w:t>按照高管锁定 每年可解除 </w:t>
            </w:r>
            <w:r>
              <w:rPr>
                <w:rFonts w:ascii="Times New Roman" w:hAnsi="Times New Roman" w:cs="Times New Roman" w:eastAsia="Times New Roman" w:hint="default"/>
                <w:sz w:val="18"/>
                <w:szCs w:val="18"/>
              </w:rPr>
              <w:t>25%</w:t>
            </w:r>
          </w:p>
        </w:tc>
      </w:tr>
      <w:tr>
        <w:trPr>
          <w:trHeight w:val="85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谢军伟</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903,176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4,195,000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-903,176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4,195,000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股权激励</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4"/>
              <w:ind w:left="57" w:right="55"/>
              <w:jc w:val="center"/>
              <w:rPr>
                <w:rFonts w:ascii="宋体" w:hAnsi="宋体" w:cs="宋体" w:eastAsia="宋体" w:hint="default"/>
                <w:sz w:val="18"/>
                <w:szCs w:val="18"/>
              </w:rPr>
            </w:pPr>
            <w:r>
              <w:rPr>
                <w:rFonts w:ascii="宋体" w:hAnsi="宋体" w:cs="宋体" w:eastAsia="宋体" w:hint="default"/>
                <w:sz w:val="18"/>
                <w:szCs w:val="18"/>
              </w:rPr>
              <w:t>按照公司股权 激励计划规定 解限</w:t>
            </w:r>
          </w:p>
        </w:tc>
      </w:tr>
      <w:tr>
        <w:trPr>
          <w:trHeight w:val="85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周翔</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2,182,298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-2,182,298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股权激励</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4"/>
              <w:ind w:left="57" w:right="55"/>
              <w:jc w:val="center"/>
              <w:rPr>
                <w:rFonts w:ascii="宋体" w:hAnsi="宋体" w:cs="宋体" w:eastAsia="宋体" w:hint="default"/>
                <w:sz w:val="18"/>
                <w:szCs w:val="18"/>
              </w:rPr>
            </w:pPr>
            <w:r>
              <w:rPr>
                <w:rFonts w:ascii="宋体" w:hAnsi="宋体" w:cs="宋体" w:eastAsia="宋体" w:hint="default"/>
                <w:sz w:val="18"/>
                <w:szCs w:val="18"/>
              </w:rPr>
              <w:t>按照公司股权 激励计划规定 解限</w:t>
            </w:r>
          </w:p>
        </w:tc>
      </w:tr>
      <w:tr>
        <w:trPr>
          <w:trHeight w:val="132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4"/>
              <w:ind w:left="57" w:right="59"/>
              <w:jc w:val="both"/>
              <w:rPr>
                <w:rFonts w:ascii="宋体" w:hAnsi="宋体" w:cs="宋体" w:eastAsia="宋体" w:hint="default"/>
                <w:sz w:val="18"/>
                <w:szCs w:val="18"/>
              </w:rPr>
            </w:pPr>
            <w:r>
              <w:rPr>
                <w:rFonts w:ascii="宋体" w:hAnsi="宋体" w:cs="宋体" w:eastAsia="宋体" w:hint="default"/>
                <w:sz w:val="18"/>
                <w:szCs w:val="18"/>
              </w:rPr>
              <w:t>公司中层管理 人员、核心业 务、技术、管 理骨干人员等 其他激励对象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8,570,459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29,137,000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-8,570,459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29,137,000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37" w:lineRule="auto"/>
              <w:ind w:left="57" w:right="55"/>
              <w:jc w:val="center"/>
              <w:rPr>
                <w:rFonts w:ascii="宋体" w:hAnsi="宋体" w:cs="宋体" w:eastAsia="宋体" w:hint="default"/>
                <w:sz w:val="18"/>
                <w:szCs w:val="18"/>
              </w:rPr>
            </w:pPr>
            <w:r>
              <w:rPr>
                <w:rFonts w:ascii="宋体" w:hAnsi="宋体" w:cs="宋体" w:eastAsia="宋体" w:hint="default"/>
                <w:sz w:val="18"/>
                <w:szCs w:val="18"/>
              </w:rPr>
              <w:t>按照公司股权 激励计划规定 解限</w:t>
            </w:r>
          </w:p>
        </w:tc>
      </w:tr>
      <w:tr>
        <w:trPr>
          <w:trHeight w:val="1951"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7" w:right="59"/>
              <w:jc w:val="center"/>
              <w:rPr>
                <w:rFonts w:ascii="宋体" w:hAnsi="宋体" w:cs="宋体" w:eastAsia="宋体" w:hint="default"/>
                <w:sz w:val="18"/>
                <w:szCs w:val="18"/>
              </w:rPr>
            </w:pPr>
            <w:r>
              <w:rPr>
                <w:rFonts w:ascii="宋体" w:hAnsi="宋体" w:cs="宋体" w:eastAsia="宋体" w:hint="default"/>
                <w:sz w:val="18"/>
                <w:szCs w:val="18"/>
              </w:rPr>
              <w:t>北京汇达高新 投资基金中心</w:t>
            </w:r>
          </w:p>
          <w:p>
            <w:pPr>
              <w:pStyle w:val="TableParagraph"/>
              <w:spacing w:line="237" w:lineRule="auto"/>
              <w:ind w:left="23" w:right="2"/>
              <w:jc w:val="center"/>
              <w:rPr>
                <w:rFonts w:ascii="宋体" w:hAnsi="宋体" w:cs="宋体" w:eastAsia="宋体" w:hint="default"/>
                <w:sz w:val="18"/>
                <w:szCs w:val="18"/>
              </w:rPr>
            </w:pPr>
            <w:r>
              <w:rPr>
                <w:rFonts w:ascii="宋体" w:hAnsi="宋体" w:cs="宋体" w:eastAsia="宋体" w:hint="default"/>
                <w:spacing w:val="-14"/>
                <w:sz w:val="18"/>
                <w:szCs w:val="18"/>
              </w:rPr>
              <w:t>（有限合伙）、</w:t>
            </w:r>
            <w:r>
              <w:rPr>
                <w:rFonts w:ascii="宋体" w:hAnsi="宋体" w:cs="宋体" w:eastAsia="宋体" w:hint="default"/>
                <w:sz w:val="18"/>
                <w:szCs w:val="18"/>
              </w:rPr>
              <w:t> 西藏泰豪智能 技术有限公 司、新疆恒通 达泰股权投资 合伙企业（有</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3" w:right="0"/>
              <w:jc w:val="center"/>
              <w:rPr>
                <w:rFonts w:ascii="Times New Roman" w:hAnsi="Times New Roman" w:cs="Times New Roman" w:eastAsia="Times New Roman" w:hint="default"/>
                <w:sz w:val="18"/>
                <w:szCs w:val="18"/>
              </w:rPr>
            </w:pPr>
            <w:r>
              <w:rPr>
                <w:rFonts w:ascii="Times New Roman"/>
                <w:sz w:val="18"/>
              </w:rPr>
              <w:t>138,029,900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-138,029,900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已解除限售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已解除限售</w:t>
            </w:r>
          </w:p>
        </w:tc>
      </w:tr>
    </w:tbl>
    <w:p>
      <w:pPr>
        <w:spacing w:after="0" w:line="240" w:lineRule="auto"/>
        <w:jc w:val="left"/>
        <w:rPr>
          <w:rFonts w:ascii="宋体" w:hAnsi="宋体" w:cs="宋体" w:eastAsia="宋体" w:hint="default"/>
          <w:sz w:val="18"/>
          <w:szCs w:val="18"/>
        </w:rPr>
        <w:sectPr>
          <w:footerReference w:type="default" r:id="rId49"/>
          <w:pgSz w:w="11910" w:h="16840"/>
          <w:pgMar w:footer="1134" w:header="0" w:top="1280" w:bottom="1320" w:left="980" w:right="0"/>
          <w:pgNumType w:start="91"/>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207"/>
        <w:gridCol w:w="1488"/>
        <w:gridCol w:w="1488"/>
        <w:gridCol w:w="1488"/>
        <w:gridCol w:w="1488"/>
        <w:gridCol w:w="1202"/>
        <w:gridCol w:w="1205"/>
      </w:tblGrid>
      <w:tr>
        <w:trPr>
          <w:trHeight w:val="1015"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限合伙</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新余</w:t>
            </w:r>
          </w:p>
          <w:p>
            <w:pPr>
              <w:pStyle w:val="TableParagraph"/>
              <w:spacing w:line="237" w:lineRule="auto"/>
              <w:ind w:left="57" w:right="59"/>
              <w:jc w:val="center"/>
              <w:rPr>
                <w:rFonts w:ascii="宋体" w:hAnsi="宋体" w:cs="宋体" w:eastAsia="宋体" w:hint="default"/>
                <w:sz w:val="18"/>
                <w:szCs w:val="18"/>
              </w:rPr>
            </w:pPr>
            <w:r>
              <w:rPr>
                <w:rFonts w:ascii="宋体" w:hAnsi="宋体" w:cs="宋体" w:eastAsia="宋体" w:hint="default"/>
                <w:sz w:val="18"/>
                <w:szCs w:val="18"/>
              </w:rPr>
              <w:t>京达投资管理 中心（有限合 伙）</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6" w:space="0" w:color="D4D4D4"/>
              <w:right w:val="single" w:sz="4" w:space="0" w:color="000000"/>
            </w:tcBorders>
          </w:tcPr>
          <w:p>
            <w:pPr/>
          </w:p>
        </w:tc>
        <w:tc>
          <w:tcPr>
            <w:tcW w:w="1205" w:type="dxa"/>
            <w:tcBorders>
              <w:top w:val="single" w:sz="4" w:space="0" w:color="000000"/>
              <w:left w:val="single" w:sz="4" w:space="0" w:color="000000"/>
              <w:bottom w:val="single" w:sz="6" w:space="0" w:color="D4D4D4"/>
              <w:right w:val="single" w:sz="4" w:space="0" w:color="000000"/>
            </w:tcBorders>
          </w:tcPr>
          <w:p>
            <w:pPr/>
          </w:p>
        </w:tc>
      </w:tr>
      <w:tr>
        <w:trPr>
          <w:trHeight w:val="389" w:hRule="exact"/>
        </w:trPr>
        <w:tc>
          <w:tcPr>
            <w:tcW w:w="12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90" w:right="0"/>
              <w:jc w:val="left"/>
              <w:rPr>
                <w:rFonts w:ascii="Times New Roman" w:hAnsi="Times New Roman" w:cs="Times New Roman" w:eastAsia="Times New Roman" w:hint="default"/>
                <w:sz w:val="18"/>
                <w:szCs w:val="18"/>
              </w:rPr>
            </w:pPr>
            <w:r>
              <w:rPr>
                <w:rFonts w:ascii="Times New Roman"/>
                <w:sz w:val="18"/>
              </w:rPr>
              <w:t>671,903,928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90" w:right="0"/>
              <w:jc w:val="left"/>
              <w:rPr>
                <w:rFonts w:ascii="Times New Roman" w:hAnsi="Times New Roman" w:cs="Times New Roman" w:eastAsia="Times New Roman" w:hint="default"/>
                <w:sz w:val="18"/>
                <w:szCs w:val="18"/>
              </w:rPr>
            </w:pPr>
            <w:r>
              <w:rPr>
                <w:rFonts w:ascii="Times New Roman"/>
                <w:sz w:val="18"/>
              </w:rPr>
              <w:t>157,201,096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63" w:right="0"/>
              <w:jc w:val="left"/>
              <w:rPr>
                <w:rFonts w:ascii="Times New Roman" w:hAnsi="Times New Roman" w:cs="Times New Roman" w:eastAsia="Times New Roman" w:hint="default"/>
                <w:sz w:val="18"/>
                <w:szCs w:val="18"/>
              </w:rPr>
            </w:pPr>
            <w:r>
              <w:rPr>
                <w:rFonts w:ascii="Times New Roman"/>
                <w:sz w:val="18"/>
              </w:rPr>
              <w:t>-231,119,098</w:t>
            </w:r>
          </w:p>
        </w:tc>
        <w:tc>
          <w:tcPr>
            <w:tcW w:w="1488"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81"/>
              <w:ind w:left="290" w:right="0"/>
              <w:jc w:val="left"/>
              <w:rPr>
                <w:rFonts w:ascii="Times New Roman" w:hAnsi="Times New Roman" w:cs="Times New Roman" w:eastAsia="Times New Roman" w:hint="default"/>
                <w:sz w:val="18"/>
                <w:szCs w:val="18"/>
              </w:rPr>
            </w:pPr>
            <w:r>
              <w:rPr>
                <w:rFonts w:ascii="Times New Roman"/>
                <w:sz w:val="18"/>
              </w:rPr>
              <w:t>597,985,926</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7"/>
          <w:szCs w:val="17"/>
        </w:rPr>
      </w:pPr>
    </w:p>
    <w:p>
      <w:pPr>
        <w:pStyle w:val="Heading2"/>
        <w:spacing w:line="240" w:lineRule="auto" w:before="26"/>
        <w:ind w:right="1127"/>
        <w:jc w:val="left"/>
        <w:rPr>
          <w:b w:val="0"/>
          <w:bCs w:val="0"/>
        </w:rPr>
      </w:pPr>
      <w:bookmarkStart w:name="二、证券发行与上市情况" w:id="187"/>
      <w:bookmarkEnd w:id="187"/>
      <w:r>
        <w:rPr>
          <w:b w:val="0"/>
          <w:bCs w:val="0"/>
        </w:rPr>
      </w:r>
      <w:r>
        <w:rPr/>
        <w:t>二、证券发行与上市情况</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right="1127"/>
        <w:jc w:val="left"/>
        <w:rPr>
          <w:b w:val="0"/>
          <w:bCs w:val="0"/>
        </w:rPr>
      </w:pPr>
      <w:bookmarkStart w:name="1、报告期内证券发行（不含优先股）情况" w:id="188"/>
      <w:bookmarkEnd w:id="18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left="134" w:right="8302"/>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19"/>
          <w:szCs w:val="19"/>
        </w:rPr>
      </w:pPr>
    </w:p>
    <w:tbl>
      <w:tblPr>
        <w:tblW w:w="0" w:type="auto"/>
        <w:jc w:val="left"/>
        <w:tblInd w:w="148" w:type="dxa"/>
        <w:tblLayout w:type="fixed"/>
        <w:tblCellMar>
          <w:top w:w="0" w:type="dxa"/>
          <w:left w:w="0" w:type="dxa"/>
          <w:bottom w:w="0" w:type="dxa"/>
          <w:right w:w="0" w:type="dxa"/>
        </w:tblCellMar>
        <w:tblLook w:val="01E0"/>
      </w:tblPr>
      <w:tblGrid>
        <w:gridCol w:w="1411"/>
        <w:gridCol w:w="1294"/>
        <w:gridCol w:w="1296"/>
        <w:gridCol w:w="1294"/>
        <w:gridCol w:w="1296"/>
        <w:gridCol w:w="1296"/>
        <w:gridCol w:w="1682"/>
      </w:tblGrid>
      <w:tr>
        <w:trPr>
          <w:trHeight w:val="622" w:hRule="exact"/>
        </w:trPr>
        <w:tc>
          <w:tcPr>
            <w:tcW w:w="14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386"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股票类</w:t>
            </w:r>
          </w:p>
        </w:tc>
      </w:tr>
      <w:tr>
        <w:trPr>
          <w:trHeight w:val="6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340" w:right="0"/>
              <w:jc w:val="left"/>
              <w:rPr>
                <w:rFonts w:ascii="宋体" w:hAnsi="宋体" w:cs="宋体" w:eastAsia="宋体" w:hint="default"/>
                <w:sz w:val="18"/>
                <w:szCs w:val="18"/>
              </w:rPr>
            </w:pPr>
            <w:r>
              <w:rPr>
                <w:rFonts w:ascii="宋体" w:hAnsi="宋体" w:cs="宋体" w:eastAsia="宋体" w:hint="default"/>
                <w:sz w:val="18"/>
                <w:szCs w:val="18"/>
              </w:rPr>
              <w:t>旋极信息</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2.48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36,332,000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p>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36,332,000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529"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389"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64"/>
        <w:ind w:right="1127"/>
        <w:jc w:val="left"/>
      </w:pPr>
      <w:r>
        <w:rPr/>
        <w:t>报告期内证券发行（不含优先股）情况的说明</w:t>
      </w:r>
    </w:p>
    <w:p>
      <w:pPr>
        <w:spacing w:line="240" w:lineRule="auto" w:before="12"/>
        <w:rPr>
          <w:rFonts w:ascii="宋体" w:hAnsi="宋体" w:cs="宋体" w:eastAsia="宋体" w:hint="default"/>
          <w:sz w:val="17"/>
          <w:szCs w:val="17"/>
        </w:rPr>
      </w:pPr>
    </w:p>
    <w:p>
      <w:pPr>
        <w:pStyle w:val="BodyText"/>
        <w:spacing w:line="338" w:lineRule="auto"/>
        <w:ind w:left="152" w:right="1074" w:firstLine="419"/>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日，公司召开</w:t>
      </w:r>
      <w:r>
        <w:rPr>
          <w:rFonts w:ascii="Times New Roman" w:hAnsi="Times New Roman" w:cs="Times New Roman" w:eastAsia="Times New Roman" w:hint="default"/>
          <w:spacing w:val="-2"/>
        </w:rPr>
        <w:t>2019</w:t>
      </w:r>
      <w:r>
        <w:rPr>
          <w:spacing w:val="-2"/>
        </w:rPr>
        <w:t>年第三次临时股东大会，审议通过了《</w:t>
      </w:r>
      <w:r>
        <w:rPr>
          <w:rFonts w:ascii="Times New Roman" w:hAnsi="Times New Roman" w:cs="Times New Roman" w:eastAsia="Times New Roman" w:hint="default"/>
          <w:spacing w:val="-2"/>
        </w:rPr>
        <w:t>2019</w:t>
      </w:r>
      <w:r>
        <w:rPr>
          <w:spacing w:val="-2"/>
        </w:rPr>
        <w:t>年股票期权与限制性股票激</w:t>
      </w:r>
      <w:r>
        <w:rPr>
          <w:spacing w:val="-3"/>
          <w:w w:val="100"/>
        </w:rPr>
        <w:t> </w:t>
      </w:r>
      <w:r>
        <w:rPr>
          <w:spacing w:val="-2"/>
        </w:rPr>
        <w:t>励计划</w:t>
      </w:r>
      <w:r>
        <w:rPr>
          <w:rFonts w:ascii="Times New Roman" w:hAnsi="Times New Roman" w:cs="Times New Roman" w:eastAsia="Times New Roman" w:hint="default"/>
          <w:spacing w:val="-2"/>
        </w:rPr>
        <w:t>(</w:t>
      </w:r>
      <w:r>
        <w:rPr>
          <w:spacing w:val="-2"/>
        </w:rPr>
        <w:t>草案</w:t>
      </w:r>
      <w:r>
        <w:rPr>
          <w:rFonts w:ascii="Times New Roman" w:hAnsi="Times New Roman" w:cs="Times New Roman" w:eastAsia="Times New Roman" w:hint="default"/>
          <w:spacing w:val="-2"/>
        </w:rPr>
        <w:t>)</w:t>
      </w:r>
      <w:r>
        <w:rPr>
          <w:spacing w:val="-2"/>
        </w:rPr>
        <w:t>》（修订稿）及摘要等相关议案，</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16</w:t>
      </w:r>
      <w:r>
        <w:rPr>
          <w:spacing w:val="-2"/>
        </w:rPr>
        <w:t>日，公司召开第四届董事会第二十五次会议、</w:t>
      </w:r>
      <w:r>
        <w:rPr>
          <w:spacing w:val="-16"/>
        </w:rPr>
        <w:t> </w:t>
      </w:r>
      <w:r>
        <w:rPr>
          <w:spacing w:val="-16"/>
        </w:rPr>
      </w:r>
      <w:r>
        <w:rPr/>
        <w:t>第四届监事会第十四次会议，审议通过了《关于向激励对象授予股票期权与限制性股票的议案》。</w:t>
      </w:r>
    </w:p>
    <w:p>
      <w:pPr>
        <w:spacing w:line="240" w:lineRule="auto" w:before="7"/>
        <w:rPr>
          <w:rFonts w:ascii="宋体" w:hAnsi="宋体" w:cs="宋体" w:eastAsia="宋体" w:hint="default"/>
          <w:sz w:val="26"/>
          <w:szCs w:val="26"/>
        </w:rPr>
      </w:pPr>
    </w:p>
    <w:p>
      <w:pPr>
        <w:pStyle w:val="Heading4"/>
        <w:spacing w:line="240" w:lineRule="auto"/>
        <w:ind w:right="1127"/>
        <w:jc w:val="left"/>
        <w:rPr>
          <w:b w:val="0"/>
          <w:bCs w:val="0"/>
        </w:rPr>
      </w:pPr>
      <w:bookmarkStart w:name="2、公司股份总数及股东结构的变动、公司资产和负债结构的变动情况说明" w:id="189"/>
      <w:bookmarkEnd w:id="18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宋体" w:hAnsi="宋体" w:cs="宋体" w:eastAsia="宋体" w:hint="default"/>
          <w:b/>
          <w:bCs/>
          <w:sz w:val="21"/>
          <w:szCs w:val="21"/>
        </w:rPr>
      </w:pPr>
    </w:p>
    <w:p>
      <w:pPr>
        <w:pStyle w:val="BodyText"/>
        <w:spacing w:line="422"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报告期内，公司完成回购社会公众股注销、</w:t>
      </w:r>
      <w:r>
        <w:rPr>
          <w:rFonts w:ascii="Times New Roman" w:hAnsi="Times New Roman" w:cs="Times New Roman" w:eastAsia="Times New Roman" w:hint="default"/>
          <w:spacing w:val="-2"/>
        </w:rPr>
        <w:t>2019</w:t>
      </w:r>
      <w:r>
        <w:rPr>
          <w:spacing w:val="-2"/>
        </w:rPr>
        <w:t>年股权激励计划授予事项，总股本由</w:t>
      </w:r>
      <w:r>
        <w:rPr>
          <w:rFonts w:ascii="Times New Roman" w:hAnsi="Times New Roman" w:cs="Times New Roman" w:eastAsia="Times New Roman" w:hint="default"/>
          <w:spacing w:val="-2"/>
        </w:rPr>
        <w:t>1,748,662,113</w:t>
      </w:r>
      <w:r>
        <w:rPr>
          <w:spacing w:val="-2"/>
        </w:rPr>
        <w:t>股</w:t>
      </w:r>
    </w:p>
    <w:p>
      <w:pPr>
        <w:pStyle w:val="BodyText"/>
        <w:spacing w:line="231" w:lineRule="exact"/>
        <w:ind w:left="152" w:right="1127"/>
        <w:jc w:val="left"/>
      </w:pPr>
      <w:r>
        <w:rPr/>
        <w:t>减至</w:t>
      </w:r>
      <w:r>
        <w:rPr>
          <w:rFonts w:ascii="Times New Roman" w:hAnsi="Times New Roman" w:cs="Times New Roman" w:eastAsia="Times New Roman" w:hint="default"/>
        </w:rPr>
        <w:t>1,747,134,595</w:t>
      </w:r>
      <w:r>
        <w:rPr/>
        <w:t>股。</w:t>
      </w:r>
    </w:p>
    <w:p>
      <w:pPr>
        <w:spacing w:line="240" w:lineRule="auto" w:before="12"/>
        <w:rPr>
          <w:rFonts w:ascii="宋体" w:hAnsi="宋体" w:cs="宋体" w:eastAsia="宋体" w:hint="default"/>
          <w:sz w:val="31"/>
          <w:szCs w:val="31"/>
        </w:rPr>
      </w:pPr>
    </w:p>
    <w:p>
      <w:pPr>
        <w:pStyle w:val="Heading4"/>
        <w:spacing w:line="240" w:lineRule="auto"/>
        <w:ind w:right="1127"/>
        <w:jc w:val="left"/>
        <w:rPr>
          <w:b w:val="0"/>
          <w:bCs w:val="0"/>
        </w:rPr>
      </w:pPr>
      <w:bookmarkStart w:name="3、现存的内部职工股情况" w:id="190"/>
      <w:bookmarkEnd w:id="19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1"/>
          <w:szCs w:val="31"/>
        </w:rPr>
      </w:pPr>
    </w:p>
    <w:p>
      <w:pPr>
        <w:pStyle w:val="Heading2"/>
        <w:spacing w:line="240" w:lineRule="auto"/>
        <w:ind w:right="1127"/>
        <w:jc w:val="left"/>
        <w:rPr>
          <w:b w:val="0"/>
          <w:bCs w:val="0"/>
        </w:rPr>
      </w:pPr>
      <w:bookmarkStart w:name="三、股东和实际控制人情况" w:id="191"/>
      <w:bookmarkEnd w:id="191"/>
      <w:r>
        <w:rPr>
          <w:b w:val="0"/>
          <w:bCs w:val="0"/>
        </w:rPr>
      </w:r>
      <w:r>
        <w:rPr/>
        <w:t>三、股东和实际控制人情况</w:t>
      </w:r>
      <w:r>
        <w:rPr>
          <w:b w:val="0"/>
          <w:bCs w:val="0"/>
        </w:rPr>
      </w:r>
    </w:p>
    <w:p>
      <w:pPr>
        <w:spacing w:line="240" w:lineRule="auto" w:before="6"/>
        <w:rPr>
          <w:rFonts w:ascii="宋体" w:hAnsi="宋体" w:cs="宋体" w:eastAsia="宋体" w:hint="default"/>
          <w:b/>
          <w:bCs/>
          <w:sz w:val="23"/>
          <w:szCs w:val="23"/>
        </w:rPr>
      </w:pPr>
    </w:p>
    <w:p>
      <w:pPr>
        <w:pStyle w:val="Heading4"/>
        <w:spacing w:line="240" w:lineRule="auto"/>
        <w:ind w:right="1127"/>
        <w:jc w:val="left"/>
        <w:rPr>
          <w:b w:val="0"/>
          <w:bCs w:val="0"/>
        </w:rPr>
      </w:pPr>
      <w:bookmarkStart w:name="1、公司股东数量及持股情况" w:id="192"/>
      <w:bookmarkEnd w:id="19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left="0" w:right="1130"/>
        <w:jc w:val="right"/>
      </w:pPr>
      <w:r>
        <w:rPr>
          <w:spacing w:val="-1"/>
        </w:rPr>
        <w:t>单位：股</w:t>
      </w:r>
    </w:p>
    <w:p>
      <w:pPr>
        <w:spacing w:line="240" w:lineRule="auto" w:before="6"/>
        <w:rPr>
          <w:rFonts w:ascii="宋体" w:hAnsi="宋体" w:cs="宋体" w:eastAsia="宋体"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1199"/>
        <w:gridCol w:w="1210"/>
        <w:gridCol w:w="917"/>
        <w:gridCol w:w="1075"/>
        <w:gridCol w:w="1040"/>
        <w:gridCol w:w="1075"/>
        <w:gridCol w:w="1993"/>
        <w:gridCol w:w="1058"/>
      </w:tblGrid>
      <w:tr>
        <w:trPr>
          <w:trHeight w:val="785" w:hRule="exact"/>
        </w:trPr>
        <w:tc>
          <w:tcPr>
            <w:tcW w:w="11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148"/>
              <w:ind w:left="145" w:right="53" w:hanging="92"/>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10"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57,224</w:t>
            </w:r>
          </w:p>
        </w:tc>
        <w:tc>
          <w:tcPr>
            <w:tcW w:w="9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9"/>
              <w:ind w:left="88" w:right="96"/>
              <w:jc w:val="both"/>
              <w:rPr>
                <w:rFonts w:ascii="宋体" w:hAnsi="宋体" w:cs="宋体" w:eastAsia="宋体" w:hint="default"/>
                <w:sz w:val="18"/>
                <w:szCs w:val="18"/>
              </w:rPr>
            </w:pPr>
            <w:r>
              <w:rPr>
                <w:rFonts w:ascii="宋体" w:hAnsi="宋体" w:cs="宋体" w:eastAsia="宋体" w:hint="default"/>
                <w:sz w:val="18"/>
                <w:szCs w:val="18"/>
              </w:rPr>
              <w:t>年度报告 披露日前 上一月末</w:t>
            </w:r>
          </w:p>
        </w:tc>
        <w:tc>
          <w:tcPr>
            <w:tcW w:w="107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50,315</w:t>
            </w:r>
          </w:p>
        </w:tc>
        <w:tc>
          <w:tcPr>
            <w:tcW w:w="1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9"/>
              <w:ind w:left="64" w:right="65"/>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w:t>
            </w:r>
          </w:p>
        </w:tc>
        <w:tc>
          <w:tcPr>
            <w:tcW w:w="107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9"/>
              <w:ind w:left="44" w:right="48" w:firstLine="45"/>
              <w:jc w:val="both"/>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1134" w:top="1280" w:bottom="1320" w:left="980" w:right="0"/>
        </w:sectPr>
      </w:pPr>
    </w:p>
    <w:p>
      <w:pPr>
        <w:spacing w:line="240" w:lineRule="auto" w:before="8"/>
        <w:rPr>
          <w:rFonts w:ascii="Times New Roman" w:hAnsi="Times New Roman" w:cs="Times New Roman" w:eastAsia="Times New Roman" w:hint="default"/>
          <w:sz w:val="12"/>
          <w:szCs w:val="12"/>
        </w:rPr>
      </w:pPr>
      <w:r>
        <w:rPr/>
        <w:pict>
          <v:group style="position:absolute;margin-left:329.640015pt;margin-top:72.47998pt;width:52.6pt;height:27pt;mso-position-horizontal-relative:page;mso-position-vertical-relative:page;z-index:-1426648" coordorigin="6593,1450" coordsize="1052,540">
            <v:shape style="position:absolute;left:6593;top:1450;width:1052;height:540" coordorigin="6593,1450" coordsize="1052,540" path="m6593,1990l7644,1990,7644,1450,6593,1450,6593,1990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200"/>
        <w:gridCol w:w="242"/>
        <w:gridCol w:w="960"/>
        <w:gridCol w:w="919"/>
        <w:gridCol w:w="1075"/>
        <w:gridCol w:w="1052"/>
        <w:gridCol w:w="1069"/>
        <w:gridCol w:w="927"/>
        <w:gridCol w:w="1067"/>
        <w:gridCol w:w="1058"/>
      </w:tblGrid>
      <w:tr>
        <w:trPr>
          <w:trHeight w:val="310" w:hRule="exact"/>
        </w:trPr>
        <w:tc>
          <w:tcPr>
            <w:tcW w:w="1200" w:type="dxa"/>
            <w:vMerge w:val="restart"/>
            <w:tcBorders>
              <w:top w:val="single" w:sz="4" w:space="0" w:color="000000"/>
              <w:left w:val="single" w:sz="4" w:space="0" w:color="000000"/>
              <w:right w:val="single" w:sz="4" w:space="0" w:color="000000"/>
            </w:tcBorders>
            <w:shd w:val="clear" w:color="auto" w:fill="D4D4D4"/>
          </w:tcPr>
          <w:p>
            <w:pPr/>
          </w:p>
        </w:tc>
        <w:tc>
          <w:tcPr>
            <w:tcW w:w="1202" w:type="dxa"/>
            <w:gridSpan w:val="2"/>
            <w:vMerge w:val="restart"/>
            <w:tcBorders>
              <w:top w:val="single" w:sz="4" w:space="0" w:color="000000"/>
              <w:left w:val="single" w:sz="4" w:space="0" w:color="000000"/>
              <w:right w:val="single" w:sz="13" w:space="0" w:color="D4D4D4"/>
            </w:tcBorders>
          </w:tcPr>
          <w:p>
            <w:pPr/>
          </w:p>
        </w:tc>
        <w:tc>
          <w:tcPr>
            <w:tcW w:w="919" w:type="dxa"/>
            <w:vMerge w:val="restart"/>
            <w:tcBorders>
              <w:top w:val="single" w:sz="4" w:space="0" w:color="000000"/>
              <w:left w:val="single" w:sz="4" w:space="0" w:color="000000"/>
              <w:right w:val="single" w:sz="4" w:space="0" w:color="000000"/>
            </w:tcBorders>
            <w:shd w:val="clear" w:color="auto" w:fill="D4D4D4"/>
          </w:tcPr>
          <w:p>
            <w:pPr>
              <w:pStyle w:val="TableParagraph"/>
              <w:spacing w:line="204" w:lineRule="exact"/>
              <w:ind w:left="185" w:right="0" w:hanging="89"/>
              <w:jc w:val="left"/>
              <w:rPr>
                <w:rFonts w:ascii="宋体" w:hAnsi="宋体" w:cs="宋体" w:eastAsia="宋体" w:hint="default"/>
                <w:sz w:val="18"/>
                <w:szCs w:val="18"/>
              </w:rPr>
            </w:pPr>
            <w:r>
              <w:rPr>
                <w:rFonts w:ascii="宋体" w:hAnsi="宋体" w:cs="宋体" w:eastAsia="宋体" w:hint="default"/>
                <w:sz w:val="18"/>
                <w:szCs w:val="18"/>
              </w:rPr>
              <w:t>普通股股</w:t>
            </w:r>
          </w:p>
          <w:p>
            <w:pPr>
              <w:pStyle w:val="TableParagraph"/>
              <w:spacing w:line="234" w:lineRule="exact"/>
              <w:ind w:left="185" w:right="0"/>
              <w:jc w:val="left"/>
              <w:rPr>
                <w:rFonts w:ascii="宋体" w:hAnsi="宋体" w:cs="宋体" w:eastAsia="宋体" w:hint="default"/>
                <w:sz w:val="18"/>
                <w:szCs w:val="18"/>
              </w:rPr>
            </w:pPr>
            <w:r>
              <w:rPr>
                <w:rFonts w:ascii="宋体" w:hAnsi="宋体" w:cs="宋体" w:eastAsia="宋体" w:hint="default"/>
                <w:sz w:val="18"/>
                <w:szCs w:val="18"/>
              </w:rPr>
              <w:t>东总数</w:t>
            </w:r>
          </w:p>
        </w:tc>
        <w:tc>
          <w:tcPr>
            <w:tcW w:w="1075" w:type="dxa"/>
            <w:vMerge w:val="restart"/>
            <w:tcBorders>
              <w:top w:val="single" w:sz="4" w:space="0" w:color="000000"/>
              <w:left w:val="single" w:sz="10" w:space="0" w:color="D4D4D4"/>
              <w:right w:val="single" w:sz="13" w:space="0" w:color="D4D4D4"/>
            </w:tcBorders>
          </w:tcPr>
          <w:p>
            <w:pPr/>
          </w:p>
        </w:tc>
        <w:tc>
          <w:tcPr>
            <w:tcW w:w="1052" w:type="dxa"/>
            <w:vMerge w:val="restart"/>
            <w:tcBorders>
              <w:top w:val="single" w:sz="4" w:space="0" w:color="000000"/>
              <w:left w:val="single" w:sz="4" w:space="0" w:color="000000"/>
              <w:right w:val="single" w:sz="4" w:space="0" w:color="000000"/>
            </w:tcBorders>
            <w:shd w:val="clear" w:color="auto" w:fill="D4D4D4"/>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z w:val="18"/>
                <w:szCs w:val="18"/>
              </w:rPr>
              <w:t>总数（如有</w:t>
            </w:r>
          </w:p>
          <w:p>
            <w:pPr>
              <w:pStyle w:val="TableParagraph"/>
              <w:spacing w:line="248" w:lineRule="exact"/>
              <w:ind w:left="17" w:right="-13"/>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9" w:type="dxa"/>
            <w:vMerge w:val="restart"/>
            <w:tcBorders>
              <w:top w:val="single" w:sz="4" w:space="0" w:color="000000"/>
              <w:left w:val="single" w:sz="12" w:space="0" w:color="D4D4D4"/>
              <w:right w:val="single" w:sz="9" w:space="0" w:color="D4D4D4"/>
            </w:tcBorders>
          </w:tcPr>
          <w:p>
            <w:pPr>
              <w:pStyle w:val="TableParagraph"/>
              <w:spacing w:line="205" w:lineRule="exact"/>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1994" w:type="dxa"/>
            <w:gridSpan w:val="2"/>
            <w:tcBorders>
              <w:top w:val="single" w:sz="4" w:space="0" w:color="000000"/>
              <w:left w:val="single" w:sz="4" w:space="0" w:color="000000"/>
              <w:bottom w:val="nil" w:sz="6" w:space="0" w:color="auto"/>
              <w:right w:val="single" w:sz="4" w:space="0" w:color="000000"/>
            </w:tcBorders>
            <w:shd w:val="clear" w:color="auto" w:fill="D4D4D4"/>
          </w:tcPr>
          <w:p>
            <w:pPr>
              <w:pStyle w:val="TableParagraph"/>
              <w:spacing w:line="219" w:lineRule="exact"/>
              <w:ind w:left="655" w:right="0"/>
              <w:jc w:val="left"/>
              <w:rPr>
                <w:rFonts w:ascii="宋体" w:hAnsi="宋体" w:cs="宋体" w:eastAsia="宋体" w:hint="default"/>
                <w:sz w:val="18"/>
                <w:szCs w:val="18"/>
              </w:rPr>
            </w:pP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8" w:type="dxa"/>
            <w:vMerge w:val="restart"/>
            <w:tcBorders>
              <w:top w:val="single" w:sz="4" w:space="0" w:color="000000"/>
              <w:left w:val="single" w:sz="9" w:space="0" w:color="D4D4D4"/>
              <w:right w:val="single" w:sz="4" w:space="0" w:color="000000"/>
            </w:tcBorders>
          </w:tcPr>
          <w:p>
            <w:pPr/>
          </w:p>
        </w:tc>
      </w:tr>
      <w:tr>
        <w:trPr>
          <w:trHeight w:val="245" w:hRule="exact"/>
        </w:trPr>
        <w:tc>
          <w:tcPr>
            <w:tcW w:w="1200" w:type="dxa"/>
            <w:vMerge/>
            <w:tcBorders>
              <w:left w:val="single" w:sz="4" w:space="0" w:color="000000"/>
              <w:bottom w:val="single" w:sz="4" w:space="0" w:color="000000"/>
              <w:right w:val="single" w:sz="4" w:space="0" w:color="000000"/>
            </w:tcBorders>
            <w:shd w:val="clear" w:color="auto" w:fill="D4D4D4"/>
          </w:tcPr>
          <w:p>
            <w:pPr/>
          </w:p>
        </w:tc>
        <w:tc>
          <w:tcPr>
            <w:tcW w:w="1202" w:type="dxa"/>
            <w:gridSpan w:val="2"/>
            <w:vMerge/>
            <w:tcBorders>
              <w:left w:val="single" w:sz="4" w:space="0" w:color="000000"/>
              <w:bottom w:val="single" w:sz="4" w:space="0" w:color="000000"/>
              <w:right w:val="single" w:sz="13" w:space="0" w:color="D4D4D4"/>
            </w:tcBorders>
          </w:tcPr>
          <w:p>
            <w:pPr/>
          </w:p>
        </w:tc>
        <w:tc>
          <w:tcPr>
            <w:tcW w:w="919" w:type="dxa"/>
            <w:vMerge/>
            <w:tcBorders>
              <w:left w:val="single" w:sz="4" w:space="0" w:color="000000"/>
              <w:bottom w:val="single" w:sz="4" w:space="0" w:color="000000"/>
              <w:right w:val="single" w:sz="4" w:space="0" w:color="000000"/>
            </w:tcBorders>
            <w:shd w:val="clear" w:color="auto" w:fill="D4D4D4"/>
          </w:tcPr>
          <w:p>
            <w:pPr/>
          </w:p>
        </w:tc>
        <w:tc>
          <w:tcPr>
            <w:tcW w:w="1075" w:type="dxa"/>
            <w:vMerge/>
            <w:tcBorders>
              <w:left w:val="single" w:sz="10" w:space="0" w:color="D4D4D4"/>
              <w:bottom w:val="single" w:sz="4" w:space="0" w:color="000000"/>
              <w:right w:val="single" w:sz="13" w:space="0" w:color="D4D4D4"/>
            </w:tcBorders>
          </w:tcPr>
          <w:p>
            <w:pPr/>
          </w:p>
        </w:tc>
        <w:tc>
          <w:tcPr>
            <w:tcW w:w="1052" w:type="dxa"/>
            <w:vMerge/>
            <w:tcBorders>
              <w:left w:val="single" w:sz="4" w:space="0" w:color="000000"/>
              <w:bottom w:val="single" w:sz="4" w:space="0" w:color="000000"/>
              <w:right w:val="single" w:sz="4" w:space="0" w:color="000000"/>
            </w:tcBorders>
            <w:shd w:val="clear" w:color="auto" w:fill="D4D4D4"/>
          </w:tcPr>
          <w:p>
            <w:pPr/>
          </w:p>
        </w:tc>
        <w:tc>
          <w:tcPr>
            <w:tcW w:w="1069" w:type="dxa"/>
            <w:vMerge/>
            <w:tcBorders>
              <w:left w:val="single" w:sz="12" w:space="0" w:color="D4D4D4"/>
              <w:bottom w:val="single" w:sz="4" w:space="0" w:color="000000"/>
              <w:right w:val="single" w:sz="9" w:space="0" w:color="D4D4D4"/>
            </w:tcBorders>
          </w:tcPr>
          <w:p>
            <w:pPr/>
          </w:p>
        </w:tc>
        <w:tc>
          <w:tcPr>
            <w:tcW w:w="1994"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058" w:type="dxa"/>
            <w:vMerge/>
            <w:tcBorders>
              <w:left w:val="single" w:sz="9" w:space="0" w:color="D4D4D4"/>
              <w:bottom w:val="single" w:sz="4" w:space="0" w:color="000000"/>
              <w:right w:val="single" w:sz="4" w:space="0" w:color="000000"/>
            </w:tcBorders>
          </w:tcPr>
          <w:p>
            <w:pPr/>
          </w:p>
        </w:tc>
      </w:tr>
      <w:tr>
        <w:trPr>
          <w:trHeight w:val="377"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7"/>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27" w:hRule="exact"/>
        </w:trPr>
        <w:tc>
          <w:tcPr>
            <w:tcW w:w="1200" w:type="dxa"/>
            <w:vMerge w:val="restart"/>
            <w:tcBorders>
              <w:top w:val="single" w:sz="4" w:space="0" w:color="000000"/>
              <w:left w:val="single" w:sz="4" w:space="0" w:color="000000"/>
              <w:right w:val="single" w:sz="4" w:space="0" w:color="000000"/>
            </w:tcBorders>
            <w:shd w:val="clear" w:color="auto" w:fill="D4D4D4"/>
          </w:tcPr>
          <w:p>
            <w:pPr/>
          </w:p>
        </w:tc>
        <w:tc>
          <w:tcPr>
            <w:tcW w:w="1202" w:type="dxa"/>
            <w:gridSpan w:val="2"/>
            <w:vMerge w:val="restart"/>
            <w:tcBorders>
              <w:top w:val="single" w:sz="4" w:space="0" w:color="000000"/>
              <w:left w:val="single" w:sz="4" w:space="0" w:color="000000"/>
              <w:right w:val="single" w:sz="4" w:space="0" w:color="000000"/>
            </w:tcBorders>
            <w:shd w:val="clear" w:color="auto" w:fill="D4D4D4"/>
          </w:tcPr>
          <w:p>
            <w:pPr/>
          </w:p>
        </w:tc>
        <w:tc>
          <w:tcPr>
            <w:tcW w:w="919" w:type="dxa"/>
            <w:vMerge w:val="restart"/>
            <w:tcBorders>
              <w:top w:val="single" w:sz="4" w:space="0" w:color="000000"/>
              <w:left w:val="single" w:sz="4" w:space="0" w:color="000000"/>
              <w:right w:val="single" w:sz="4" w:space="0" w:color="000000"/>
            </w:tcBorders>
            <w:shd w:val="clear" w:color="auto" w:fill="D4D4D4"/>
          </w:tcPr>
          <w:p>
            <w:pPr/>
          </w:p>
        </w:tc>
        <w:tc>
          <w:tcPr>
            <w:tcW w:w="1075" w:type="dxa"/>
            <w:tcBorders>
              <w:top w:val="single" w:sz="4" w:space="0" w:color="000000"/>
              <w:left w:val="single" w:sz="4" w:space="0" w:color="000000"/>
              <w:bottom w:val="nil" w:sz="6" w:space="0" w:color="auto"/>
              <w:right w:val="single" w:sz="4" w:space="0" w:color="000000"/>
            </w:tcBorders>
            <w:shd w:val="clear" w:color="auto" w:fill="D4D4D4"/>
          </w:tcPr>
          <w:p>
            <w:pPr/>
          </w:p>
        </w:tc>
        <w:tc>
          <w:tcPr>
            <w:tcW w:w="1052"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9" w:type="dxa"/>
            <w:vMerge w:val="restart"/>
            <w:tcBorders>
              <w:top w:val="single" w:sz="4" w:space="0" w:color="000000"/>
              <w:left w:val="single" w:sz="4" w:space="0" w:color="000000"/>
              <w:right w:val="single" w:sz="4" w:space="0" w:color="000000"/>
            </w:tcBorders>
            <w:shd w:val="clear" w:color="auto" w:fill="D4D4D4"/>
          </w:tcPr>
          <w:p>
            <w:pPr>
              <w:pStyle w:val="TableParagraph"/>
              <w:spacing w:line="237" w:lineRule="auto" w:before="48"/>
              <w:ind w:left="82" w:right="74"/>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7" w:type="dxa"/>
            <w:vMerge w:val="restart"/>
            <w:tcBorders>
              <w:top w:val="single" w:sz="4" w:space="0" w:color="000000"/>
              <w:left w:val="single" w:sz="4" w:space="0" w:color="000000"/>
              <w:right w:val="single" w:sz="4" w:space="0" w:color="000000"/>
            </w:tcBorders>
            <w:shd w:val="clear" w:color="auto" w:fill="D4D4D4"/>
          </w:tcPr>
          <w:p>
            <w:pPr>
              <w:pStyle w:val="TableParagraph"/>
              <w:spacing w:line="237" w:lineRule="auto" w:before="48"/>
              <w:ind w:left="98" w:right="98"/>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6"/>
              <w:ind w:left="42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18" w:hRule="exact"/>
        </w:trPr>
        <w:tc>
          <w:tcPr>
            <w:tcW w:w="1200" w:type="dxa"/>
            <w:vMerge/>
            <w:tcBorders>
              <w:left w:val="single" w:sz="4" w:space="0" w:color="000000"/>
              <w:bottom w:val="nil" w:sz="6" w:space="0" w:color="auto"/>
              <w:right w:val="single" w:sz="4" w:space="0" w:color="000000"/>
            </w:tcBorders>
            <w:shd w:val="clear" w:color="auto" w:fill="D4D4D4"/>
          </w:tcPr>
          <w:p>
            <w:pPr/>
          </w:p>
        </w:tc>
        <w:tc>
          <w:tcPr>
            <w:tcW w:w="1202" w:type="dxa"/>
            <w:gridSpan w:val="2"/>
            <w:vMerge/>
            <w:tcBorders>
              <w:left w:val="single" w:sz="4" w:space="0" w:color="000000"/>
              <w:bottom w:val="nil" w:sz="6" w:space="0" w:color="auto"/>
              <w:right w:val="single" w:sz="4" w:space="0" w:color="000000"/>
            </w:tcBorders>
            <w:shd w:val="clear" w:color="auto" w:fill="D4D4D4"/>
          </w:tcPr>
          <w:p>
            <w:pPr/>
          </w:p>
        </w:tc>
        <w:tc>
          <w:tcPr>
            <w:tcW w:w="919" w:type="dxa"/>
            <w:vMerge/>
            <w:tcBorders>
              <w:left w:val="single" w:sz="4" w:space="0" w:color="000000"/>
              <w:bottom w:val="nil" w:sz="6" w:space="0" w:color="auto"/>
              <w:right w:val="single" w:sz="4" w:space="0" w:color="000000"/>
            </w:tcBorders>
            <w:shd w:val="clear" w:color="auto" w:fill="D4D4D4"/>
          </w:tcPr>
          <w:p>
            <w:pPr/>
          </w:p>
        </w:tc>
        <w:tc>
          <w:tcPr>
            <w:tcW w:w="1075" w:type="dxa"/>
            <w:vMerge w:val="restart"/>
            <w:tcBorders>
              <w:top w:val="nil" w:sz="6" w:space="0" w:color="auto"/>
              <w:left w:val="single" w:sz="4" w:space="0" w:color="000000"/>
              <w:right w:val="single" w:sz="4" w:space="0" w:color="000000"/>
            </w:tcBorders>
            <w:shd w:val="clear" w:color="auto" w:fill="D4D4D4"/>
          </w:tcPr>
          <w:p>
            <w:pPr>
              <w:pStyle w:val="TableParagraph"/>
              <w:spacing w:line="232" w:lineRule="exact" w:before="66"/>
              <w:ind w:left="262" w:right="8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2" w:type="dxa"/>
            <w:vMerge w:val="restart"/>
            <w:tcBorders>
              <w:top w:val="nil" w:sz="6" w:space="0" w:color="auto"/>
              <w:left w:val="single" w:sz="4" w:space="0" w:color="000000"/>
              <w:right w:val="single" w:sz="4" w:space="0" w:color="000000"/>
            </w:tcBorders>
            <w:shd w:val="clear" w:color="auto" w:fill="D4D4D4"/>
          </w:tcPr>
          <w:p>
            <w:pPr>
              <w:pStyle w:val="TableParagraph"/>
              <w:spacing w:line="232" w:lineRule="exact" w:before="66"/>
              <w:ind w:left="70" w:right="6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69" w:type="dxa"/>
            <w:vMerge/>
            <w:tcBorders>
              <w:left w:val="single" w:sz="4" w:space="0" w:color="000000"/>
              <w:right w:val="single" w:sz="4" w:space="0" w:color="000000"/>
            </w:tcBorders>
            <w:shd w:val="clear" w:color="auto" w:fill="D4D4D4"/>
          </w:tcPr>
          <w:p>
            <w:pPr/>
          </w:p>
        </w:tc>
        <w:tc>
          <w:tcPr>
            <w:tcW w:w="927" w:type="dxa"/>
            <w:vMerge/>
            <w:tcBorders>
              <w:left w:val="single" w:sz="4" w:space="0" w:color="000000"/>
              <w:right w:val="single" w:sz="4" w:space="0" w:color="000000"/>
            </w:tcBorders>
            <w:shd w:val="clear" w:color="auto" w:fill="D4D4D4"/>
          </w:tcPr>
          <w:p>
            <w:pPr/>
          </w:p>
        </w:tc>
        <w:tc>
          <w:tcPr>
            <w:tcW w:w="2126" w:type="dxa"/>
            <w:gridSpan w:val="2"/>
            <w:vMerge/>
            <w:tcBorders>
              <w:left w:val="single" w:sz="4" w:space="0" w:color="000000"/>
              <w:right w:val="single" w:sz="4" w:space="0" w:color="000000"/>
            </w:tcBorders>
            <w:shd w:val="clear" w:color="auto" w:fill="D4D4D4"/>
          </w:tcPr>
          <w:p>
            <w:pPr/>
          </w:p>
        </w:tc>
      </w:tr>
      <w:tr>
        <w:trPr>
          <w:trHeight w:val="168" w:hRule="exact"/>
        </w:trPr>
        <w:tc>
          <w:tcPr>
            <w:tcW w:w="120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1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9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5" w:type="dxa"/>
            <w:vMerge/>
            <w:tcBorders>
              <w:left w:val="single" w:sz="4" w:space="0" w:color="000000"/>
              <w:right w:val="single" w:sz="4" w:space="0" w:color="000000"/>
            </w:tcBorders>
            <w:shd w:val="clear" w:color="auto" w:fill="D4D4D4"/>
          </w:tcPr>
          <w:p>
            <w:pPr/>
          </w:p>
        </w:tc>
        <w:tc>
          <w:tcPr>
            <w:tcW w:w="1052" w:type="dxa"/>
            <w:vMerge/>
            <w:tcBorders>
              <w:left w:val="single" w:sz="4" w:space="0" w:color="000000"/>
              <w:right w:val="single" w:sz="4" w:space="0" w:color="000000"/>
            </w:tcBorders>
            <w:shd w:val="clear" w:color="auto" w:fill="D4D4D4"/>
          </w:tcPr>
          <w:p>
            <w:pPr/>
          </w:p>
        </w:tc>
        <w:tc>
          <w:tcPr>
            <w:tcW w:w="1069" w:type="dxa"/>
            <w:vMerge/>
            <w:tcBorders>
              <w:left w:val="single" w:sz="4" w:space="0" w:color="000000"/>
              <w:right w:val="single" w:sz="4" w:space="0" w:color="000000"/>
            </w:tcBorders>
            <w:shd w:val="clear" w:color="auto" w:fill="D4D4D4"/>
          </w:tcPr>
          <w:p>
            <w:pPr/>
          </w:p>
        </w:tc>
        <w:tc>
          <w:tcPr>
            <w:tcW w:w="927" w:type="dxa"/>
            <w:vMerge/>
            <w:tcBorders>
              <w:left w:val="single" w:sz="4" w:space="0" w:color="000000"/>
              <w:right w:val="single" w:sz="4" w:space="0" w:color="000000"/>
            </w:tcBorders>
            <w:shd w:val="clear" w:color="auto" w:fill="D4D4D4"/>
          </w:tcPr>
          <w:p>
            <w:pPr/>
          </w:p>
        </w:tc>
        <w:tc>
          <w:tcPr>
            <w:tcW w:w="2126" w:type="dxa"/>
            <w:gridSpan w:val="2"/>
            <w:vMerge/>
            <w:tcBorders>
              <w:left w:val="single" w:sz="4" w:space="0" w:color="000000"/>
              <w:bottom w:val="single" w:sz="4" w:space="0" w:color="000000"/>
              <w:right w:val="single" w:sz="4" w:space="0" w:color="000000"/>
            </w:tcBorders>
            <w:shd w:val="clear" w:color="auto" w:fill="D4D4D4"/>
          </w:tcPr>
          <w:p>
            <w:pPr/>
          </w:p>
        </w:tc>
      </w:tr>
      <w:tr>
        <w:trPr>
          <w:trHeight w:val="209" w:hRule="exact"/>
        </w:trPr>
        <w:tc>
          <w:tcPr>
            <w:tcW w:w="1200" w:type="dxa"/>
            <w:vMerge/>
            <w:tcBorders>
              <w:left w:val="single" w:sz="4" w:space="0" w:color="000000"/>
              <w:bottom w:val="nil" w:sz="6" w:space="0" w:color="auto"/>
              <w:right w:val="single" w:sz="4" w:space="0" w:color="000000"/>
            </w:tcBorders>
            <w:shd w:val="clear" w:color="auto" w:fill="D4D4D4"/>
          </w:tcPr>
          <w:p>
            <w:pPr/>
          </w:p>
        </w:tc>
        <w:tc>
          <w:tcPr>
            <w:tcW w:w="1202" w:type="dxa"/>
            <w:gridSpan w:val="2"/>
            <w:vMerge/>
            <w:tcBorders>
              <w:left w:val="single" w:sz="4" w:space="0" w:color="000000"/>
              <w:bottom w:val="nil" w:sz="6" w:space="0" w:color="auto"/>
              <w:right w:val="single" w:sz="4" w:space="0" w:color="000000"/>
            </w:tcBorders>
            <w:shd w:val="clear" w:color="auto" w:fill="D4D4D4"/>
          </w:tcPr>
          <w:p>
            <w:pPr/>
          </w:p>
        </w:tc>
        <w:tc>
          <w:tcPr>
            <w:tcW w:w="919" w:type="dxa"/>
            <w:vMerge/>
            <w:tcBorders>
              <w:left w:val="single" w:sz="4" w:space="0" w:color="000000"/>
              <w:bottom w:val="nil" w:sz="6" w:space="0" w:color="auto"/>
              <w:right w:val="single" w:sz="4" w:space="0" w:color="000000"/>
            </w:tcBorders>
            <w:shd w:val="clear" w:color="auto" w:fill="D4D4D4"/>
          </w:tcPr>
          <w:p>
            <w:pPr/>
          </w:p>
        </w:tc>
        <w:tc>
          <w:tcPr>
            <w:tcW w:w="1075" w:type="dxa"/>
            <w:vMerge/>
            <w:tcBorders>
              <w:left w:val="single" w:sz="4" w:space="0" w:color="000000"/>
              <w:right w:val="single" w:sz="4" w:space="0" w:color="000000"/>
            </w:tcBorders>
            <w:shd w:val="clear" w:color="auto" w:fill="D4D4D4"/>
          </w:tcPr>
          <w:p>
            <w:pPr/>
          </w:p>
        </w:tc>
        <w:tc>
          <w:tcPr>
            <w:tcW w:w="1052" w:type="dxa"/>
            <w:vMerge/>
            <w:tcBorders>
              <w:left w:val="single" w:sz="4" w:space="0" w:color="000000"/>
              <w:right w:val="single" w:sz="4" w:space="0" w:color="000000"/>
            </w:tcBorders>
            <w:shd w:val="clear" w:color="auto" w:fill="D4D4D4"/>
          </w:tcPr>
          <w:p>
            <w:pPr/>
          </w:p>
        </w:tc>
        <w:tc>
          <w:tcPr>
            <w:tcW w:w="1069" w:type="dxa"/>
            <w:vMerge/>
            <w:tcBorders>
              <w:left w:val="single" w:sz="4" w:space="0" w:color="000000"/>
              <w:right w:val="single" w:sz="4" w:space="0" w:color="000000"/>
            </w:tcBorders>
            <w:shd w:val="clear" w:color="auto" w:fill="D4D4D4"/>
          </w:tcPr>
          <w:p>
            <w:pPr/>
          </w:p>
        </w:tc>
        <w:tc>
          <w:tcPr>
            <w:tcW w:w="927" w:type="dxa"/>
            <w:vMerge/>
            <w:tcBorders>
              <w:left w:val="single" w:sz="4" w:space="0" w:color="000000"/>
              <w:right w:val="single" w:sz="4" w:space="0" w:color="000000"/>
            </w:tcBorders>
            <w:shd w:val="clear" w:color="auto" w:fill="D4D4D4"/>
          </w:tcPr>
          <w:p>
            <w:pPr/>
          </w:p>
        </w:tc>
        <w:tc>
          <w:tcPr>
            <w:tcW w:w="10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1"/>
              <w:ind w:left="16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5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38" w:hRule="exact"/>
        </w:trPr>
        <w:tc>
          <w:tcPr>
            <w:tcW w:w="1200"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2"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919" w:type="dxa"/>
            <w:tcBorders>
              <w:top w:val="nil" w:sz="6" w:space="0" w:color="auto"/>
              <w:left w:val="single" w:sz="4" w:space="0" w:color="000000"/>
              <w:bottom w:val="single" w:sz="4" w:space="0" w:color="000000"/>
              <w:right w:val="single" w:sz="4" w:space="0" w:color="000000"/>
            </w:tcBorders>
            <w:shd w:val="clear" w:color="auto" w:fill="D4D4D4"/>
          </w:tcPr>
          <w:p>
            <w:pPr/>
          </w:p>
        </w:tc>
        <w:tc>
          <w:tcPr>
            <w:tcW w:w="1075" w:type="dxa"/>
            <w:vMerge/>
            <w:tcBorders>
              <w:left w:val="single" w:sz="4" w:space="0" w:color="000000"/>
              <w:bottom w:val="single" w:sz="4" w:space="0" w:color="000000"/>
              <w:right w:val="single" w:sz="4" w:space="0" w:color="000000"/>
            </w:tcBorders>
            <w:shd w:val="clear" w:color="auto" w:fill="D4D4D4"/>
          </w:tcPr>
          <w:p>
            <w:pPr/>
          </w:p>
        </w:tc>
        <w:tc>
          <w:tcPr>
            <w:tcW w:w="1052" w:type="dxa"/>
            <w:vMerge/>
            <w:tcBorders>
              <w:left w:val="single" w:sz="4" w:space="0" w:color="000000"/>
              <w:bottom w:val="single" w:sz="4" w:space="0" w:color="000000"/>
              <w:right w:val="single" w:sz="4" w:space="0" w:color="000000"/>
            </w:tcBorders>
            <w:shd w:val="clear" w:color="auto" w:fill="D4D4D4"/>
          </w:tcPr>
          <w:p>
            <w:pPr/>
          </w:p>
        </w:tc>
        <w:tc>
          <w:tcPr>
            <w:tcW w:w="1069" w:type="dxa"/>
            <w:vMerge/>
            <w:tcBorders>
              <w:left w:val="single" w:sz="4" w:space="0" w:color="000000"/>
              <w:bottom w:val="single" w:sz="4" w:space="0" w:color="000000"/>
              <w:right w:val="single" w:sz="4" w:space="0" w:color="000000"/>
            </w:tcBorders>
            <w:shd w:val="clear" w:color="auto" w:fill="D4D4D4"/>
          </w:tcPr>
          <w:p>
            <w:pPr/>
          </w:p>
        </w:tc>
        <w:tc>
          <w:tcPr>
            <w:tcW w:w="927" w:type="dxa"/>
            <w:vMerge/>
            <w:tcBorders>
              <w:left w:val="single" w:sz="4" w:space="0" w:color="000000"/>
              <w:bottom w:val="single" w:sz="4" w:space="0" w:color="000000"/>
              <w:right w:val="single" w:sz="4" w:space="0" w:color="000000"/>
            </w:tcBorders>
            <w:shd w:val="clear" w:color="auto" w:fill="D4D4D4"/>
          </w:tcPr>
          <w:p>
            <w:pPr/>
          </w:p>
        </w:tc>
        <w:tc>
          <w:tcPr>
            <w:tcW w:w="1067" w:type="dxa"/>
            <w:vMerge/>
            <w:tcBorders>
              <w:left w:val="single" w:sz="4" w:space="0" w:color="000000"/>
              <w:bottom w:val="single" w:sz="4" w:space="0" w:color="000000"/>
              <w:right w:val="single" w:sz="4" w:space="0" w:color="000000"/>
            </w:tcBorders>
            <w:shd w:val="clear" w:color="auto" w:fill="D4D4D4"/>
          </w:tcPr>
          <w:p>
            <w:pPr/>
          </w:p>
        </w:tc>
        <w:tc>
          <w:tcPr>
            <w:tcW w:w="1058" w:type="dxa"/>
            <w:vMerge/>
            <w:tcBorders>
              <w:left w:val="single" w:sz="4" w:space="0" w:color="000000"/>
              <w:bottom w:val="single" w:sz="4" w:space="0" w:color="000000"/>
              <w:right w:val="single" w:sz="4" w:space="0" w:color="000000"/>
            </w:tcBorders>
            <w:shd w:val="clear" w:color="auto" w:fill="D4D4D4"/>
          </w:tcPr>
          <w:p>
            <w:pPr/>
          </w:p>
        </w:tc>
      </w:tr>
      <w:tr>
        <w:trPr>
          <w:trHeight w:val="389"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202" w:type="dxa"/>
            <w:gridSpan w:val="2"/>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32.68%</w:t>
            </w:r>
          </w:p>
        </w:tc>
        <w:tc>
          <w:tcPr>
            <w:tcW w:w="1075" w:type="dxa"/>
            <w:vMerge w:val="restart"/>
            <w:tcBorders>
              <w:top w:val="single" w:sz="51" w:space="0" w:color="D4D4D4"/>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570,995,475</w:t>
            </w:r>
          </w:p>
        </w:tc>
        <w:tc>
          <w:tcPr>
            <w:tcW w:w="1052" w:type="dxa"/>
            <w:vMerge w:val="restart"/>
            <w:tcBorders>
              <w:top w:val="single" w:sz="51" w:space="0" w:color="D4D4D4"/>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-16550001</w:t>
            </w:r>
          </w:p>
        </w:tc>
        <w:tc>
          <w:tcPr>
            <w:tcW w:w="10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491,319,517</w:t>
            </w:r>
          </w:p>
        </w:tc>
        <w:tc>
          <w:tcPr>
            <w:tcW w:w="9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79,675,958</w:t>
            </w:r>
          </w:p>
        </w:tc>
        <w:tc>
          <w:tcPr>
            <w:tcW w:w="1067" w:type="dxa"/>
            <w:tcBorders>
              <w:top w:val="single" w:sz="15" w:space="0" w:color="D4D4D4"/>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15" w:space="0" w:color="D4D4D4"/>
              <w:left w:val="single" w:sz="4" w:space="0" w:color="000000"/>
              <w:bottom w:val="single" w:sz="4" w:space="0" w:color="000000"/>
              <w:right w:val="single" w:sz="4" w:space="0" w:color="000000"/>
            </w:tcBorders>
          </w:tcPr>
          <w:p>
            <w:pPr>
              <w:pStyle w:val="TableParagraph"/>
              <w:spacing w:line="240" w:lineRule="auto" w:before="67"/>
              <w:ind w:left="107" w:right="0"/>
              <w:jc w:val="center"/>
              <w:rPr>
                <w:rFonts w:ascii="Times New Roman" w:hAnsi="Times New Roman" w:cs="Times New Roman" w:eastAsia="Times New Roman" w:hint="default"/>
                <w:sz w:val="18"/>
                <w:szCs w:val="18"/>
              </w:rPr>
            </w:pPr>
            <w:r>
              <w:rPr>
                <w:rFonts w:ascii="Times New Roman"/>
                <w:sz w:val="18"/>
              </w:rPr>
              <w:t>535,242,442</w:t>
            </w:r>
          </w:p>
        </w:tc>
      </w:tr>
      <w:tr>
        <w:trPr>
          <w:trHeight w:val="386" w:hRule="exact"/>
        </w:trPr>
        <w:tc>
          <w:tcPr>
            <w:tcW w:w="1200" w:type="dxa"/>
            <w:vMerge/>
            <w:tcBorders>
              <w:left w:val="single" w:sz="4" w:space="0" w:color="000000"/>
              <w:bottom w:val="single" w:sz="4" w:space="0" w:color="000000"/>
              <w:right w:val="single" w:sz="4" w:space="0" w:color="000000"/>
            </w:tcBorders>
          </w:tcPr>
          <w:p>
            <w:pPr/>
          </w:p>
        </w:tc>
        <w:tc>
          <w:tcPr>
            <w:tcW w:w="1202" w:type="dxa"/>
            <w:gridSpan w:val="2"/>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1069" w:type="dxa"/>
            <w:vMerge/>
            <w:tcBorders>
              <w:left w:val="single" w:sz="4" w:space="0" w:color="000000"/>
              <w:bottom w:val="single" w:sz="4" w:space="0" w:color="000000"/>
              <w:right w:val="single" w:sz="4" w:space="0" w:color="000000"/>
            </w:tcBorders>
          </w:tcPr>
          <w:p>
            <w:pPr/>
          </w:p>
        </w:tc>
        <w:tc>
          <w:tcPr>
            <w:tcW w:w="927" w:type="dxa"/>
            <w:vMerge/>
            <w:tcBorders>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冻结</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7" w:right="0"/>
              <w:jc w:val="center"/>
              <w:rPr>
                <w:rFonts w:ascii="Times New Roman" w:hAnsi="Times New Roman" w:cs="Times New Roman" w:eastAsia="Times New Roman" w:hint="default"/>
                <w:sz w:val="18"/>
                <w:szCs w:val="18"/>
              </w:rPr>
            </w:pPr>
            <w:r>
              <w:rPr>
                <w:rFonts w:ascii="Times New Roman"/>
                <w:sz w:val="18"/>
              </w:rPr>
              <w:t>570,995,475</w:t>
            </w:r>
          </w:p>
        </w:tc>
      </w:tr>
      <w:tr>
        <w:trPr>
          <w:trHeight w:val="6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55" w:right="53"/>
              <w:jc w:val="left"/>
              <w:rPr>
                <w:rFonts w:ascii="宋体" w:hAnsi="宋体" w:cs="宋体" w:eastAsia="宋体" w:hint="default"/>
                <w:sz w:val="18"/>
                <w:szCs w:val="18"/>
              </w:rPr>
            </w:pPr>
            <w:r>
              <w:rPr>
                <w:rFonts w:ascii="宋体" w:hAnsi="宋体" w:cs="宋体" w:eastAsia="宋体" w:hint="default"/>
                <w:sz w:val="18"/>
                <w:szCs w:val="18"/>
              </w:rPr>
              <w:t>西藏泰豪智能 技术有限公司</w:t>
            </w:r>
          </w:p>
        </w:tc>
        <w:tc>
          <w:tcPr>
            <w:tcW w:w="1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506" w:right="55" w:hanging="452"/>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2.85%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49,848,119</w:t>
            </w:r>
            <w:r>
              <w:rPr>
                <w:rFonts w:ascii="Times New Roman"/>
                <w:sz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49,848,119</w:t>
            </w:r>
            <w:r>
              <w:rPr>
                <w:rFonts w:ascii="Times New Roman"/>
                <w:sz w:val="18"/>
              </w:rPr>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6" w:right="0"/>
              <w:jc w:val="center"/>
              <w:rPr>
                <w:rFonts w:ascii="Times New Roman" w:hAnsi="Times New Roman" w:cs="Times New Roman" w:eastAsia="Times New Roman" w:hint="default"/>
                <w:sz w:val="18"/>
                <w:szCs w:val="18"/>
              </w:rPr>
            </w:pPr>
            <w:r>
              <w:rPr>
                <w:rFonts w:ascii="Times New Roman"/>
                <w:sz w:val="18"/>
              </w:rPr>
              <w:t>49,658,783</w:t>
            </w:r>
          </w:p>
        </w:tc>
      </w:tr>
      <w:tr>
        <w:trPr>
          <w:trHeight w:val="8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55" w:right="53"/>
              <w:jc w:val="center"/>
              <w:rPr>
                <w:rFonts w:ascii="宋体" w:hAnsi="宋体" w:cs="宋体" w:eastAsia="宋体" w:hint="default"/>
                <w:sz w:val="18"/>
                <w:szCs w:val="18"/>
              </w:rPr>
            </w:pPr>
            <w:r>
              <w:rPr>
                <w:rFonts w:ascii="宋体" w:hAnsi="宋体" w:cs="宋体" w:eastAsia="宋体" w:hint="default"/>
                <w:sz w:val="18"/>
                <w:szCs w:val="18"/>
              </w:rPr>
              <w:t>北京中天涌慧 投资咨询有限 公司</w:t>
            </w:r>
          </w:p>
        </w:tc>
        <w:tc>
          <w:tcPr>
            <w:tcW w:w="1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506" w:right="55" w:hanging="452"/>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1"/>
              <w:jc w:val="right"/>
              <w:rPr>
                <w:rFonts w:ascii="Times New Roman" w:hAnsi="Times New Roman" w:cs="Times New Roman" w:eastAsia="Times New Roman" w:hint="default"/>
                <w:sz w:val="18"/>
                <w:szCs w:val="18"/>
              </w:rPr>
            </w:pPr>
            <w:r>
              <w:rPr>
                <w:rFonts w:ascii="Times New Roman"/>
                <w:sz w:val="18"/>
              </w:rPr>
              <w:t>2.70%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2"/>
              <w:jc w:val="right"/>
              <w:rPr>
                <w:rFonts w:ascii="Times New Roman" w:hAnsi="Times New Roman" w:cs="Times New Roman" w:eastAsia="Times New Roman" w:hint="default"/>
                <w:sz w:val="18"/>
                <w:szCs w:val="18"/>
              </w:rPr>
            </w:pPr>
            <w:r>
              <w:rPr>
                <w:rFonts w:ascii="Times New Roman"/>
                <w:sz w:val="18"/>
              </w:rPr>
              <w:t>47,180,091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5"/>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7"/>
              <w:jc w:val="right"/>
              <w:rPr>
                <w:rFonts w:ascii="Times New Roman" w:hAnsi="Times New Roman" w:cs="Times New Roman" w:eastAsia="Times New Roman" w:hint="default"/>
                <w:sz w:val="18"/>
                <w:szCs w:val="18"/>
              </w:rPr>
            </w:pPr>
            <w:r>
              <w:rPr>
                <w:rFonts w:ascii="Times New Roman"/>
                <w:sz w:val="18"/>
              </w:rPr>
              <w:t>47,180,091</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97" w:right="0"/>
              <w:jc w:val="center"/>
              <w:rPr>
                <w:rFonts w:ascii="Times New Roman" w:hAnsi="Times New Roman" w:cs="Times New Roman" w:eastAsia="Times New Roman" w:hint="default"/>
                <w:sz w:val="18"/>
                <w:szCs w:val="18"/>
              </w:rPr>
            </w:pPr>
            <w:r>
              <w:rPr>
                <w:rFonts w:ascii="Times New Roman"/>
                <w:sz w:val="18"/>
              </w:rPr>
              <w:t>47,180,091</w:t>
            </w:r>
          </w:p>
        </w:tc>
      </w:tr>
      <w:tr>
        <w:trPr>
          <w:trHeight w:val="386"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刘希平</w:t>
            </w:r>
          </w:p>
        </w:tc>
        <w:tc>
          <w:tcPr>
            <w:tcW w:w="1202" w:type="dxa"/>
            <w:gridSpan w:val="2"/>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2.07%</w:t>
            </w:r>
          </w:p>
        </w:tc>
        <w:tc>
          <w:tcPr>
            <w:tcW w:w="107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36,182,317</w:t>
            </w:r>
          </w:p>
        </w:tc>
        <w:tc>
          <w:tcPr>
            <w:tcW w:w="10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27,136,738</w:t>
            </w:r>
          </w:p>
        </w:tc>
        <w:tc>
          <w:tcPr>
            <w:tcW w:w="9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9,045,579</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97" w:right="0"/>
              <w:jc w:val="center"/>
              <w:rPr>
                <w:rFonts w:ascii="Times New Roman" w:hAnsi="Times New Roman" w:cs="Times New Roman" w:eastAsia="Times New Roman" w:hint="default"/>
                <w:sz w:val="18"/>
                <w:szCs w:val="18"/>
              </w:rPr>
            </w:pPr>
            <w:r>
              <w:rPr>
                <w:rFonts w:ascii="Times New Roman"/>
                <w:sz w:val="18"/>
              </w:rPr>
              <w:t>34,500,000</w:t>
            </w:r>
          </w:p>
        </w:tc>
      </w:tr>
      <w:tr>
        <w:trPr>
          <w:trHeight w:val="386" w:hRule="exact"/>
        </w:trPr>
        <w:tc>
          <w:tcPr>
            <w:tcW w:w="1200" w:type="dxa"/>
            <w:vMerge/>
            <w:tcBorders>
              <w:left w:val="single" w:sz="4" w:space="0" w:color="000000"/>
              <w:bottom w:val="single" w:sz="4" w:space="0" w:color="000000"/>
              <w:right w:val="single" w:sz="4" w:space="0" w:color="000000"/>
            </w:tcBorders>
          </w:tcPr>
          <w:p>
            <w:pPr/>
          </w:p>
        </w:tc>
        <w:tc>
          <w:tcPr>
            <w:tcW w:w="1202" w:type="dxa"/>
            <w:gridSpan w:val="2"/>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1069" w:type="dxa"/>
            <w:vMerge/>
            <w:tcBorders>
              <w:left w:val="single" w:sz="4" w:space="0" w:color="000000"/>
              <w:bottom w:val="single" w:sz="4" w:space="0" w:color="000000"/>
              <w:right w:val="single" w:sz="4" w:space="0" w:color="000000"/>
            </w:tcBorders>
          </w:tcPr>
          <w:p>
            <w:pPr/>
          </w:p>
        </w:tc>
        <w:tc>
          <w:tcPr>
            <w:tcW w:w="927" w:type="dxa"/>
            <w:vMerge/>
            <w:tcBorders>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冻结</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97" w:right="0"/>
              <w:jc w:val="center"/>
              <w:rPr>
                <w:rFonts w:ascii="Times New Roman" w:hAnsi="Times New Roman" w:cs="Times New Roman" w:eastAsia="Times New Roman" w:hint="default"/>
                <w:sz w:val="18"/>
                <w:szCs w:val="18"/>
              </w:rPr>
            </w:pPr>
            <w:r>
              <w:rPr>
                <w:rFonts w:ascii="Times New Roman"/>
                <w:sz w:val="18"/>
              </w:rPr>
              <w:t>36,182,317</w:t>
            </w:r>
          </w:p>
        </w:tc>
      </w:tr>
      <w:tr>
        <w:trPr>
          <w:trHeight w:val="13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55" w:right="53"/>
              <w:jc w:val="left"/>
              <w:rPr>
                <w:rFonts w:ascii="宋体" w:hAnsi="宋体" w:cs="宋体" w:eastAsia="宋体" w:hint="default"/>
                <w:sz w:val="18"/>
                <w:szCs w:val="18"/>
              </w:rPr>
            </w:pPr>
            <w:r>
              <w:rPr>
                <w:rFonts w:ascii="宋体" w:hAnsi="宋体" w:cs="宋体" w:eastAsia="宋体" w:hint="default"/>
                <w:sz w:val="18"/>
                <w:szCs w:val="18"/>
              </w:rPr>
              <w:t>北京达麟投资 管理有限公司</w:t>
            </w:r>
          </w:p>
          <w:p>
            <w:pPr>
              <w:pStyle w:val="TableParagraph"/>
              <w:spacing w:line="232" w:lineRule="exact"/>
              <w:ind w:left="146" w:right="53" w:hanging="92"/>
              <w:jc w:val="left"/>
              <w:rPr>
                <w:rFonts w:ascii="宋体" w:hAnsi="宋体" w:cs="宋体" w:eastAsia="宋体" w:hint="default"/>
                <w:sz w:val="18"/>
                <w:szCs w:val="18"/>
              </w:rPr>
            </w:pPr>
            <w:r>
              <w:rPr>
                <w:rFonts w:ascii="宋体" w:hAnsi="宋体" w:cs="宋体" w:eastAsia="宋体" w:hint="default"/>
                <w:sz w:val="18"/>
                <w:szCs w:val="18"/>
              </w:rPr>
              <w:t>－新余京达投 资管理中心</w:t>
            </w:r>
          </w:p>
          <w:p>
            <w:pPr>
              <w:pStyle w:val="TableParagraph"/>
              <w:spacing w:line="214" w:lineRule="exact"/>
              <w:ind w:left="55"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1"/>
              <w:jc w:val="right"/>
              <w:rPr>
                <w:rFonts w:ascii="Times New Roman" w:hAnsi="Times New Roman" w:cs="Times New Roman" w:eastAsia="Times New Roman" w:hint="default"/>
                <w:sz w:val="18"/>
                <w:szCs w:val="18"/>
              </w:rPr>
            </w:pPr>
            <w:r>
              <w:rPr>
                <w:rFonts w:ascii="Times New Roman"/>
                <w:sz w:val="18"/>
              </w:rPr>
              <w:t>1.80%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z w:val="18"/>
              </w:rPr>
              <w:t>31,415,605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5"/>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7"/>
              <w:jc w:val="right"/>
              <w:rPr>
                <w:rFonts w:ascii="Times New Roman" w:hAnsi="Times New Roman" w:cs="Times New Roman" w:eastAsia="Times New Roman" w:hint="default"/>
                <w:sz w:val="18"/>
                <w:szCs w:val="18"/>
              </w:rPr>
            </w:pPr>
            <w:r>
              <w:rPr>
                <w:rFonts w:ascii="Times New Roman"/>
                <w:sz w:val="18"/>
              </w:rPr>
              <w:t>31,415,605</w:t>
            </w:r>
          </w:p>
        </w:tc>
        <w:tc>
          <w:tcPr>
            <w:tcW w:w="1067"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32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55" w:right="53"/>
              <w:jc w:val="both"/>
              <w:rPr>
                <w:rFonts w:ascii="宋体" w:hAnsi="宋体" w:cs="宋体" w:eastAsia="宋体" w:hint="default"/>
                <w:sz w:val="18"/>
                <w:szCs w:val="18"/>
              </w:rPr>
            </w:pPr>
            <w:r>
              <w:rPr>
                <w:rFonts w:ascii="宋体" w:hAnsi="宋体" w:cs="宋体" w:eastAsia="宋体" w:hint="default"/>
                <w:sz w:val="18"/>
                <w:szCs w:val="18"/>
              </w:rPr>
              <w:t>北京达麟投资 管理有限公司</w:t>
            </w:r>
          </w:p>
          <w:p>
            <w:pPr>
              <w:pStyle w:val="TableParagraph"/>
              <w:spacing w:line="232" w:lineRule="exact" w:before="3"/>
              <w:ind w:left="24" w:right="53" w:firstLine="31"/>
              <w:jc w:val="both"/>
              <w:rPr>
                <w:rFonts w:ascii="宋体" w:hAnsi="宋体" w:cs="宋体" w:eastAsia="宋体" w:hint="default"/>
                <w:sz w:val="18"/>
                <w:szCs w:val="18"/>
              </w:rPr>
            </w:pPr>
            <w:r>
              <w:rPr>
                <w:rFonts w:ascii="宋体" w:hAnsi="宋体" w:cs="宋体" w:eastAsia="宋体" w:hint="default"/>
                <w:sz w:val="18"/>
                <w:szCs w:val="18"/>
              </w:rPr>
              <w:t>－北京汇达高 新投资基金中 </w:t>
            </w:r>
            <w:r>
              <w:rPr>
                <w:rFonts w:ascii="宋体" w:hAnsi="宋体" w:cs="宋体" w:eastAsia="宋体" w:hint="default"/>
                <w:spacing w:val="-4"/>
                <w:sz w:val="18"/>
                <w:szCs w:val="18"/>
              </w:rPr>
              <w:t>心（有限合伙</w:t>
            </w:r>
          </w:p>
        </w:tc>
        <w:tc>
          <w:tcPr>
            <w:tcW w:w="24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96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1"/>
              <w:jc w:val="right"/>
              <w:rPr>
                <w:rFonts w:ascii="Times New Roman" w:hAnsi="Times New Roman" w:cs="Times New Roman" w:eastAsia="Times New Roman" w:hint="default"/>
                <w:sz w:val="18"/>
                <w:szCs w:val="18"/>
              </w:rPr>
            </w:pPr>
            <w:r>
              <w:rPr>
                <w:rFonts w:ascii="Times New Roman"/>
                <w:sz w:val="18"/>
              </w:rPr>
              <w:t>1.71%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22"/>
              <w:jc w:val="right"/>
              <w:rPr>
                <w:rFonts w:ascii="Times New Roman" w:hAnsi="Times New Roman" w:cs="Times New Roman" w:eastAsia="Times New Roman" w:hint="default"/>
                <w:sz w:val="18"/>
                <w:szCs w:val="18"/>
              </w:rPr>
            </w:pPr>
            <w:r>
              <w:rPr>
                <w:rFonts w:ascii="Times New Roman"/>
                <w:sz w:val="18"/>
              </w:rPr>
              <w:t>29,924,882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5"/>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7"/>
              <w:jc w:val="right"/>
              <w:rPr>
                <w:rFonts w:ascii="Times New Roman" w:hAnsi="Times New Roman" w:cs="Times New Roman" w:eastAsia="Times New Roman" w:hint="default"/>
                <w:sz w:val="18"/>
                <w:szCs w:val="18"/>
              </w:rPr>
            </w:pPr>
            <w:r>
              <w:rPr>
                <w:rFonts w:ascii="Times New Roman"/>
                <w:sz w:val="18"/>
              </w:rPr>
              <w:t>29,924,882</w:t>
            </w:r>
          </w:p>
        </w:tc>
        <w:tc>
          <w:tcPr>
            <w:tcW w:w="1067"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55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8"/>
              <w:ind w:left="55" w:right="53"/>
              <w:jc w:val="center"/>
              <w:rPr>
                <w:rFonts w:ascii="宋体" w:hAnsi="宋体" w:cs="宋体" w:eastAsia="宋体" w:hint="default"/>
                <w:sz w:val="18"/>
                <w:szCs w:val="18"/>
              </w:rPr>
            </w:pPr>
            <w:r>
              <w:rPr>
                <w:rFonts w:ascii="宋体" w:hAnsi="宋体" w:cs="宋体" w:eastAsia="宋体" w:hint="default"/>
                <w:sz w:val="18"/>
                <w:szCs w:val="18"/>
              </w:rPr>
              <w:t>北方国际信托 股份有限公司</w:t>
            </w:r>
          </w:p>
          <w:p>
            <w:pPr>
              <w:pStyle w:val="TableParagraph"/>
              <w:spacing w:line="232" w:lineRule="exact"/>
              <w:ind w:left="26" w:right="22"/>
              <w:jc w:val="center"/>
              <w:rPr>
                <w:rFonts w:ascii="宋体" w:hAnsi="宋体" w:cs="宋体" w:eastAsia="宋体" w:hint="default"/>
                <w:sz w:val="18"/>
                <w:szCs w:val="18"/>
              </w:rPr>
            </w:pPr>
            <w:r>
              <w:rPr>
                <w:rFonts w:ascii="宋体" w:hAnsi="宋体" w:cs="宋体" w:eastAsia="宋体" w:hint="default"/>
                <w:sz w:val="18"/>
                <w:szCs w:val="18"/>
              </w:rPr>
              <w:t>－北方信托</w:t>
            </w:r>
            <w:r>
              <w:rPr>
                <w:rFonts w:ascii="Times New Roman" w:hAnsi="Times New Roman" w:cs="Times New Roman" w:eastAsia="Times New Roman" w:hint="default"/>
                <w:sz w:val="18"/>
                <w:szCs w:val="18"/>
              </w:rPr>
              <w:t>·</w:t>
            </w:r>
            <w:r>
              <w:rPr>
                <w:rFonts w:ascii="宋体" w:hAnsi="宋体" w:cs="宋体" w:eastAsia="宋体" w:hint="default"/>
                <w:sz w:val="18"/>
                <w:szCs w:val="18"/>
              </w:rPr>
              <w:t>恒 升一号证券投</w:t>
            </w:r>
          </w:p>
          <w:p>
            <w:pPr>
              <w:pStyle w:val="TableParagraph"/>
              <w:spacing w:line="232" w:lineRule="exact" w:before="3"/>
              <w:ind w:left="55" w:right="53"/>
              <w:jc w:val="center"/>
              <w:rPr>
                <w:rFonts w:ascii="宋体" w:hAnsi="宋体" w:cs="宋体" w:eastAsia="宋体" w:hint="default"/>
                <w:sz w:val="18"/>
                <w:szCs w:val="18"/>
              </w:rPr>
            </w:pPr>
            <w:r>
              <w:rPr>
                <w:rFonts w:ascii="宋体" w:hAnsi="宋体" w:cs="宋体" w:eastAsia="宋体" w:hint="default"/>
                <w:sz w:val="18"/>
                <w:szCs w:val="18"/>
              </w:rPr>
              <w:t>资单一资金信 托</w:t>
            </w:r>
          </w:p>
        </w:tc>
        <w:tc>
          <w:tcPr>
            <w:tcW w:w="1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1.66%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29,046,142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29,046,142</w:t>
            </w:r>
          </w:p>
        </w:tc>
        <w:tc>
          <w:tcPr>
            <w:tcW w:w="1067"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白巍</w:t>
            </w:r>
          </w:p>
        </w:tc>
        <w:tc>
          <w:tcPr>
            <w:tcW w:w="1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1"/>
              <w:jc w:val="right"/>
              <w:rPr>
                <w:rFonts w:ascii="Times New Roman" w:hAnsi="Times New Roman" w:cs="Times New Roman" w:eastAsia="Times New Roman" w:hint="default"/>
                <w:sz w:val="18"/>
                <w:szCs w:val="18"/>
              </w:rPr>
            </w:pPr>
            <w:r>
              <w:rPr>
                <w:rFonts w:ascii="Times New Roman"/>
                <w:sz w:val="18"/>
              </w:rPr>
              <w:t>1.37%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z w:val="18"/>
              </w:rPr>
              <w:t>23,989,134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1"/>
              <w:jc w:val="right"/>
              <w:rPr>
                <w:rFonts w:ascii="Times New Roman" w:hAnsi="Times New Roman" w:cs="Times New Roman" w:eastAsia="Times New Roman" w:hint="default"/>
                <w:sz w:val="18"/>
                <w:szCs w:val="18"/>
              </w:rPr>
            </w:pPr>
            <w:r>
              <w:rPr>
                <w:rFonts w:ascii="Times New Roman"/>
                <w:spacing w:val="-1"/>
                <w:sz w:val="18"/>
              </w:rPr>
              <w:t>-16288336</w:t>
            </w:r>
            <w:r>
              <w:rPr>
                <w:rFonts w:ascii="Times New Roman"/>
                <w:sz w:val="18"/>
              </w:rPr>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1,070,000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22,919,134</w:t>
            </w:r>
          </w:p>
        </w:tc>
        <w:tc>
          <w:tcPr>
            <w:tcW w:w="1067"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8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4"/>
              <w:ind w:left="55" w:right="53"/>
              <w:jc w:val="center"/>
              <w:rPr>
                <w:rFonts w:ascii="宋体" w:hAnsi="宋体" w:cs="宋体" w:eastAsia="宋体" w:hint="default"/>
                <w:sz w:val="18"/>
                <w:szCs w:val="18"/>
              </w:rPr>
            </w:pPr>
            <w:r>
              <w:rPr>
                <w:rFonts w:ascii="宋体" w:hAnsi="宋体" w:cs="宋体" w:eastAsia="宋体" w:hint="default"/>
                <w:sz w:val="18"/>
                <w:szCs w:val="18"/>
              </w:rPr>
              <w:t>新疆恒通达泰 股权投资合伙 企业（有限合 伙）</w:t>
            </w:r>
          </w:p>
        </w:tc>
        <w:tc>
          <w:tcPr>
            <w:tcW w:w="1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32" w:lineRule="exact"/>
              <w:ind w:left="506" w:right="55" w:hanging="452"/>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1.25%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21,841,294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-5000000</w:t>
            </w:r>
            <w:r>
              <w:rPr>
                <w:rFonts w:ascii="Times New Roman"/>
                <w:sz w:val="18"/>
              </w:rPr>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21,841,294</w:t>
            </w:r>
          </w:p>
        </w:tc>
        <w:tc>
          <w:tcPr>
            <w:tcW w:w="1067"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刘明</w:t>
            </w:r>
          </w:p>
        </w:tc>
        <w:tc>
          <w:tcPr>
            <w:tcW w:w="1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1"/>
              <w:jc w:val="right"/>
              <w:rPr>
                <w:rFonts w:ascii="Times New Roman" w:hAnsi="Times New Roman" w:cs="Times New Roman" w:eastAsia="Times New Roman" w:hint="default"/>
                <w:sz w:val="18"/>
                <w:szCs w:val="18"/>
              </w:rPr>
            </w:pPr>
            <w:r>
              <w:rPr>
                <w:rFonts w:ascii="Times New Roman"/>
                <w:sz w:val="18"/>
              </w:rPr>
              <w:t>1.20%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z w:val="18"/>
              </w:rPr>
              <w:t>20,908,180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1"/>
              <w:jc w:val="right"/>
              <w:rPr>
                <w:rFonts w:ascii="Times New Roman" w:hAnsi="Times New Roman" w:cs="Times New Roman" w:eastAsia="Times New Roman" w:hint="default"/>
                <w:sz w:val="18"/>
                <w:szCs w:val="18"/>
              </w:rPr>
            </w:pPr>
            <w:r>
              <w:rPr>
                <w:rFonts w:ascii="Times New Roman"/>
                <w:spacing w:val="-1"/>
                <w:sz w:val="18"/>
              </w:rPr>
              <w:t>-12292486</w:t>
            </w:r>
            <w:r>
              <w:rPr>
                <w:rFonts w:ascii="Times New Roman"/>
                <w:sz w:val="18"/>
              </w:rPr>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z w:val="18"/>
              </w:rPr>
              <w:t>20,908,180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854" w:hRule="exact"/>
        </w:trPr>
        <w:tc>
          <w:tcPr>
            <w:tcW w:w="24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8"/>
              <w:ind w:left="23" w:right="26"/>
              <w:jc w:val="center"/>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25" w:lineRule="exact"/>
              <w:ind w:right="4"/>
              <w:jc w:val="center"/>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67" w:type="dxa"/>
            <w:gridSpan w:val="7"/>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240" w:hRule="exact"/>
        </w:trPr>
        <w:tc>
          <w:tcPr>
            <w:tcW w:w="2402" w:type="dxa"/>
            <w:gridSpan w:val="3"/>
            <w:tcBorders>
              <w:top w:val="single" w:sz="4" w:space="0" w:color="000000"/>
              <w:left w:val="single" w:sz="4" w:space="0" w:color="000000"/>
              <w:bottom w:val="nil" w:sz="6" w:space="0" w:color="auto"/>
              <w:right w:val="single" w:sz="4" w:space="0" w:color="000000"/>
            </w:tcBorders>
            <w:shd w:val="clear" w:color="auto" w:fill="D4D4D4"/>
          </w:tcPr>
          <w:p>
            <w:pPr/>
          </w:p>
        </w:tc>
        <w:tc>
          <w:tcPr>
            <w:tcW w:w="7167" w:type="dxa"/>
            <w:gridSpan w:val="7"/>
            <w:vMerge w:val="restart"/>
            <w:tcBorders>
              <w:top w:val="single" w:sz="4" w:space="0" w:color="000000"/>
              <w:left w:val="single" w:sz="9" w:space="0" w:color="D4D4D4"/>
              <w:right w:val="single" w:sz="4" w:space="0" w:color="000000"/>
            </w:tcBorders>
          </w:tcPr>
          <w:p>
            <w:pPr>
              <w:pStyle w:val="TableParagraph"/>
              <w:spacing w:line="232" w:lineRule="auto" w:before="48"/>
              <w:ind w:left="13" w:right="19"/>
              <w:jc w:val="both"/>
              <w:rPr>
                <w:rFonts w:ascii="宋体" w:hAnsi="宋体" w:cs="宋体" w:eastAsia="宋体" w:hint="default"/>
                <w:sz w:val="18"/>
                <w:szCs w:val="18"/>
              </w:rPr>
            </w:pPr>
            <w:r>
              <w:rPr>
                <w:rFonts w:ascii="宋体" w:hAnsi="宋体" w:cs="宋体" w:eastAsia="宋体" w:hint="default"/>
                <w:sz w:val="18"/>
                <w:szCs w:val="18"/>
              </w:rPr>
              <w:t>陈江涛与刘希平为夫妻关系。北京中天涌慧投资咨询有限公司为陈江涛及其夫人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持股 </w:t>
            </w:r>
            <w:r>
              <w:rPr>
                <w:rFonts w:ascii="宋体" w:hAnsi="宋体" w:cs="宋体" w:eastAsia="宋体" w:hint="default"/>
                <w:spacing w:val="-3"/>
                <w:sz w:val="18"/>
                <w:szCs w:val="18"/>
              </w:rPr>
              <w:t>公司。北京达麟投资管理有限公司－新余京达投资管理中心（有限合伙）、北京达麟投资管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理有限公司－北京汇达高新投资基金中心（有限合伙）为陈江涛一致行动人。北方国际信托</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股份有限公司－北方信托</w:t>
            </w:r>
            <w:r>
              <w:rPr>
                <w:rFonts w:ascii="Times New Roman" w:hAnsi="Times New Roman" w:cs="Times New Roman" w:eastAsia="Times New Roman" w:hint="default"/>
                <w:sz w:val="18"/>
                <w:szCs w:val="18"/>
              </w:rPr>
              <w:t>•</w:t>
            </w:r>
            <w:r>
              <w:rPr>
                <w:rFonts w:ascii="宋体" w:hAnsi="宋体" w:cs="宋体" w:eastAsia="宋体" w:hint="default"/>
                <w:sz w:val="18"/>
                <w:szCs w:val="18"/>
              </w:rPr>
              <w:t>恒升一号证券投资单一资金信托为陈江涛增持公司股份的账户。</w:t>
            </w:r>
          </w:p>
        </w:tc>
      </w:tr>
      <w:tr>
        <w:trPr>
          <w:trHeight w:val="610" w:hRule="exact"/>
        </w:trPr>
        <w:tc>
          <w:tcPr>
            <w:tcW w:w="2402" w:type="dxa"/>
            <w:gridSpan w:val="3"/>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32" w:lineRule="exact" w:before="66"/>
              <w:ind w:left="924" w:right="26" w:hanging="900"/>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67" w:type="dxa"/>
            <w:gridSpan w:val="7"/>
            <w:vMerge/>
            <w:tcBorders>
              <w:left w:val="single" w:sz="9" w:space="0" w:color="D4D4D4"/>
              <w:right w:val="single" w:sz="4" w:space="0" w:color="000000"/>
            </w:tcBorders>
          </w:tcPr>
          <w:p>
            <w:pPr/>
          </w:p>
        </w:tc>
      </w:tr>
      <w:tr>
        <w:trPr>
          <w:trHeight w:val="240" w:hRule="exact"/>
        </w:trPr>
        <w:tc>
          <w:tcPr>
            <w:tcW w:w="2402" w:type="dxa"/>
            <w:gridSpan w:val="3"/>
            <w:tcBorders>
              <w:top w:val="nil" w:sz="6" w:space="0" w:color="auto"/>
              <w:left w:val="single" w:sz="4" w:space="0" w:color="000000"/>
              <w:bottom w:val="single" w:sz="4" w:space="0" w:color="000000"/>
              <w:right w:val="single" w:sz="4" w:space="0" w:color="000000"/>
            </w:tcBorders>
            <w:shd w:val="clear" w:color="auto" w:fill="D4D4D4"/>
          </w:tcPr>
          <w:p>
            <w:pPr/>
          </w:p>
        </w:tc>
        <w:tc>
          <w:tcPr>
            <w:tcW w:w="7167" w:type="dxa"/>
            <w:gridSpan w:val="7"/>
            <w:vMerge/>
            <w:tcBorders>
              <w:left w:val="single" w:sz="9" w:space="0" w:color="D4D4D4"/>
              <w:bottom w:val="single" w:sz="4" w:space="0" w:color="000000"/>
              <w:right w:val="single" w:sz="4" w:space="0" w:color="000000"/>
            </w:tcBorders>
          </w:tcPr>
          <w:p>
            <w:pPr/>
          </w:p>
        </w:tc>
      </w:tr>
      <w:tr>
        <w:trPr>
          <w:trHeight w:val="382"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394" w:hRule="exact"/>
        </w:trPr>
        <w:tc>
          <w:tcPr>
            <w:tcW w:w="24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right="4"/>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116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697" w:right="0"/>
              <w:jc w:val="left"/>
              <w:rPr>
                <w:rFonts w:ascii="宋体" w:hAnsi="宋体" w:cs="宋体" w:eastAsia="宋体" w:hint="default"/>
                <w:sz w:val="18"/>
                <w:szCs w:val="18"/>
              </w:rPr>
            </w:pPr>
            <w:r>
              <w:rPr>
                <w:rFonts w:ascii="宋体" w:hAnsi="宋体" w:cs="宋体" w:eastAsia="宋体" w:hint="default"/>
                <w:sz w:val="18"/>
                <w:szCs w:val="18"/>
              </w:rPr>
              <w:t>股份种类</w:t>
            </w:r>
          </w:p>
        </w:tc>
      </w:tr>
    </w:tbl>
    <w:p>
      <w:pPr>
        <w:spacing w:after="0" w:line="240" w:lineRule="auto"/>
        <w:jc w:val="left"/>
        <w:rPr>
          <w:rFonts w:ascii="宋体" w:hAnsi="宋体" w:cs="宋体" w:eastAsia="宋体" w:hint="default"/>
          <w:sz w:val="18"/>
          <w:szCs w:val="18"/>
        </w:rPr>
        <w:sectPr>
          <w:pgSz w:w="11910" w:h="16840"/>
          <w:pgMar w:header="0"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8"/>
        <w:gridCol w:w="5045"/>
        <w:gridCol w:w="1068"/>
        <w:gridCol w:w="1058"/>
      </w:tblGrid>
      <w:tr>
        <w:trPr>
          <w:trHeight w:val="386" w:hRule="exact"/>
        </w:trPr>
        <w:tc>
          <w:tcPr>
            <w:tcW w:w="23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04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7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62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07"/>
              <w:jc w:val="right"/>
              <w:rPr>
                <w:rFonts w:ascii="Times New Roman" w:hAnsi="Times New Roman" w:cs="Times New Roman" w:eastAsia="Times New Roman" w:hint="default"/>
                <w:sz w:val="18"/>
                <w:szCs w:val="18"/>
              </w:rPr>
            </w:pPr>
            <w:r>
              <w:rPr>
                <w:rFonts w:ascii="Times New Roman"/>
                <w:sz w:val="18"/>
              </w:rPr>
              <w:t>79,675,958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8"/>
              <w:ind w:left="439" w:right="77" w:hanging="36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79,675,958</w:t>
            </w:r>
          </w:p>
        </w:tc>
      </w:tr>
      <w:tr>
        <w:trPr>
          <w:trHeight w:val="62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西藏泰豪智能技术有限公司</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09"/>
              <w:jc w:val="right"/>
              <w:rPr>
                <w:rFonts w:ascii="Times New Roman" w:hAnsi="Times New Roman" w:cs="Times New Roman" w:eastAsia="Times New Roman" w:hint="default"/>
                <w:sz w:val="18"/>
                <w:szCs w:val="18"/>
              </w:rPr>
            </w:pPr>
            <w:r>
              <w:rPr>
                <w:rFonts w:ascii="Times New Roman"/>
                <w:spacing w:val="-1"/>
                <w:sz w:val="18"/>
              </w:rPr>
              <w:t>49,848,119</w:t>
            </w:r>
            <w:r>
              <w:rPr>
                <w:rFonts w:ascii="Times New Roman"/>
                <w:sz w:val="18"/>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9" w:right="77" w:hanging="36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49,848,119</w:t>
            </w:r>
            <w:r>
              <w:rPr>
                <w:rFonts w:ascii="Times New Roman"/>
                <w:sz w:val="18"/>
              </w:rPr>
            </w:r>
          </w:p>
        </w:tc>
      </w:tr>
      <w:tr>
        <w:trPr>
          <w:trHeight w:val="62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104" w:right="23" w:hanging="1080"/>
              <w:jc w:val="left"/>
              <w:rPr>
                <w:rFonts w:ascii="宋体" w:hAnsi="宋体" w:cs="宋体" w:eastAsia="宋体" w:hint="default"/>
                <w:sz w:val="18"/>
                <w:szCs w:val="18"/>
              </w:rPr>
            </w:pPr>
            <w:r>
              <w:rPr>
                <w:rFonts w:ascii="宋体" w:hAnsi="宋体" w:cs="宋体" w:eastAsia="宋体" w:hint="default"/>
                <w:sz w:val="18"/>
                <w:szCs w:val="18"/>
              </w:rPr>
              <w:t>北京中天涌慧投资咨询有限公 司</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07"/>
              <w:jc w:val="right"/>
              <w:rPr>
                <w:rFonts w:ascii="Times New Roman" w:hAnsi="Times New Roman" w:cs="Times New Roman" w:eastAsia="Times New Roman" w:hint="default"/>
                <w:sz w:val="18"/>
                <w:szCs w:val="18"/>
              </w:rPr>
            </w:pPr>
            <w:r>
              <w:rPr>
                <w:rFonts w:ascii="Times New Roman"/>
                <w:sz w:val="18"/>
              </w:rPr>
              <w:t>47,180,091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439" w:right="77" w:hanging="36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47,180,091</w:t>
            </w:r>
          </w:p>
        </w:tc>
      </w:tr>
      <w:tr>
        <w:trPr>
          <w:trHeight w:val="85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23" w:right="23"/>
              <w:jc w:val="center"/>
              <w:rPr>
                <w:rFonts w:ascii="宋体" w:hAnsi="宋体" w:cs="宋体" w:eastAsia="宋体" w:hint="default"/>
                <w:sz w:val="18"/>
                <w:szCs w:val="18"/>
              </w:rPr>
            </w:pPr>
            <w:r>
              <w:rPr>
                <w:rFonts w:ascii="宋体" w:hAnsi="宋体" w:cs="宋体" w:eastAsia="宋体" w:hint="default"/>
                <w:sz w:val="18"/>
                <w:szCs w:val="18"/>
              </w:rPr>
              <w:t>北京达麟投资管理有限公司－ 新余京达投资管理中心（有限 合伙）</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07"/>
              <w:jc w:val="right"/>
              <w:rPr>
                <w:rFonts w:ascii="Times New Roman" w:hAnsi="Times New Roman" w:cs="Times New Roman" w:eastAsia="Times New Roman" w:hint="default"/>
                <w:sz w:val="18"/>
                <w:szCs w:val="18"/>
              </w:rPr>
            </w:pPr>
            <w:r>
              <w:rPr>
                <w:rFonts w:ascii="Times New Roman"/>
                <w:sz w:val="18"/>
              </w:rPr>
              <w:t>31,415,605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39" w:right="77" w:hanging="36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31,415,605</w:t>
            </w:r>
          </w:p>
        </w:tc>
      </w:tr>
      <w:tr>
        <w:trPr>
          <w:trHeight w:val="8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23" w:right="23"/>
              <w:jc w:val="center"/>
              <w:rPr>
                <w:rFonts w:ascii="宋体" w:hAnsi="宋体" w:cs="宋体" w:eastAsia="宋体" w:hint="default"/>
                <w:sz w:val="18"/>
                <w:szCs w:val="18"/>
              </w:rPr>
            </w:pPr>
            <w:r>
              <w:rPr>
                <w:rFonts w:ascii="宋体" w:hAnsi="宋体" w:cs="宋体" w:eastAsia="宋体" w:hint="default"/>
                <w:sz w:val="18"/>
                <w:szCs w:val="18"/>
              </w:rPr>
              <w:t>北京达麟投资管理有限公司－ 北京汇达高新投资基金中心</w:t>
            </w:r>
          </w:p>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（有限合伙）</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07"/>
              <w:jc w:val="right"/>
              <w:rPr>
                <w:rFonts w:ascii="Times New Roman" w:hAnsi="Times New Roman" w:cs="Times New Roman" w:eastAsia="Times New Roman" w:hint="default"/>
                <w:sz w:val="18"/>
                <w:szCs w:val="18"/>
              </w:rPr>
            </w:pPr>
            <w:r>
              <w:rPr>
                <w:rFonts w:ascii="Times New Roman"/>
                <w:sz w:val="18"/>
              </w:rPr>
              <w:t>29,924,882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39" w:right="77" w:hanging="36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6"/>
              <w:jc w:val="right"/>
              <w:rPr>
                <w:rFonts w:ascii="Times New Roman" w:hAnsi="Times New Roman" w:cs="Times New Roman" w:eastAsia="Times New Roman" w:hint="default"/>
                <w:sz w:val="18"/>
                <w:szCs w:val="18"/>
              </w:rPr>
            </w:pPr>
            <w:r>
              <w:rPr>
                <w:rFonts w:ascii="Times New Roman"/>
                <w:sz w:val="18"/>
              </w:rPr>
              <w:t>29,924,882</w:t>
            </w:r>
          </w:p>
        </w:tc>
      </w:tr>
      <w:tr>
        <w:trPr>
          <w:trHeight w:val="8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8"/>
              <w:ind w:left="23" w:right="23"/>
              <w:jc w:val="center"/>
              <w:rPr>
                <w:rFonts w:ascii="宋体" w:hAnsi="宋体" w:cs="宋体" w:eastAsia="宋体" w:hint="default"/>
                <w:sz w:val="18"/>
                <w:szCs w:val="18"/>
              </w:rPr>
            </w:pPr>
            <w:r>
              <w:rPr>
                <w:rFonts w:ascii="宋体" w:hAnsi="宋体" w:cs="宋体" w:eastAsia="宋体" w:hint="default"/>
                <w:sz w:val="18"/>
                <w:szCs w:val="18"/>
              </w:rPr>
              <w:t>北方国际信托股份有限公司－ 北方信托</w:t>
            </w:r>
            <w:r>
              <w:rPr>
                <w:rFonts w:ascii="Times New Roman" w:hAnsi="Times New Roman" w:cs="Times New Roman" w:eastAsia="Times New Roman" w:hint="default"/>
                <w:sz w:val="18"/>
                <w:szCs w:val="18"/>
              </w:rPr>
              <w:t>·</w:t>
            </w:r>
            <w:r>
              <w:rPr>
                <w:rFonts w:ascii="宋体" w:hAnsi="宋体" w:cs="宋体" w:eastAsia="宋体" w:hint="default"/>
                <w:sz w:val="18"/>
                <w:szCs w:val="18"/>
              </w:rPr>
              <w:t>恒升一号证券投资 单一资金信托</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07"/>
              <w:jc w:val="right"/>
              <w:rPr>
                <w:rFonts w:ascii="Times New Roman" w:hAnsi="Times New Roman" w:cs="Times New Roman" w:eastAsia="Times New Roman" w:hint="default"/>
                <w:sz w:val="18"/>
                <w:szCs w:val="18"/>
              </w:rPr>
            </w:pPr>
            <w:r>
              <w:rPr>
                <w:rFonts w:ascii="Times New Roman"/>
                <w:sz w:val="18"/>
              </w:rPr>
              <w:t>29,046,142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39" w:right="77" w:hanging="36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6"/>
              <w:jc w:val="right"/>
              <w:rPr>
                <w:rFonts w:ascii="Times New Roman" w:hAnsi="Times New Roman" w:cs="Times New Roman" w:eastAsia="Times New Roman" w:hint="default"/>
                <w:sz w:val="18"/>
                <w:szCs w:val="18"/>
              </w:rPr>
            </w:pPr>
            <w:r>
              <w:rPr>
                <w:rFonts w:ascii="Times New Roman"/>
                <w:sz w:val="18"/>
              </w:rPr>
              <w:t>29,046,142</w:t>
            </w:r>
          </w:p>
        </w:tc>
      </w:tr>
      <w:tr>
        <w:trPr>
          <w:trHeight w:val="62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白巍</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07"/>
              <w:jc w:val="right"/>
              <w:rPr>
                <w:rFonts w:ascii="Times New Roman" w:hAnsi="Times New Roman" w:cs="Times New Roman" w:eastAsia="Times New Roman" w:hint="default"/>
                <w:sz w:val="18"/>
                <w:szCs w:val="18"/>
              </w:rPr>
            </w:pPr>
            <w:r>
              <w:rPr>
                <w:rFonts w:ascii="Times New Roman"/>
                <w:sz w:val="18"/>
              </w:rPr>
              <w:t>22,919,134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439" w:right="77" w:hanging="36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22,919,134</w:t>
            </w:r>
          </w:p>
        </w:tc>
      </w:tr>
      <w:tr>
        <w:trPr>
          <w:trHeight w:val="62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64" w:right="23" w:hanging="540"/>
              <w:jc w:val="left"/>
              <w:rPr>
                <w:rFonts w:ascii="宋体" w:hAnsi="宋体" w:cs="宋体" w:eastAsia="宋体" w:hint="default"/>
                <w:sz w:val="18"/>
                <w:szCs w:val="18"/>
              </w:rPr>
            </w:pPr>
            <w:r>
              <w:rPr>
                <w:rFonts w:ascii="宋体" w:hAnsi="宋体" w:cs="宋体" w:eastAsia="宋体" w:hint="default"/>
                <w:sz w:val="18"/>
                <w:szCs w:val="18"/>
              </w:rPr>
              <w:t>新疆恒通达泰股权投资合伙企 业（有限合伙）</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07"/>
              <w:jc w:val="right"/>
              <w:rPr>
                <w:rFonts w:ascii="Times New Roman" w:hAnsi="Times New Roman" w:cs="Times New Roman" w:eastAsia="Times New Roman" w:hint="default"/>
                <w:sz w:val="18"/>
                <w:szCs w:val="18"/>
              </w:rPr>
            </w:pPr>
            <w:r>
              <w:rPr>
                <w:rFonts w:ascii="Times New Roman"/>
                <w:sz w:val="18"/>
              </w:rPr>
              <w:t>21,841,294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9" w:right="77" w:hanging="36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21,841,294</w:t>
            </w:r>
          </w:p>
        </w:tc>
      </w:tr>
      <w:tr>
        <w:trPr>
          <w:trHeight w:val="62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董月芳</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07"/>
              <w:jc w:val="right"/>
              <w:rPr>
                <w:rFonts w:ascii="Times New Roman" w:hAnsi="Times New Roman" w:cs="Times New Roman" w:eastAsia="Times New Roman" w:hint="default"/>
                <w:sz w:val="18"/>
                <w:szCs w:val="18"/>
              </w:rPr>
            </w:pPr>
            <w:r>
              <w:rPr>
                <w:rFonts w:ascii="Times New Roman"/>
                <w:sz w:val="18"/>
              </w:rPr>
              <w:t>12,931,497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439" w:right="77" w:hanging="36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12,931,497</w:t>
            </w:r>
          </w:p>
        </w:tc>
      </w:tr>
      <w:tr>
        <w:trPr>
          <w:trHeight w:val="85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23" w:right="23"/>
              <w:jc w:val="center"/>
              <w:rPr>
                <w:rFonts w:ascii="宋体" w:hAnsi="宋体" w:cs="宋体" w:eastAsia="宋体" w:hint="default"/>
                <w:sz w:val="18"/>
                <w:szCs w:val="18"/>
              </w:rPr>
            </w:pPr>
            <w:r>
              <w:rPr>
                <w:rFonts w:ascii="宋体" w:hAnsi="宋体" w:cs="宋体" w:eastAsia="宋体" w:hint="default"/>
                <w:sz w:val="18"/>
                <w:szCs w:val="18"/>
              </w:rPr>
              <w:t>中国工商银行股份有限公司－ 易方达创业板交易型开放式指 数证券投资基金</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09"/>
              <w:jc w:val="right"/>
              <w:rPr>
                <w:rFonts w:ascii="Times New Roman" w:hAnsi="Times New Roman" w:cs="Times New Roman" w:eastAsia="Times New Roman" w:hint="default"/>
                <w:sz w:val="18"/>
                <w:szCs w:val="18"/>
              </w:rPr>
            </w:pPr>
            <w:r>
              <w:rPr>
                <w:rFonts w:ascii="Times New Roman"/>
                <w:spacing w:val="-1"/>
                <w:sz w:val="18"/>
              </w:rPr>
              <w:t>11,006,933</w:t>
            </w:r>
            <w:r>
              <w:rPr>
                <w:rFonts w:ascii="Times New Roman"/>
                <w:sz w:val="18"/>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39" w:right="77" w:hanging="36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pacing w:val="-1"/>
                <w:sz w:val="18"/>
              </w:rPr>
              <w:t>11,006,933</w:t>
            </w:r>
            <w:r>
              <w:rPr>
                <w:rFonts w:ascii="Times New Roman"/>
                <w:sz w:val="18"/>
              </w:rPr>
            </w:r>
          </w:p>
        </w:tc>
      </w:tr>
      <w:tr>
        <w:trPr>
          <w:trHeight w:val="1090" w:hRule="exact"/>
        </w:trPr>
        <w:tc>
          <w:tcPr>
            <w:tcW w:w="23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before="44"/>
              <w:ind w:left="67"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232" w:lineRule="exact" w:before="16"/>
              <w:ind w:left="292" w:right="65" w:hanging="226"/>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24" w:right="19"/>
              <w:jc w:val="center"/>
              <w:rPr>
                <w:rFonts w:ascii="宋体" w:hAnsi="宋体" w:cs="宋体" w:eastAsia="宋体" w:hint="default"/>
                <w:sz w:val="18"/>
                <w:szCs w:val="18"/>
              </w:rPr>
            </w:pPr>
            <w:r>
              <w:rPr>
                <w:rFonts w:ascii="宋体" w:hAnsi="宋体" w:cs="宋体" w:eastAsia="宋体" w:hint="default"/>
                <w:sz w:val="18"/>
                <w:szCs w:val="18"/>
              </w:rPr>
              <w:t>北京中天涌慧投资咨询有限公司为陈江涛及其夫人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持股公司。北京达麟投资管理有限 </w:t>
            </w:r>
            <w:r>
              <w:rPr>
                <w:rFonts w:ascii="宋体" w:hAnsi="宋体" w:cs="宋体" w:eastAsia="宋体" w:hint="default"/>
                <w:spacing w:val="-3"/>
                <w:sz w:val="18"/>
                <w:szCs w:val="18"/>
              </w:rPr>
              <w:t>公司－新余京达投资管理中心（有限合伙）、北京达麟投资管理有限公司－北京汇达高新投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资基金中心（有限合伙）为陈江涛一致行动人。北方国际信托股份有限公司－北方信托</w:t>
            </w:r>
            <w:r>
              <w:rPr>
                <w:rFonts w:ascii="Times New Roman" w:hAnsi="Times New Roman" w:cs="Times New Roman" w:eastAsia="Times New Roman" w:hint="default"/>
                <w:sz w:val="18"/>
                <w:szCs w:val="18"/>
              </w:rPr>
              <w:t>•</w:t>
            </w:r>
            <w:r>
              <w:rPr>
                <w:rFonts w:ascii="宋体" w:hAnsi="宋体" w:cs="宋体" w:eastAsia="宋体" w:hint="default"/>
                <w:sz w:val="18"/>
                <w:szCs w:val="18"/>
              </w:rPr>
              <w:t>恒 升一号证券投资单一资金信托为陈江涛增持公司股份的账户。</w:t>
            </w:r>
          </w:p>
        </w:tc>
      </w:tr>
      <w:tr>
        <w:trPr>
          <w:trHeight w:val="622" w:hRule="exact"/>
        </w:trPr>
        <w:tc>
          <w:tcPr>
            <w:tcW w:w="23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271" w:right="23" w:hanging="248"/>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4"/>
        <w:ind w:right="1127"/>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名普通股股东、前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名无限售条件普通股股东在报告期内是否进行约定购回交易</w:t>
      </w:r>
    </w:p>
    <w:p>
      <w:pPr>
        <w:spacing w:line="240" w:lineRule="auto" w:before="6"/>
        <w:rPr>
          <w:rFonts w:ascii="宋体" w:hAnsi="宋体" w:cs="宋体" w:eastAsia="宋体" w:hint="default"/>
          <w:sz w:val="16"/>
          <w:szCs w:val="16"/>
        </w:rPr>
      </w:pPr>
    </w:p>
    <w:p>
      <w:pPr>
        <w:pStyle w:val="BodyText"/>
        <w:spacing w:line="240" w:lineRule="auto"/>
        <w:ind w:left="573" w:right="11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9"/>
        <w:rPr>
          <w:rFonts w:ascii="宋体" w:hAnsi="宋体" w:cs="宋体" w:eastAsia="宋体" w:hint="default"/>
          <w:sz w:val="16"/>
          <w:szCs w:val="16"/>
        </w:rPr>
      </w:pPr>
    </w:p>
    <w:p>
      <w:pPr>
        <w:pStyle w:val="BodyText"/>
        <w:spacing w:line="240" w:lineRule="auto"/>
        <w:ind w:left="573" w:right="1127"/>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名普通股股东、前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名无限售条件普通股股东在报告期内未进行约定购回交易。</w:t>
      </w:r>
    </w:p>
    <w:p>
      <w:pPr>
        <w:spacing w:line="240" w:lineRule="auto" w:before="3"/>
        <w:rPr>
          <w:rFonts w:ascii="宋体" w:hAnsi="宋体" w:cs="宋体" w:eastAsia="宋体" w:hint="default"/>
          <w:sz w:val="32"/>
          <w:szCs w:val="32"/>
        </w:rPr>
      </w:pPr>
    </w:p>
    <w:p>
      <w:pPr>
        <w:spacing w:line="456" w:lineRule="auto" w:before="0"/>
        <w:ind w:left="572" w:right="7290" w:hanging="420"/>
        <w:jc w:val="left"/>
        <w:rPr>
          <w:rFonts w:ascii="宋体" w:hAnsi="宋体" w:cs="宋体" w:eastAsia="宋体" w:hint="default"/>
          <w:sz w:val="21"/>
          <w:szCs w:val="21"/>
        </w:rPr>
      </w:pPr>
      <w:bookmarkStart w:name="2、公司控股股东情况" w:id="193"/>
      <w:bookmarkEnd w:id="19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w w:val="100"/>
          <w:sz w:val="21"/>
          <w:szCs w:val="21"/>
        </w:rPr>
        <w:t> </w:t>
      </w:r>
      <w:r>
        <w:rPr>
          <w:rFonts w:ascii="宋体" w:hAnsi="宋体" w:cs="宋体" w:eastAsia="宋体" w:hint="default"/>
          <w:spacing w:val="-2"/>
          <w:sz w:val="21"/>
          <w:szCs w:val="21"/>
        </w:rPr>
        <w:t>控股股东性质：自然人控股</w:t>
      </w:r>
      <w:r>
        <w:rPr>
          <w:rFonts w:ascii="宋体" w:hAnsi="宋体" w:cs="宋体" w:eastAsia="宋体" w:hint="default"/>
          <w:w w:val="100"/>
          <w:sz w:val="21"/>
          <w:szCs w:val="21"/>
        </w:rPr>
        <w:t> </w:t>
      </w:r>
      <w:r>
        <w:rPr>
          <w:rFonts w:ascii="宋体" w:hAnsi="宋体" w:cs="宋体" w:eastAsia="宋体" w:hint="default"/>
          <w:sz w:val="21"/>
          <w:szCs w:val="21"/>
        </w:rPr>
        <w:t>控股股东类型：自然人</w:t>
      </w:r>
    </w:p>
    <w:p>
      <w:pPr>
        <w:spacing w:line="240" w:lineRule="auto" w:before="3"/>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418"/>
        <w:gridCol w:w="2030"/>
        <w:gridCol w:w="4118"/>
      </w:tblGrid>
      <w:tr>
        <w:trPr>
          <w:trHeight w:val="386"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389"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主要职业及职务</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年创建北京旋极信息技术有限公司，现任公司董事。</w:t>
            </w:r>
          </w:p>
        </w:tc>
      </w:tr>
    </w:tbl>
    <w:p>
      <w:pPr>
        <w:spacing w:after="0" w:line="240" w:lineRule="auto"/>
        <w:jc w:val="left"/>
        <w:rPr>
          <w:rFonts w:ascii="宋体" w:hAnsi="宋体" w:cs="宋体" w:eastAsia="宋体" w:hint="default"/>
          <w:sz w:val="18"/>
          <w:szCs w:val="18"/>
        </w:rPr>
        <w:sectPr>
          <w:pgSz w:w="11910" w:h="16840"/>
          <w:pgMar w:header="0" w:footer="1134" w:top="1280" w:bottom="1320" w:left="980" w:right="0"/>
        </w:sectPr>
      </w:pP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416"/>
        <w:gridCol w:w="6149"/>
      </w:tblGrid>
      <w:tr>
        <w:trPr>
          <w:trHeight w:val="158" w:hRule="exact"/>
        </w:trPr>
        <w:tc>
          <w:tcPr>
            <w:tcW w:w="3416" w:type="dxa"/>
            <w:tcBorders>
              <w:top w:val="nil" w:sz="6" w:space="0" w:color="auto"/>
              <w:left w:val="nil" w:sz="6" w:space="0" w:color="auto"/>
              <w:bottom w:val="single" w:sz="4" w:space="0" w:color="000000"/>
              <w:right w:val="nil" w:sz="6" w:space="0" w:color="auto"/>
            </w:tcBorders>
          </w:tcPr>
          <w:p>
            <w:pPr/>
          </w:p>
        </w:tc>
        <w:tc>
          <w:tcPr>
            <w:tcW w:w="6149" w:type="dxa"/>
            <w:tcBorders>
              <w:top w:val="nil" w:sz="6" w:space="0" w:color="auto"/>
              <w:left w:val="nil" w:sz="6" w:space="0" w:color="auto"/>
              <w:bottom w:val="single" w:sz="4" w:space="0" w:color="000000"/>
              <w:right w:val="nil" w:sz="6" w:space="0" w:color="auto"/>
            </w:tcBorders>
          </w:tcPr>
          <w:p>
            <w:pPr/>
          </w:p>
        </w:tc>
      </w:tr>
      <w:tr>
        <w:trPr>
          <w:trHeight w:val="622" w:hRule="exact"/>
        </w:trPr>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162" w:right="83" w:hanging="108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4"/>
        <w:ind w:right="1127"/>
        <w:jc w:val="left"/>
      </w:pPr>
      <w:r>
        <w:rPr/>
        <w:pict>
          <v:group style="position:absolute;margin-left:55.200001pt;margin-top:-39.256325pt;width:484.8pt;height:.1pt;mso-position-horizontal-relative:page;mso-position-vertical-relative:paragraph;z-index:-1426624" coordorigin="1104,-785" coordsize="9696,2">
            <v:shape style="position:absolute;left:1104;top:-785;width:9696;height:2" coordorigin="1104,-785" coordsize="9696,0" path="m1104,-785l10800,-785e" filled="false" stroked="true" strokeweight=".72pt" strokecolor="#000000">
              <v:path arrowok="t"/>
            </v:shape>
            <w10:wrap type="none"/>
          </v:group>
        </w:pict>
      </w:r>
      <w:r>
        <w:rPr/>
        <w:t>控股股东报告期内变更</w:t>
      </w:r>
    </w:p>
    <w:p>
      <w:pPr>
        <w:spacing w:line="240" w:lineRule="auto" w:before="9"/>
        <w:rPr>
          <w:rFonts w:ascii="宋体" w:hAnsi="宋体" w:cs="宋体" w:eastAsia="宋体" w:hint="default"/>
          <w:sz w:val="17"/>
          <w:szCs w:val="17"/>
        </w:rPr>
      </w:pPr>
    </w:p>
    <w:p>
      <w:pPr>
        <w:pStyle w:val="BodyText"/>
        <w:spacing w:line="420" w:lineRule="auto"/>
        <w:ind w:right="5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公司报告期控股股东未发生变更。</w:t>
      </w:r>
    </w:p>
    <w:p>
      <w:pPr>
        <w:spacing w:line="240" w:lineRule="auto" w:before="6"/>
        <w:rPr>
          <w:rFonts w:ascii="宋体" w:hAnsi="宋体" w:cs="宋体" w:eastAsia="宋体" w:hint="default"/>
          <w:sz w:val="21"/>
          <w:szCs w:val="21"/>
        </w:rPr>
      </w:pPr>
    </w:p>
    <w:p>
      <w:pPr>
        <w:spacing w:line="456" w:lineRule="auto" w:before="0"/>
        <w:ind w:left="572" w:right="5512" w:hanging="421"/>
        <w:jc w:val="left"/>
        <w:rPr>
          <w:rFonts w:ascii="宋体" w:hAnsi="宋体" w:cs="宋体" w:eastAsia="宋体" w:hint="default"/>
          <w:sz w:val="21"/>
          <w:szCs w:val="21"/>
        </w:rPr>
      </w:pPr>
      <w:bookmarkStart w:name="3、公司实际控制人及其一致行动人" w:id="194"/>
      <w:bookmarkEnd w:id="194"/>
      <w:r>
        <w:rPr/>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、公司实际控制人及其一致行动人</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实际控制人性质：境内自然人</w:t>
      </w:r>
      <w:r>
        <w:rPr>
          <w:rFonts w:ascii="宋体" w:hAnsi="宋体" w:cs="宋体" w:eastAsia="宋体" w:hint="default"/>
          <w:w w:val="100"/>
          <w:sz w:val="21"/>
          <w:szCs w:val="21"/>
        </w:rPr>
        <w:t> </w:t>
      </w:r>
      <w:r>
        <w:rPr>
          <w:rFonts w:ascii="宋体" w:hAnsi="宋体" w:cs="宋体" w:eastAsia="宋体" w:hint="default"/>
          <w:sz w:val="21"/>
          <w:szCs w:val="21"/>
        </w:rPr>
        <w:t>实际控制人类型：自然人</w:t>
      </w:r>
    </w:p>
    <w:p>
      <w:pPr>
        <w:spacing w:line="240" w:lineRule="auto" w:before="3"/>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622"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实际控制人姓名</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0" w:right="110"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38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3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年创建北京旋极信息技术有限公司，现任公司董事。</w:t>
            </w:r>
          </w:p>
        </w:tc>
      </w:tr>
      <w:tr>
        <w:trPr>
          <w:trHeight w:val="622"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741" w:right="62" w:hanging="67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4"/>
        <w:ind w:right="1127"/>
        <w:jc w:val="left"/>
      </w:pPr>
      <w:r>
        <w:rPr/>
        <w:t>实际控制人报告期内变更</w:t>
      </w:r>
    </w:p>
    <w:p>
      <w:pPr>
        <w:spacing w:line="240" w:lineRule="auto" w:before="9"/>
        <w:rPr>
          <w:rFonts w:ascii="宋体" w:hAnsi="宋体" w:cs="宋体" w:eastAsia="宋体" w:hint="default"/>
          <w:sz w:val="17"/>
          <w:szCs w:val="17"/>
        </w:rPr>
      </w:pPr>
    </w:p>
    <w:p>
      <w:pPr>
        <w:pStyle w:val="BodyText"/>
        <w:spacing w:line="432" w:lineRule="auto"/>
        <w:ind w:right="5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t>公司报告期实际控制人未发生变更。</w:t>
      </w:r>
      <w:r>
        <w:rPr>
          <w:w w:val="100"/>
        </w:rPr>
        <w:t> </w:t>
      </w:r>
      <w:r>
        <w:rPr>
          <w:spacing w:val="-2"/>
        </w:rPr>
        <w:t>公司与实际控制人之间的产权及控制关系的方框图</w:t>
      </w:r>
    </w:p>
    <w:p>
      <w:pPr>
        <w:spacing w:line="240" w:lineRule="auto" w:before="7"/>
        <w:rPr>
          <w:rFonts w:ascii="宋体" w:hAnsi="宋体" w:cs="宋体" w:eastAsia="宋体" w:hint="default"/>
          <w:sz w:val="15"/>
          <w:szCs w:val="15"/>
        </w:rPr>
      </w:pPr>
    </w:p>
    <w:p>
      <w:pPr>
        <w:spacing w:line="5430" w:lineRule="exact"/>
        <w:ind w:left="1595" w:right="0" w:firstLine="0"/>
        <w:rPr>
          <w:rFonts w:ascii="宋体" w:hAnsi="宋体" w:cs="宋体" w:eastAsia="宋体" w:hint="default"/>
          <w:sz w:val="20"/>
          <w:szCs w:val="20"/>
        </w:rPr>
      </w:pPr>
      <w:r>
        <w:rPr>
          <w:rFonts w:ascii="宋体" w:hAnsi="宋体" w:cs="宋体" w:eastAsia="宋体" w:hint="default"/>
          <w:position w:val="-108"/>
          <w:sz w:val="20"/>
          <w:szCs w:val="20"/>
        </w:rPr>
        <w:drawing>
          <wp:inline distT="0" distB="0" distL="0" distR="0">
            <wp:extent cx="4592732" cy="3448050"/>
            <wp:effectExtent l="0" t="0" r="0" b="0"/>
            <wp:docPr id="5" name="image11.png" descr="?"/>
            <wp:cNvGraphicFramePr>
              <a:graphicFrameLocks noChangeAspect="1"/>
            </wp:cNvGraphicFramePr>
            <a:graphic>
              <a:graphicData uri="http://schemas.openxmlformats.org/drawingml/2006/picture">
                <pic:pic>
                  <pic:nvPicPr>
                    <pic:cNvPr id="6" name="image11.png"/>
                    <pic:cNvPicPr/>
                  </pic:nvPicPr>
                  <pic:blipFill>
                    <a:blip r:embed="rId51" cstate="print"/>
                    <a:stretch>
                      <a:fillRect/>
                    </a:stretch>
                  </pic:blipFill>
                  <pic:spPr>
                    <a:xfrm>
                      <a:off x="0" y="0"/>
                      <a:ext cx="4592732" cy="3448050"/>
                    </a:xfrm>
                    <a:prstGeom prst="rect">
                      <a:avLst/>
                    </a:prstGeom>
                  </pic:spPr>
                </pic:pic>
              </a:graphicData>
            </a:graphic>
          </wp:inline>
        </w:drawing>
      </w:r>
      <w:r>
        <w:rPr>
          <w:rFonts w:ascii="宋体" w:hAnsi="宋体" w:cs="宋体" w:eastAsia="宋体" w:hint="default"/>
          <w:position w:val="-108"/>
          <w:sz w:val="20"/>
          <w:szCs w:val="20"/>
        </w:rPr>
      </w:r>
    </w:p>
    <w:p>
      <w:pPr>
        <w:spacing w:after="0" w:line="5430" w:lineRule="exact"/>
        <w:rPr>
          <w:rFonts w:ascii="宋体" w:hAnsi="宋体" w:cs="宋体" w:eastAsia="宋体" w:hint="default"/>
          <w:sz w:val="20"/>
          <w:szCs w:val="20"/>
        </w:rPr>
        <w:sectPr>
          <w:headerReference w:type="default" r:id="rId50"/>
          <w:pgSz w:w="11910" w:h="16840"/>
          <w:pgMar w:header="882" w:footer="1134" w:top="1100" w:bottom="1320" w:left="980" w:right="0"/>
        </w:sectPr>
      </w:pPr>
    </w:p>
    <w:p>
      <w:pPr>
        <w:pStyle w:val="Heading3"/>
        <w:spacing w:line="240" w:lineRule="auto" w:before="106"/>
        <w:ind w:right="1127"/>
        <w:jc w:val="left"/>
        <w:rPr>
          <w:rFonts w:ascii="宋体" w:hAnsi="宋体" w:cs="宋体" w:eastAsia="宋体" w:hint="default"/>
        </w:rPr>
      </w:pPr>
      <w:r>
        <w:rPr>
          <w:rFonts w:ascii="宋体" w:hAnsi="宋体" w:cs="宋体" w:eastAsia="宋体" w:hint="default"/>
        </w:rPr>
        <w:t>实际控制人通过信托或其他资产管理方式控制公司</w:t>
      </w:r>
    </w:p>
    <w:p>
      <w:pPr>
        <w:spacing w:line="240" w:lineRule="auto" w:before="4"/>
        <w:rPr>
          <w:rFonts w:ascii="宋体" w:hAnsi="宋体" w:cs="宋体" w:eastAsia="宋体" w:hint="default"/>
          <w:sz w:val="27"/>
          <w:szCs w:val="27"/>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32"/>
          <w:szCs w:val="32"/>
        </w:rPr>
      </w:pPr>
    </w:p>
    <w:p>
      <w:pPr>
        <w:pStyle w:val="Heading4"/>
        <w:spacing w:line="240" w:lineRule="auto"/>
        <w:ind w:right="1127"/>
        <w:jc w:val="left"/>
        <w:rPr>
          <w:b w:val="0"/>
          <w:bCs w:val="0"/>
        </w:rPr>
      </w:pPr>
      <w:bookmarkStart w:name="4、其他持股在10%以上的法人股东" w:id="195"/>
      <w:bookmarkEnd w:id="195"/>
      <w:r>
        <w:rPr>
          <w:b w:val="0"/>
          <w:bCs w:val="0"/>
        </w:rPr>
      </w: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32"/>
          <w:szCs w:val="32"/>
        </w:rPr>
      </w:pPr>
    </w:p>
    <w:p>
      <w:pPr>
        <w:pStyle w:val="Heading4"/>
        <w:spacing w:line="240" w:lineRule="auto"/>
        <w:ind w:right="1127"/>
        <w:jc w:val="left"/>
        <w:rPr>
          <w:b w:val="0"/>
          <w:bCs w:val="0"/>
        </w:rPr>
      </w:pPr>
      <w:bookmarkStart w:name="5、控股股东、实际控制人、重组方及其他承诺主体股份限制减持情况" w:id="196"/>
      <w:bookmarkEnd w:id="19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headerReference w:type="default" r:id="rId52"/>
          <w:pgSz w:w="11910" w:h="16840"/>
          <w:pgMar w:header="882" w:footer="1134" w:top="1280" w:bottom="1320" w:left="980" w:right="0"/>
        </w:sectPr>
      </w:pPr>
    </w:p>
    <w:p>
      <w:pPr>
        <w:spacing w:line="240" w:lineRule="auto" w:before="2"/>
        <w:rPr>
          <w:rFonts w:ascii="宋体" w:hAnsi="宋体" w:cs="宋体" w:eastAsia="宋体" w:hint="default"/>
          <w:sz w:val="25"/>
          <w:szCs w:val="25"/>
        </w:rPr>
      </w:pPr>
    </w:p>
    <w:p>
      <w:pPr>
        <w:spacing w:before="0"/>
        <w:ind w:left="134" w:right="475" w:firstLine="0"/>
        <w:jc w:val="center"/>
        <w:rPr>
          <w:rFonts w:ascii="宋体" w:hAnsi="宋体" w:cs="宋体" w:eastAsia="宋体" w:hint="default"/>
          <w:sz w:val="32"/>
          <w:szCs w:val="32"/>
        </w:rPr>
      </w:pPr>
      <w:bookmarkStart w:name="_TOC_250006" w:id="197"/>
      <w:bookmarkStart w:name="第七节优先股相关情况" w:id="198"/>
      <w:r>
        <w:rPr/>
      </w:r>
      <w:r>
        <w:rPr>
          <w:rFonts w:ascii="宋体" w:hAnsi="宋体" w:cs="宋体" w:eastAsia="宋体" w:hint="default"/>
          <w:b/>
          <w:bCs/>
          <w:sz w:val="32"/>
          <w:szCs w:val="32"/>
        </w:rPr>
        <w:t>第七节优先股相关情况</w:t>
      </w:r>
      <w:bookmarkEnd w:id="197"/>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8"/>
          <w:szCs w:val="28"/>
        </w:rPr>
      </w:pPr>
    </w:p>
    <w:p>
      <w:pPr>
        <w:pStyle w:val="BodyText"/>
        <w:spacing w:line="420" w:lineRule="auto" w:before="36"/>
        <w:ind w:right="72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报告期公司不存在优先股。</w:t>
      </w:r>
    </w:p>
    <w:p>
      <w:pPr>
        <w:spacing w:after="0" w:line="420" w:lineRule="auto"/>
        <w:jc w:val="left"/>
        <w:sectPr>
          <w:pgSz w:w="11910" w:h="16840"/>
          <w:pgMar w:header="882" w:footer="1134" w:top="1280" w:bottom="1320" w:left="980" w:right="0"/>
        </w:sectPr>
      </w:pPr>
    </w:p>
    <w:p>
      <w:pPr>
        <w:spacing w:line="240" w:lineRule="auto" w:before="2"/>
        <w:rPr>
          <w:rFonts w:ascii="宋体" w:hAnsi="宋体" w:cs="宋体" w:eastAsia="宋体" w:hint="default"/>
          <w:sz w:val="25"/>
          <w:szCs w:val="25"/>
        </w:rPr>
      </w:pPr>
    </w:p>
    <w:p>
      <w:pPr>
        <w:spacing w:before="0"/>
        <w:ind w:left="3044" w:right="1127" w:firstLine="0"/>
        <w:jc w:val="left"/>
        <w:rPr>
          <w:rFonts w:ascii="宋体" w:hAnsi="宋体" w:cs="宋体" w:eastAsia="宋体" w:hint="default"/>
          <w:sz w:val="32"/>
          <w:szCs w:val="32"/>
        </w:rPr>
      </w:pPr>
      <w:bookmarkStart w:name="_TOC_250005" w:id="199"/>
      <w:bookmarkStart w:name="第八节可转换公司债券相关情况" w:id="200"/>
      <w:r>
        <w:rPr/>
      </w:r>
      <w:r>
        <w:rPr>
          <w:rFonts w:ascii="宋体" w:hAnsi="宋体" w:cs="宋体" w:eastAsia="宋体" w:hint="default"/>
          <w:b/>
          <w:bCs/>
          <w:sz w:val="32"/>
          <w:szCs w:val="32"/>
        </w:rPr>
        <w:t>第八节可转换公司债券相关情况</w:t>
      </w:r>
      <w:bookmarkEnd w:id="199"/>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8"/>
          <w:szCs w:val="28"/>
        </w:rPr>
      </w:pPr>
    </w:p>
    <w:p>
      <w:pPr>
        <w:pStyle w:val="BodyText"/>
        <w:spacing w:line="420" w:lineRule="auto" w:before="36"/>
        <w:ind w:right="5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报告期公司不存在可转换公司债券。</w:t>
      </w:r>
    </w:p>
    <w:p>
      <w:pPr>
        <w:spacing w:after="0" w:line="420" w:lineRule="auto"/>
        <w:jc w:val="left"/>
        <w:sectPr>
          <w:pgSz w:w="11910" w:h="16840"/>
          <w:pgMar w:header="882" w:footer="1134" w:top="1280" w:bottom="1320" w:left="980" w:right="0"/>
        </w:sectPr>
      </w:pPr>
    </w:p>
    <w:p>
      <w:pPr>
        <w:spacing w:line="240" w:lineRule="auto" w:before="2"/>
        <w:rPr>
          <w:rFonts w:ascii="宋体" w:hAnsi="宋体" w:cs="宋体" w:eastAsia="宋体" w:hint="default"/>
          <w:sz w:val="25"/>
          <w:szCs w:val="25"/>
        </w:rPr>
      </w:pPr>
    </w:p>
    <w:p>
      <w:pPr>
        <w:spacing w:before="0"/>
        <w:ind w:left="2080" w:right="1127" w:firstLine="0"/>
        <w:jc w:val="left"/>
        <w:rPr>
          <w:rFonts w:ascii="宋体" w:hAnsi="宋体" w:cs="宋体" w:eastAsia="宋体" w:hint="default"/>
          <w:sz w:val="32"/>
          <w:szCs w:val="32"/>
        </w:rPr>
      </w:pPr>
      <w:bookmarkStart w:name="_TOC_250004" w:id="201"/>
      <w:bookmarkStart w:name="第九节董事、监事、高级管理人员和员工情况" w:id="202"/>
      <w:r>
        <w:rPr/>
      </w:r>
      <w:r>
        <w:rPr>
          <w:rFonts w:ascii="宋体" w:hAnsi="宋体" w:cs="宋体" w:eastAsia="宋体" w:hint="default"/>
          <w:b/>
          <w:bCs/>
          <w:sz w:val="32"/>
          <w:szCs w:val="32"/>
        </w:rPr>
        <w:t>第九节董事、监事、高级管理人员和员工情况</w:t>
      </w:r>
      <w:bookmarkEnd w:id="201"/>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11"/>
        <w:rPr>
          <w:rFonts w:ascii="宋体" w:hAnsi="宋体" w:cs="宋体" w:eastAsia="宋体" w:hint="default"/>
          <w:b/>
          <w:bCs/>
          <w:sz w:val="38"/>
          <w:szCs w:val="38"/>
        </w:rPr>
      </w:pPr>
    </w:p>
    <w:p>
      <w:pPr>
        <w:pStyle w:val="Heading2"/>
        <w:spacing w:line="240" w:lineRule="auto"/>
        <w:ind w:right="1127"/>
        <w:jc w:val="left"/>
        <w:rPr>
          <w:b w:val="0"/>
          <w:bCs w:val="0"/>
        </w:rPr>
      </w:pPr>
      <w:bookmarkStart w:name="一、董事、监事和高级管理人员持股变动" w:id="203"/>
      <w:bookmarkEnd w:id="203"/>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854"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32" w:lineRule="exact"/>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32" w:lineRule="exact"/>
              <w:ind w:left="213" w:right="3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32" w:lineRule="exact"/>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33" w:lineRule="exact"/>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33" w:lineRule="exact"/>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32" w:lineRule="exact"/>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32" w:lineRule="exact"/>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85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姜平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85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4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34"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p>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07" w:lineRule="exact"/>
              <w:ind w:left="1" w:right="0"/>
              <w:jc w:val="center"/>
              <w:rPr>
                <w:rFonts w:ascii="Times New Roman" w:hAnsi="Times New Roman" w:cs="Times New Roman" w:eastAsia="Times New Roman" w:hint="default"/>
                <w:sz w:val="18"/>
                <w:szCs w:val="18"/>
              </w:rPr>
            </w:pPr>
            <w:r>
              <w:rPr>
                <w:rFonts w:ascii="Times New Roman"/>
                <w:sz w:val="18"/>
              </w:rPr>
              <w:t>587,545,4</w:t>
            </w:r>
          </w:p>
          <w:p>
            <w:pPr>
              <w:pStyle w:val="TableParagraph"/>
              <w:spacing w:line="207" w:lineRule="exact"/>
              <w:ind w:left="4" w:right="0"/>
              <w:jc w:val="center"/>
              <w:rPr>
                <w:rFonts w:ascii="Times New Roman" w:hAnsi="Times New Roman" w:cs="Times New Roman" w:eastAsia="Times New Roman" w:hint="default"/>
                <w:sz w:val="18"/>
                <w:szCs w:val="18"/>
              </w:rPr>
            </w:pPr>
            <w:r>
              <w:rPr>
                <w:rFonts w:ascii="Times New Roman"/>
                <w:sz w:val="18"/>
              </w:rPr>
              <w:t>76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07" w:lineRule="exact"/>
              <w:ind w:left="3" w:right="0"/>
              <w:jc w:val="center"/>
              <w:rPr>
                <w:rFonts w:ascii="Times New Roman" w:hAnsi="Times New Roman" w:cs="Times New Roman" w:eastAsia="Times New Roman" w:hint="default"/>
                <w:sz w:val="18"/>
                <w:szCs w:val="18"/>
              </w:rPr>
            </w:pPr>
            <w:r>
              <w:rPr>
                <w:rFonts w:ascii="Times New Roman"/>
                <w:sz w:val="18"/>
              </w:rPr>
              <w:t>-16,550,0</w:t>
            </w:r>
          </w:p>
          <w:p>
            <w:pPr>
              <w:pStyle w:val="TableParagraph"/>
              <w:spacing w:line="207" w:lineRule="exact"/>
              <w:ind w:left="4" w:right="0"/>
              <w:jc w:val="center"/>
              <w:rPr>
                <w:rFonts w:ascii="Times New Roman" w:hAnsi="Times New Roman" w:cs="Times New Roman" w:eastAsia="Times New Roman" w:hint="default"/>
                <w:sz w:val="18"/>
                <w:szCs w:val="18"/>
              </w:rPr>
            </w:pPr>
            <w:r>
              <w:rPr>
                <w:rFonts w:ascii="Times New Roman"/>
                <w:sz w:val="18"/>
              </w:rPr>
              <w:t>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07" w:lineRule="exact"/>
              <w:ind w:left="1" w:right="0"/>
              <w:jc w:val="center"/>
              <w:rPr>
                <w:rFonts w:ascii="Times New Roman" w:hAnsi="Times New Roman" w:cs="Times New Roman" w:eastAsia="Times New Roman" w:hint="default"/>
                <w:sz w:val="18"/>
                <w:szCs w:val="18"/>
              </w:rPr>
            </w:pPr>
            <w:r>
              <w:rPr>
                <w:rFonts w:ascii="Times New Roman"/>
                <w:sz w:val="18"/>
              </w:rPr>
              <w:t>570,995,4</w:t>
            </w:r>
          </w:p>
          <w:p>
            <w:pPr>
              <w:pStyle w:val="TableParagraph"/>
              <w:spacing w:line="207" w:lineRule="exact"/>
              <w:ind w:left="4" w:right="0"/>
              <w:jc w:val="center"/>
              <w:rPr>
                <w:rFonts w:ascii="Times New Roman" w:hAnsi="Times New Roman" w:cs="Times New Roman" w:eastAsia="Times New Roman" w:hint="default"/>
                <w:sz w:val="18"/>
                <w:szCs w:val="18"/>
              </w:rPr>
            </w:pPr>
            <w:r>
              <w:rPr>
                <w:rFonts w:ascii="Times New Roman"/>
                <w:sz w:val="18"/>
              </w:rPr>
              <w:t>75</w:t>
            </w:r>
          </w:p>
        </w:tc>
      </w:tr>
      <w:tr>
        <w:trPr>
          <w:trHeight w:val="85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32" w:lineRule="exact"/>
              <w:ind w:left="124" w:right="96" w:hanging="27"/>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34"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p>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07" w:lineRule="exact"/>
              <w:ind w:left="1" w:right="0"/>
              <w:jc w:val="center"/>
              <w:rPr>
                <w:rFonts w:ascii="Times New Roman" w:hAnsi="Times New Roman" w:cs="Times New Roman" w:eastAsia="Times New Roman" w:hint="default"/>
                <w:sz w:val="18"/>
                <w:szCs w:val="18"/>
              </w:rPr>
            </w:pPr>
            <w:r>
              <w:rPr>
                <w:rFonts w:ascii="Times New Roman"/>
                <w:sz w:val="18"/>
              </w:rPr>
              <w:t>17,327,04</w:t>
            </w:r>
          </w:p>
          <w:p>
            <w:pPr>
              <w:pStyle w:val="TableParagraph"/>
              <w:spacing w:line="207" w:lineRule="exact"/>
              <w:ind w:right="1"/>
              <w:jc w:val="center"/>
              <w:rPr>
                <w:rFonts w:ascii="Times New Roman" w:hAnsi="Times New Roman" w:cs="Times New Roman" w:eastAsia="Times New Roman" w:hint="default"/>
                <w:sz w:val="18"/>
                <w:szCs w:val="18"/>
              </w:rPr>
            </w:pPr>
            <w:r>
              <w:rPr>
                <w:rFonts w:ascii="Times New Roman"/>
                <w:sz w:val="18"/>
              </w:rPr>
              <w:t>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07" w:lineRule="exact"/>
              <w:ind w:left="2" w:right="0"/>
              <w:jc w:val="center"/>
              <w:rPr>
                <w:rFonts w:ascii="Times New Roman" w:hAnsi="Times New Roman" w:cs="Times New Roman" w:eastAsia="Times New Roman" w:hint="default"/>
                <w:sz w:val="18"/>
                <w:szCs w:val="18"/>
              </w:rPr>
            </w:pPr>
            <w:r>
              <w:rPr>
                <w:rFonts w:ascii="Times New Roman"/>
                <w:sz w:val="18"/>
              </w:rPr>
              <w:t>-4,331,55</w:t>
            </w:r>
          </w:p>
          <w:p>
            <w:pPr>
              <w:pStyle w:val="TableParagraph"/>
              <w:spacing w:line="207" w:lineRule="exact"/>
              <w:ind w:right="1"/>
              <w:jc w:val="center"/>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-677,382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07" w:lineRule="exact"/>
              <w:ind w:left="8" w:right="0"/>
              <w:jc w:val="center"/>
              <w:rPr>
                <w:rFonts w:ascii="Times New Roman" w:hAnsi="Times New Roman" w:cs="Times New Roman" w:eastAsia="Times New Roman" w:hint="default"/>
                <w:sz w:val="18"/>
                <w:szCs w:val="18"/>
              </w:rPr>
            </w:pPr>
            <w:r>
              <w:rPr>
                <w:rFonts w:ascii="Times New Roman"/>
                <w:sz w:val="18"/>
              </w:rPr>
              <w:t>12,318,11</w:t>
            </w:r>
          </w:p>
          <w:p>
            <w:pPr>
              <w:pStyle w:val="TableParagraph"/>
              <w:spacing w:line="207" w:lineRule="exact"/>
              <w:ind w:right="1"/>
              <w:jc w:val="center"/>
              <w:rPr>
                <w:rFonts w:ascii="Times New Roman" w:hAnsi="Times New Roman" w:cs="Times New Roman" w:eastAsia="Times New Roman" w:hint="default"/>
                <w:sz w:val="18"/>
                <w:szCs w:val="18"/>
              </w:rPr>
            </w:pPr>
            <w:r>
              <w:rPr>
                <w:rFonts w:ascii="Times New Roman"/>
                <w:sz w:val="18"/>
              </w:rPr>
              <w:t>1</w:t>
            </w:r>
          </w:p>
        </w:tc>
      </w:tr>
      <w:tr>
        <w:trPr>
          <w:trHeight w:val="85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85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于明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85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李绍滨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85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李景辉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85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宋捷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59,659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9,659</w:t>
            </w:r>
          </w:p>
        </w:tc>
      </w:tr>
      <w:tr>
        <w:trPr>
          <w:trHeight w:val="85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颜小品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85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夏林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32" w:lineRule="exact"/>
              <w:ind w:left="304" w:right="31" w:hanging="27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85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谢军伟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p>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923,176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3,271,824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4,195,000</w:t>
            </w:r>
          </w:p>
        </w:tc>
      </w:tr>
      <w:tr>
        <w:trPr>
          <w:trHeight w:val="85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33" w:right="31" w:firstLine="2"/>
              <w:jc w:val="center"/>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33"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p>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7,312,496</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07" w:lineRule="exact"/>
              <w:ind w:left="2" w:right="0"/>
              <w:jc w:val="center"/>
              <w:rPr>
                <w:rFonts w:ascii="Times New Roman" w:hAnsi="Times New Roman" w:cs="Times New Roman" w:eastAsia="Times New Roman" w:hint="default"/>
                <w:sz w:val="18"/>
                <w:szCs w:val="18"/>
              </w:rPr>
            </w:pPr>
            <w:r>
              <w:rPr>
                <w:rFonts w:ascii="Times New Roman"/>
                <w:sz w:val="18"/>
              </w:rPr>
              <w:t>-1,820,00</w:t>
            </w:r>
          </w:p>
          <w:p>
            <w:pPr>
              <w:pStyle w:val="TableParagraph"/>
              <w:spacing w:line="207" w:lineRule="exact"/>
              <w:ind w:right="1"/>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07" w:lineRule="exact"/>
              <w:ind w:right="0"/>
              <w:jc w:val="center"/>
              <w:rPr>
                <w:rFonts w:ascii="Times New Roman" w:hAnsi="Times New Roman" w:cs="Times New Roman" w:eastAsia="Times New Roman" w:hint="default"/>
                <w:sz w:val="18"/>
                <w:szCs w:val="18"/>
              </w:rPr>
            </w:pPr>
            <w:r>
              <w:rPr>
                <w:rFonts w:ascii="Times New Roman"/>
                <w:sz w:val="18"/>
              </w:rPr>
              <w:t>-2,512,52</w:t>
            </w:r>
          </w:p>
          <w:p>
            <w:pPr>
              <w:pStyle w:val="TableParagraph"/>
              <w:spacing w:line="207" w:lineRule="exact"/>
              <w:ind w:right="1"/>
              <w:jc w:val="center"/>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2,979,974</w:t>
            </w:r>
          </w:p>
        </w:tc>
      </w:tr>
      <w:tr>
        <w:trPr>
          <w:trHeight w:val="550"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赵庭荣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1" w:lineRule="exact"/>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1" w:lineRule="exact"/>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30"/>
              <w:jc w:val="right"/>
              <w:rPr>
                <w:rFonts w:ascii="Times New Roman" w:hAnsi="Times New Roman" w:cs="Times New Roman" w:eastAsia="Times New Roman" w:hint="default"/>
                <w:sz w:val="18"/>
                <w:szCs w:val="18"/>
              </w:rPr>
            </w:pPr>
            <w:r>
              <w:rPr>
                <w:rFonts w:ascii="Times New Roman"/>
                <w:spacing w:val="-1"/>
                <w:sz w:val="18"/>
              </w:rPr>
              <w:t>1,532,874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 w:right="0"/>
              <w:jc w:val="center"/>
              <w:rPr>
                <w:rFonts w:ascii="Times New Roman" w:hAnsi="Times New Roman" w:cs="Times New Roman" w:eastAsia="Times New Roman" w:hint="default"/>
                <w:sz w:val="18"/>
                <w:szCs w:val="18"/>
              </w:rPr>
            </w:pPr>
            <w:r>
              <w:rPr>
                <w:rFonts w:ascii="Times New Roman"/>
                <w:sz w:val="18"/>
              </w:rPr>
              <w:t>1,113,759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 w:right="0"/>
              <w:jc w:val="center"/>
              <w:rPr>
                <w:rFonts w:ascii="Times New Roman" w:hAnsi="Times New Roman" w:cs="Times New Roman" w:eastAsia="Times New Roman" w:hint="default"/>
                <w:sz w:val="18"/>
                <w:szCs w:val="18"/>
              </w:rPr>
            </w:pPr>
            <w:r>
              <w:rPr>
                <w:rFonts w:ascii="Times New Roman"/>
                <w:sz w:val="18"/>
              </w:rPr>
              <w:t>2,646,633</w:t>
            </w:r>
          </w:p>
        </w:tc>
      </w:tr>
    </w:tbl>
    <w:p>
      <w:pPr>
        <w:spacing w:after="0" w:line="240" w:lineRule="auto"/>
        <w:jc w:val="center"/>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b/>
          <w:bCs/>
          <w:sz w:val="11"/>
          <w:szCs w:val="11"/>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314"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85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周翔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2,207,298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07" w:lineRule="exact"/>
              <w:ind w:right="0"/>
              <w:jc w:val="center"/>
              <w:rPr>
                <w:rFonts w:ascii="Times New Roman" w:hAnsi="Times New Roman" w:cs="Times New Roman" w:eastAsia="Times New Roman" w:hint="default"/>
                <w:sz w:val="18"/>
                <w:szCs w:val="18"/>
              </w:rPr>
            </w:pPr>
            <w:r>
              <w:rPr>
                <w:rFonts w:ascii="Times New Roman"/>
                <w:sz w:val="18"/>
              </w:rPr>
              <w:t>-1,182,29</w:t>
            </w:r>
          </w:p>
          <w:p>
            <w:pPr>
              <w:pStyle w:val="TableParagraph"/>
              <w:spacing w:line="207" w:lineRule="exact"/>
              <w:ind w:right="1"/>
              <w:jc w:val="center"/>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1,130,000</w:t>
            </w:r>
          </w:p>
        </w:tc>
      </w:tr>
      <w:tr>
        <w:trPr>
          <w:trHeight w:val="85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陈为群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32" w:lineRule="exact"/>
              <w:ind w:left="304" w:right="31" w:hanging="272"/>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07" w:lineRule="exact"/>
              <w:ind w:left="1" w:right="0"/>
              <w:jc w:val="center"/>
              <w:rPr>
                <w:rFonts w:ascii="Times New Roman" w:hAnsi="Times New Roman" w:cs="Times New Roman" w:eastAsia="Times New Roman" w:hint="default"/>
                <w:sz w:val="18"/>
                <w:szCs w:val="18"/>
              </w:rPr>
            </w:pPr>
            <w:r>
              <w:rPr>
                <w:rFonts w:ascii="Times New Roman"/>
                <w:sz w:val="18"/>
              </w:rPr>
              <w:t>14,854,06</w:t>
            </w:r>
          </w:p>
          <w:p>
            <w:pPr>
              <w:pStyle w:val="TableParagraph"/>
              <w:spacing w:line="207" w:lineRule="exact"/>
              <w:ind w:right="1"/>
              <w:jc w:val="center"/>
              <w:rPr>
                <w:rFonts w:ascii="Times New Roman" w:hAnsi="Times New Roman" w:cs="Times New Roman" w:eastAsia="Times New Roman" w:hint="default"/>
                <w:sz w:val="18"/>
                <w:szCs w:val="18"/>
              </w:rPr>
            </w:pPr>
            <w:r>
              <w:rPr>
                <w:rFonts w:ascii="Times New Roman"/>
                <w:sz w:val="18"/>
              </w:rPr>
              <w:t>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07" w:lineRule="exact"/>
              <w:ind w:left="2" w:right="0"/>
              <w:jc w:val="center"/>
              <w:rPr>
                <w:rFonts w:ascii="Times New Roman" w:hAnsi="Times New Roman" w:cs="Times New Roman" w:eastAsia="Times New Roman" w:hint="default"/>
                <w:sz w:val="18"/>
                <w:szCs w:val="18"/>
              </w:rPr>
            </w:pPr>
            <w:r>
              <w:rPr>
                <w:rFonts w:ascii="Times New Roman"/>
                <w:sz w:val="18"/>
              </w:rPr>
              <w:t>-3,713,51</w:t>
            </w:r>
          </w:p>
          <w:p>
            <w:pPr>
              <w:pStyle w:val="TableParagraph"/>
              <w:spacing w:line="207" w:lineRule="exact"/>
              <w:ind w:right="1"/>
              <w:jc w:val="center"/>
              <w:rPr>
                <w:rFonts w:ascii="Times New Roman" w:hAnsi="Times New Roman" w:cs="Times New Roman" w:eastAsia="Times New Roman" w:hint="default"/>
                <w:sz w:val="18"/>
                <w:szCs w:val="18"/>
              </w:rPr>
            </w:pPr>
            <w:r>
              <w:rPr>
                <w:rFonts w:ascii="Times New Roman"/>
                <w:sz w:val="18"/>
              </w:rPr>
              <w:t>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07" w:lineRule="exact"/>
              <w:ind w:right="0"/>
              <w:jc w:val="center"/>
              <w:rPr>
                <w:rFonts w:ascii="Times New Roman" w:hAnsi="Times New Roman" w:cs="Times New Roman" w:eastAsia="Times New Roman" w:hint="default"/>
                <w:sz w:val="18"/>
                <w:szCs w:val="18"/>
              </w:rPr>
            </w:pPr>
            <w:r>
              <w:rPr>
                <w:rFonts w:ascii="Times New Roman"/>
                <w:sz w:val="18"/>
              </w:rPr>
              <w:t>-4,404,22</w:t>
            </w:r>
          </w:p>
          <w:p>
            <w:pPr>
              <w:pStyle w:val="TableParagraph"/>
              <w:spacing w:line="207" w:lineRule="exact"/>
              <w:ind w:right="1"/>
              <w:jc w:val="center"/>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6,736,323</w:t>
            </w:r>
          </w:p>
        </w:tc>
      </w:tr>
      <w:tr>
        <w:trPr>
          <w:trHeight w:val="85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32" w:lineRule="exact"/>
              <w:ind w:left="124" w:right="96" w:hanging="27"/>
              <w:jc w:val="left"/>
              <w:rPr>
                <w:rFonts w:ascii="宋体" w:hAnsi="宋体" w:cs="宋体" w:eastAsia="宋体" w:hint="default"/>
                <w:sz w:val="18"/>
                <w:szCs w:val="18"/>
              </w:rPr>
            </w:pPr>
            <w:r>
              <w:rPr>
                <w:rFonts w:ascii="宋体" w:hAnsi="宋体" w:cs="宋体" w:eastAsia="宋体" w:hint="default"/>
                <w:sz w:val="18"/>
                <w:szCs w:val="18"/>
              </w:rPr>
              <w:t>原董事</w:t>
            </w:r>
            <w:r>
              <w:rPr>
                <w:rFonts w:ascii="Times New Roman" w:hAnsi="Times New Roman" w:cs="Times New Roman" w:eastAsia="Times New Roman" w:hint="default"/>
                <w:sz w:val="18"/>
                <w:szCs w:val="18"/>
              </w:rPr>
              <w:t>; </w:t>
            </w: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33"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p>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07" w:lineRule="exact"/>
              <w:ind w:left="1" w:right="0"/>
              <w:jc w:val="center"/>
              <w:rPr>
                <w:rFonts w:ascii="Times New Roman" w:hAnsi="Times New Roman" w:cs="Times New Roman" w:eastAsia="Times New Roman" w:hint="default"/>
                <w:sz w:val="18"/>
                <w:szCs w:val="18"/>
              </w:rPr>
            </w:pPr>
            <w:r>
              <w:rPr>
                <w:rFonts w:ascii="Times New Roman"/>
                <w:sz w:val="18"/>
              </w:rPr>
              <w:t>33,200,66</w:t>
            </w:r>
          </w:p>
          <w:p>
            <w:pPr>
              <w:pStyle w:val="TableParagraph"/>
              <w:spacing w:line="207" w:lineRule="exact"/>
              <w:ind w:right="1"/>
              <w:jc w:val="center"/>
              <w:rPr>
                <w:rFonts w:ascii="Times New Roman" w:hAnsi="Times New Roman" w:cs="Times New Roman" w:eastAsia="Times New Roman" w:hint="default"/>
                <w:sz w:val="18"/>
                <w:szCs w:val="18"/>
              </w:rPr>
            </w:pPr>
            <w:r>
              <w:rPr>
                <w:rFonts w:ascii="Times New Roman"/>
                <w:sz w:val="18"/>
              </w:rPr>
              <w:t>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07" w:lineRule="exact"/>
              <w:ind w:left="2" w:right="0"/>
              <w:jc w:val="center"/>
              <w:rPr>
                <w:rFonts w:ascii="Times New Roman" w:hAnsi="Times New Roman" w:cs="Times New Roman" w:eastAsia="Times New Roman" w:hint="default"/>
                <w:sz w:val="18"/>
                <w:szCs w:val="18"/>
              </w:rPr>
            </w:pPr>
            <w:r>
              <w:rPr>
                <w:rFonts w:ascii="Times New Roman"/>
                <w:sz w:val="18"/>
              </w:rPr>
              <w:t>-6,969,39</w:t>
            </w:r>
          </w:p>
          <w:p>
            <w:pPr>
              <w:pStyle w:val="TableParagraph"/>
              <w:spacing w:line="207" w:lineRule="exact"/>
              <w:ind w:right="1"/>
              <w:jc w:val="center"/>
              <w:rPr>
                <w:rFonts w:ascii="Times New Roman" w:hAnsi="Times New Roman" w:cs="Times New Roman" w:eastAsia="Times New Roman" w:hint="default"/>
                <w:sz w:val="18"/>
                <w:szCs w:val="18"/>
              </w:rPr>
            </w:pPr>
            <w:r>
              <w:rPr>
                <w:rFonts w:ascii="Times New Roman"/>
                <w:sz w:val="18"/>
              </w:rPr>
              <w:t>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07" w:lineRule="exact"/>
              <w:ind w:right="0"/>
              <w:jc w:val="center"/>
              <w:rPr>
                <w:rFonts w:ascii="Times New Roman" w:hAnsi="Times New Roman" w:cs="Times New Roman" w:eastAsia="Times New Roman" w:hint="default"/>
                <w:sz w:val="18"/>
                <w:szCs w:val="18"/>
              </w:rPr>
            </w:pPr>
            <w:r>
              <w:rPr>
                <w:rFonts w:ascii="Times New Roman"/>
                <w:sz w:val="18"/>
              </w:rPr>
              <w:t>-5,323,09</w:t>
            </w:r>
          </w:p>
          <w:p>
            <w:pPr>
              <w:pStyle w:val="TableParagraph"/>
              <w:spacing w:line="207" w:lineRule="exact"/>
              <w:ind w:right="1"/>
              <w:jc w:val="center"/>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07" w:lineRule="exact"/>
              <w:ind w:left="1" w:right="0"/>
              <w:jc w:val="center"/>
              <w:rPr>
                <w:rFonts w:ascii="Times New Roman" w:hAnsi="Times New Roman" w:cs="Times New Roman" w:eastAsia="Times New Roman" w:hint="default"/>
                <w:sz w:val="18"/>
                <w:szCs w:val="18"/>
              </w:rPr>
            </w:pPr>
            <w:r>
              <w:rPr>
                <w:rFonts w:ascii="Times New Roman"/>
                <w:sz w:val="18"/>
              </w:rPr>
              <w:t>20,908,18</w:t>
            </w:r>
          </w:p>
          <w:p>
            <w:pPr>
              <w:pStyle w:val="TableParagraph"/>
              <w:spacing w:line="207" w:lineRule="exact"/>
              <w:ind w:right="1"/>
              <w:jc w:val="center"/>
              <w:rPr>
                <w:rFonts w:ascii="Times New Roman" w:hAnsi="Times New Roman" w:cs="Times New Roman" w:eastAsia="Times New Roman" w:hint="default"/>
                <w:sz w:val="18"/>
                <w:szCs w:val="18"/>
              </w:rPr>
            </w:pPr>
            <w:r>
              <w:rPr>
                <w:rFonts w:ascii="Times New Roman"/>
                <w:sz w:val="18"/>
              </w:rPr>
              <w:t>0</w:t>
            </w:r>
          </w:p>
        </w:tc>
      </w:tr>
      <w:tr>
        <w:trPr>
          <w:trHeight w:val="85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邹卫明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32" w:lineRule="exact"/>
              <w:ind w:left="304" w:right="31" w:hanging="27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w:t>
            </w:r>
          </w:p>
        </w:tc>
      </w:tr>
      <w:tr>
        <w:trPr>
          <w:trHeight w:val="569"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18"/>
                <w:szCs w:val="18"/>
              </w:rPr>
            </w:pPr>
            <w:r>
              <w:rPr>
                <w:rFonts w:ascii="Times New Roman"/>
                <w:sz w:val="18"/>
              </w:rPr>
              <w:t>664,972,7</w:t>
            </w:r>
          </w:p>
          <w:p>
            <w:pPr>
              <w:pStyle w:val="TableParagraph"/>
              <w:spacing w:line="240" w:lineRule="auto" w:before="2"/>
              <w:ind w:left="4" w:right="0"/>
              <w:jc w:val="center"/>
              <w:rPr>
                <w:rFonts w:ascii="Times New Roman" w:hAnsi="Times New Roman" w:cs="Times New Roman" w:eastAsia="Times New Roman" w:hint="default"/>
                <w:sz w:val="18"/>
                <w:szCs w:val="18"/>
              </w:rPr>
            </w:pPr>
            <w:r>
              <w:rPr>
                <w:rFonts w:ascii="Times New Roman"/>
                <w:sz w:val="18"/>
              </w:rPr>
              <w:t>55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 w:right="0"/>
              <w:jc w:val="center"/>
              <w:rPr>
                <w:rFonts w:ascii="Times New Roman" w:hAnsi="Times New Roman" w:cs="Times New Roman" w:eastAsia="Times New Roman" w:hint="default"/>
                <w:sz w:val="18"/>
                <w:szCs w:val="18"/>
              </w:rPr>
            </w:pPr>
            <w:r>
              <w:rPr>
                <w:rFonts w:ascii="Times New Roman"/>
                <w:sz w:val="18"/>
              </w:rPr>
              <w:t>-33,434,4</w:t>
            </w:r>
          </w:p>
          <w:p>
            <w:pPr>
              <w:pStyle w:val="TableParagraph"/>
              <w:spacing w:line="240" w:lineRule="auto" w:before="2"/>
              <w:ind w:left="4" w:right="0"/>
              <w:jc w:val="center"/>
              <w:rPr>
                <w:rFonts w:ascii="Times New Roman" w:hAnsi="Times New Roman" w:cs="Times New Roman" w:eastAsia="Times New Roman" w:hint="default"/>
                <w:sz w:val="18"/>
                <w:szCs w:val="18"/>
              </w:rPr>
            </w:pPr>
            <w:r>
              <w:rPr>
                <w:rFonts w:ascii="Times New Roman"/>
                <w:sz w:val="18"/>
              </w:rPr>
              <w:t>66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18"/>
                <w:szCs w:val="18"/>
              </w:rPr>
            </w:pPr>
            <w:r>
              <w:rPr>
                <w:rFonts w:ascii="Times New Roman"/>
                <w:sz w:val="18"/>
              </w:rPr>
              <w:t>-19,427,8</w:t>
            </w:r>
          </w:p>
          <w:p>
            <w:pPr>
              <w:pStyle w:val="TableParagraph"/>
              <w:spacing w:line="240" w:lineRule="auto" w:before="2"/>
              <w:ind w:left="2" w:right="0"/>
              <w:jc w:val="center"/>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18"/>
                <w:szCs w:val="18"/>
              </w:rPr>
            </w:pPr>
            <w:r>
              <w:rPr>
                <w:rFonts w:ascii="Times New Roman"/>
                <w:sz w:val="18"/>
              </w:rPr>
              <w:t>621,929,3</w:t>
            </w:r>
          </w:p>
          <w:p>
            <w:pPr>
              <w:pStyle w:val="TableParagraph"/>
              <w:spacing w:line="240" w:lineRule="auto" w:before="2"/>
              <w:ind w:left="3" w:right="0"/>
              <w:jc w:val="center"/>
              <w:rPr>
                <w:rFonts w:ascii="Times New Roman" w:hAnsi="Times New Roman" w:cs="Times New Roman" w:eastAsia="Times New Roman" w:hint="default"/>
                <w:sz w:val="18"/>
                <w:szCs w:val="18"/>
              </w:rPr>
            </w:pPr>
            <w:r>
              <w:rPr>
                <w:rFonts w:ascii="Times New Roman"/>
                <w:sz w:val="18"/>
              </w:rPr>
              <w:t>55</w:t>
            </w:r>
          </w:p>
        </w:tc>
      </w:tr>
    </w:tbl>
    <w:p>
      <w:pPr>
        <w:spacing w:line="240" w:lineRule="auto" w:before="11"/>
        <w:rPr>
          <w:rFonts w:ascii="宋体" w:hAnsi="宋体" w:cs="宋体" w:eastAsia="宋体" w:hint="default"/>
          <w:b/>
          <w:bCs/>
          <w:sz w:val="17"/>
          <w:szCs w:val="17"/>
        </w:rPr>
      </w:pPr>
    </w:p>
    <w:p>
      <w:pPr>
        <w:pStyle w:val="Heading2"/>
        <w:spacing w:line="240" w:lineRule="auto" w:before="26"/>
        <w:ind w:right="1127"/>
        <w:jc w:val="left"/>
        <w:rPr>
          <w:b w:val="0"/>
          <w:bCs w:val="0"/>
        </w:rPr>
      </w:pPr>
      <w:bookmarkStart w:name="二、公司董事、监事、高级管理人员变动情况" w:id="204"/>
      <w:bookmarkEnd w:id="204"/>
      <w:r>
        <w:rPr>
          <w:b w:val="0"/>
          <w:bCs w:val="0"/>
        </w:rPr>
      </w:r>
      <w:r>
        <w:rPr/>
        <w:t>二、公司董事、监事、高级管理人员变动情况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19"/>
          <w:szCs w:val="19"/>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8"/>
      </w:tblGrid>
      <w:tr>
        <w:trPr>
          <w:trHeight w:val="389" w:hRule="exact"/>
        </w:trPr>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61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谢军伟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6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刘明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原董事、总经理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因个人身体原因辞职</w:t>
            </w:r>
          </w:p>
        </w:tc>
      </w:tr>
      <w:tr>
        <w:trPr>
          <w:trHeight w:val="6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邹卫明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原监事会主席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为满足公司发展需要，专注于公司智慧城市业务</w:t>
            </w:r>
          </w:p>
        </w:tc>
      </w:tr>
      <w:tr>
        <w:trPr>
          <w:trHeight w:val="61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宋捷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股东大会选举</w:t>
            </w:r>
          </w:p>
        </w:tc>
      </w:tr>
      <w:tr>
        <w:trPr>
          <w:trHeight w:val="6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8"/>
              <w:ind w:left="571" w:right="26" w:hanging="540"/>
              <w:jc w:val="left"/>
              <w:rPr>
                <w:rFonts w:ascii="宋体" w:hAnsi="宋体" w:cs="宋体" w:eastAsia="宋体" w:hint="default"/>
                <w:sz w:val="18"/>
                <w:szCs w:val="18"/>
              </w:rPr>
            </w:pPr>
            <w:r>
              <w:rPr>
                <w:rFonts w:ascii="宋体" w:hAnsi="宋体" w:cs="宋体" w:eastAsia="宋体" w:hint="default"/>
                <w:sz w:val="18"/>
                <w:szCs w:val="18"/>
              </w:rPr>
              <w:t>现董事，原董事 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专注于公司战略、重大投资并购等事项</w:t>
            </w:r>
          </w:p>
        </w:tc>
      </w:tr>
      <w:tr>
        <w:trPr>
          <w:trHeight w:val="6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姜平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4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股东大会选举</w:t>
            </w:r>
          </w:p>
        </w:tc>
      </w:tr>
      <w:tr>
        <w:trPr>
          <w:trHeight w:val="6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姜平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董事会选举</w:t>
            </w:r>
          </w:p>
        </w:tc>
      </w:tr>
    </w:tbl>
    <w:p>
      <w:pPr>
        <w:spacing w:line="240" w:lineRule="auto" w:before="11"/>
        <w:rPr>
          <w:rFonts w:ascii="宋体" w:hAnsi="宋体" w:cs="宋体" w:eastAsia="宋体" w:hint="default"/>
          <w:sz w:val="17"/>
          <w:szCs w:val="17"/>
        </w:rPr>
      </w:pPr>
    </w:p>
    <w:p>
      <w:pPr>
        <w:spacing w:line="468" w:lineRule="auto" w:before="26"/>
        <w:ind w:left="572" w:right="1932" w:hanging="420"/>
        <w:jc w:val="left"/>
        <w:rPr>
          <w:rFonts w:ascii="宋体" w:hAnsi="宋体" w:cs="宋体" w:eastAsia="宋体" w:hint="default"/>
          <w:sz w:val="21"/>
          <w:szCs w:val="21"/>
        </w:rPr>
      </w:pPr>
      <w:bookmarkStart w:name="三、任职情况" w:id="205"/>
      <w:bookmarkEnd w:id="205"/>
      <w:r>
        <w:rPr/>
      </w:r>
      <w:r>
        <w:rPr>
          <w:rFonts w:ascii="宋体" w:hAnsi="宋体" w:cs="宋体" w:eastAsia="宋体" w:hint="default"/>
          <w:b/>
          <w:bCs/>
          <w:sz w:val="24"/>
          <w:szCs w:val="24"/>
        </w:rPr>
        <w:t>三、任职情况</w:t>
      </w:r>
      <w:r>
        <w:rPr>
          <w:rFonts w:ascii="宋体" w:hAnsi="宋体" w:cs="宋体" w:eastAsia="宋体" w:hint="default"/>
          <w:b/>
          <w:bCs/>
          <w:w w:val="99"/>
          <w:sz w:val="24"/>
          <w:szCs w:val="24"/>
        </w:rPr>
        <w:t> </w:t>
      </w:r>
      <w:r>
        <w:rPr>
          <w:rFonts w:ascii="宋体" w:hAnsi="宋体" w:cs="宋体" w:eastAsia="宋体" w:hint="default"/>
          <w:spacing w:val="-2"/>
          <w:sz w:val="21"/>
          <w:szCs w:val="21"/>
        </w:rPr>
        <w:t>公司现任董事、监事、高级管理人员专业背景、主要工作经历以及目前在公司的主要职责</w:t>
      </w:r>
      <w:r>
        <w:rPr>
          <w:rFonts w:ascii="宋体" w:hAnsi="宋体" w:cs="宋体" w:eastAsia="宋体" w:hint="default"/>
          <w:w w:val="100"/>
          <w:sz w:val="21"/>
          <w:szCs w:val="21"/>
        </w:rPr>
        <w:t> </w:t>
      </w:r>
      <w:bookmarkStart w:name="1、董事会成员" w:id="206"/>
      <w:bookmarkEnd w:id="206"/>
      <w:r>
        <w:rPr>
          <w:rFonts w:ascii="宋体" w:hAnsi="宋体" w:cs="宋体" w:eastAsia="宋体" w:hint="default"/>
          <w:w w:val="100"/>
          <w:sz w:val="21"/>
          <w:szCs w:val="21"/>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、董事会成员</w:t>
      </w:r>
      <w:r>
        <w:rPr>
          <w:rFonts w:ascii="宋体" w:hAnsi="宋体" w:cs="宋体" w:eastAsia="宋体" w:hint="default"/>
          <w:sz w:val="21"/>
          <w:szCs w:val="21"/>
        </w:rPr>
      </w:r>
    </w:p>
    <w:p>
      <w:pPr>
        <w:pStyle w:val="BodyText"/>
        <w:spacing w:line="338" w:lineRule="auto" w:before="16"/>
        <w:ind w:left="152" w:right="1127" w:firstLine="420"/>
        <w:jc w:val="left"/>
      </w:pPr>
      <w:r>
        <w:rPr>
          <w:spacing w:val="-2"/>
        </w:rPr>
        <w:t>目前，公司第四届董事会由</w:t>
      </w:r>
      <w:r>
        <w:rPr>
          <w:rFonts w:ascii="Times New Roman" w:hAnsi="Times New Roman" w:cs="Times New Roman" w:eastAsia="Times New Roman" w:hint="default"/>
          <w:spacing w:val="-2"/>
        </w:rPr>
        <w:t>6</w:t>
      </w:r>
      <w:r>
        <w:rPr>
          <w:spacing w:val="-2"/>
        </w:rPr>
        <w:t>人组成，其中独立董事</w:t>
      </w:r>
      <w:r>
        <w:rPr>
          <w:rFonts w:ascii="Times New Roman" w:hAnsi="Times New Roman" w:cs="Times New Roman" w:eastAsia="Times New Roman" w:hint="default"/>
          <w:spacing w:val="-2"/>
        </w:rPr>
        <w:t>3</w:t>
      </w:r>
      <w:r>
        <w:rPr>
          <w:spacing w:val="-2"/>
        </w:rPr>
        <w:t>名，各成员全部由公司股东大会选举产生，无由</w:t>
      </w:r>
      <w:r>
        <w:rPr>
          <w:w w:val="100"/>
        </w:rPr>
        <w:t> </w:t>
      </w:r>
      <w:r>
        <w:rPr/>
        <w:t>关联人直接或间接委派的情况，第四届董事会聘任期限为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w:t>
      </w:r>
    </w:p>
    <w:p>
      <w:pPr>
        <w:pStyle w:val="BodyText"/>
        <w:spacing w:line="240" w:lineRule="auto" w:before="22"/>
        <w:ind w:left="573" w:right="1127"/>
        <w:jc w:val="left"/>
      </w:pPr>
      <w:r>
        <w:rPr/>
        <w:t>公司董事基本情况如下：</w:t>
      </w:r>
    </w:p>
    <w:p>
      <w:pPr>
        <w:spacing w:after="0" w:line="240" w:lineRule="auto"/>
        <w:jc w:val="left"/>
        <w:sectPr>
          <w:footerReference w:type="default" r:id="rId53"/>
          <w:pgSz w:w="11910" w:h="16840"/>
          <w:pgMar w:footer="1134" w:header="882" w:top="1280" w:bottom="1320" w:left="980" w:right="0"/>
        </w:sectPr>
      </w:pPr>
    </w:p>
    <w:p>
      <w:pPr>
        <w:pStyle w:val="Heading4"/>
        <w:spacing w:line="240" w:lineRule="auto" w:before="112"/>
        <w:ind w:left="575" w:right="1127"/>
        <w:jc w:val="left"/>
        <w:rPr>
          <w:b w:val="0"/>
          <w:bCs w:val="0"/>
        </w:rPr>
      </w:pPr>
      <w:bookmarkStart w:name="（1）姜平 董事长" w:id="207"/>
      <w:bookmarkEnd w:id="207"/>
      <w:r>
        <w:rPr>
          <w:b w:val="0"/>
          <w:bCs w:val="0"/>
        </w:rPr>
      </w:r>
      <w:r>
        <w:rPr/>
        <w:t>（</w:t>
      </w:r>
      <w:r>
        <w:rPr>
          <w:rFonts w:ascii="Times New Roman" w:hAnsi="Times New Roman" w:cs="Times New Roman" w:eastAsia="Times New Roman" w:hint="default"/>
        </w:rPr>
        <w:t>1</w:t>
      </w:r>
      <w:r>
        <w:rPr/>
        <w:t>）姜平</w:t>
      </w:r>
      <w:r>
        <w:rPr>
          <w:spacing w:val="-18"/>
        </w:rPr>
        <w:t> </w:t>
      </w:r>
      <w:r>
        <w:rPr/>
        <w:t>董事长</w:t>
      </w:r>
      <w:r>
        <w:rPr>
          <w:b w:val="0"/>
          <w:bCs w:val="0"/>
        </w:rPr>
      </w:r>
    </w:p>
    <w:p>
      <w:pPr>
        <w:spacing w:line="240" w:lineRule="auto" w:before="2"/>
        <w:rPr>
          <w:rFonts w:ascii="宋体" w:hAnsi="宋体" w:cs="宋体" w:eastAsia="宋体" w:hint="default"/>
          <w:b/>
          <w:bCs/>
          <w:sz w:val="18"/>
          <w:szCs w:val="18"/>
        </w:rPr>
      </w:pPr>
    </w:p>
    <w:p>
      <w:pPr>
        <w:pStyle w:val="BodyText"/>
        <w:spacing w:line="338" w:lineRule="auto"/>
        <w:ind w:left="152" w:right="1127" w:firstLine="420"/>
        <w:jc w:val="left"/>
      </w:pPr>
      <w:r>
        <w:rPr/>
        <w:t>男，</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10</w:t>
      </w:r>
      <w:r>
        <w:rPr/>
        <w:t>月生，中国国籍，无境外永久居留权，毕业于贵州大学化学系，本科学历，</w:t>
      </w:r>
      <w:r>
        <w:rPr>
          <w:rFonts w:ascii="Times New Roman" w:hAnsi="Times New Roman" w:cs="Times New Roman" w:eastAsia="Times New Roman" w:hint="default"/>
        </w:rPr>
        <w:t>1991</w:t>
      </w:r>
      <w:r>
        <w:rPr/>
        <w:t>月</w:t>
      </w:r>
      <w:r>
        <w:rPr>
          <w:rFonts w:ascii="Times New Roman" w:hAnsi="Times New Roman" w:cs="Times New Roman" w:eastAsia="Times New Roman" w:hint="default"/>
        </w:rPr>
        <w:t>8</w:t>
      </w:r>
      <w:r>
        <w:rPr/>
        <w:t>月</w:t>
      </w:r>
      <w:r>
        <w:rPr>
          <w:w w:val="100"/>
        </w:rPr>
        <w:t> </w:t>
      </w:r>
      <w:r>
        <w:rPr>
          <w:spacing w:val="-2"/>
        </w:rPr>
        <w:t>起在贵州省贵阳市公安局工作，</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6</w:t>
      </w:r>
      <w:r>
        <w:rPr>
          <w:spacing w:val="-2"/>
        </w:rPr>
        <w:t>月起在北京仲达投资管理有限公司任副总裁，</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月至今担任</w:t>
      </w:r>
      <w:r>
        <w:rPr>
          <w:spacing w:val="-39"/>
        </w:rPr>
        <w:t> </w:t>
      </w:r>
      <w:r>
        <w:rPr>
          <w:spacing w:val="-39"/>
        </w:rPr>
      </w:r>
      <w:r>
        <w:rPr/>
        <w:t>五洲合众（北京）投资有限公司董事长，</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月任公司董事，</w:t>
      </w:r>
      <w:r>
        <w:rPr>
          <w:rFonts w:ascii="Times New Roman" w:hAnsi="Times New Roman" w:cs="Times New Roman" w:eastAsia="Times New Roman" w:hint="default"/>
        </w:rPr>
        <w:t>4</w:t>
      </w:r>
      <w:r>
        <w:rPr/>
        <w:t>月起任公司董事长。</w:t>
      </w:r>
    </w:p>
    <w:p>
      <w:pPr>
        <w:pStyle w:val="Heading4"/>
        <w:spacing w:line="240" w:lineRule="auto" w:before="142"/>
        <w:ind w:left="575" w:right="1127"/>
        <w:jc w:val="left"/>
        <w:rPr>
          <w:b w:val="0"/>
          <w:bCs w:val="0"/>
        </w:rPr>
      </w:pPr>
      <w:bookmarkStart w:name="（2）陈江涛  董事" w:id="208"/>
      <w:bookmarkEnd w:id="208"/>
      <w:r>
        <w:rPr>
          <w:b w:val="0"/>
          <w:bCs w:val="0"/>
        </w:rPr>
      </w:r>
      <w:r>
        <w:rPr/>
        <w:t>（</w:t>
      </w:r>
      <w:r>
        <w:rPr>
          <w:rFonts w:ascii="Times New Roman" w:hAnsi="Times New Roman" w:cs="Times New Roman" w:eastAsia="Times New Roman" w:hint="default"/>
        </w:rPr>
        <w:t>2</w:t>
      </w:r>
      <w:r>
        <w:rPr/>
        <w:t>）陈江涛</w:t>
      </w:r>
      <w:r>
        <w:rPr>
          <w:spacing w:val="73"/>
        </w:rPr>
        <w:t> </w:t>
      </w:r>
      <w:r>
        <w:rPr/>
        <w:t>董事</w:t>
      </w:r>
      <w:r>
        <w:rPr>
          <w:b w:val="0"/>
          <w:bCs w:val="0"/>
        </w:rPr>
      </w:r>
    </w:p>
    <w:p>
      <w:pPr>
        <w:spacing w:line="240" w:lineRule="auto" w:before="2"/>
        <w:rPr>
          <w:rFonts w:ascii="宋体" w:hAnsi="宋体" w:cs="宋体" w:eastAsia="宋体" w:hint="default"/>
          <w:b/>
          <w:bCs/>
          <w:sz w:val="18"/>
          <w:szCs w:val="18"/>
        </w:rPr>
      </w:pPr>
    </w:p>
    <w:p>
      <w:pPr>
        <w:pStyle w:val="BodyText"/>
        <w:spacing w:line="338" w:lineRule="auto"/>
        <w:ind w:left="152" w:right="1127" w:firstLine="420"/>
        <w:jc w:val="left"/>
      </w:pPr>
      <w:r>
        <w:rPr>
          <w:spacing w:val="-3"/>
        </w:rPr>
        <w:t>男，</w:t>
      </w:r>
      <w:r>
        <w:rPr>
          <w:rFonts w:ascii="Times New Roman" w:hAnsi="Times New Roman" w:cs="Times New Roman" w:eastAsia="Times New Roman" w:hint="default"/>
          <w:spacing w:val="-3"/>
        </w:rPr>
        <w:t>1961 </w:t>
      </w:r>
      <w:r>
        <w:rPr/>
        <w:t>年</w:t>
      </w:r>
      <w:r>
        <w:rPr>
          <w:rFonts w:ascii="Times New Roman" w:hAnsi="Times New Roman" w:cs="Times New Roman" w:eastAsia="Times New Roman" w:hint="default"/>
        </w:rPr>
        <w:t>11 </w:t>
      </w:r>
      <w:r>
        <w:rPr>
          <w:spacing w:val="-3"/>
        </w:rPr>
        <w:t>月出生，中国国籍，无境外永久居留权，高级工程师。</w:t>
      </w:r>
      <w:r>
        <w:rPr>
          <w:rFonts w:ascii="Times New Roman" w:hAnsi="Times New Roman" w:cs="Times New Roman" w:eastAsia="Times New Roman" w:hint="default"/>
          <w:spacing w:val="-3"/>
        </w:rPr>
        <w:t>1983</w:t>
      </w:r>
      <w:r>
        <w:rPr>
          <w:rFonts w:ascii="Times New Roman" w:hAnsi="Times New Roman" w:cs="Times New Roman" w:eastAsia="Times New Roman" w:hint="default"/>
          <w:spacing w:val="45"/>
        </w:rPr>
        <w:t> </w:t>
      </w:r>
      <w:r>
        <w:rPr>
          <w:spacing w:val="-3"/>
        </w:rPr>
        <w:t>年毕业于南昌大学，获学</w:t>
      </w:r>
      <w:r>
        <w:rPr>
          <w:spacing w:val="-3"/>
          <w:w w:val="100"/>
        </w:rPr>
        <w:t> </w:t>
      </w:r>
      <w:r>
        <w:rPr/>
        <w:t>士学位；</w:t>
      </w:r>
      <w:r>
        <w:rPr>
          <w:rFonts w:ascii="Times New Roman" w:hAnsi="Times New Roman" w:cs="Times New Roman" w:eastAsia="Times New Roman" w:hint="default"/>
        </w:rPr>
        <w:t>1989</w:t>
      </w:r>
      <w:r>
        <w:rPr/>
        <w:t>年毕业于哈尔滨工业大学，获硕士学位。</w:t>
      </w:r>
      <w:r>
        <w:rPr>
          <w:rFonts w:ascii="Times New Roman" w:hAnsi="Times New Roman" w:cs="Times New Roman" w:eastAsia="Times New Roman" w:hint="default"/>
        </w:rPr>
        <w:t>1997</w:t>
      </w:r>
      <w:r>
        <w:rPr>
          <w:rFonts w:ascii="Times New Roman" w:hAnsi="Times New Roman" w:cs="Times New Roman" w:eastAsia="Times New Roman" w:hint="default"/>
          <w:spacing w:val="27"/>
        </w:rPr>
        <w:t> </w:t>
      </w:r>
      <w:r>
        <w:rPr/>
        <w:t>年创建北京旋极信息技术有限公司，任董事</w:t>
      </w:r>
      <w:r>
        <w:rPr>
          <w:spacing w:val="-3"/>
          <w:w w:val="100"/>
        </w:rPr>
        <w:t> </w:t>
      </w:r>
      <w:r>
        <w:rPr/>
        <w:t>长，</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月起任公司董事。</w:t>
      </w:r>
    </w:p>
    <w:p>
      <w:pPr>
        <w:pStyle w:val="Heading4"/>
        <w:spacing w:line="240" w:lineRule="auto" w:before="142"/>
        <w:ind w:left="575" w:right="1127"/>
        <w:jc w:val="left"/>
        <w:rPr>
          <w:b w:val="0"/>
          <w:bCs w:val="0"/>
        </w:rPr>
      </w:pPr>
      <w:bookmarkStart w:name="（3）蔡厚富  董事兼副总经理" w:id="209"/>
      <w:bookmarkEnd w:id="209"/>
      <w:r>
        <w:rPr>
          <w:b w:val="0"/>
          <w:bCs w:val="0"/>
        </w:rPr>
      </w:r>
      <w:r>
        <w:rPr/>
        <w:t>（</w:t>
      </w:r>
      <w:r>
        <w:rPr>
          <w:rFonts w:ascii="Times New Roman" w:hAnsi="Times New Roman" w:cs="Times New Roman" w:eastAsia="Times New Roman" w:hint="default"/>
        </w:rPr>
        <w:t>3</w:t>
      </w:r>
      <w:r>
        <w:rPr/>
        <w:t>）蔡厚富</w:t>
      </w:r>
      <w:r>
        <w:rPr>
          <w:spacing w:val="72"/>
        </w:rPr>
        <w:t> </w:t>
      </w:r>
      <w:r>
        <w:rPr/>
        <w:t>董事兼副总经理</w:t>
      </w:r>
      <w:r>
        <w:rPr>
          <w:b w:val="0"/>
          <w:bCs w:val="0"/>
        </w:rPr>
      </w:r>
    </w:p>
    <w:p>
      <w:pPr>
        <w:spacing w:line="240" w:lineRule="auto" w:before="2"/>
        <w:rPr>
          <w:rFonts w:ascii="宋体" w:hAnsi="宋体" w:cs="宋体" w:eastAsia="宋体" w:hint="default"/>
          <w:b/>
          <w:bCs/>
          <w:sz w:val="18"/>
          <w:szCs w:val="18"/>
        </w:rPr>
      </w:pPr>
    </w:p>
    <w:p>
      <w:pPr>
        <w:pStyle w:val="BodyText"/>
        <w:spacing w:line="336" w:lineRule="auto"/>
        <w:ind w:left="152" w:right="1127" w:firstLine="419"/>
        <w:jc w:val="left"/>
      </w:pPr>
      <w:r>
        <w:rPr/>
        <w:t>男，</w:t>
      </w:r>
      <w:r>
        <w:rPr>
          <w:rFonts w:ascii="Times New Roman" w:hAnsi="Times New Roman" w:cs="Times New Roman" w:eastAsia="Times New Roman" w:hint="default"/>
        </w:rPr>
        <w:t>1975 </w:t>
      </w:r>
      <w:r>
        <w:rPr/>
        <w:t>年</w:t>
      </w:r>
      <w:r>
        <w:rPr>
          <w:rFonts w:ascii="Times New Roman" w:hAnsi="Times New Roman" w:cs="Times New Roman" w:eastAsia="Times New Roman" w:hint="default"/>
        </w:rPr>
        <w:t>5 </w:t>
      </w:r>
      <w:r>
        <w:rPr/>
        <w:t>月出生，中国国籍，无境外永久居留权。毕业于武汉理工大学，本科学历。</w:t>
      </w:r>
      <w:r>
        <w:rPr>
          <w:rFonts w:ascii="Times New Roman" w:hAnsi="Times New Roman" w:cs="Times New Roman" w:eastAsia="Times New Roman" w:hint="default"/>
        </w:rPr>
        <w:t>1997</w:t>
      </w:r>
      <w:r>
        <w:rPr>
          <w:rFonts w:ascii="Times New Roman" w:hAnsi="Times New Roman" w:cs="Times New Roman" w:eastAsia="Times New Roman" w:hint="default"/>
          <w:spacing w:val="-15"/>
        </w:rPr>
        <w:t> </w:t>
      </w:r>
      <w:r>
        <w:rPr>
          <w:spacing w:val="-3"/>
        </w:rPr>
        <w:t>年至</w:t>
      </w:r>
      <w:r>
        <w:rPr>
          <w:spacing w:val="-3"/>
          <w:w w:val="100"/>
        </w:rPr>
        <w:t> </w:t>
      </w:r>
      <w:r>
        <w:rPr/>
        <w:t>今，就职于北京旋极信息技术股份有限公司，现任公司董事、副总经理。</w:t>
      </w:r>
    </w:p>
    <w:p>
      <w:pPr>
        <w:pStyle w:val="Heading4"/>
        <w:spacing w:line="240" w:lineRule="auto" w:before="169"/>
        <w:ind w:left="575" w:right="1127"/>
        <w:jc w:val="left"/>
        <w:rPr>
          <w:b w:val="0"/>
          <w:bCs w:val="0"/>
        </w:rPr>
      </w:pPr>
      <w:bookmarkStart w:name="（4）熊焰 董事" w:id="210"/>
      <w:bookmarkEnd w:id="210"/>
      <w:r>
        <w:rPr>
          <w:b w:val="0"/>
          <w:bCs w:val="0"/>
        </w:rPr>
      </w:r>
      <w:r>
        <w:rPr/>
        <w:t>（</w:t>
      </w:r>
      <w:r>
        <w:rPr>
          <w:rFonts w:ascii="Times New Roman" w:hAnsi="Times New Roman" w:cs="Times New Roman" w:eastAsia="Times New Roman" w:hint="default"/>
        </w:rPr>
        <w:t>4</w:t>
      </w:r>
      <w:r>
        <w:rPr/>
        <w:t>）熊焰</w:t>
      </w:r>
      <w:r>
        <w:rPr>
          <w:spacing w:val="-19"/>
        </w:rPr>
        <w:t> </w:t>
      </w:r>
      <w:r>
        <w:rPr/>
        <w:t>董事</w:t>
      </w:r>
      <w:r>
        <w:rPr>
          <w:b w:val="0"/>
          <w:bCs w:val="0"/>
        </w:rPr>
      </w:r>
    </w:p>
    <w:p>
      <w:pPr>
        <w:spacing w:line="240" w:lineRule="auto" w:before="4"/>
        <w:rPr>
          <w:rFonts w:ascii="宋体" w:hAnsi="宋体" w:cs="宋体" w:eastAsia="宋体" w:hint="default"/>
          <w:b/>
          <w:bCs/>
          <w:sz w:val="18"/>
          <w:szCs w:val="18"/>
        </w:rPr>
      </w:pPr>
    </w:p>
    <w:p>
      <w:pPr>
        <w:pStyle w:val="BodyText"/>
        <w:spacing w:line="336" w:lineRule="auto"/>
        <w:ind w:left="152" w:right="1130" w:firstLine="420"/>
        <w:jc w:val="both"/>
      </w:pPr>
      <w:r>
        <w:rPr>
          <w:spacing w:val="-6"/>
        </w:rPr>
        <w:t>男，</w:t>
      </w:r>
      <w:r>
        <w:rPr>
          <w:rFonts w:ascii="Times New Roman" w:hAnsi="Times New Roman" w:cs="Times New Roman" w:eastAsia="Times New Roman" w:hint="default"/>
          <w:spacing w:val="-6"/>
        </w:rPr>
        <w:t>1956</w:t>
      </w:r>
      <w:r>
        <w:rPr>
          <w:spacing w:val="-6"/>
        </w:rPr>
        <w:t>年</w:t>
      </w:r>
      <w:r>
        <w:rPr>
          <w:rFonts w:ascii="Times New Roman" w:hAnsi="Times New Roman" w:cs="Times New Roman" w:eastAsia="Times New Roman" w:hint="default"/>
          <w:spacing w:val="-6"/>
        </w:rPr>
        <w:t>8</w:t>
      </w:r>
      <w:r>
        <w:rPr>
          <w:spacing w:val="-6"/>
        </w:rPr>
        <w:t>月出生，中国国籍，无境外永久居留权，硕士。毕业于哈尔滨工业大学。</w:t>
      </w:r>
      <w:r>
        <w:rPr>
          <w:rFonts w:ascii="Times New Roman" w:hAnsi="Times New Roman" w:cs="Times New Roman" w:eastAsia="Times New Roman" w:hint="default"/>
          <w:spacing w:val="-6"/>
        </w:rPr>
        <w:t>2010</w:t>
      </w:r>
      <w:r>
        <w:rPr>
          <w:spacing w:val="-6"/>
        </w:rPr>
        <w:t>年</w:t>
      </w:r>
      <w:r>
        <w:rPr>
          <w:rFonts w:ascii="Times New Roman" w:hAnsi="Times New Roman" w:cs="Times New Roman" w:eastAsia="Times New Roman" w:hint="default"/>
          <w:spacing w:val="-6"/>
        </w:rPr>
        <w:t>5</w:t>
      </w:r>
      <w:r>
        <w:rPr>
          <w:spacing w:val="-6"/>
        </w:rPr>
        <w:t>月至</w:t>
      </w:r>
      <w:r>
        <w:rPr>
          <w:rFonts w:ascii="Times New Roman" w:hAnsi="Times New Roman" w:cs="Times New Roman" w:eastAsia="Times New Roman" w:hint="default"/>
          <w:spacing w:val="-6"/>
        </w:rPr>
        <w:t>2015</w:t>
      </w:r>
      <w:r>
        <w:rPr>
          <w:rFonts w:ascii="Times New Roman" w:hAnsi="Times New Roman" w:cs="Times New Roman" w:eastAsia="Times New Roman" w:hint="default"/>
          <w:w w:val="100"/>
        </w:rPr>
        <w:t> </w:t>
      </w:r>
      <w:r>
        <w:rPr>
          <w:spacing w:val="-2"/>
        </w:rPr>
        <w:t>年</w:t>
      </w:r>
      <w:r>
        <w:rPr>
          <w:rFonts w:ascii="Times New Roman" w:hAnsi="Times New Roman" w:cs="Times New Roman" w:eastAsia="Times New Roman" w:hint="default"/>
          <w:spacing w:val="-2"/>
        </w:rPr>
        <w:t>6</w:t>
      </w:r>
      <w:r>
        <w:rPr>
          <w:spacing w:val="-2"/>
        </w:rPr>
        <w:t>月任北京金融资产交易所有限公司董事长，现任北京国富资本有限公司董事长。</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9"/>
        </w:rPr>
        <w:t> </w:t>
      </w:r>
      <w:r>
        <w:rPr/>
        <w:t>月任公司独立董事，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月任公司董事。</w:t>
      </w:r>
    </w:p>
    <w:p>
      <w:pPr>
        <w:pStyle w:val="Heading4"/>
        <w:spacing w:line="240" w:lineRule="auto" w:before="144"/>
        <w:ind w:left="575" w:right="1127"/>
        <w:jc w:val="left"/>
        <w:rPr>
          <w:b w:val="0"/>
          <w:bCs w:val="0"/>
        </w:rPr>
      </w:pPr>
      <w:bookmarkStart w:name="（5）于明  独立董事" w:id="211"/>
      <w:bookmarkEnd w:id="211"/>
      <w:r>
        <w:rPr>
          <w:b w:val="0"/>
          <w:bCs w:val="0"/>
        </w:rPr>
      </w:r>
      <w:r>
        <w:rPr/>
        <w:t>（</w:t>
      </w:r>
      <w:r>
        <w:rPr>
          <w:rFonts w:ascii="Times New Roman" w:hAnsi="Times New Roman" w:cs="Times New Roman" w:eastAsia="Times New Roman" w:hint="default"/>
        </w:rPr>
        <w:t>5</w:t>
      </w:r>
      <w:r>
        <w:rPr/>
        <w:t>）于明</w:t>
      </w:r>
      <w:r>
        <w:rPr>
          <w:spacing w:val="73"/>
        </w:rPr>
        <w:t> </w:t>
      </w:r>
      <w:r>
        <w:rPr/>
        <w:t>独立董事</w:t>
      </w:r>
      <w:r>
        <w:rPr>
          <w:b w:val="0"/>
          <w:bCs w:val="0"/>
        </w:rPr>
      </w:r>
    </w:p>
    <w:p>
      <w:pPr>
        <w:spacing w:line="240" w:lineRule="auto" w:before="2"/>
        <w:rPr>
          <w:rFonts w:ascii="宋体" w:hAnsi="宋体" w:cs="宋体" w:eastAsia="宋体" w:hint="default"/>
          <w:b/>
          <w:bCs/>
          <w:sz w:val="18"/>
          <w:szCs w:val="18"/>
        </w:rPr>
      </w:pPr>
    </w:p>
    <w:p>
      <w:pPr>
        <w:pStyle w:val="BodyText"/>
        <w:spacing w:line="338" w:lineRule="auto"/>
        <w:ind w:left="152" w:right="1130" w:firstLine="420"/>
        <w:jc w:val="both"/>
      </w:pPr>
      <w:r>
        <w:rPr>
          <w:spacing w:val="-4"/>
        </w:rPr>
        <w:t>男，</w:t>
      </w:r>
      <w:r>
        <w:rPr>
          <w:rFonts w:ascii="Times New Roman" w:hAnsi="Times New Roman" w:cs="Times New Roman" w:eastAsia="Times New Roman" w:hint="default"/>
          <w:spacing w:val="-4"/>
        </w:rPr>
        <w:t>1955</w:t>
      </w:r>
      <w:r>
        <w:rPr>
          <w:spacing w:val="-4"/>
        </w:rPr>
        <w:t>年</w:t>
      </w:r>
      <w:r>
        <w:rPr>
          <w:rFonts w:ascii="Times New Roman" w:hAnsi="Times New Roman" w:cs="Times New Roman" w:eastAsia="Times New Roman" w:hint="default"/>
          <w:spacing w:val="-4"/>
        </w:rPr>
        <w:t>4</w:t>
      </w:r>
      <w:r>
        <w:rPr>
          <w:spacing w:val="-4"/>
        </w:rPr>
        <w:t>月生，中国国籍，无境外永久居留权。</w:t>
      </w:r>
      <w:r>
        <w:rPr>
          <w:rFonts w:ascii="Times New Roman" w:hAnsi="Times New Roman" w:cs="Times New Roman" w:eastAsia="Times New Roman" w:hint="default"/>
          <w:spacing w:val="-4"/>
        </w:rPr>
        <w:t>1982</w:t>
      </w:r>
      <w:r>
        <w:rPr>
          <w:spacing w:val="-4"/>
        </w:rPr>
        <w:t>年毕业于哈尔滨工业大学，获学士学位；</w:t>
      </w:r>
      <w:r>
        <w:rPr>
          <w:rFonts w:ascii="Times New Roman" w:hAnsi="Times New Roman" w:cs="Times New Roman" w:eastAsia="Times New Roman" w:hint="default"/>
          <w:spacing w:val="-4"/>
        </w:rPr>
        <w:t>2006</w:t>
      </w:r>
      <w:r>
        <w:rPr>
          <w:rFonts w:ascii="Times New Roman" w:hAnsi="Times New Roman" w:cs="Times New Roman" w:eastAsia="Times New Roman" w:hint="default"/>
          <w:w w:val="100"/>
        </w:rPr>
        <w:t> </w:t>
      </w:r>
      <w:r>
        <w:rPr>
          <w:spacing w:val="-4"/>
        </w:rPr>
        <w:t>年毕业于哈尔滨工业大学，获硕士学位。</w:t>
      </w:r>
      <w:r>
        <w:rPr>
          <w:rFonts w:ascii="Times New Roman" w:hAnsi="Times New Roman" w:cs="Times New Roman" w:eastAsia="Times New Roman" w:hint="default"/>
          <w:spacing w:val="-4"/>
        </w:rPr>
        <w:t>2007</w:t>
      </w:r>
      <w:r>
        <w:rPr>
          <w:spacing w:val="-4"/>
        </w:rPr>
        <w:t>年至</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5</w:t>
      </w:r>
      <w:r>
        <w:rPr>
          <w:spacing w:val="-4"/>
        </w:rPr>
        <w:t>月任中国航天万源国际集团公司总裁助理。</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年</w:t>
      </w:r>
      <w:r>
        <w:rPr>
          <w:rFonts w:ascii="Times New Roman" w:hAnsi="Times New Roman" w:cs="Times New Roman" w:eastAsia="Times New Roman" w:hint="default"/>
        </w:rPr>
        <w:t>8</w:t>
      </w:r>
      <w:r>
        <w:rPr/>
        <w:t>月起，任公司独立董事。</w:t>
      </w:r>
    </w:p>
    <w:p>
      <w:pPr>
        <w:pStyle w:val="Heading4"/>
        <w:spacing w:line="240" w:lineRule="auto" w:before="142"/>
        <w:ind w:left="575" w:right="1127"/>
        <w:jc w:val="left"/>
        <w:rPr>
          <w:b w:val="0"/>
          <w:bCs w:val="0"/>
        </w:rPr>
      </w:pPr>
      <w:bookmarkStart w:name="（6）李绍滨  独立董事" w:id="212"/>
      <w:bookmarkEnd w:id="212"/>
      <w:r>
        <w:rPr>
          <w:b w:val="0"/>
          <w:bCs w:val="0"/>
        </w:rPr>
      </w:r>
      <w:r>
        <w:rPr/>
        <w:t>（</w:t>
      </w:r>
      <w:r>
        <w:rPr>
          <w:rFonts w:ascii="Times New Roman" w:hAnsi="Times New Roman" w:cs="Times New Roman" w:eastAsia="Times New Roman" w:hint="default"/>
        </w:rPr>
        <w:t>6</w:t>
      </w:r>
      <w:r>
        <w:rPr/>
        <w:t>）李绍滨</w:t>
      </w:r>
      <w:r>
        <w:rPr>
          <w:spacing w:val="73"/>
        </w:rPr>
        <w:t> </w:t>
      </w:r>
      <w:r>
        <w:rPr/>
        <w:t>独立董事</w:t>
      </w:r>
      <w:r>
        <w:rPr>
          <w:b w:val="0"/>
          <w:bCs w:val="0"/>
        </w:rPr>
      </w:r>
    </w:p>
    <w:p>
      <w:pPr>
        <w:spacing w:line="240" w:lineRule="auto" w:before="2"/>
        <w:rPr>
          <w:rFonts w:ascii="宋体" w:hAnsi="宋体" w:cs="宋体" w:eastAsia="宋体" w:hint="default"/>
          <w:b/>
          <w:bCs/>
          <w:sz w:val="18"/>
          <w:szCs w:val="18"/>
        </w:rPr>
      </w:pPr>
    </w:p>
    <w:p>
      <w:pPr>
        <w:pStyle w:val="BodyText"/>
        <w:spacing w:line="338" w:lineRule="auto"/>
        <w:ind w:left="152" w:right="1127" w:firstLine="420"/>
        <w:jc w:val="left"/>
      </w:pPr>
      <w:r>
        <w:rPr>
          <w:spacing w:val="-7"/>
        </w:rPr>
        <w:t>男，</w:t>
      </w:r>
      <w:r>
        <w:rPr>
          <w:rFonts w:ascii="Times New Roman" w:hAnsi="Times New Roman" w:cs="Times New Roman" w:eastAsia="Times New Roman" w:hint="default"/>
          <w:spacing w:val="-7"/>
        </w:rPr>
        <w:t>1948 </w:t>
      </w:r>
      <w:r>
        <w:rPr/>
        <w:t>年</w:t>
      </w:r>
      <w:r>
        <w:rPr>
          <w:rFonts w:ascii="Times New Roman" w:hAnsi="Times New Roman" w:cs="Times New Roman" w:eastAsia="Times New Roman" w:hint="default"/>
        </w:rPr>
        <w:t>10 </w:t>
      </w:r>
      <w:r>
        <w:rPr>
          <w:spacing w:val="-7"/>
        </w:rPr>
        <w:t>月出生，中国国籍，无境外永久居留权。</w:t>
      </w:r>
      <w:r>
        <w:rPr>
          <w:rFonts w:ascii="Times New Roman" w:hAnsi="Times New Roman" w:cs="Times New Roman" w:eastAsia="Times New Roman" w:hint="default"/>
          <w:spacing w:val="-7"/>
        </w:rPr>
        <w:t>1982</w:t>
      </w:r>
      <w:r>
        <w:rPr>
          <w:rFonts w:ascii="Times New Roman" w:hAnsi="Times New Roman" w:cs="Times New Roman" w:eastAsia="Times New Roman" w:hint="default"/>
          <w:spacing w:val="-6"/>
        </w:rPr>
        <w:t> </w:t>
      </w:r>
      <w:r>
        <w:rPr>
          <w:spacing w:val="-4"/>
        </w:rPr>
        <w:t>年毕业于哈尔滨工业大学，获学士学位；</w:t>
      </w:r>
      <w:r>
        <w:rPr>
          <w:w w:val="100"/>
        </w:rPr>
        <w:t> </w:t>
      </w:r>
      <w:r>
        <w:rPr>
          <w:rFonts w:ascii="Times New Roman" w:hAnsi="Times New Roman" w:cs="Times New Roman" w:eastAsia="Times New Roman" w:hint="default"/>
          <w:spacing w:val="-3"/>
        </w:rPr>
        <w:t>1990</w:t>
      </w:r>
      <w:r>
        <w:rPr>
          <w:spacing w:val="-3"/>
        </w:rPr>
        <w:t>年毕业于哈尔滨工业大学，获硕士学位。</w:t>
      </w:r>
      <w:r>
        <w:rPr>
          <w:rFonts w:ascii="Times New Roman" w:hAnsi="Times New Roman" w:cs="Times New Roman" w:eastAsia="Times New Roman" w:hint="default"/>
          <w:spacing w:val="-3"/>
        </w:rPr>
        <w:t>1982</w:t>
      </w:r>
      <w:r>
        <w:rPr>
          <w:rFonts w:ascii="Times New Roman" w:hAnsi="Times New Roman" w:cs="Times New Roman" w:eastAsia="Times New Roman" w:hint="default"/>
          <w:spacing w:val="42"/>
        </w:rPr>
        <w:t> </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43"/>
        </w:rPr>
        <w:t> </w:t>
      </w:r>
      <w:r>
        <w:rPr/>
        <w:t>月至</w:t>
      </w:r>
      <w:r>
        <w:rPr>
          <w:rFonts w:ascii="Times New Roman" w:hAnsi="Times New Roman" w:cs="Times New Roman" w:eastAsia="Times New Roman" w:hint="default"/>
        </w:rPr>
        <w:t>2010</w:t>
      </w:r>
      <w:r>
        <w:rPr>
          <w:rFonts w:ascii="Times New Roman" w:hAnsi="Times New Roman" w:cs="Times New Roman" w:eastAsia="Times New Roman" w:hint="default"/>
          <w:spacing w:val="42"/>
        </w:rPr>
        <w:t> </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42"/>
        </w:rPr>
        <w:t> </w:t>
      </w:r>
      <w:r>
        <w:rPr>
          <w:spacing w:val="-3"/>
        </w:rPr>
        <w:t>月，李绍滨先生就职于哈尔滨工业</w:t>
      </w:r>
      <w:r>
        <w:rPr>
          <w:spacing w:val="-87"/>
        </w:rPr>
        <w:t> </w:t>
      </w:r>
      <w:r>
        <w:rPr>
          <w:spacing w:val="-87"/>
        </w:rPr>
      </w:r>
      <w:r>
        <w:rPr>
          <w:spacing w:val="-5"/>
        </w:rPr>
        <w:t>大学，历任哈尔滨工业大学党委副书记、副校长、教授、博士生导师，哈工大</w:t>
      </w:r>
      <w:r>
        <w:rPr>
          <w:rFonts w:ascii="Times New Roman" w:hAnsi="Times New Roman" w:cs="Times New Roman" w:eastAsia="Times New Roman" w:hint="default"/>
          <w:spacing w:val="-5"/>
        </w:rPr>
        <w:t>(</w:t>
      </w:r>
      <w:r>
        <w:rPr>
          <w:spacing w:val="-5"/>
        </w:rPr>
        <w:t>威海</w:t>
      </w:r>
      <w:r>
        <w:rPr>
          <w:rFonts w:ascii="Times New Roman" w:hAnsi="Times New Roman" w:cs="Times New Roman" w:eastAsia="Times New Roman" w:hint="default"/>
          <w:spacing w:val="-5"/>
        </w:rPr>
        <w:t>)</w:t>
      </w:r>
      <w:r>
        <w:rPr>
          <w:spacing w:val="-5"/>
        </w:rPr>
        <w:t>党委书记、校长。</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26"/>
        </w:rPr>
        <w:t> </w:t>
      </w:r>
      <w:r>
        <w:rPr/>
        <w:t>年</w:t>
      </w:r>
      <w:r>
        <w:rPr>
          <w:rFonts w:ascii="Times New Roman" w:hAnsi="Times New Roman" w:cs="Times New Roman" w:eastAsia="Times New Roman" w:hint="default"/>
        </w:rPr>
        <w:t>1</w:t>
      </w:r>
      <w:r>
        <w:rPr/>
        <w:t>月起，任公司独立董事。</w:t>
      </w:r>
    </w:p>
    <w:p>
      <w:pPr>
        <w:pStyle w:val="Heading4"/>
        <w:spacing w:line="240" w:lineRule="auto" w:before="142"/>
        <w:ind w:left="575" w:right="1127"/>
        <w:jc w:val="left"/>
        <w:rPr>
          <w:b w:val="0"/>
          <w:bCs w:val="0"/>
        </w:rPr>
      </w:pPr>
      <w:bookmarkStart w:name="（7）李景辉  独立董事" w:id="213"/>
      <w:bookmarkEnd w:id="213"/>
      <w:r>
        <w:rPr>
          <w:b w:val="0"/>
          <w:bCs w:val="0"/>
        </w:rPr>
      </w:r>
      <w:r>
        <w:rPr/>
        <w:t>（</w:t>
      </w:r>
      <w:r>
        <w:rPr>
          <w:rFonts w:ascii="Times New Roman" w:hAnsi="Times New Roman" w:cs="Times New Roman" w:eastAsia="Times New Roman" w:hint="default"/>
        </w:rPr>
        <w:t>7</w:t>
      </w:r>
      <w:r>
        <w:rPr/>
        <w:t>）李景辉</w:t>
      </w:r>
      <w:r>
        <w:rPr>
          <w:spacing w:val="73"/>
        </w:rPr>
        <w:t> </w:t>
      </w:r>
      <w:r>
        <w:rPr/>
        <w:t>独立董事</w:t>
      </w:r>
      <w:r>
        <w:rPr>
          <w:b w:val="0"/>
          <w:bCs w:val="0"/>
        </w:rPr>
      </w:r>
    </w:p>
    <w:p>
      <w:pPr>
        <w:spacing w:line="240" w:lineRule="auto" w:before="2"/>
        <w:rPr>
          <w:rFonts w:ascii="宋体" w:hAnsi="宋体" w:cs="宋体" w:eastAsia="宋体" w:hint="default"/>
          <w:b/>
          <w:bCs/>
          <w:sz w:val="18"/>
          <w:szCs w:val="18"/>
        </w:rPr>
      </w:pPr>
    </w:p>
    <w:p>
      <w:pPr>
        <w:pStyle w:val="BodyText"/>
        <w:spacing w:line="338" w:lineRule="auto"/>
        <w:ind w:left="152" w:right="1174" w:firstLine="420"/>
        <w:jc w:val="both"/>
      </w:pPr>
      <w:r>
        <w:rPr/>
        <w:t>女，</w:t>
      </w:r>
      <w:r>
        <w:rPr>
          <w:rFonts w:ascii="Times New Roman" w:hAnsi="Times New Roman" w:cs="Times New Roman" w:eastAsia="Times New Roman" w:hint="default"/>
        </w:rPr>
        <w:t>1965 </w:t>
      </w:r>
      <w:r>
        <w:rPr/>
        <w:t>年</w:t>
      </w:r>
      <w:r>
        <w:rPr>
          <w:rFonts w:ascii="Times New Roman" w:hAnsi="Times New Roman" w:cs="Times New Roman" w:eastAsia="Times New Roman" w:hint="default"/>
        </w:rPr>
        <w:t>10 </w:t>
      </w:r>
      <w:r>
        <w:rPr/>
        <w:t>月出生，中国国籍，无境外永久居留权，首批</w:t>
      </w:r>
      <w:r>
        <w:rPr>
          <w:rFonts w:ascii="Times New Roman" w:hAnsi="Times New Roman" w:cs="Times New Roman" w:eastAsia="Times New Roman" w:hint="default"/>
        </w:rPr>
        <w:t>“</w:t>
      </w:r>
      <w:r>
        <w:rPr/>
        <w:t>中国注册会计师资深会员</w:t>
      </w:r>
      <w:r>
        <w:rPr>
          <w:rFonts w:ascii="Times New Roman" w:hAnsi="Times New Roman" w:cs="Times New Roman" w:eastAsia="Times New Roman" w:hint="default"/>
        </w:rPr>
        <w:t>”</w:t>
      </w:r>
      <w:r>
        <w:rPr/>
        <w:t>。</w:t>
      </w:r>
      <w:r>
        <w:rPr>
          <w:rFonts w:ascii="Times New Roman" w:hAnsi="Times New Roman" w:cs="Times New Roman" w:eastAsia="Times New Roman" w:hint="default"/>
        </w:rPr>
        <w:t>1988</w:t>
      </w:r>
      <w:r>
        <w:rPr/>
        <w:t>年毕</w:t>
      </w:r>
      <w:r>
        <w:rPr>
          <w:w w:val="100"/>
        </w:rPr>
        <w:t> </w:t>
      </w:r>
      <w:r>
        <w:rPr/>
        <w:t>业于北京联合大学经济管理学院，获学士学位。</w:t>
      </w:r>
      <w:r>
        <w:rPr>
          <w:rFonts w:ascii="Times New Roman" w:hAnsi="Times New Roman" w:cs="Times New Roman" w:eastAsia="Times New Roman" w:hint="default"/>
        </w:rPr>
        <w:t>1993</w:t>
      </w:r>
      <w:r>
        <w:rPr>
          <w:rFonts w:ascii="Times New Roman" w:hAnsi="Times New Roman" w:cs="Times New Roman" w:eastAsia="Times New Roman" w:hint="default"/>
          <w:spacing w:val="26"/>
        </w:rPr>
        <w:t> </w:t>
      </w:r>
      <w:r>
        <w:rPr/>
        <w:t>年至今任职于北京工业大学经济与管理学院，从事</w:t>
      </w:r>
      <w:r>
        <w:rPr>
          <w:w w:val="100"/>
        </w:rPr>
        <w:t> </w:t>
      </w:r>
      <w:r>
        <w:rPr/>
        <w:t>会计、审计等专业课程教学工作至今。同时，自</w:t>
      </w:r>
      <w:r>
        <w:rPr>
          <w:rFonts w:ascii="Times New Roman" w:hAnsi="Times New Roman" w:cs="Times New Roman" w:eastAsia="Times New Roman" w:hint="default"/>
        </w:rPr>
        <w:t>1993</w:t>
      </w:r>
      <w:r>
        <w:rPr>
          <w:rFonts w:ascii="Times New Roman" w:hAnsi="Times New Roman" w:cs="Times New Roman" w:eastAsia="Times New Roman" w:hint="default"/>
          <w:spacing w:val="23"/>
        </w:rPr>
        <w:t> </w:t>
      </w:r>
      <w:r>
        <w:rPr/>
        <w:t>年起从事会计专业技术资格及注册会计师考前辅导</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注册会计师及会计人员后续教育，成为北京注册会计师协会、正保集团</w:t>
      </w:r>
      <w:r>
        <w:rPr>
          <w:rFonts w:ascii="Times New Roman" w:hAnsi="Times New Roman" w:cs="Times New Roman" w:eastAsia="Times New Roman" w:hint="default"/>
          <w:spacing w:val="-2"/>
        </w:rPr>
        <w:t>(</w:t>
      </w:r>
      <w:r>
        <w:rPr>
          <w:spacing w:val="-2"/>
        </w:rPr>
        <w:t>中华会计网校、财考网</w:t>
      </w:r>
      <w:r>
        <w:rPr>
          <w:rFonts w:ascii="Times New Roman" w:hAnsi="Times New Roman" w:cs="Times New Roman" w:eastAsia="Times New Roman" w:hint="default"/>
          <w:spacing w:val="-2"/>
        </w:rPr>
        <w:t>)</w:t>
      </w:r>
      <w:r>
        <w:rPr>
          <w:spacing w:val="-2"/>
        </w:rPr>
        <w:t>、中国对</w:t>
      </w:r>
      <w:r>
        <w:rPr>
          <w:spacing w:val="-21"/>
        </w:rPr>
        <w:t> </w:t>
      </w:r>
      <w:r>
        <w:rPr>
          <w:spacing w:val="-21"/>
        </w:rPr>
      </w:r>
      <w:r>
        <w:rPr/>
        <w:t>外经贸会计学会特聘教师。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月起，任公司独立董事。</w:t>
      </w:r>
    </w:p>
    <w:p>
      <w:pPr>
        <w:spacing w:after="0" w:line="338" w:lineRule="auto"/>
        <w:jc w:val="both"/>
        <w:sectPr>
          <w:footerReference w:type="default" r:id="rId54"/>
          <w:pgSz w:w="11910" w:h="16840"/>
          <w:pgMar w:footer="1134" w:header="882" w:top="1280" w:bottom="1320" w:left="980" w:right="0"/>
          <w:pgNumType w:start="101"/>
        </w:sectPr>
      </w:pPr>
    </w:p>
    <w:p>
      <w:pPr>
        <w:pStyle w:val="Heading4"/>
        <w:spacing w:line="240" w:lineRule="auto" w:before="112"/>
        <w:ind w:left="575" w:right="1127"/>
        <w:jc w:val="left"/>
        <w:rPr>
          <w:b w:val="0"/>
          <w:bCs w:val="0"/>
        </w:rPr>
      </w:pPr>
      <w:bookmarkStart w:name="2、监事会成员" w:id="214"/>
      <w:bookmarkEnd w:id="214"/>
      <w:r>
        <w:rPr>
          <w:b w:val="0"/>
          <w:bCs w:val="0"/>
        </w:rPr>
      </w:r>
      <w:r>
        <w:rPr>
          <w:rFonts w:ascii="Times New Roman" w:hAnsi="Times New Roman" w:cs="Times New Roman" w:eastAsia="Times New Roman" w:hint="default"/>
        </w:rPr>
        <w:t>2</w:t>
      </w:r>
      <w:r>
        <w:rPr/>
        <w:t>、监事会成员</w:t>
      </w:r>
      <w:r>
        <w:rPr>
          <w:b w:val="0"/>
          <w:bCs w:val="0"/>
        </w:rPr>
      </w:r>
    </w:p>
    <w:p>
      <w:pPr>
        <w:spacing w:line="240" w:lineRule="auto" w:before="2"/>
        <w:rPr>
          <w:rFonts w:ascii="宋体" w:hAnsi="宋体" w:cs="宋体" w:eastAsia="宋体" w:hint="default"/>
          <w:b/>
          <w:bCs/>
          <w:sz w:val="18"/>
          <w:szCs w:val="18"/>
        </w:rPr>
      </w:pPr>
    </w:p>
    <w:p>
      <w:pPr>
        <w:pStyle w:val="BodyText"/>
        <w:spacing w:line="336" w:lineRule="auto"/>
        <w:ind w:left="152" w:right="1127" w:firstLine="420"/>
        <w:jc w:val="left"/>
      </w:pPr>
      <w:r>
        <w:rPr>
          <w:spacing w:val="-2"/>
        </w:rPr>
        <w:t>本公司监事会由</w:t>
      </w:r>
      <w:r>
        <w:rPr>
          <w:rFonts w:ascii="Times New Roman" w:hAnsi="Times New Roman" w:cs="Times New Roman" w:eastAsia="Times New Roman" w:hint="default"/>
          <w:spacing w:val="-2"/>
        </w:rPr>
        <w:t>3</w:t>
      </w:r>
      <w:r>
        <w:rPr>
          <w:spacing w:val="-2"/>
        </w:rPr>
        <w:t>名监事组成，其中夏林由职工代表大会选举产生，另外</w:t>
      </w:r>
      <w:r>
        <w:rPr>
          <w:rFonts w:ascii="Times New Roman" w:hAnsi="Times New Roman" w:cs="Times New Roman" w:eastAsia="Times New Roman" w:hint="default"/>
          <w:spacing w:val="-2"/>
        </w:rPr>
        <w:t>2</w:t>
      </w:r>
      <w:r>
        <w:rPr>
          <w:spacing w:val="-2"/>
        </w:rPr>
        <w:t>名监事由公司股东大会选举</w:t>
      </w:r>
      <w:r>
        <w:rPr>
          <w:w w:val="100"/>
        </w:rPr>
        <w:t> </w:t>
      </w:r>
      <w:r>
        <w:rPr/>
        <w:t>产生，无由关联人直接或间接委派的情况。本届监事会聘任期限为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w:t>
      </w:r>
    </w:p>
    <w:p>
      <w:pPr>
        <w:pStyle w:val="Heading4"/>
        <w:spacing w:line="240" w:lineRule="auto" w:before="146"/>
        <w:ind w:left="575" w:right="1127"/>
        <w:jc w:val="left"/>
        <w:rPr>
          <w:b w:val="0"/>
          <w:bCs w:val="0"/>
        </w:rPr>
      </w:pPr>
      <w:bookmarkStart w:name="（1）夏林 监事会主席" w:id="215"/>
      <w:bookmarkEnd w:id="215"/>
      <w:r>
        <w:rPr>
          <w:b w:val="0"/>
          <w:bCs w:val="0"/>
        </w:rPr>
      </w:r>
      <w:r>
        <w:rPr/>
        <w:t>（</w:t>
      </w:r>
      <w:r>
        <w:rPr>
          <w:rFonts w:ascii="Times New Roman" w:hAnsi="Times New Roman" w:cs="Times New Roman" w:eastAsia="Times New Roman" w:hint="default"/>
        </w:rPr>
        <w:t>1</w:t>
      </w:r>
      <w:r>
        <w:rPr/>
        <w:t>）夏林</w:t>
      </w:r>
      <w:r>
        <w:rPr>
          <w:spacing w:val="-17"/>
        </w:rPr>
        <w:t> </w:t>
      </w:r>
      <w:r>
        <w:rPr/>
        <w:t>监事会主席</w:t>
      </w:r>
      <w:r>
        <w:rPr>
          <w:b w:val="0"/>
          <w:bCs w:val="0"/>
        </w:rPr>
      </w:r>
    </w:p>
    <w:p>
      <w:pPr>
        <w:spacing w:line="240" w:lineRule="auto" w:before="2"/>
        <w:rPr>
          <w:rFonts w:ascii="宋体" w:hAnsi="宋体" w:cs="宋体" w:eastAsia="宋体" w:hint="default"/>
          <w:b/>
          <w:bCs/>
          <w:sz w:val="18"/>
          <w:szCs w:val="18"/>
        </w:rPr>
      </w:pPr>
    </w:p>
    <w:p>
      <w:pPr>
        <w:pStyle w:val="BodyText"/>
        <w:spacing w:line="336" w:lineRule="auto"/>
        <w:ind w:left="152" w:right="1127" w:firstLine="420"/>
        <w:jc w:val="left"/>
      </w:pPr>
      <w:r>
        <w:rPr>
          <w:spacing w:val="-2"/>
        </w:rPr>
        <w:t>男，</w:t>
      </w:r>
      <w:r>
        <w:rPr>
          <w:rFonts w:ascii="Times New Roman" w:hAnsi="Times New Roman" w:cs="Times New Roman" w:eastAsia="Times New Roman" w:hint="default"/>
          <w:spacing w:val="-2"/>
        </w:rPr>
        <w:t>1972</w:t>
      </w:r>
      <w:r>
        <w:rPr>
          <w:spacing w:val="-2"/>
        </w:rPr>
        <w:t>年</w:t>
      </w:r>
      <w:r>
        <w:rPr>
          <w:rFonts w:ascii="Times New Roman" w:hAnsi="Times New Roman" w:cs="Times New Roman" w:eastAsia="Times New Roman" w:hint="default"/>
          <w:spacing w:val="-2"/>
        </w:rPr>
        <w:t>6</w:t>
      </w:r>
      <w:r>
        <w:rPr>
          <w:spacing w:val="-2"/>
        </w:rPr>
        <w:t>月生，中国国籍，无境外永久居留权，</w:t>
      </w:r>
      <w:r>
        <w:rPr>
          <w:rFonts w:ascii="Times New Roman" w:hAnsi="Times New Roman" w:cs="Times New Roman" w:eastAsia="Times New Roman" w:hint="default"/>
          <w:spacing w:val="-2"/>
        </w:rPr>
        <w:t>2008</w:t>
      </w:r>
      <w:r>
        <w:rPr>
          <w:spacing w:val="-2"/>
        </w:rPr>
        <w:t>年毕业于北京理工大学，大专学历。</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rFonts w:ascii="Times New Roman" w:hAnsi="Times New Roman" w:cs="Times New Roman" w:eastAsia="Times New Roman" w:hint="default"/>
          <w:w w:val="100"/>
        </w:rPr>
        <w:t> </w:t>
      </w:r>
      <w:r>
        <w:rPr/>
        <w:t>月至今，任公司生产部经理，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月起任职工代表监事，</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月起任监事会主席。</w:t>
      </w:r>
    </w:p>
    <w:p>
      <w:pPr>
        <w:pStyle w:val="Heading4"/>
        <w:spacing w:line="240" w:lineRule="auto" w:before="144"/>
        <w:ind w:left="575" w:right="1127"/>
        <w:jc w:val="left"/>
        <w:rPr>
          <w:b w:val="0"/>
          <w:bCs w:val="0"/>
        </w:rPr>
      </w:pPr>
      <w:bookmarkStart w:name="（2）颜小品 监事" w:id="216"/>
      <w:bookmarkEnd w:id="216"/>
      <w:r>
        <w:rPr>
          <w:b w:val="0"/>
          <w:bCs w:val="0"/>
        </w:rPr>
      </w:r>
      <w:r>
        <w:rPr/>
        <w:t>（</w:t>
      </w:r>
      <w:r>
        <w:rPr>
          <w:rFonts w:ascii="Times New Roman" w:hAnsi="Times New Roman" w:cs="Times New Roman" w:eastAsia="Times New Roman" w:hint="default"/>
        </w:rPr>
        <w:t>2</w:t>
      </w:r>
      <w:r>
        <w:rPr/>
        <w:t>）颜小品</w:t>
      </w:r>
      <w:r>
        <w:rPr>
          <w:spacing w:val="-18"/>
        </w:rPr>
        <w:t> </w:t>
      </w:r>
      <w:r>
        <w:rPr/>
        <w:t>监事</w:t>
      </w:r>
      <w:r>
        <w:rPr>
          <w:b w:val="0"/>
          <w:bCs w:val="0"/>
        </w:rPr>
      </w:r>
    </w:p>
    <w:p>
      <w:pPr>
        <w:spacing w:line="240" w:lineRule="auto" w:before="4"/>
        <w:rPr>
          <w:rFonts w:ascii="宋体" w:hAnsi="宋体" w:cs="宋体" w:eastAsia="宋体" w:hint="default"/>
          <w:b/>
          <w:bCs/>
          <w:sz w:val="18"/>
          <w:szCs w:val="18"/>
        </w:rPr>
      </w:pPr>
    </w:p>
    <w:p>
      <w:pPr>
        <w:pStyle w:val="BodyText"/>
        <w:spacing w:line="336" w:lineRule="auto"/>
        <w:ind w:left="152" w:right="0" w:firstLine="419"/>
        <w:jc w:val="left"/>
      </w:pPr>
      <w:r>
        <w:rPr/>
        <w:t>女，</w:t>
      </w:r>
      <w:r>
        <w:rPr>
          <w:rFonts w:ascii="Times New Roman" w:hAnsi="Times New Roman" w:cs="Times New Roman" w:eastAsia="Times New Roman" w:hint="default"/>
        </w:rPr>
        <w:t>1988 </w:t>
      </w:r>
      <w:r>
        <w:rPr/>
        <w:t>年</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月生，中国国籍，无境外永久居留权。</w:t>
      </w:r>
      <w:r>
        <w:rPr>
          <w:rFonts w:ascii="Times New Roman" w:hAnsi="Times New Roman" w:cs="Times New Roman" w:eastAsia="Times New Roman" w:hint="default"/>
        </w:rPr>
        <w:t>2010</w:t>
      </w:r>
      <w:r>
        <w:rPr/>
        <w:t>年毕业于北京大学，获双学士学位；</w:t>
      </w:r>
      <w:r>
        <w:rPr>
          <w:rFonts w:ascii="Times New Roman" w:hAnsi="Times New Roman" w:cs="Times New Roman" w:eastAsia="Times New Roman" w:hint="default"/>
        </w:rPr>
        <w:t>2013</w:t>
      </w:r>
      <w:r>
        <w:rPr>
          <w:rFonts w:ascii="Times New Roman" w:hAnsi="Times New Roman" w:cs="Times New Roman" w:eastAsia="Times New Roman" w:hint="default"/>
          <w:w w:val="100"/>
        </w:rPr>
        <w:t> </w:t>
      </w:r>
      <w:r>
        <w:rPr>
          <w:spacing w:val="-4"/>
        </w:rPr>
        <w:t>年毕业于北京大学，获硕士学位。曾任职于天壕环境股份有限公司董事会办公室，</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7</w:t>
      </w:r>
      <w:r>
        <w:rPr>
          <w:spacing w:val="-4"/>
        </w:rPr>
        <w:t>月至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8</w:t>
      </w:r>
      <w:r>
        <w:rPr>
          <w:spacing w:val="-4"/>
        </w:rPr>
        <w:t>月，</w:t>
      </w:r>
      <w:r>
        <w:rPr>
          <w:spacing w:val="-32"/>
        </w:rPr>
        <w:t> </w:t>
      </w:r>
      <w:r>
        <w:rPr/>
        <w:t>历任公司投融资事务主管、证券事务代表，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月起任公司监事。</w:t>
      </w:r>
    </w:p>
    <w:p>
      <w:pPr>
        <w:pStyle w:val="Heading4"/>
        <w:spacing w:line="240" w:lineRule="auto" w:before="144"/>
        <w:ind w:left="575" w:right="1127"/>
        <w:jc w:val="left"/>
        <w:rPr>
          <w:b w:val="0"/>
          <w:bCs w:val="0"/>
        </w:rPr>
      </w:pPr>
      <w:bookmarkStart w:name="（3）宋捷 监事" w:id="217"/>
      <w:bookmarkEnd w:id="217"/>
      <w:r>
        <w:rPr>
          <w:b w:val="0"/>
          <w:bCs w:val="0"/>
        </w:rPr>
      </w:r>
      <w:r>
        <w:rPr/>
        <w:t>（</w:t>
      </w:r>
      <w:r>
        <w:rPr>
          <w:rFonts w:ascii="Times New Roman" w:hAnsi="Times New Roman" w:cs="Times New Roman" w:eastAsia="Times New Roman" w:hint="default"/>
        </w:rPr>
        <w:t>3</w:t>
      </w:r>
      <w:r>
        <w:rPr/>
        <w:t>）宋捷</w:t>
      </w:r>
      <w:r>
        <w:rPr>
          <w:spacing w:val="-19"/>
        </w:rPr>
        <w:t> </w:t>
      </w:r>
      <w:r>
        <w:rPr/>
        <w:t>监事</w:t>
      </w:r>
      <w:r>
        <w:rPr>
          <w:b w:val="0"/>
          <w:bCs w:val="0"/>
        </w:rPr>
      </w:r>
    </w:p>
    <w:p>
      <w:pPr>
        <w:spacing w:line="240" w:lineRule="auto" w:before="2"/>
        <w:rPr>
          <w:rFonts w:ascii="宋体" w:hAnsi="宋体" w:cs="宋体" w:eastAsia="宋体" w:hint="default"/>
          <w:b/>
          <w:bCs/>
          <w:sz w:val="18"/>
          <w:szCs w:val="18"/>
        </w:rPr>
      </w:pPr>
    </w:p>
    <w:p>
      <w:pPr>
        <w:pStyle w:val="BodyText"/>
        <w:spacing w:line="240" w:lineRule="auto"/>
        <w:ind w:right="0"/>
        <w:jc w:val="left"/>
      </w:pPr>
      <w:r>
        <w:rPr/>
        <w:t>男，</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11</w:t>
      </w:r>
      <w:r>
        <w:rPr/>
        <w:t>月生，中国国籍，无境外永久居留权，</w:t>
      </w:r>
      <w:r>
        <w:rPr>
          <w:rFonts w:ascii="Times New Roman" w:hAnsi="Times New Roman" w:cs="Times New Roman" w:eastAsia="Times New Roman" w:hint="default"/>
        </w:rPr>
        <w:t>2008</w:t>
      </w:r>
      <w:r>
        <w:rPr/>
        <w:t>年毕业于西安工程大学，本科学历。</w:t>
      </w:r>
      <w:r>
        <w:rPr>
          <w:rFonts w:ascii="Times New Roman" w:hAnsi="Times New Roman" w:cs="Times New Roman" w:eastAsia="Times New Roman" w:hint="default"/>
        </w:rPr>
        <w:t>2008</w:t>
      </w:r>
      <w:r>
        <w:rPr/>
        <w:t>年</w:t>
      </w:r>
    </w:p>
    <w:p>
      <w:pPr>
        <w:pStyle w:val="BodyText"/>
        <w:spacing w:line="240" w:lineRule="auto" w:before="119"/>
        <w:ind w:left="152" w:right="1127"/>
        <w:jc w:val="left"/>
      </w:pPr>
      <w:r>
        <w:rPr>
          <w:rFonts w:ascii="Times New Roman" w:hAnsi="Times New Roman" w:cs="Times New Roman" w:eastAsia="Times New Roman" w:hint="default"/>
        </w:rPr>
        <w:t>12</w:t>
      </w:r>
      <w:r>
        <w:rPr/>
        <w:t>月任公司综合办公室经理，</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月起任公司监事。</w:t>
      </w:r>
    </w:p>
    <w:p>
      <w:pPr>
        <w:spacing w:line="240" w:lineRule="auto" w:before="2"/>
        <w:rPr>
          <w:rFonts w:ascii="宋体" w:hAnsi="宋体" w:cs="宋体" w:eastAsia="宋体" w:hint="default"/>
          <w:sz w:val="18"/>
          <w:szCs w:val="18"/>
        </w:rPr>
      </w:pPr>
    </w:p>
    <w:p>
      <w:pPr>
        <w:pStyle w:val="BodyText"/>
        <w:spacing w:line="436" w:lineRule="auto"/>
        <w:ind w:right="1127" w:firstLine="2"/>
        <w:jc w:val="left"/>
      </w:pPr>
      <w:bookmarkStart w:name="3、高级管理人员" w:id="218"/>
      <w:bookmarkEnd w:id="218"/>
      <w:r>
        <w:rPr/>
      </w:r>
      <w:r>
        <w:rPr>
          <w:rFonts w:ascii="Times New Roman" w:hAnsi="Times New Roman" w:cs="Times New Roman" w:eastAsia="Times New Roman" w:hint="default"/>
          <w:b/>
          <w:bCs/>
        </w:rPr>
        <w:t>3</w:t>
      </w:r>
      <w:r>
        <w:rPr>
          <w:rFonts w:ascii="宋体" w:hAnsi="宋体" w:cs="宋体" w:eastAsia="宋体" w:hint="default"/>
          <w:b/>
          <w:bCs/>
        </w:rPr>
        <w:t>、高级管理人员</w:t>
      </w:r>
      <w:r>
        <w:rPr>
          <w:rFonts w:ascii="宋体" w:hAnsi="宋体" w:cs="宋体" w:eastAsia="宋体" w:hint="default"/>
          <w:b/>
          <w:bCs/>
          <w:w w:val="100"/>
        </w:rPr>
        <w:t> </w:t>
      </w:r>
      <w:r>
        <w:rPr>
          <w:spacing w:val="-2"/>
        </w:rPr>
        <w:t>董事会聘请的高级管理人员任期自董事会决议通过之日起至第四届董事会任期结束止。</w:t>
      </w:r>
    </w:p>
    <w:p>
      <w:pPr>
        <w:pStyle w:val="Heading4"/>
        <w:spacing w:line="240" w:lineRule="auto" w:before="81"/>
        <w:ind w:left="575" w:right="1127"/>
        <w:jc w:val="left"/>
        <w:rPr>
          <w:b w:val="0"/>
          <w:bCs w:val="0"/>
        </w:rPr>
      </w:pPr>
      <w:bookmarkStart w:name="（1）谢军伟 总经理" w:id="219"/>
      <w:bookmarkEnd w:id="219"/>
      <w:r>
        <w:rPr>
          <w:b w:val="0"/>
          <w:bCs w:val="0"/>
        </w:rPr>
      </w:r>
      <w:r>
        <w:rPr/>
        <w:t>（</w:t>
      </w:r>
      <w:r>
        <w:rPr>
          <w:rFonts w:ascii="Times New Roman" w:hAnsi="Times New Roman" w:cs="Times New Roman" w:eastAsia="Times New Roman" w:hint="default"/>
        </w:rPr>
        <w:t>1</w:t>
      </w:r>
      <w:r>
        <w:rPr/>
        <w:t>）谢军伟</w:t>
      </w:r>
      <w:r>
        <w:rPr>
          <w:spacing w:val="-18"/>
        </w:rPr>
        <w:t> </w:t>
      </w:r>
      <w:r>
        <w:rPr/>
        <w:t>总经理</w:t>
      </w:r>
      <w:r>
        <w:rPr>
          <w:b w:val="0"/>
          <w:bCs w:val="0"/>
        </w:rPr>
      </w:r>
    </w:p>
    <w:p>
      <w:pPr>
        <w:spacing w:line="240" w:lineRule="auto" w:before="2"/>
        <w:rPr>
          <w:rFonts w:ascii="宋体" w:hAnsi="宋体" w:cs="宋体" w:eastAsia="宋体" w:hint="default"/>
          <w:b/>
          <w:bCs/>
          <w:sz w:val="18"/>
          <w:szCs w:val="18"/>
        </w:rPr>
      </w:pPr>
    </w:p>
    <w:p>
      <w:pPr>
        <w:pStyle w:val="BodyText"/>
        <w:spacing w:line="338" w:lineRule="auto"/>
        <w:ind w:left="152" w:right="1127" w:firstLine="420"/>
        <w:jc w:val="left"/>
      </w:pPr>
      <w:r>
        <w:rPr/>
        <w:t>男，</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2</w:t>
      </w:r>
      <w:r>
        <w:rPr/>
        <w:t>月出生，中国国籍，无境外永久居留权，空军工程大学毕业，硕士学位；高级工程师，</w:t>
      </w:r>
      <w:r>
        <w:rPr>
          <w:w w:val="100"/>
        </w:rPr>
        <w:t> </w:t>
      </w:r>
      <w:r>
        <w:rPr>
          <w:spacing w:val="-3"/>
        </w:rPr>
        <w:t>技术五级</w:t>
      </w:r>
      <w:r>
        <w:rPr>
          <w:rFonts w:ascii="Times New Roman" w:hAnsi="Times New Roman" w:cs="Times New Roman" w:eastAsia="Times New Roman" w:hint="default"/>
          <w:spacing w:val="-3"/>
        </w:rPr>
        <w:t>(</w:t>
      </w:r>
      <w:r>
        <w:rPr>
          <w:spacing w:val="-3"/>
        </w:rPr>
        <w:t>正师级</w:t>
      </w:r>
      <w:r>
        <w:rPr>
          <w:rFonts w:ascii="Times New Roman" w:hAnsi="Times New Roman" w:cs="Times New Roman" w:eastAsia="Times New Roman" w:hint="default"/>
          <w:spacing w:val="-3"/>
        </w:rPr>
        <w:t>)</w:t>
      </w:r>
      <w:r>
        <w:rPr>
          <w:spacing w:val="-3"/>
        </w:rPr>
        <w:t>。谢军伟先生自</w:t>
      </w:r>
      <w:r>
        <w:rPr>
          <w:rFonts w:ascii="Times New Roman" w:hAnsi="Times New Roman" w:cs="Times New Roman" w:eastAsia="Times New Roman" w:hint="default"/>
          <w:spacing w:val="-3"/>
        </w:rPr>
        <w:t>1979</w:t>
      </w:r>
      <w:r>
        <w:rPr>
          <w:spacing w:val="-3"/>
        </w:rPr>
        <w:t>年</w:t>
      </w:r>
      <w:r>
        <w:rPr>
          <w:rFonts w:ascii="Times New Roman" w:hAnsi="Times New Roman" w:cs="Times New Roman" w:eastAsia="Times New Roman" w:hint="default"/>
          <w:spacing w:val="-3"/>
        </w:rPr>
        <w:t>12</w:t>
      </w:r>
      <w:r>
        <w:rPr>
          <w:spacing w:val="-3"/>
        </w:rPr>
        <w:t>月起任职于空军部队、军区空军和空军机关；</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1</w:t>
      </w:r>
      <w:r>
        <w:rPr>
          <w:spacing w:val="-3"/>
        </w:rPr>
        <w:t>月以后任</w:t>
      </w:r>
      <w:r>
        <w:rPr>
          <w:spacing w:val="-18"/>
        </w:rPr>
        <w:t> </w:t>
      </w:r>
      <w:r>
        <w:rPr>
          <w:spacing w:val="-18"/>
        </w:rPr>
      </w:r>
      <w:r>
        <w:rPr/>
        <w:t>职于空军某科研单位，任科技部副部长，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月退休。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月，加入北京旋极信息技术股份有限</w:t>
      </w:r>
      <w:r>
        <w:rPr>
          <w:w w:val="100"/>
        </w:rPr>
        <w:t> </w:t>
      </w:r>
      <w:r>
        <w:rPr/>
        <w:t>公司，现任总经理。</w:t>
      </w:r>
    </w:p>
    <w:p>
      <w:pPr>
        <w:spacing w:line="436" w:lineRule="auto" w:before="167"/>
        <w:ind w:left="572" w:right="7520" w:firstLine="2"/>
        <w:jc w:val="left"/>
        <w:rPr>
          <w:rFonts w:ascii="宋体" w:hAnsi="宋体" w:cs="宋体" w:eastAsia="宋体" w:hint="default"/>
          <w:sz w:val="21"/>
          <w:szCs w:val="21"/>
        </w:rPr>
      </w:pPr>
      <w:bookmarkStart w:name="（2）蔡厚富  董事、副总经理" w:id="220"/>
      <w:bookmarkEnd w:id="2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）蔡厚富</w:t>
      </w:r>
      <w:r>
        <w:rPr>
          <w:rFonts w:ascii="宋体" w:hAnsi="宋体" w:cs="宋体" w:eastAsia="宋体" w:hint="default"/>
          <w:b/>
          <w:bCs/>
          <w:spacing w:val="71"/>
          <w:sz w:val="21"/>
          <w:szCs w:val="21"/>
        </w:rPr>
        <w:t> </w:t>
      </w:r>
      <w:r>
        <w:rPr>
          <w:rFonts w:ascii="宋体" w:hAnsi="宋体" w:cs="宋体" w:eastAsia="宋体" w:hint="default"/>
          <w:b/>
          <w:bCs/>
          <w:sz w:val="21"/>
          <w:szCs w:val="21"/>
        </w:rPr>
        <w:t>董事、副总经理</w:t>
      </w:r>
      <w:r>
        <w:rPr>
          <w:rFonts w:ascii="宋体" w:hAnsi="宋体" w:cs="宋体" w:eastAsia="宋体" w:hint="default"/>
          <w:b/>
          <w:bCs/>
          <w:w w:val="100"/>
          <w:sz w:val="21"/>
          <w:szCs w:val="21"/>
        </w:rPr>
        <w:t> </w:t>
      </w:r>
      <w:r>
        <w:rPr>
          <w:rFonts w:ascii="宋体" w:hAnsi="宋体" w:cs="宋体" w:eastAsia="宋体" w:hint="default"/>
          <w:sz w:val="21"/>
          <w:szCs w:val="21"/>
        </w:rPr>
        <w:t>简历参见公司董事会成员。</w:t>
      </w:r>
    </w:p>
    <w:p>
      <w:pPr>
        <w:pStyle w:val="Heading4"/>
        <w:spacing w:line="240" w:lineRule="auto" w:before="81"/>
        <w:ind w:left="575" w:right="1127"/>
        <w:jc w:val="left"/>
        <w:rPr>
          <w:b w:val="0"/>
          <w:bCs w:val="0"/>
        </w:rPr>
      </w:pPr>
      <w:bookmarkStart w:name="（3）黄海涛  副总经理、董事会秘书" w:id="221"/>
      <w:bookmarkEnd w:id="221"/>
      <w:r>
        <w:rPr>
          <w:b w:val="0"/>
          <w:bCs w:val="0"/>
        </w:rPr>
      </w:r>
      <w:r>
        <w:rPr/>
        <w:t>（</w:t>
      </w:r>
      <w:r>
        <w:rPr>
          <w:rFonts w:ascii="Times New Roman" w:hAnsi="Times New Roman" w:cs="Times New Roman" w:eastAsia="Times New Roman" w:hint="default"/>
        </w:rPr>
        <w:t>3</w:t>
      </w:r>
      <w:r>
        <w:rPr/>
        <w:t>）黄海涛</w:t>
      </w:r>
      <w:r>
        <w:rPr>
          <w:spacing w:val="73"/>
        </w:rPr>
        <w:t> </w:t>
      </w:r>
      <w:r>
        <w:rPr/>
        <w:t>副总经理、董事会秘书</w:t>
      </w:r>
      <w:r>
        <w:rPr>
          <w:b w:val="0"/>
          <w:bCs w:val="0"/>
        </w:rPr>
      </w:r>
    </w:p>
    <w:p>
      <w:pPr>
        <w:spacing w:line="240" w:lineRule="auto" w:before="2"/>
        <w:rPr>
          <w:rFonts w:ascii="宋体" w:hAnsi="宋体" w:cs="宋体" w:eastAsia="宋体" w:hint="default"/>
          <w:b/>
          <w:bCs/>
          <w:sz w:val="18"/>
          <w:szCs w:val="18"/>
        </w:rPr>
      </w:pPr>
    </w:p>
    <w:p>
      <w:pPr>
        <w:pStyle w:val="BodyText"/>
        <w:spacing w:line="336" w:lineRule="auto"/>
        <w:ind w:left="152" w:right="1127" w:firstLine="419"/>
        <w:jc w:val="left"/>
      </w:pPr>
      <w:r>
        <w:rPr>
          <w:spacing w:val="-2"/>
        </w:rPr>
        <w:t>女，</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10</w:t>
      </w:r>
      <w:r>
        <w:rPr>
          <w:spacing w:val="-2"/>
        </w:rPr>
        <w:t>月出生，中国国籍，无境外永久居留权，学士，会计师。</w:t>
      </w:r>
      <w:r>
        <w:rPr>
          <w:rFonts w:ascii="Times New Roman" w:hAnsi="Times New Roman" w:cs="Times New Roman" w:eastAsia="Times New Roman" w:hint="default"/>
          <w:spacing w:val="-2"/>
        </w:rPr>
        <w:t>1999</w:t>
      </w:r>
      <w:r>
        <w:rPr>
          <w:spacing w:val="-2"/>
        </w:rPr>
        <w:t>年毕业于中央财经大学。</w:t>
      </w:r>
      <w:r>
        <w:rPr>
          <w:spacing w:val="-3"/>
          <w:w w:val="100"/>
        </w:rPr>
        <w:t> </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3</w:t>
      </w:r>
      <w:r>
        <w:rPr/>
        <w:t>月至今任职于北京旋极信息技术股份有限公司，历任财务总监兼董事会秘书，现任副总经理、董</w:t>
      </w:r>
      <w:r>
        <w:rPr>
          <w:w w:val="100"/>
        </w:rPr>
        <w:t> </w:t>
      </w:r>
      <w:r>
        <w:rPr/>
        <w:t>事会秘书。</w:t>
      </w:r>
    </w:p>
    <w:p>
      <w:pPr>
        <w:pStyle w:val="Heading4"/>
        <w:spacing w:line="240" w:lineRule="auto" w:before="171"/>
        <w:ind w:left="575" w:right="1127"/>
        <w:jc w:val="left"/>
        <w:rPr>
          <w:b w:val="0"/>
          <w:bCs w:val="0"/>
        </w:rPr>
      </w:pPr>
      <w:bookmarkStart w:name="（4）赵庭荣 副总经理" w:id="222"/>
      <w:bookmarkEnd w:id="222"/>
      <w:r>
        <w:rPr>
          <w:b w:val="0"/>
          <w:bCs w:val="0"/>
        </w:rPr>
      </w:r>
      <w:r>
        <w:rPr/>
        <w:t>（</w:t>
      </w:r>
      <w:r>
        <w:rPr>
          <w:rFonts w:ascii="Times New Roman" w:hAnsi="Times New Roman" w:cs="Times New Roman" w:eastAsia="Times New Roman" w:hint="default"/>
        </w:rPr>
        <w:t>4</w:t>
      </w:r>
      <w:r>
        <w:rPr/>
        <w:t>）赵庭荣</w:t>
      </w:r>
      <w:r>
        <w:rPr>
          <w:spacing w:val="-17"/>
        </w:rPr>
        <w:t> </w:t>
      </w:r>
      <w:r>
        <w:rPr/>
        <w:t>副总经理</w:t>
      </w:r>
      <w:r>
        <w:rPr>
          <w:b w:val="0"/>
          <w:bCs w:val="0"/>
        </w:rPr>
      </w:r>
    </w:p>
    <w:p>
      <w:pPr>
        <w:spacing w:line="240" w:lineRule="auto" w:before="2"/>
        <w:rPr>
          <w:rFonts w:ascii="宋体" w:hAnsi="宋体" w:cs="宋体" w:eastAsia="宋体" w:hint="default"/>
          <w:b/>
          <w:bCs/>
          <w:sz w:val="18"/>
          <w:szCs w:val="18"/>
        </w:rPr>
      </w:pPr>
    </w:p>
    <w:p>
      <w:pPr>
        <w:pStyle w:val="BodyText"/>
        <w:spacing w:line="240" w:lineRule="auto"/>
        <w:ind w:right="0"/>
        <w:jc w:val="left"/>
      </w:pPr>
      <w:r>
        <w:rPr/>
        <w:t>男，</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12</w:t>
      </w:r>
      <w:r>
        <w:rPr/>
        <w:t>月出生，中国国籍，无境外永久居留权。</w:t>
      </w:r>
      <w:r>
        <w:rPr>
          <w:rFonts w:ascii="Times New Roman" w:hAnsi="Times New Roman" w:cs="Times New Roman" w:eastAsia="Times New Roman" w:hint="default"/>
        </w:rPr>
        <w:t>1987</w:t>
      </w:r>
      <w:r>
        <w:rPr/>
        <w:t>年毕业于哈尔滨工业大学，获学士学位；</w:t>
      </w:r>
    </w:p>
    <w:p>
      <w:pPr>
        <w:pStyle w:val="BodyText"/>
        <w:spacing w:line="240" w:lineRule="auto" w:before="117"/>
        <w:ind w:left="152" w:right="0"/>
        <w:jc w:val="left"/>
        <w:rPr>
          <w:rFonts w:ascii="Times New Roman" w:hAnsi="Times New Roman" w:cs="Times New Roman" w:eastAsia="Times New Roman" w:hint="default"/>
        </w:rPr>
      </w:pPr>
      <w:r>
        <w:rPr>
          <w:rFonts w:ascii="Times New Roman" w:hAnsi="Times New Roman" w:cs="Times New Roman" w:eastAsia="Times New Roman" w:hint="default"/>
        </w:rPr>
        <w:t>1990</w:t>
      </w:r>
      <w:r>
        <w:rPr/>
        <w:t>年毕业于哈尔滨工业大学，获硕士学位；</w:t>
      </w:r>
      <w:r>
        <w:rPr>
          <w:rFonts w:ascii="Times New Roman" w:hAnsi="Times New Roman" w:cs="Times New Roman" w:eastAsia="Times New Roman" w:hint="default"/>
        </w:rPr>
        <w:t>2000</w:t>
      </w:r>
      <w:r>
        <w:rPr/>
        <w:t>年毕业于日本早稻田大学，获博士学位。</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2012</w:t>
      </w:r>
    </w:p>
    <w:p>
      <w:pPr>
        <w:spacing w:after="0" w:line="240" w:lineRule="auto"/>
        <w:jc w:val="left"/>
        <w:rPr>
          <w:rFonts w:ascii="Times New Roman" w:hAnsi="Times New Roman" w:cs="Times New Roman" w:eastAsia="Times New Roman" w:hint="default"/>
        </w:rPr>
        <w:sectPr>
          <w:pgSz w:w="11910" w:h="16840"/>
          <w:pgMar w:header="882" w:footer="1134" w:top="1280" w:bottom="1320" w:left="980" w:right="0"/>
        </w:sectPr>
      </w:pPr>
    </w:p>
    <w:p>
      <w:pPr>
        <w:pStyle w:val="BodyText"/>
        <w:spacing w:line="336" w:lineRule="auto" w:before="112"/>
        <w:ind w:left="152" w:right="1127"/>
        <w:jc w:val="left"/>
      </w:pPr>
      <w:r>
        <w:rPr>
          <w:spacing w:val="-2"/>
        </w:rPr>
        <w:t>年任北京麦禾信通科技有限公司总经理；</w:t>
      </w:r>
      <w:r>
        <w:rPr>
          <w:rFonts w:ascii="Times New Roman" w:hAnsi="Times New Roman" w:cs="Times New Roman" w:eastAsia="Times New Roman" w:hint="default"/>
          <w:spacing w:val="-2"/>
        </w:rPr>
        <w:t>2012</w:t>
      </w:r>
      <w:r>
        <w:rPr>
          <w:spacing w:val="-2"/>
        </w:rPr>
        <w:t>年至今，就职于北京旋极信息技术股份有限公司，历任总经</w:t>
      </w:r>
      <w:r>
        <w:rPr>
          <w:spacing w:val="-39"/>
        </w:rPr>
        <w:t> </w:t>
      </w:r>
      <w:r>
        <w:rPr>
          <w:spacing w:val="-39"/>
        </w:rPr>
      </w:r>
      <w:r>
        <w:rPr/>
        <w:t>理助理兼任战略发展部总监，现任公司副总经理。</w:t>
      </w:r>
    </w:p>
    <w:p>
      <w:pPr>
        <w:pStyle w:val="Heading4"/>
        <w:spacing w:line="240" w:lineRule="auto" w:before="169"/>
        <w:ind w:left="575" w:right="1127"/>
        <w:jc w:val="left"/>
        <w:rPr>
          <w:b w:val="0"/>
          <w:bCs w:val="0"/>
        </w:rPr>
      </w:pPr>
      <w:bookmarkStart w:name="（5）周翔 副总经理" w:id="223"/>
      <w:bookmarkEnd w:id="223"/>
      <w:r>
        <w:rPr>
          <w:b w:val="0"/>
          <w:bCs w:val="0"/>
        </w:rPr>
      </w:r>
      <w:r>
        <w:rPr/>
        <w:t>（</w:t>
      </w:r>
      <w:r>
        <w:rPr>
          <w:rFonts w:ascii="Times New Roman" w:hAnsi="Times New Roman" w:cs="Times New Roman" w:eastAsia="Times New Roman" w:hint="default"/>
        </w:rPr>
        <w:t>5</w:t>
      </w:r>
      <w:r>
        <w:rPr/>
        <w:t>）周翔</w:t>
      </w:r>
      <w:r>
        <w:rPr>
          <w:spacing w:val="-18"/>
        </w:rPr>
        <w:t> </w:t>
      </w:r>
      <w:r>
        <w:rPr/>
        <w:t>副总经理</w:t>
      </w:r>
      <w:r>
        <w:rPr>
          <w:b w:val="0"/>
          <w:bCs w:val="0"/>
        </w:rPr>
      </w:r>
    </w:p>
    <w:p>
      <w:pPr>
        <w:spacing w:line="240" w:lineRule="auto" w:before="4"/>
        <w:rPr>
          <w:rFonts w:ascii="宋体" w:hAnsi="宋体" w:cs="宋体" w:eastAsia="宋体" w:hint="default"/>
          <w:b/>
          <w:bCs/>
          <w:sz w:val="18"/>
          <w:szCs w:val="18"/>
        </w:rPr>
      </w:pPr>
    </w:p>
    <w:p>
      <w:pPr>
        <w:pStyle w:val="BodyText"/>
        <w:spacing w:line="336" w:lineRule="auto"/>
        <w:ind w:left="152" w:right="1127" w:firstLine="420"/>
        <w:jc w:val="left"/>
      </w:pPr>
      <w:r>
        <w:rPr/>
        <w:t>男，</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3</w:t>
      </w:r>
      <w:r>
        <w:rPr/>
        <w:t>月出生，中国国籍，无境外永久居留权。</w:t>
      </w:r>
      <w:r>
        <w:rPr>
          <w:rFonts w:ascii="Times New Roman" w:hAnsi="Times New Roman" w:cs="Times New Roman" w:eastAsia="Times New Roman" w:hint="default"/>
        </w:rPr>
        <w:t>1986</w:t>
      </w:r>
      <w:r>
        <w:rPr/>
        <w:t>年毕业于清华大学，获学士学位；</w:t>
      </w:r>
      <w:r>
        <w:rPr>
          <w:rFonts w:ascii="Times New Roman" w:hAnsi="Times New Roman" w:cs="Times New Roman" w:eastAsia="Times New Roman" w:hint="default"/>
        </w:rPr>
        <w:t>2004</w:t>
      </w:r>
      <w:r>
        <w:rPr/>
        <w:t>年</w:t>
      </w:r>
      <w:r>
        <w:rPr>
          <w:w w:val="100"/>
        </w:rPr>
        <w:t> </w:t>
      </w:r>
      <w:r>
        <w:rPr>
          <w:spacing w:val="-2"/>
        </w:rPr>
        <w:t>毕业于哈尔滨工业大学，获硕士学位。自</w:t>
      </w:r>
      <w:r>
        <w:rPr>
          <w:rFonts w:ascii="Times New Roman" w:hAnsi="Times New Roman" w:cs="Times New Roman" w:eastAsia="Times New Roman" w:hint="default"/>
          <w:spacing w:val="-2"/>
        </w:rPr>
        <w:t>1991</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月，任职于解放军某总部机关，从事武器装</w:t>
      </w:r>
      <w:r>
        <w:rPr>
          <w:spacing w:val="-43"/>
        </w:rPr>
        <w:t> </w:t>
      </w:r>
      <w:r>
        <w:rPr>
          <w:spacing w:val="-43"/>
        </w:rPr>
      </w:r>
      <w:r>
        <w:rPr/>
        <w:t>备科研管理工作；</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月，加入北京旋极信息技术股份有限公司，任副总经理，并兼任控股公司旋极</w:t>
      </w:r>
      <w:r>
        <w:rPr>
          <w:w w:val="100"/>
        </w:rPr>
        <w:t> </w:t>
      </w:r>
      <w:r>
        <w:rPr/>
        <w:t>伏羲总经理。</w:t>
      </w:r>
    </w:p>
    <w:p>
      <w:pPr>
        <w:pStyle w:val="Heading4"/>
        <w:spacing w:line="240" w:lineRule="auto" w:before="171"/>
        <w:ind w:left="575" w:right="1127"/>
        <w:jc w:val="left"/>
        <w:rPr>
          <w:b w:val="0"/>
          <w:bCs w:val="0"/>
        </w:rPr>
      </w:pPr>
      <w:bookmarkStart w:name="（6）陈为群 财务负责人" w:id="224"/>
      <w:bookmarkEnd w:id="224"/>
      <w:r>
        <w:rPr>
          <w:b w:val="0"/>
          <w:bCs w:val="0"/>
        </w:rPr>
      </w:r>
      <w:r>
        <w:rPr/>
        <w:t>（</w:t>
      </w:r>
      <w:r>
        <w:rPr>
          <w:rFonts w:ascii="Times New Roman" w:hAnsi="Times New Roman" w:cs="Times New Roman" w:eastAsia="Times New Roman" w:hint="default"/>
        </w:rPr>
        <w:t>6</w:t>
      </w:r>
      <w:r>
        <w:rPr/>
        <w:t>）陈为群</w:t>
      </w:r>
      <w:r>
        <w:rPr>
          <w:spacing w:val="-17"/>
        </w:rPr>
        <w:t> </w:t>
      </w:r>
      <w:r>
        <w:rPr/>
        <w:t>财务负责人</w:t>
      </w:r>
      <w:r>
        <w:rPr>
          <w:b w:val="0"/>
          <w:bCs w:val="0"/>
        </w:rPr>
      </w:r>
    </w:p>
    <w:p>
      <w:pPr>
        <w:spacing w:line="240" w:lineRule="auto" w:before="2"/>
        <w:rPr>
          <w:rFonts w:ascii="宋体" w:hAnsi="宋体" w:cs="宋体" w:eastAsia="宋体" w:hint="default"/>
          <w:b/>
          <w:bCs/>
          <w:sz w:val="18"/>
          <w:szCs w:val="18"/>
        </w:rPr>
      </w:pPr>
    </w:p>
    <w:p>
      <w:pPr>
        <w:pStyle w:val="BodyText"/>
        <w:spacing w:line="336" w:lineRule="auto"/>
        <w:ind w:left="152" w:right="1127" w:firstLine="420"/>
        <w:jc w:val="left"/>
      </w:pPr>
      <w:r>
        <w:rPr/>
        <w:t>女，中国国籍，无永久境外居留权， </w:t>
      </w:r>
      <w:r>
        <w:rPr>
          <w:rFonts w:ascii="Times New Roman" w:hAnsi="Times New Roman" w:cs="Times New Roman" w:eastAsia="Times New Roman" w:hint="default"/>
        </w:rPr>
        <w:t>1963 </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月出生，中国国籍，无境外永久居留权，毕业于解放</w:t>
      </w:r>
      <w:r>
        <w:rPr>
          <w:w w:val="100"/>
        </w:rPr>
        <w:t> </w:t>
      </w:r>
      <w:r>
        <w:rPr/>
        <w:t>军理工大学，本科学历，</w:t>
      </w:r>
      <w:r>
        <w:rPr>
          <w:rFonts w:ascii="Times New Roman" w:hAnsi="Times New Roman" w:cs="Times New Roman" w:eastAsia="Times New Roman" w:hint="default"/>
        </w:rPr>
        <w:t>2007</w:t>
      </w:r>
      <w:r>
        <w:rPr>
          <w:rFonts w:ascii="Times New Roman" w:hAnsi="Times New Roman" w:cs="Times New Roman" w:eastAsia="Times New Roman" w:hint="default"/>
          <w:spacing w:val="24"/>
        </w:rPr>
        <w:t> </w:t>
      </w:r>
      <w:r>
        <w:rPr/>
        <w:t>年至今在上海旋极担任总经理，现任公司财务负责人。</w:t>
      </w:r>
    </w:p>
    <w:p>
      <w:pPr>
        <w:pStyle w:val="BodyText"/>
        <w:spacing w:line="240" w:lineRule="auto" w:before="122"/>
        <w:ind w:right="1127"/>
        <w:jc w:val="left"/>
      </w:pPr>
      <w:r>
        <w:rPr/>
        <w:t>在股东单位任职情况</w:t>
      </w:r>
    </w:p>
    <w:p>
      <w:pPr>
        <w:spacing w:line="240" w:lineRule="auto" w:before="12"/>
        <w:rPr>
          <w:rFonts w:ascii="宋体" w:hAnsi="宋体" w:cs="宋体" w:eastAsia="宋体" w:hint="default"/>
          <w:sz w:val="17"/>
          <w:szCs w:val="17"/>
        </w:rPr>
      </w:pPr>
    </w:p>
    <w:p>
      <w:pPr>
        <w:pStyle w:val="BodyText"/>
        <w:spacing w:line="420" w:lineRule="auto"/>
        <w:ind w:right="8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1"/>
        </w:rPr>
        <w:t>在其他单位任职情况</w:t>
      </w:r>
    </w:p>
    <w:p>
      <w:pPr>
        <w:pStyle w:val="BodyText"/>
        <w:spacing w:line="240" w:lineRule="auto" w:before="74"/>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19"/>
          <w:szCs w:val="19"/>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620" w:hRule="exact"/>
        </w:trPr>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8"/>
              <w:ind w:left="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7"/>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8"/>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8"/>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7"/>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姜平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五洲合众（北京）投资有限公司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姜平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鑫盈源控股集团有限公司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姜平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贵阳新喜达屋置业投资有限公司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347" w:right="74" w:hanging="272"/>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1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姜平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贵州乐成舜元房地产投资有限公司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256" w:right="74" w:hanging="180"/>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姜平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深圳信合汇金资产管理有限公司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姜平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云泰电力有限公司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姜平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北京智慧社商务管理有限公司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姜平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贵州瑞德投资有限公司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姜平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澳中丰联（北京）物资采购供应中心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北京百旺金赋科技有限公司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pacing w:val="-12"/>
                <w:sz w:val="18"/>
                <w:szCs w:val="18"/>
              </w:rPr>
              <w:t>董事长、法人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 w:right="0"/>
              <w:jc w:val="center"/>
              <w:rPr>
                <w:rFonts w:ascii="宋体" w:hAnsi="宋体" w:cs="宋体" w:eastAsia="宋体" w:hint="default"/>
                <w:sz w:val="18"/>
                <w:szCs w:val="18"/>
              </w:rPr>
            </w:pPr>
            <w:r>
              <w:rPr>
                <w:rFonts w:ascii="宋体" w:hAnsi="宋体" w:cs="宋体" w:eastAsia="宋体" w:hint="default"/>
                <w:sz w:val="18"/>
                <w:szCs w:val="18"/>
              </w:rPr>
              <w:t>北京中天涌慧投资咨询有限公司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436" w:right="19" w:hanging="413"/>
              <w:jc w:val="left"/>
              <w:rPr>
                <w:rFonts w:ascii="宋体" w:hAnsi="宋体" w:cs="宋体" w:eastAsia="宋体" w:hint="default"/>
                <w:sz w:val="18"/>
                <w:szCs w:val="18"/>
              </w:rPr>
            </w:pPr>
            <w:r>
              <w:rPr>
                <w:rFonts w:ascii="宋体" w:hAnsi="宋体" w:cs="宋体" w:eastAsia="宋体" w:hint="default"/>
                <w:spacing w:val="-12"/>
                <w:sz w:val="18"/>
                <w:szCs w:val="18"/>
              </w:rPr>
              <w:t>执行董事、法</w:t>
            </w:r>
            <w:r>
              <w:rPr>
                <w:rFonts w:ascii="宋体" w:hAnsi="宋体" w:cs="宋体" w:eastAsia="宋体" w:hint="default"/>
                <w:sz w:val="18"/>
                <w:szCs w:val="18"/>
              </w:rPr>
              <w:t> 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北京蓝鲸众合投资管理有限公司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旋极国际（香港）有限公司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深圳市旋极历通科技有限公司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436" w:right="19" w:hanging="413"/>
              <w:jc w:val="left"/>
              <w:rPr>
                <w:rFonts w:ascii="宋体" w:hAnsi="宋体" w:cs="宋体" w:eastAsia="宋体" w:hint="default"/>
                <w:sz w:val="18"/>
                <w:szCs w:val="18"/>
              </w:rPr>
            </w:pPr>
            <w:r>
              <w:rPr>
                <w:rFonts w:ascii="宋体" w:hAnsi="宋体" w:cs="宋体" w:eastAsia="宋体" w:hint="default"/>
                <w:spacing w:val="-12"/>
                <w:sz w:val="18"/>
                <w:szCs w:val="18"/>
              </w:rPr>
              <w:t>执行董事、法</w:t>
            </w:r>
            <w:r>
              <w:rPr>
                <w:rFonts w:ascii="宋体" w:hAnsi="宋体" w:cs="宋体" w:eastAsia="宋体" w:hint="default"/>
                <w:sz w:val="18"/>
                <w:szCs w:val="18"/>
              </w:rPr>
              <w:t> 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百望金赋科技有限公司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北京旋极伏羲科技有限公司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322" w:right="59" w:hanging="1260"/>
              <w:jc w:val="left"/>
              <w:rPr>
                <w:rFonts w:ascii="宋体" w:hAnsi="宋体" w:cs="宋体" w:eastAsia="宋体" w:hint="default"/>
                <w:sz w:val="18"/>
                <w:szCs w:val="18"/>
              </w:rPr>
            </w:pPr>
            <w:r>
              <w:rPr>
                <w:rFonts w:ascii="宋体" w:hAnsi="宋体" w:cs="宋体" w:eastAsia="宋体" w:hint="default"/>
                <w:sz w:val="18"/>
                <w:szCs w:val="18"/>
              </w:rPr>
              <w:t>宁波梅山保税港区中天沐泽投资咨询有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1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322" w:right="59" w:hanging="1260"/>
              <w:jc w:val="left"/>
              <w:rPr>
                <w:rFonts w:ascii="宋体" w:hAnsi="宋体" w:cs="宋体" w:eastAsia="宋体" w:hint="default"/>
                <w:sz w:val="18"/>
                <w:szCs w:val="18"/>
              </w:rPr>
            </w:pPr>
            <w:r>
              <w:rPr>
                <w:rFonts w:ascii="宋体" w:hAnsi="宋体" w:cs="宋体" w:eastAsia="宋体" w:hint="default"/>
                <w:sz w:val="18"/>
                <w:szCs w:val="18"/>
              </w:rPr>
              <w:t>宁波梅山保税港区中元海润投资咨询有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北京平治东方科技股份有限公司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武汉中天沐泽科技投资有限公司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北京众华原创科技有限公司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赛瑞工信科技（北京）有限公司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北京云网信服信息技术有限公司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北京分贝海洋信息技术有限公司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北京旋极伏羲大数据技术有限公司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沈阳旋飞航空技术有限公司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北京瑞极通达科技有限公司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深圳市鸣鑫航空科技有限公司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中泰信托有限责任公司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光大证券股份有限公司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华软资本管理集团股份有限公司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上海保险交易所股份有限公司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永赢金融租赁有限公司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北京国富金控科技有限公司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北京德申杰投资咨询有限公司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北京国富资本有限公司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北京国富碳投资管理有限公司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北京国富金交科技有限公司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322" w:right="59" w:hanging="1260"/>
              <w:jc w:val="left"/>
              <w:rPr>
                <w:rFonts w:ascii="宋体" w:hAnsi="宋体" w:cs="宋体" w:eastAsia="宋体" w:hint="default"/>
                <w:sz w:val="18"/>
                <w:szCs w:val="18"/>
              </w:rPr>
            </w:pPr>
            <w:r>
              <w:rPr>
                <w:rFonts w:ascii="宋体" w:hAnsi="宋体" w:cs="宋体" w:eastAsia="宋体" w:hint="default"/>
                <w:sz w:val="18"/>
                <w:szCs w:val="18"/>
              </w:rPr>
              <w:t>北京埃德万斯离子束技术研究所股份有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西安丝路金融资产交易中心有限公司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北京国富健元投资管理有限公司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北京国富鑫一投资管理有限公司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青岛国双股权投资管理有限公司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法人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北京国富之本投资有限公司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法人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上海国富企业发展有限责任公司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13" w:right="59" w:hanging="1352"/>
              <w:jc w:val="left"/>
              <w:rPr>
                <w:rFonts w:ascii="宋体" w:hAnsi="宋体" w:cs="宋体" w:eastAsia="宋体" w:hint="default"/>
                <w:sz w:val="18"/>
                <w:szCs w:val="18"/>
              </w:rPr>
            </w:pPr>
            <w:r>
              <w:rPr>
                <w:rFonts w:ascii="宋体" w:hAnsi="宋体" w:cs="宋体" w:eastAsia="宋体" w:hint="default"/>
                <w:sz w:val="18"/>
                <w:szCs w:val="18"/>
              </w:rPr>
              <w:t>深圳市华禹国富股权投资基金管理有限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青岛国富金融资产交易中心有限公司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北京高达国富创业投资管理有限公司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谢军伟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北京旋极伏羲大数据技术有限公司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谢军伟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北京旋极星源技术有限公司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北京旋极百旺科技有限公司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北京考拉昆仑信息技术有限公司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北京旋极伏羲大数据技术有限公司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百望股份有限公司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北京中软金卡信息技术有限公司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西安西谷微电子有限责任公司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北京旋极伏羲科技有限公司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赵庭荣</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北京麦禾信通科技有限公司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赵庭荣</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北京旋极泰科新技术有限公司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赵庭荣</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赵庭荣</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深圳市斯普瑞特通信技术有限公司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周翔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北京旋极伏羲大数据技术有限公司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周翔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周翔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北京联帕智能科技有限公司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陈为群</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上海旋极信息技术有限公司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陈为群</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 w:right="0"/>
              <w:jc w:val="center"/>
              <w:rPr>
                <w:rFonts w:ascii="宋体" w:hAnsi="宋体" w:cs="宋体" w:eastAsia="宋体" w:hint="default"/>
                <w:sz w:val="18"/>
                <w:szCs w:val="18"/>
              </w:rPr>
            </w:pPr>
            <w:r>
              <w:rPr>
                <w:rFonts w:ascii="宋体" w:hAnsi="宋体" w:cs="宋体" w:eastAsia="宋体" w:hint="default"/>
                <w:sz w:val="18"/>
                <w:szCs w:val="18"/>
              </w:rPr>
              <w:t>北京旋风航电科技有限公司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436" w:right="19" w:hanging="413"/>
              <w:jc w:val="left"/>
              <w:rPr>
                <w:rFonts w:ascii="宋体" w:hAnsi="宋体" w:cs="宋体" w:eastAsia="宋体" w:hint="default"/>
                <w:sz w:val="18"/>
                <w:szCs w:val="18"/>
              </w:rPr>
            </w:pPr>
            <w:r>
              <w:rPr>
                <w:rFonts w:ascii="宋体" w:hAnsi="宋体" w:cs="宋体" w:eastAsia="宋体" w:hint="default"/>
                <w:spacing w:val="-12"/>
                <w:sz w:val="18"/>
                <w:szCs w:val="18"/>
              </w:rPr>
              <w:t>经理，执行董</w:t>
            </w:r>
            <w:r>
              <w:rPr>
                <w:rFonts w:ascii="宋体" w:hAnsi="宋体" w:cs="宋体" w:eastAsia="宋体" w:hint="default"/>
                <w:sz w:val="18"/>
                <w:szCs w:val="18"/>
              </w:rPr>
              <w:t> 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陈为群</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上海索乐互娱科技有限公司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陈为群</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上海海多投资发展有限公司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64"/>
        <w:ind w:right="1127"/>
        <w:jc w:val="left"/>
      </w:pPr>
      <w:r>
        <w:rPr/>
        <w:t>公司现任及报告期内离任董事、监事和高级管理人员近三年证券监管机构处罚的情况</w:t>
      </w:r>
    </w:p>
    <w:p>
      <w:pPr>
        <w:spacing w:line="240" w:lineRule="auto" w:before="9"/>
        <w:rPr>
          <w:rFonts w:ascii="宋体" w:hAnsi="宋体" w:cs="宋体" w:eastAsia="宋体" w:hint="default"/>
          <w:sz w:val="17"/>
          <w:szCs w:val="17"/>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16"/>
          <w:szCs w:val="16"/>
        </w:rPr>
      </w:pPr>
    </w:p>
    <w:p>
      <w:pPr>
        <w:pStyle w:val="BodyText"/>
        <w:spacing w:line="336" w:lineRule="auto"/>
        <w:ind w:left="152" w:right="1127" w:firstLine="42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日，深圳证券交易所对公司实际控制人、董事长陈江涛，总经理谢军伟，财务总监陈为</w:t>
      </w:r>
      <w:r>
        <w:rPr>
          <w:w w:val="100"/>
        </w:rPr>
        <w:t> </w:t>
      </w:r>
      <w:r>
        <w:rPr/>
        <w:t>群，时任总经理兼财务负责人刘明，时任监事会主席兼泰豪智能总经理邹卫明予以通报批评的处分。</w:t>
      </w:r>
    </w:p>
    <w:p>
      <w:pPr>
        <w:spacing w:line="240" w:lineRule="auto" w:before="3"/>
        <w:rPr>
          <w:rFonts w:ascii="宋体" w:hAnsi="宋体" w:cs="宋体" w:eastAsia="宋体" w:hint="default"/>
          <w:sz w:val="26"/>
          <w:szCs w:val="26"/>
        </w:rPr>
      </w:pPr>
    </w:p>
    <w:p>
      <w:pPr>
        <w:pStyle w:val="Heading2"/>
        <w:spacing w:line="240" w:lineRule="auto"/>
        <w:ind w:right="1127"/>
        <w:jc w:val="left"/>
        <w:rPr>
          <w:b w:val="0"/>
          <w:bCs w:val="0"/>
        </w:rPr>
      </w:pPr>
      <w:bookmarkStart w:name="四、董事、监事、高级管理人员报酬情况" w:id="225"/>
      <w:bookmarkEnd w:id="225"/>
      <w:r>
        <w:rPr>
          <w:b w:val="0"/>
          <w:bCs w:val="0"/>
        </w:rPr>
      </w:r>
      <w:r>
        <w:rPr/>
        <w:t>四、董事、监事、高级管理人员报酬情况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127"/>
        <w:jc w:val="left"/>
      </w:pPr>
      <w:r>
        <w:rPr/>
        <w:t>董事、监事、高级管理人员报酬的决策程序、确定依据、实际支付情况</w:t>
      </w:r>
    </w:p>
    <w:p>
      <w:pPr>
        <w:spacing w:line="240" w:lineRule="auto" w:before="1"/>
        <w:rPr>
          <w:rFonts w:ascii="宋体" w:hAnsi="宋体" w:cs="宋体" w:eastAsia="宋体" w:hint="default"/>
          <w:sz w:val="18"/>
          <w:szCs w:val="18"/>
        </w:rPr>
      </w:pPr>
    </w:p>
    <w:p>
      <w:pPr>
        <w:pStyle w:val="BodyText"/>
        <w:spacing w:line="336" w:lineRule="auto"/>
        <w:ind w:right="1127"/>
        <w:jc w:val="left"/>
      </w:pPr>
      <w:r>
        <w:rPr>
          <w:rFonts w:ascii="Times New Roman" w:hAnsi="Times New Roman" w:cs="Times New Roman" w:eastAsia="Times New Roman" w:hint="default"/>
        </w:rPr>
        <w:t>1</w:t>
      </w:r>
      <w:r>
        <w:rPr/>
        <w:t>、董事、监事、高级管理人员报酬的决策程序</w:t>
      </w:r>
      <w:r>
        <w:rPr>
          <w:w w:val="100"/>
        </w:rPr>
        <w:t> </w:t>
      </w:r>
      <w:r>
        <w:rPr>
          <w:spacing w:val="-2"/>
        </w:rPr>
        <w:t>薪酬与考核委员会提出的公司董事（含独立董事）的薪酬计划，须报经董事会同意，提交股东大会审</w:t>
      </w:r>
    </w:p>
    <w:p>
      <w:pPr>
        <w:pStyle w:val="BodyText"/>
        <w:spacing w:line="345" w:lineRule="auto" w:before="49"/>
        <w:ind w:right="1127" w:hanging="421"/>
        <w:jc w:val="left"/>
      </w:pPr>
      <w:r>
        <w:rPr/>
        <w:t>议通过后方可实施；公司经理人员的薪酬分配方案须报董事会批准。</w:t>
      </w:r>
      <w:r>
        <w:rPr>
          <w:w w:val="100"/>
        </w:rPr>
        <w:t> </w:t>
      </w:r>
      <w:r>
        <w:rPr>
          <w:rFonts w:ascii="Times New Roman" w:hAnsi="Times New Roman" w:cs="Times New Roman" w:eastAsia="Times New Roman" w:hint="default"/>
        </w:rPr>
        <w:t>2</w:t>
      </w:r>
      <w:r>
        <w:rPr/>
        <w:t>、董事、监事、高级管理人员报酬确定依据</w:t>
      </w:r>
      <w:r>
        <w:rPr>
          <w:spacing w:val="-3"/>
          <w:w w:val="100"/>
        </w:rPr>
        <w:t> </w:t>
      </w:r>
      <w:r>
        <w:rPr>
          <w:spacing w:val="-2"/>
        </w:rPr>
        <w:t>依据公司盈利水平及各董事、监事、高级管理人员的分工及履行情况确定。</w:t>
      </w:r>
    </w:p>
    <w:p>
      <w:pPr>
        <w:spacing w:after="0" w:line="345" w:lineRule="auto"/>
        <w:jc w:val="left"/>
        <w:sectPr>
          <w:pgSz w:w="11910" w:h="16840"/>
          <w:pgMar w:header="882" w:footer="1134" w:top="1280" w:bottom="1320" w:left="980" w:right="0"/>
        </w:sectPr>
      </w:pPr>
    </w:p>
    <w:p>
      <w:pPr>
        <w:pStyle w:val="BodyText"/>
        <w:spacing w:line="240" w:lineRule="auto" w:before="112"/>
        <w:ind w:right="1127"/>
        <w:jc w:val="left"/>
      </w:pPr>
      <w:r>
        <w:rPr/>
        <w:pict>
          <v:group style="position:absolute;margin-left:144.839996pt;margin-top:747.841003pt;width:40.7pt;height:17.55pt;mso-position-horizontal-relative:page;mso-position-vertical-relative:page;z-index:-1426600" coordorigin="2897,14957" coordsize="814,351">
            <v:shape style="position:absolute;left:2897;top:14957;width:814;height:351" coordorigin="2897,14957" coordsize="814,351" path="m2897,15307l3710,15307,3710,14957,2897,14957,2897,15307xe" filled="true" fillcolor="#ffffff" stroked="false">
              <v:path arrowok="t"/>
              <v:fill type="solid"/>
            </v:shape>
            <w10:wrap type="none"/>
          </v:group>
        </w:pict>
      </w:r>
      <w:r>
        <w:rPr>
          <w:rFonts w:ascii="Times New Roman" w:hAnsi="Times New Roman" w:cs="Times New Roman" w:eastAsia="Times New Roman" w:hint="default"/>
        </w:rPr>
        <w:t>3</w:t>
      </w:r>
      <w:r>
        <w:rPr/>
        <w:t>、董事、监事和高级管理人员报酬的实际支付情况</w:t>
      </w:r>
    </w:p>
    <w:p>
      <w:pPr>
        <w:pStyle w:val="BodyText"/>
        <w:spacing w:line="417" w:lineRule="auto" w:before="117"/>
        <w:ind w:right="1127"/>
        <w:jc w:val="left"/>
      </w:pPr>
      <w:r>
        <w:rPr>
          <w:rFonts w:ascii="Times New Roman" w:hAnsi="Times New Roman" w:cs="Times New Roman" w:eastAsia="Times New Roman" w:hint="default"/>
          <w:spacing w:val="-2"/>
        </w:rPr>
        <w:t>2019</w:t>
      </w:r>
      <w:r>
        <w:rPr>
          <w:spacing w:val="-2"/>
        </w:rPr>
        <w:t>年公司董事、监事、高级管理人员实际支付税前报酬</w:t>
      </w:r>
      <w:r>
        <w:rPr>
          <w:rFonts w:ascii="Times New Roman" w:hAnsi="Times New Roman" w:cs="Times New Roman" w:eastAsia="Times New Roman" w:hint="default"/>
          <w:spacing w:val="-2"/>
        </w:rPr>
        <w:t>467.70</w:t>
      </w:r>
      <w:r>
        <w:rPr>
          <w:spacing w:val="-2"/>
        </w:rPr>
        <w:t>万元。</w:t>
      </w:r>
      <w:r>
        <w:rPr>
          <w:spacing w:val="-36"/>
        </w:rPr>
        <w:t> </w:t>
      </w:r>
      <w:r>
        <w:rPr>
          <w:spacing w:val="-36"/>
        </w:rPr>
      </w:r>
      <w:r>
        <w:rPr/>
        <w:t>公司报告期内董事、监事和高级管理人员报酬情况</w:t>
      </w:r>
    </w:p>
    <w:p>
      <w:pPr>
        <w:pStyle w:val="BodyText"/>
        <w:spacing w:line="240" w:lineRule="auto" w:before="78"/>
        <w:ind w:left="0" w:right="1130"/>
        <w:jc w:val="right"/>
      </w:pPr>
      <w:r>
        <w:rPr>
          <w:spacing w:val="-1"/>
        </w:rPr>
        <w:t>单位：万元</w:t>
      </w:r>
    </w:p>
    <w:p>
      <w:pPr>
        <w:spacing w:line="240" w:lineRule="auto" w:before="9"/>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62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38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姜平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 w:right="0"/>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8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董事、原董事长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 w:right="0"/>
              <w:jc w:val="center"/>
              <w:rPr>
                <w:rFonts w:ascii="Times New Roman" w:hAnsi="Times New Roman" w:cs="Times New Roman" w:eastAsia="Times New Roman" w:hint="default"/>
                <w:sz w:val="18"/>
                <w:szCs w:val="18"/>
              </w:rPr>
            </w:pPr>
            <w:r>
              <w:rPr>
                <w:rFonts w:ascii="Times New Roman"/>
                <w:sz w:val="18"/>
              </w:rPr>
              <w:t>61.2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47.81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 w:right="0"/>
              <w:jc w:val="center"/>
              <w:rPr>
                <w:rFonts w:ascii="Times New Roman" w:hAnsi="Times New Roman" w:cs="Times New Roman" w:eastAsia="Times New Roman" w:hint="default"/>
                <w:sz w:val="18"/>
                <w:szCs w:val="18"/>
              </w:rPr>
            </w:pPr>
            <w:r>
              <w:rPr>
                <w:rFonts w:ascii="Times New Roman"/>
                <w:sz w:val="18"/>
              </w:rPr>
              <w:t>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8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李景辉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 w:right="0"/>
              <w:jc w:val="center"/>
              <w:rPr>
                <w:rFonts w:ascii="Times New Roman" w:hAnsi="Times New Roman" w:cs="Times New Roman" w:eastAsia="Times New Roman" w:hint="default"/>
                <w:sz w:val="18"/>
                <w:szCs w:val="18"/>
              </w:rPr>
            </w:pPr>
            <w:r>
              <w:rPr>
                <w:rFonts w:ascii="Times New Roman"/>
                <w:sz w:val="18"/>
              </w:rPr>
              <w:t>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李绍滨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 w:right="0"/>
              <w:jc w:val="center"/>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 w:right="0"/>
              <w:jc w:val="center"/>
              <w:rPr>
                <w:rFonts w:ascii="Times New Roman" w:hAnsi="Times New Roman" w:cs="Times New Roman" w:eastAsia="Times New Roman" w:hint="default"/>
                <w:sz w:val="18"/>
                <w:szCs w:val="18"/>
              </w:rPr>
            </w:pPr>
            <w:r>
              <w:rPr>
                <w:rFonts w:ascii="Times New Roman"/>
                <w:sz w:val="18"/>
              </w:rPr>
              <w:t>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于明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 w:right="0"/>
              <w:jc w:val="center"/>
              <w:rPr>
                <w:rFonts w:ascii="Times New Roman" w:hAnsi="Times New Roman" w:cs="Times New Roman" w:eastAsia="Times New Roman" w:hint="default"/>
                <w:sz w:val="18"/>
                <w:szCs w:val="18"/>
              </w:rPr>
            </w:pPr>
            <w:r>
              <w:rPr>
                <w:rFonts w:ascii="Times New Roman"/>
                <w:sz w:val="18"/>
              </w:rPr>
              <w:t>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颜小品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 w:right="0"/>
              <w:jc w:val="center"/>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 w:right="0"/>
              <w:jc w:val="center"/>
              <w:rPr>
                <w:rFonts w:ascii="Times New Roman" w:hAnsi="Times New Roman" w:cs="Times New Roman" w:eastAsia="Times New Roman" w:hint="default"/>
                <w:sz w:val="18"/>
                <w:szCs w:val="18"/>
              </w:rPr>
            </w:pPr>
            <w:r>
              <w:rPr>
                <w:rFonts w:ascii="Times New Roman"/>
                <w:sz w:val="18"/>
              </w:rPr>
              <w:t>17.33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夏林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13.92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宋捷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15.42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谢军伟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48.06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0" w:right="47" w:hanging="360"/>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赵庭荣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40.72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周翔</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40.24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陈为群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 w:right="0"/>
              <w:jc w:val="center"/>
              <w:rPr>
                <w:rFonts w:ascii="Times New Roman" w:hAnsi="Times New Roman" w:cs="Times New Roman" w:eastAsia="Times New Roman" w:hint="default"/>
                <w:sz w:val="18"/>
                <w:szCs w:val="18"/>
              </w:rPr>
            </w:pPr>
            <w:r>
              <w:rPr>
                <w:rFonts w:ascii="Times New Roman"/>
                <w:sz w:val="18"/>
              </w:rPr>
              <w:t>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邹卫明</w:t>
            </w:r>
          </w:p>
        </w:tc>
        <w:tc>
          <w:tcPr>
            <w:tcW w:w="1368"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原监事会主席</w:t>
            </w:r>
          </w:p>
        </w:tc>
        <w:tc>
          <w:tcPr>
            <w:tcW w:w="1368"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67</w:t>
            </w:r>
          </w:p>
        </w:tc>
        <w:tc>
          <w:tcPr>
            <w:tcW w:w="1368"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before="44"/>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4"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3"/>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73"/>
              <w:ind w:right="6"/>
              <w:jc w:val="center"/>
              <w:rPr>
                <w:rFonts w:ascii="Times New Roman" w:hAnsi="Times New Roman" w:cs="Times New Roman" w:eastAsia="Times New Roman" w:hint="default"/>
                <w:sz w:val="18"/>
                <w:szCs w:val="18"/>
              </w:rPr>
            </w:pPr>
            <w:r>
              <w:rPr>
                <w:rFonts w:ascii="Times New Roman"/>
                <w:sz w:val="18"/>
              </w:rPr>
              <w:t>467.70</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3"/>
              <w:ind w:left="619"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70"/>
        <w:ind w:right="1127"/>
        <w:jc w:val="left"/>
      </w:pPr>
      <w:r>
        <w:rPr/>
        <w:t>公司董事、高级管理人员报告期内被授予的股权激励情况</w:t>
      </w:r>
    </w:p>
    <w:p>
      <w:pPr>
        <w:spacing w:line="240" w:lineRule="auto" w:before="12"/>
        <w:rPr>
          <w:rFonts w:ascii="宋体" w:hAnsi="宋体" w:cs="宋体" w:eastAsia="宋体" w:hint="default"/>
          <w:sz w:val="17"/>
          <w:szCs w:val="17"/>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13"/>
          <w:szCs w:val="13"/>
        </w:rPr>
      </w:pPr>
    </w:p>
    <w:p>
      <w:pPr>
        <w:pStyle w:val="BodyText"/>
        <w:spacing w:line="240" w:lineRule="auto" w:before="36"/>
        <w:ind w:left="0" w:right="1130"/>
        <w:jc w:val="right"/>
      </w:pPr>
      <w:r>
        <w:rPr>
          <w:spacing w:val="-1"/>
        </w:rPr>
        <w:t>单位：股</w:t>
      </w:r>
    </w:p>
    <w:p>
      <w:pPr>
        <w:spacing w:line="240" w:lineRule="auto" w:before="9"/>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69"/>
        <w:gridCol w:w="871"/>
        <w:gridCol w:w="869"/>
        <w:gridCol w:w="871"/>
        <w:gridCol w:w="869"/>
        <w:gridCol w:w="871"/>
        <w:gridCol w:w="869"/>
        <w:gridCol w:w="871"/>
      </w:tblGrid>
      <w:tr>
        <w:trPr>
          <w:trHeight w:val="1087"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5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59"/>
              <w:ind w:left="69"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59"/>
              <w:ind w:left="69" w:right="67"/>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44"/>
              <w:ind w:left="24" w:right="71"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7"/>
              <w:ind w:left="45" w:right="41" w:firstLine="24"/>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339" w:lineRule="exact"/>
              <w:ind w:left="-123" w:right="0"/>
              <w:jc w:val="left"/>
              <w:rPr>
                <w:rFonts w:ascii="宋体" w:hAnsi="宋体" w:cs="宋体" w:eastAsia="宋体" w:hint="default"/>
                <w:sz w:val="18"/>
                <w:szCs w:val="18"/>
              </w:rPr>
            </w:pPr>
            <w:r>
              <w:rPr>
                <w:rFonts w:ascii="宋体" w:hAnsi="宋体" w:cs="宋体" w:eastAsia="宋体" w:hint="default"/>
                <w:position w:val="-11"/>
                <w:sz w:val="18"/>
                <w:szCs w:val="18"/>
              </w:rPr>
              <w:t>） </w:t>
            </w:r>
            <w:r>
              <w:rPr>
                <w:rFonts w:ascii="宋体" w:hAnsi="宋体" w:cs="宋体" w:eastAsia="宋体" w:hint="default"/>
                <w:spacing w:val="12"/>
                <w:position w:val="-11"/>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59"/>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59"/>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44"/>
              <w:ind w:left="69" w:right="71"/>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auto" w:before="48"/>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59"/>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62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251" w:right="19" w:hanging="226"/>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8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69"/>
              <w:jc w:val="right"/>
              <w:rPr>
                <w:rFonts w:ascii="Times New Roman" w:hAnsi="Times New Roman" w:cs="Times New Roman" w:eastAsia="Times New Roman" w:hint="default"/>
                <w:sz w:val="18"/>
                <w:szCs w:val="18"/>
              </w:rPr>
            </w:pPr>
            <w:r>
              <w:rPr>
                <w:rFonts w:ascii="Times New Roman"/>
                <w:spacing w:val="-1"/>
                <w:sz w:val="18"/>
              </w:rPr>
              <w:t>7.09</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677,382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38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谢军伟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56"/>
              <w:jc w:val="right"/>
              <w:rPr>
                <w:rFonts w:ascii="宋体" w:hAnsi="宋体" w:cs="宋体" w:eastAsia="宋体" w:hint="default"/>
                <w:sz w:val="18"/>
                <w:szCs w:val="18"/>
              </w:rPr>
            </w:pPr>
            <w:r>
              <w:rPr>
                <w:rFonts w:ascii="宋体" w:hAnsi="宋体" w:cs="宋体" w:eastAsia="宋体" w:hint="default"/>
                <w:sz w:val="18"/>
                <w:szCs w:val="18"/>
              </w:rPr>
              <w:t>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38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69"/>
              <w:jc w:val="right"/>
              <w:rPr>
                <w:rFonts w:ascii="Times New Roman" w:hAnsi="Times New Roman" w:cs="Times New Roman" w:eastAsia="Times New Roman" w:hint="default"/>
                <w:sz w:val="18"/>
                <w:szCs w:val="18"/>
              </w:rPr>
            </w:pPr>
            <w:r>
              <w:rPr>
                <w:rFonts w:ascii="Times New Roman"/>
                <w:spacing w:val="-1"/>
                <w:sz w:val="18"/>
              </w:rPr>
              <w:t>7.09</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903,176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4,195,000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 w:right="0"/>
              <w:jc w:val="center"/>
              <w:rPr>
                <w:rFonts w:ascii="Times New Roman" w:hAnsi="Times New Roman" w:cs="Times New Roman" w:eastAsia="Times New Roman" w:hint="default"/>
                <w:sz w:val="18"/>
                <w:szCs w:val="18"/>
              </w:rPr>
            </w:pPr>
            <w:r>
              <w:rPr>
                <w:rFonts w:ascii="Times New Roman"/>
                <w:sz w:val="18"/>
              </w:rPr>
              <w:t>2.48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4,195,000</w:t>
            </w:r>
          </w:p>
        </w:tc>
      </w:tr>
      <w:tr>
        <w:trPr>
          <w:trHeight w:val="38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赵庭荣</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67"/>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38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69"/>
              <w:jc w:val="right"/>
              <w:rPr>
                <w:rFonts w:ascii="Times New Roman" w:hAnsi="Times New Roman" w:cs="Times New Roman" w:eastAsia="Times New Roman" w:hint="default"/>
                <w:sz w:val="18"/>
                <w:szCs w:val="18"/>
              </w:rPr>
            </w:pPr>
            <w:r>
              <w:rPr>
                <w:rFonts w:ascii="Times New Roman"/>
                <w:spacing w:val="-1"/>
                <w:sz w:val="18"/>
              </w:rPr>
              <w:t>7.09</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886,241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2.48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2,000,000</w:t>
            </w:r>
          </w:p>
        </w:tc>
      </w:tr>
      <w:tr>
        <w:trPr>
          <w:trHeight w:val="38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871"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80"/>
              <w:ind w:right="101"/>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13" w:space="0" w:color="FFFFFF"/>
              <w:bottom w:val="single" w:sz="4" w:space="0" w:color="000000"/>
              <w:right w:val="single" w:sz="4" w:space="0" w:color="000000"/>
            </w:tcBorders>
          </w:tcPr>
          <w:p>
            <w:pPr>
              <w:pStyle w:val="TableParagraph"/>
              <w:tabs>
                <w:tab w:pos="371" w:val="left" w:leader="none"/>
              </w:tabs>
              <w:spacing w:line="240" w:lineRule="auto" w:before="79"/>
              <w:ind w:left="-137" w:right="383"/>
              <w:jc w:val="right"/>
              <w:rPr>
                <w:rFonts w:ascii="Times New Roman" w:hAnsi="Times New Roman" w:cs="Times New Roman" w:eastAsia="Times New Roman" w:hint="default"/>
                <w:sz w:val="18"/>
                <w:szCs w:val="18"/>
              </w:rPr>
            </w:pPr>
            <w:r>
              <w:rPr>
                <w:rFonts w:ascii="宋体" w:hAnsi="宋体" w:cs="宋体" w:eastAsia="宋体" w:hint="default"/>
                <w:position w:val="-3"/>
                <w:sz w:val="18"/>
                <w:szCs w:val="18"/>
              </w:rPr>
              <w:t>、</w:t>
              <w:tab/>
            </w:r>
            <w:r>
              <w:rPr>
                <w:rFonts w:ascii="Times New Roman" w:hAnsi="Times New Roman" w:cs="Times New Roman" w:eastAsia="Times New Roman" w:hint="default"/>
                <w:sz w:val="18"/>
                <w:szCs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69"/>
              <w:jc w:val="right"/>
              <w:rPr>
                <w:rFonts w:ascii="Times New Roman" w:hAnsi="Times New Roman" w:cs="Times New Roman" w:eastAsia="Times New Roman" w:hint="default"/>
                <w:sz w:val="18"/>
                <w:szCs w:val="18"/>
              </w:rPr>
            </w:pPr>
            <w:r>
              <w:rPr>
                <w:rFonts w:ascii="Times New Roman"/>
                <w:spacing w:val="-1"/>
                <w:sz w:val="18"/>
              </w:rPr>
              <w:t>7.09</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2,512,522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69"/>
        <w:gridCol w:w="871"/>
        <w:gridCol w:w="869"/>
        <w:gridCol w:w="871"/>
        <w:gridCol w:w="869"/>
        <w:gridCol w:w="871"/>
        <w:gridCol w:w="869"/>
        <w:gridCol w:w="871"/>
      </w:tblGrid>
      <w:tr>
        <w:trPr>
          <w:trHeight w:val="550"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董事会秘</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书</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61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宋体" w:hAnsi="宋体" w:cs="宋体" w:eastAsia="宋体" w:hint="default"/>
                <w:sz w:val="18"/>
                <w:szCs w:val="18"/>
              </w:rPr>
            </w:pPr>
            <w:r>
              <w:rPr>
                <w:rFonts w:ascii="宋体" w:hAnsi="宋体" w:cs="宋体" w:eastAsia="宋体" w:hint="default"/>
                <w:sz w:val="18"/>
                <w:szCs w:val="18"/>
              </w:rPr>
              <w:t>陈为群</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343" w:right="67" w:hanging="272"/>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7.09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4,404,223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38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周翔</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7.09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2,182,298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1,000,000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2.48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1,000,000</w:t>
            </w:r>
          </w:p>
        </w:tc>
      </w:tr>
      <w:tr>
        <w:trPr>
          <w:trHeight w:val="6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刘明</w:t>
            </w:r>
          </w:p>
        </w:tc>
        <w:tc>
          <w:tcPr>
            <w:tcW w:w="871" w:type="dxa"/>
            <w:tcBorders>
              <w:top w:val="single" w:sz="4" w:space="0" w:color="000000"/>
              <w:left w:val="single" w:sz="4" w:space="0" w:color="000000"/>
              <w:bottom w:val="single" w:sz="9" w:space="0" w:color="D4D4D4"/>
              <w:right w:val="single" w:sz="4" w:space="0" w:color="000000"/>
            </w:tcBorders>
          </w:tcPr>
          <w:p>
            <w:pPr>
              <w:pStyle w:val="TableParagraph"/>
              <w:spacing w:line="232" w:lineRule="exact" w:before="66"/>
              <w:ind w:left="251" w:right="19" w:hanging="226"/>
              <w:jc w:val="left"/>
              <w:rPr>
                <w:rFonts w:ascii="宋体" w:hAnsi="宋体" w:cs="宋体" w:eastAsia="宋体" w:hint="default"/>
                <w:sz w:val="18"/>
                <w:szCs w:val="18"/>
              </w:rPr>
            </w:pPr>
            <w:r>
              <w:rPr>
                <w:rFonts w:ascii="宋体" w:hAnsi="宋体" w:cs="宋体" w:eastAsia="宋体" w:hint="default"/>
                <w:spacing w:val="-18"/>
                <w:sz w:val="18"/>
                <w:szCs w:val="18"/>
              </w:rPr>
              <w:t>原董事、总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7.09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5,323,092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373"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73"/>
              <w:ind w:right="5"/>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73"/>
              <w:ind w:right="8"/>
              <w:jc w:val="center"/>
              <w:rPr>
                <w:rFonts w:ascii="Times New Roman" w:hAnsi="Times New Roman" w:cs="Times New Roman" w:eastAsia="Times New Roman" w:hint="default"/>
                <w:sz w:val="18"/>
                <w:szCs w:val="18"/>
              </w:rPr>
            </w:pPr>
            <w:r>
              <w:rPr>
                <w:rFonts w:ascii="Times New Roman"/>
                <w:sz w:val="18"/>
              </w:rPr>
              <w:t>16,888,934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7,195,000</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73"/>
              <w:ind w:right="9"/>
              <w:jc w:val="center"/>
              <w:rPr>
                <w:rFonts w:ascii="Times New Roman" w:hAnsi="Times New Roman" w:cs="Times New Roman" w:eastAsia="Times New Roman" w:hint="default"/>
                <w:sz w:val="18"/>
                <w:szCs w:val="18"/>
              </w:rPr>
            </w:pPr>
            <w:r>
              <w:rPr>
                <w:rFonts w:ascii="Times New Roman"/>
                <w:sz w:val="18"/>
              </w:rPr>
              <w:t>7,195,000</w:t>
            </w:r>
          </w:p>
        </w:tc>
      </w:tr>
      <w:tr>
        <w:trPr>
          <w:trHeight w:val="281" w:hRule="exact"/>
        </w:trPr>
        <w:tc>
          <w:tcPr>
            <w:tcW w:w="864" w:type="dxa"/>
            <w:tcBorders>
              <w:top w:val="single" w:sz="4" w:space="0" w:color="000000"/>
              <w:left w:val="single" w:sz="4" w:space="0" w:color="000000"/>
              <w:bottom w:val="nil" w:sz="6" w:space="0" w:color="auto"/>
              <w:right w:val="single" w:sz="4" w:space="0" w:color="000000"/>
            </w:tcBorders>
            <w:shd w:val="clear" w:color="auto" w:fill="D4D4D4"/>
          </w:tcPr>
          <w:p>
            <w:pPr/>
          </w:p>
        </w:tc>
        <w:tc>
          <w:tcPr>
            <w:tcW w:w="8700" w:type="dxa"/>
            <w:gridSpan w:val="10"/>
            <w:vMerge w:val="restart"/>
            <w:tcBorders>
              <w:top w:val="single" w:sz="6" w:space="0" w:color="D4D4D4"/>
              <w:left w:val="single" w:sz="10" w:space="0" w:color="D4D4D4"/>
              <w:right w:val="single" w:sz="4" w:space="0" w:color="000000"/>
            </w:tcBorders>
          </w:tcPr>
          <w:p>
            <w:pPr>
              <w:pStyle w:val="TableParagraph"/>
              <w:spacing w:line="232" w:lineRule="exact" w:before="71"/>
              <w:ind w:left="19"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日，公司董事会决定终止实施</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年限制性股票激励计划，同时，回购注销原</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343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名激励对 象已获授但尚未解除限售的全部限制性股票。</w:t>
            </w:r>
          </w:p>
          <w:p>
            <w:pPr>
              <w:pStyle w:val="TableParagraph"/>
              <w:spacing w:line="232" w:lineRule="exact" w:before="75"/>
              <w:ind w:left="40"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日，公司董事会决定向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年股票期权与限制性股票激励计划的激励对象授予股票期权与 限制性股票，其中蔡厚富先生、黄海涛女士、陈为群女士暂缓授予。</w:t>
            </w:r>
          </w:p>
        </w:tc>
      </w:tr>
      <w:tr>
        <w:trPr>
          <w:trHeight w:val="612" w:hRule="exact"/>
        </w:trPr>
        <w:tc>
          <w:tcPr>
            <w:tcW w:w="86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1"/>
              <w:ind w:left="247" w:right="65" w:hanging="180"/>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700" w:type="dxa"/>
            <w:gridSpan w:val="10"/>
            <w:vMerge/>
            <w:tcBorders>
              <w:left w:val="single" w:sz="10" w:space="0" w:color="D4D4D4"/>
              <w:right w:val="single" w:sz="4" w:space="0" w:color="000000"/>
            </w:tcBorders>
          </w:tcPr>
          <w:p>
            <w:pPr/>
          </w:p>
        </w:tc>
      </w:tr>
      <w:tr>
        <w:trPr>
          <w:trHeight w:val="274" w:hRule="exact"/>
        </w:trPr>
        <w:tc>
          <w:tcPr>
            <w:tcW w:w="864" w:type="dxa"/>
            <w:tcBorders>
              <w:top w:val="nil" w:sz="6" w:space="0" w:color="auto"/>
              <w:left w:val="single" w:sz="4" w:space="0" w:color="000000"/>
              <w:bottom w:val="single" w:sz="4" w:space="0" w:color="000000"/>
              <w:right w:val="single" w:sz="4" w:space="0" w:color="000000"/>
            </w:tcBorders>
            <w:shd w:val="clear" w:color="auto" w:fill="D4D4D4"/>
          </w:tcPr>
          <w:p>
            <w:pPr/>
          </w:p>
        </w:tc>
        <w:tc>
          <w:tcPr>
            <w:tcW w:w="8700" w:type="dxa"/>
            <w:gridSpan w:val="10"/>
            <w:vMerge/>
            <w:tcBorders>
              <w:left w:val="single" w:sz="10" w:space="0" w:color="D4D4D4"/>
              <w:bottom w:val="single" w:sz="4" w:space="0" w:color="000000"/>
              <w:right w:val="single" w:sz="4" w:space="0" w:color="000000"/>
            </w:tcBorders>
          </w:tcPr>
          <w:p>
            <w:pPr/>
          </w:p>
        </w:tc>
      </w:tr>
    </w:tbl>
    <w:p>
      <w:pPr>
        <w:spacing w:line="240" w:lineRule="auto" w:before="11"/>
        <w:rPr>
          <w:rFonts w:ascii="宋体" w:hAnsi="宋体" w:cs="宋体" w:eastAsia="宋体" w:hint="default"/>
          <w:sz w:val="17"/>
          <w:szCs w:val="17"/>
        </w:rPr>
      </w:pPr>
    </w:p>
    <w:p>
      <w:pPr>
        <w:pStyle w:val="Heading2"/>
        <w:spacing w:line="240" w:lineRule="auto" w:before="26"/>
        <w:ind w:right="1127"/>
        <w:jc w:val="left"/>
        <w:rPr>
          <w:b w:val="0"/>
          <w:bCs w:val="0"/>
        </w:rPr>
      </w:pPr>
      <w:bookmarkStart w:name="五、公司员工情况" w:id="226"/>
      <w:bookmarkEnd w:id="226"/>
      <w:r>
        <w:rPr>
          <w:b w:val="0"/>
          <w:bCs w:val="0"/>
        </w:rPr>
      </w:r>
      <w:r>
        <w:rPr/>
        <w:t>五、公司员工情况</w:t>
      </w:r>
      <w:r>
        <w:rPr>
          <w:b w:val="0"/>
          <w:bCs w:val="0"/>
        </w:rPr>
      </w:r>
    </w:p>
    <w:p>
      <w:pPr>
        <w:spacing w:line="240" w:lineRule="auto" w:before="6"/>
        <w:rPr>
          <w:rFonts w:ascii="宋体" w:hAnsi="宋体" w:cs="宋体" w:eastAsia="宋体" w:hint="default"/>
          <w:b/>
          <w:bCs/>
          <w:sz w:val="23"/>
          <w:szCs w:val="23"/>
        </w:rPr>
      </w:pPr>
    </w:p>
    <w:p>
      <w:pPr>
        <w:pStyle w:val="Heading4"/>
        <w:spacing w:line="240" w:lineRule="auto"/>
        <w:ind w:right="1127"/>
        <w:jc w:val="left"/>
        <w:rPr>
          <w:b w:val="0"/>
          <w:bCs w:val="0"/>
        </w:rPr>
      </w:pPr>
      <w:bookmarkStart w:name="1、员工数量、专业构成及教育程度" w:id="227"/>
      <w:bookmarkEnd w:id="2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3"/>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4764"/>
        <w:gridCol w:w="4793"/>
      </w:tblGrid>
      <w:tr>
        <w:trPr>
          <w:trHeight w:val="386"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234</w:t>
            </w:r>
          </w:p>
        </w:tc>
      </w:tr>
      <w:tr>
        <w:trPr>
          <w:trHeight w:val="388"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3,489</w:t>
            </w:r>
          </w:p>
        </w:tc>
      </w:tr>
      <w:tr>
        <w:trPr>
          <w:trHeight w:val="388"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left="-1" w:right="0"/>
              <w:jc w:val="center"/>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8"/>
                <w:szCs w:val="18"/>
              </w:rPr>
            </w:pPr>
            <w:r>
              <w:rPr>
                <w:rFonts w:ascii="Times New Roman"/>
                <w:sz w:val="18"/>
              </w:rPr>
              <w:t>3,723</w:t>
            </w:r>
          </w:p>
        </w:tc>
      </w:tr>
      <w:tr>
        <w:trPr>
          <w:trHeight w:val="386"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3,723</w:t>
            </w:r>
          </w:p>
        </w:tc>
      </w:tr>
      <w:tr>
        <w:trPr>
          <w:trHeight w:val="394"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0</w:t>
            </w:r>
          </w:p>
        </w:tc>
      </w:tr>
      <w:tr>
        <w:trPr>
          <w:trHeight w:val="37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7"/>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4"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386"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141</w:t>
            </w:r>
          </w:p>
        </w:tc>
      </w:tr>
      <w:tr>
        <w:trPr>
          <w:trHeight w:val="388"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389</w:t>
            </w:r>
          </w:p>
        </w:tc>
      </w:tr>
      <w:tr>
        <w:trPr>
          <w:trHeight w:val="388"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left="-1"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8"/>
                <w:szCs w:val="18"/>
              </w:rPr>
            </w:pPr>
            <w:r>
              <w:rPr>
                <w:rFonts w:ascii="Times New Roman"/>
                <w:sz w:val="18"/>
              </w:rPr>
              <w:t>2,420</w:t>
            </w:r>
          </w:p>
        </w:tc>
      </w:tr>
      <w:tr>
        <w:trPr>
          <w:trHeight w:val="386"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139</w:t>
            </w:r>
          </w:p>
        </w:tc>
      </w:tr>
      <w:tr>
        <w:trPr>
          <w:trHeight w:val="389"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634</w:t>
            </w:r>
          </w:p>
        </w:tc>
      </w:tr>
      <w:tr>
        <w:trPr>
          <w:trHeight w:val="39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3,723</w:t>
            </w:r>
          </w:p>
        </w:tc>
      </w:tr>
      <w:tr>
        <w:trPr>
          <w:trHeight w:val="379"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7"/>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9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386"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2"/>
              <w:jc w:val="center"/>
              <w:rPr>
                <w:rFonts w:ascii="宋体" w:hAnsi="宋体" w:cs="宋体" w:eastAsia="宋体" w:hint="default"/>
                <w:sz w:val="18"/>
                <w:szCs w:val="18"/>
              </w:rPr>
            </w:pPr>
            <w:r>
              <w:rPr>
                <w:rFonts w:ascii="宋体" w:hAnsi="宋体" w:cs="宋体" w:eastAsia="宋体" w:hint="default"/>
                <w:sz w:val="18"/>
                <w:szCs w:val="18"/>
              </w:rPr>
              <w:t>博士及以上</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 w:right="0"/>
              <w:jc w:val="center"/>
              <w:rPr>
                <w:rFonts w:ascii="Times New Roman" w:hAnsi="Times New Roman" w:cs="Times New Roman" w:eastAsia="Times New Roman" w:hint="default"/>
                <w:sz w:val="18"/>
                <w:szCs w:val="18"/>
              </w:rPr>
            </w:pPr>
            <w:r>
              <w:rPr>
                <w:rFonts w:ascii="Times New Roman"/>
                <w:sz w:val="18"/>
              </w:rPr>
              <w:t>6</w:t>
            </w:r>
          </w:p>
        </w:tc>
      </w:tr>
      <w:tr>
        <w:trPr>
          <w:trHeight w:val="389"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硕士</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center"/>
              <w:rPr>
                <w:rFonts w:ascii="Times New Roman" w:hAnsi="Times New Roman" w:cs="Times New Roman" w:eastAsia="Times New Roman" w:hint="default"/>
                <w:sz w:val="18"/>
                <w:szCs w:val="18"/>
              </w:rPr>
            </w:pPr>
            <w:r>
              <w:rPr>
                <w:rFonts w:ascii="Times New Roman"/>
                <w:sz w:val="18"/>
              </w:rPr>
              <w:t>189</w:t>
            </w:r>
          </w:p>
        </w:tc>
      </w:tr>
      <w:tr>
        <w:trPr>
          <w:trHeight w:val="386"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大学本科</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center"/>
              <w:rPr>
                <w:rFonts w:ascii="Times New Roman" w:hAnsi="Times New Roman" w:cs="Times New Roman" w:eastAsia="Times New Roman" w:hint="default"/>
                <w:sz w:val="18"/>
                <w:szCs w:val="18"/>
              </w:rPr>
            </w:pPr>
            <w:r>
              <w:rPr>
                <w:rFonts w:ascii="Times New Roman"/>
                <w:sz w:val="18"/>
              </w:rPr>
              <w:t>1,528</w:t>
            </w:r>
          </w:p>
        </w:tc>
      </w:tr>
      <w:tr>
        <w:trPr>
          <w:trHeight w:val="389"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center"/>
              <w:rPr>
                <w:rFonts w:ascii="Times New Roman" w:hAnsi="Times New Roman" w:cs="Times New Roman" w:eastAsia="Times New Roman" w:hint="default"/>
                <w:sz w:val="18"/>
                <w:szCs w:val="18"/>
              </w:rPr>
            </w:pPr>
            <w:r>
              <w:rPr>
                <w:rFonts w:ascii="Times New Roman"/>
                <w:sz w:val="18"/>
              </w:rPr>
              <w:t>1,687</w:t>
            </w:r>
          </w:p>
        </w:tc>
      </w:tr>
      <w:tr>
        <w:trPr>
          <w:trHeight w:val="386"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专科以下</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7" w:right="0"/>
              <w:jc w:val="center"/>
              <w:rPr>
                <w:rFonts w:ascii="Times New Roman" w:hAnsi="Times New Roman" w:cs="Times New Roman" w:eastAsia="Times New Roman" w:hint="default"/>
                <w:sz w:val="18"/>
                <w:szCs w:val="18"/>
              </w:rPr>
            </w:pPr>
            <w:r>
              <w:rPr>
                <w:rFonts w:ascii="Times New Roman"/>
                <w:sz w:val="18"/>
              </w:rPr>
              <w:t>313</w:t>
            </w:r>
          </w:p>
        </w:tc>
      </w:tr>
      <w:tr>
        <w:trPr>
          <w:trHeight w:val="389"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center"/>
              <w:rPr>
                <w:rFonts w:ascii="Times New Roman" w:hAnsi="Times New Roman" w:cs="Times New Roman" w:eastAsia="Times New Roman" w:hint="default"/>
                <w:sz w:val="18"/>
                <w:szCs w:val="18"/>
              </w:rPr>
            </w:pPr>
            <w:r>
              <w:rPr>
                <w:rFonts w:ascii="Times New Roman"/>
                <w:sz w:val="18"/>
              </w:rPr>
              <w:t>3,723</w:t>
            </w:r>
          </w:p>
        </w:tc>
      </w:tr>
    </w:tbl>
    <w:p>
      <w:pPr>
        <w:spacing w:line="240" w:lineRule="auto" w:before="7"/>
        <w:rPr>
          <w:rFonts w:ascii="宋体" w:hAnsi="宋体" w:cs="宋体" w:eastAsia="宋体" w:hint="default"/>
          <w:b/>
          <w:bCs/>
          <w:sz w:val="17"/>
          <w:szCs w:val="17"/>
        </w:rPr>
      </w:pPr>
    </w:p>
    <w:p>
      <w:pPr>
        <w:pStyle w:val="Heading4"/>
        <w:spacing w:line="240" w:lineRule="auto" w:before="36"/>
        <w:ind w:right="1127"/>
        <w:jc w:val="left"/>
        <w:rPr>
          <w:b w:val="0"/>
          <w:bCs w:val="0"/>
        </w:rPr>
      </w:pPr>
      <w:bookmarkStart w:name="2、薪酬政策" w:id="228"/>
      <w:bookmarkEnd w:id="228"/>
      <w:r>
        <w:rPr>
          <w:b w:val="0"/>
          <w:bCs w:val="0"/>
        </w:rPr>
      </w:r>
      <w:r>
        <w:rPr>
          <w:rFonts w:ascii="Times New Roman" w:hAnsi="Times New Roman" w:cs="Times New Roman" w:eastAsia="Times New Roman" w:hint="default"/>
        </w:rPr>
        <w:t>2</w:t>
      </w:r>
      <w:r>
        <w:rPr/>
        <w:t>、薪酬政策</w:t>
      </w:r>
      <w:r>
        <w:rPr>
          <w:b w:val="0"/>
          <w:bCs w:val="0"/>
        </w:rPr>
      </w:r>
    </w:p>
    <w:p>
      <w:pPr>
        <w:spacing w:after="0" w:line="240" w:lineRule="auto"/>
        <w:jc w:val="left"/>
        <w:sectPr>
          <w:pgSz w:w="11910" w:h="16840"/>
          <w:pgMar w:header="882" w:footer="1134" w:top="1280" w:bottom="1320" w:left="980" w:right="0"/>
        </w:sectPr>
      </w:pPr>
    </w:p>
    <w:p>
      <w:pPr>
        <w:pStyle w:val="BodyText"/>
        <w:spacing w:line="357" w:lineRule="auto" w:before="112"/>
        <w:ind w:left="152" w:right="1106" w:firstLine="420"/>
        <w:jc w:val="both"/>
      </w:pPr>
      <w:r>
        <w:rPr>
          <w:spacing w:val="-3"/>
        </w:rPr>
        <w:t>公司的薪酬政策遵循按劳分配、效率优先、兼顾公平和可持续发展的原则，即通过建立公平、公正的</w:t>
      </w:r>
      <w:r>
        <w:rPr>
          <w:spacing w:val="-3"/>
          <w:w w:val="100"/>
        </w:rPr>
        <w:t> </w:t>
      </w:r>
      <w:r>
        <w:rPr>
          <w:spacing w:val="-2"/>
        </w:rPr>
        <w:t>薪酬管理体系，发挥薪酬的激励作用，调动员工的工作积极性，体现公司价值导向和企业文化，使薪酬与</w:t>
      </w:r>
      <w:r>
        <w:rPr>
          <w:spacing w:val="-50"/>
        </w:rPr>
        <w:t> </w:t>
      </w:r>
      <w:r>
        <w:rPr>
          <w:spacing w:val="-50"/>
        </w:rPr>
      </w:r>
      <w:r>
        <w:rPr>
          <w:spacing w:val="-2"/>
        </w:rPr>
        <w:t>岗位价值、员工绩效、公司发展的短期收益、中期收益以及以长期收益结合起来，根据员工贡献、能力、</w:t>
      </w:r>
      <w:r>
        <w:rPr>
          <w:spacing w:val="-21"/>
        </w:rPr>
        <w:t> </w:t>
      </w:r>
      <w:r>
        <w:rPr>
          <w:spacing w:val="-21"/>
        </w:rPr>
      </w:r>
      <w:r>
        <w:rPr>
          <w:spacing w:val="-2"/>
        </w:rPr>
        <w:t>责任及行业薪酬水平来作为定薪的依据。员工月收入由岗位工资和特殊津贴两部分构成。员工年度总收入</w:t>
      </w:r>
      <w:r>
        <w:rPr>
          <w:spacing w:val="-42"/>
        </w:rPr>
        <w:t> </w:t>
      </w:r>
      <w:r>
        <w:rPr>
          <w:spacing w:val="-42"/>
        </w:rPr>
      </w:r>
      <w:r>
        <w:rPr/>
        <w:t>由固定工资、福利、奖金、股权收益及分红等四部分构成。</w:t>
      </w:r>
    </w:p>
    <w:p>
      <w:pPr>
        <w:pStyle w:val="BodyText"/>
        <w:spacing w:line="336" w:lineRule="auto" w:before="128"/>
        <w:ind w:left="152" w:right="1027" w:firstLine="419"/>
        <w:jc w:val="both"/>
      </w:pPr>
      <w:r>
        <w:rPr>
          <w:spacing w:val="-3"/>
        </w:rPr>
        <w:t>公司需遵守《深圳证券交易所行业信息披露指引第 </w:t>
      </w:r>
      <w:r>
        <w:rPr>
          <w:rFonts w:ascii="Times New Roman" w:hAnsi="Times New Roman" w:cs="Times New Roman" w:eastAsia="Times New Roman" w:hint="default"/>
        </w:rPr>
        <w:t>12</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上市公司从事软件与信息技术服务业务》</w:t>
      </w:r>
      <w:r>
        <w:rPr>
          <w:w w:val="100"/>
        </w:rPr>
        <w:t> </w:t>
      </w:r>
      <w:r>
        <w:rPr/>
        <w:t>的披露要求</w:t>
      </w:r>
    </w:p>
    <w:p>
      <w:pPr>
        <w:spacing w:line="240" w:lineRule="auto" w:before="1"/>
        <w:rPr>
          <w:rFonts w:ascii="宋体" w:hAnsi="宋体" w:cs="宋体" w:eastAsia="宋体" w:hint="default"/>
          <w:sz w:val="27"/>
          <w:szCs w:val="27"/>
        </w:rPr>
      </w:pPr>
    </w:p>
    <w:p>
      <w:pPr>
        <w:pStyle w:val="Heading4"/>
        <w:spacing w:line="240" w:lineRule="auto"/>
        <w:ind w:right="1127"/>
        <w:jc w:val="left"/>
        <w:rPr>
          <w:b w:val="0"/>
          <w:bCs w:val="0"/>
        </w:rPr>
      </w:pPr>
      <w:bookmarkStart w:name="3、培训计划" w:id="229"/>
      <w:bookmarkEnd w:id="2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spacing w:val="-4"/>
        </w:rPr>
        <w:t>2019</w:t>
      </w:r>
      <w:r>
        <w:rPr>
          <w:spacing w:val="-4"/>
        </w:rPr>
        <w:t>年度公司针对员工进行了有计划的、系统的培训，不断提高员工知识水平、综合素质和队伍素质，</w:t>
      </w:r>
    </w:p>
    <w:p>
      <w:pPr>
        <w:pStyle w:val="BodyText"/>
        <w:spacing w:line="338" w:lineRule="auto" w:before="117"/>
        <w:ind w:left="152" w:right="1127"/>
        <w:jc w:val="left"/>
      </w:pPr>
      <w:r>
        <w:rPr>
          <w:rFonts w:ascii="Times New Roman" w:hAnsi="Times New Roman" w:cs="Times New Roman" w:eastAsia="Times New Roman" w:hint="default"/>
          <w:spacing w:val="-2"/>
        </w:rPr>
        <w:t>2020</w:t>
      </w:r>
      <w:r>
        <w:rPr>
          <w:spacing w:val="-2"/>
        </w:rPr>
        <w:t>年度公司将持续挖掘人力资源的潜力，持续不断培养优秀人才，多层次、多渠道、多形式开展培训活</w:t>
      </w:r>
      <w:r>
        <w:rPr>
          <w:spacing w:val="-43"/>
        </w:rPr>
        <w:t> </w:t>
      </w:r>
      <w:r>
        <w:rPr>
          <w:spacing w:val="-43"/>
        </w:rPr>
      </w:r>
      <w:r>
        <w:rPr/>
        <w:t>动，使员工在职业发展规划中获取公司给与的支持与培养，达到互利共赢、共同发展的目的。</w:t>
      </w:r>
    </w:p>
    <w:p>
      <w:pPr>
        <w:spacing w:line="240" w:lineRule="auto" w:before="7"/>
        <w:rPr>
          <w:rFonts w:ascii="宋体" w:hAnsi="宋体" w:cs="宋体" w:eastAsia="宋体" w:hint="default"/>
          <w:sz w:val="26"/>
          <w:szCs w:val="26"/>
        </w:rPr>
      </w:pPr>
    </w:p>
    <w:p>
      <w:pPr>
        <w:pStyle w:val="Heading4"/>
        <w:spacing w:line="240" w:lineRule="auto"/>
        <w:ind w:right="1127"/>
        <w:jc w:val="left"/>
        <w:rPr>
          <w:b w:val="0"/>
          <w:bCs w:val="0"/>
        </w:rPr>
      </w:pPr>
      <w:bookmarkStart w:name="4、劳务外包情况" w:id="230"/>
      <w:bookmarkEnd w:id="2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2" w:footer="1134" w:top="1280" w:bottom="1320" w:left="980" w:right="0"/>
        </w:sectPr>
      </w:pPr>
    </w:p>
    <w:p>
      <w:pPr>
        <w:spacing w:line="240" w:lineRule="auto" w:before="2"/>
        <w:rPr>
          <w:rFonts w:ascii="宋体" w:hAnsi="宋体" w:cs="宋体" w:eastAsia="宋体" w:hint="default"/>
          <w:sz w:val="25"/>
          <w:szCs w:val="25"/>
        </w:rPr>
      </w:pPr>
    </w:p>
    <w:p>
      <w:pPr>
        <w:spacing w:before="0"/>
        <w:ind w:left="134" w:right="473" w:firstLine="0"/>
        <w:jc w:val="center"/>
        <w:rPr>
          <w:rFonts w:ascii="宋体" w:hAnsi="宋体" w:cs="宋体" w:eastAsia="宋体" w:hint="default"/>
          <w:sz w:val="32"/>
          <w:szCs w:val="32"/>
        </w:rPr>
      </w:pPr>
      <w:bookmarkStart w:name="_TOC_250003" w:id="231"/>
      <w:bookmarkStart w:name="第十节公司治理" w:id="232"/>
      <w:r>
        <w:rPr/>
      </w:r>
      <w:r>
        <w:rPr>
          <w:rFonts w:ascii="宋体" w:hAnsi="宋体" w:cs="宋体" w:eastAsia="宋体" w:hint="default"/>
          <w:b/>
          <w:bCs/>
          <w:sz w:val="32"/>
          <w:szCs w:val="32"/>
        </w:rPr>
        <w:t>第十节公司治理</w:t>
      </w:r>
      <w:bookmarkEnd w:id="231"/>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Heading2"/>
        <w:spacing w:line="240" w:lineRule="auto" w:before="26"/>
        <w:ind w:right="1127"/>
        <w:jc w:val="left"/>
        <w:rPr>
          <w:b w:val="0"/>
          <w:bCs w:val="0"/>
        </w:rPr>
      </w:pPr>
      <w:bookmarkStart w:name="一、公司治理的基本状况" w:id="233"/>
      <w:bookmarkEnd w:id="233"/>
      <w:r>
        <w:rPr>
          <w:b w:val="0"/>
          <w:bCs w:val="0"/>
        </w:rPr>
      </w:r>
      <w:r>
        <w:rPr/>
        <w:t>一、公司治理的基本状况</w:t>
      </w:r>
      <w:r>
        <w:rPr>
          <w:b w:val="0"/>
          <w:bCs w:val="0"/>
        </w:rPr>
      </w:r>
    </w:p>
    <w:p>
      <w:pPr>
        <w:spacing w:line="240" w:lineRule="auto" w:before="3"/>
        <w:rPr>
          <w:rFonts w:ascii="宋体" w:hAnsi="宋体" w:cs="宋体" w:eastAsia="宋体" w:hint="default"/>
          <w:b/>
          <w:bCs/>
          <w:sz w:val="23"/>
          <w:szCs w:val="23"/>
        </w:rPr>
      </w:pPr>
    </w:p>
    <w:p>
      <w:pPr>
        <w:pStyle w:val="BodyText"/>
        <w:spacing w:line="352" w:lineRule="auto"/>
        <w:ind w:left="152" w:right="1127" w:firstLine="420"/>
        <w:jc w:val="left"/>
      </w:pPr>
      <w:r>
        <w:rPr>
          <w:spacing w:val="-2"/>
        </w:rPr>
        <w:t>公司严格按照《公司法》、《证券法》、《深圳证券交易所创业板上市公司规范运作指引》、《上市</w:t>
      </w:r>
      <w:r>
        <w:rPr>
          <w:w w:val="100"/>
        </w:rPr>
        <w:t> </w:t>
      </w:r>
      <w:r>
        <w:rPr>
          <w:spacing w:val="-2"/>
        </w:rPr>
        <w:t>公司治理规则》、《企业内部控制基本规范</w:t>
      </w:r>
      <w:r>
        <w:rPr>
          <w:rFonts w:ascii="Times New Roman" w:hAnsi="Times New Roman" w:cs="Times New Roman" w:eastAsia="Times New Roman" w:hint="default"/>
          <w:spacing w:val="-2"/>
        </w:rPr>
        <w:t>(</w:t>
      </w:r>
      <w:r>
        <w:rPr>
          <w:spacing w:val="-2"/>
        </w:rPr>
        <w:t>试行</w:t>
      </w:r>
      <w:r>
        <w:rPr>
          <w:rFonts w:ascii="Times New Roman" w:hAnsi="Times New Roman" w:cs="Times New Roman" w:eastAsia="Times New Roman" w:hint="default"/>
          <w:spacing w:val="-2"/>
        </w:rPr>
        <w:t>)</w:t>
      </w:r>
      <w:r>
        <w:rPr>
          <w:spacing w:val="-2"/>
        </w:rPr>
        <w:t>》及配套指引等相关法律法规的要求，不断完善公司法</w:t>
      </w:r>
      <w:r>
        <w:rPr>
          <w:spacing w:val="-19"/>
        </w:rPr>
        <w:t> </w:t>
      </w:r>
      <w:r>
        <w:rPr>
          <w:spacing w:val="-19"/>
        </w:rPr>
      </w:r>
      <w:r>
        <w:rPr/>
        <w:t>人治理结构，建立健全公司内部控制制度，持续深入开展公司治理活动，提高公司规范运作水平。</w:t>
      </w:r>
      <w:r>
        <w:rPr>
          <w:spacing w:val="-23"/>
        </w:rPr>
        <w:t> </w:t>
      </w:r>
      <w:r>
        <w:rPr>
          <w:spacing w:val="-3"/>
        </w:rPr>
        <w:t>截止</w:t>
      </w:r>
      <w:r>
        <w:rPr>
          <w:spacing w:val="-3"/>
          <w:w w:val="100"/>
        </w:rPr>
        <w:t> </w:t>
      </w:r>
      <w:r>
        <w:rPr>
          <w:spacing w:val="-2"/>
        </w:rPr>
        <w:t>报告期末，公司内部治理结构完整、健全、清晰，符合《公司法》、《公司章程》及其他法律、法规和规</w:t>
      </w:r>
      <w:r>
        <w:rPr>
          <w:spacing w:val="-41"/>
        </w:rPr>
        <w:t> </w:t>
      </w:r>
      <w:r>
        <w:rPr>
          <w:spacing w:val="-41"/>
        </w:rPr>
      </w:r>
      <w:r>
        <w:rPr>
          <w:spacing w:val="-2"/>
        </w:rPr>
        <w:t>范性文件的规定。报告期内，公司股东大会、董事会、监事会均能严格按照相关规章制度规范地召开，各</w:t>
      </w:r>
      <w:r>
        <w:rPr>
          <w:spacing w:val="-43"/>
        </w:rPr>
        <w:t> </w:t>
      </w:r>
      <w:r>
        <w:rPr>
          <w:spacing w:val="-43"/>
        </w:rPr>
      </w:r>
      <w:r>
        <w:rPr/>
        <w:t>位董事、监事均能认真履行自己的职责。</w:t>
      </w:r>
    </w:p>
    <w:p>
      <w:pPr>
        <w:pStyle w:val="BodyText"/>
        <w:spacing w:line="240" w:lineRule="auto" w:before="133"/>
        <w:ind w:right="1127"/>
        <w:jc w:val="left"/>
      </w:pPr>
      <w:r>
        <w:rPr/>
        <w:t>公司治理的实际状况与中国证监会发布的有关上市公司治理的规范性文件是否存在重大差异</w:t>
      </w:r>
    </w:p>
    <w:p>
      <w:pPr>
        <w:spacing w:line="240" w:lineRule="auto" w:before="12"/>
        <w:rPr>
          <w:rFonts w:ascii="宋体" w:hAnsi="宋体" w:cs="宋体" w:eastAsia="宋体" w:hint="default"/>
          <w:sz w:val="17"/>
          <w:szCs w:val="17"/>
        </w:rPr>
      </w:pPr>
    </w:p>
    <w:p>
      <w:pPr>
        <w:pStyle w:val="BodyText"/>
        <w:spacing w:line="42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公司治理的实际状况与中国证监会发布的有关上市公司治理的规范性文件不存在重大差异。</w:t>
      </w:r>
    </w:p>
    <w:p>
      <w:pPr>
        <w:spacing w:line="240" w:lineRule="auto" w:before="10"/>
        <w:rPr>
          <w:rFonts w:ascii="宋体" w:hAnsi="宋体" w:cs="宋体" w:eastAsia="宋体" w:hint="default"/>
          <w:sz w:val="20"/>
          <w:szCs w:val="20"/>
        </w:rPr>
      </w:pPr>
    </w:p>
    <w:p>
      <w:pPr>
        <w:pStyle w:val="Heading2"/>
        <w:spacing w:line="240" w:lineRule="auto"/>
        <w:ind w:right="1127"/>
        <w:jc w:val="left"/>
        <w:rPr>
          <w:b w:val="0"/>
          <w:bCs w:val="0"/>
        </w:rPr>
      </w:pPr>
      <w:bookmarkStart w:name="二、公司相对于控股股东在业务、人员、资产、机构、财务等方面的独立情况" w:id="234"/>
      <w:bookmarkEnd w:id="234"/>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127"/>
        <w:jc w:val="left"/>
      </w:pPr>
      <w:r>
        <w:rPr/>
        <w:t>公司相对于控股股东在业务、人员、资产、机构、财务等方面保持独立。</w:t>
      </w:r>
    </w:p>
    <w:p>
      <w:pPr>
        <w:spacing w:line="240" w:lineRule="auto" w:before="0"/>
        <w:rPr>
          <w:rFonts w:ascii="宋体" w:hAnsi="宋体" w:cs="宋体" w:eastAsia="宋体" w:hint="default"/>
          <w:sz w:val="20"/>
          <w:szCs w:val="20"/>
        </w:rPr>
      </w:pPr>
    </w:p>
    <w:p>
      <w:pPr>
        <w:pStyle w:val="Heading2"/>
        <w:spacing w:line="240" w:lineRule="auto" w:before="167"/>
        <w:ind w:right="1127"/>
        <w:jc w:val="left"/>
        <w:rPr>
          <w:b w:val="0"/>
          <w:bCs w:val="0"/>
        </w:rPr>
      </w:pPr>
      <w:bookmarkStart w:name="三、同业竞争情况" w:id="235"/>
      <w:bookmarkEnd w:id="235"/>
      <w:r>
        <w:rPr>
          <w:b w:val="0"/>
          <w:bCs w:val="0"/>
        </w:rPr>
      </w:r>
      <w:r>
        <w:rPr/>
        <w:t>三、同业竞争情况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1"/>
          <w:szCs w:val="31"/>
        </w:rPr>
      </w:pPr>
    </w:p>
    <w:p>
      <w:pPr>
        <w:pStyle w:val="Heading2"/>
        <w:spacing w:line="240" w:lineRule="auto"/>
        <w:ind w:right="1127"/>
        <w:jc w:val="left"/>
        <w:rPr>
          <w:b w:val="0"/>
          <w:bCs w:val="0"/>
        </w:rPr>
      </w:pPr>
      <w:bookmarkStart w:name="四、报告期内召开的年度股东大会和临时股东大会的有关情况" w:id="236"/>
      <w:bookmarkEnd w:id="236"/>
      <w:r>
        <w:rPr>
          <w:b w:val="0"/>
          <w:bCs w:val="0"/>
        </w:rPr>
      </w:r>
      <w:r>
        <w:rPr/>
        <w:t>四、报告期内召开的年度股东大会和临时股东大会的有关情况</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right="1127"/>
        <w:jc w:val="left"/>
        <w:rPr>
          <w:b w:val="0"/>
          <w:bCs w:val="0"/>
        </w:rPr>
      </w:pPr>
      <w:bookmarkStart w:name="1、本报告期股东大会情况" w:id="237"/>
      <w:bookmarkEnd w:id="2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3"/>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89"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85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36" w:lineRule="exact"/>
              <w:ind w:left="434" w:right="47" w:hanging="38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39.67%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41"/>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32" w:lineRule="exact" w:before="23"/>
              <w:ind w:left="59" w:right="60"/>
              <w:jc w:val="center"/>
              <w:rPr>
                <w:rFonts w:ascii="宋体" w:hAnsi="宋体" w:cs="宋体" w:eastAsia="宋体" w:hint="default"/>
                <w:sz w:val="18"/>
                <w:szCs w:val="18"/>
              </w:rPr>
            </w:pPr>
            <w:r>
              <w:rPr>
                <w:rFonts w:ascii="宋体" w:hAnsi="宋体" w:cs="宋体" w:eastAsia="宋体" w:hint="default"/>
                <w:spacing w:val="-2"/>
                <w:sz w:val="18"/>
                <w:szCs w:val="18"/>
              </w:rPr>
              <w:t>（</w:t>
            </w:r>
            <w:hyperlink r:id="rId55">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r>
        <w:trPr>
          <w:trHeight w:val="85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36" w:lineRule="exact"/>
              <w:ind w:left="703" w:right="47" w:hanging="65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36.23%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41"/>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32" w:lineRule="exact" w:before="23"/>
              <w:ind w:left="59" w:right="60"/>
              <w:jc w:val="center"/>
              <w:rPr>
                <w:rFonts w:ascii="宋体" w:hAnsi="宋体" w:cs="宋体" w:eastAsia="宋体" w:hint="default"/>
                <w:sz w:val="18"/>
                <w:szCs w:val="18"/>
              </w:rPr>
            </w:pPr>
            <w:r>
              <w:rPr>
                <w:rFonts w:ascii="宋体" w:hAnsi="宋体" w:cs="宋体" w:eastAsia="宋体" w:hint="default"/>
                <w:spacing w:val="-2"/>
                <w:sz w:val="18"/>
                <w:szCs w:val="18"/>
              </w:rPr>
              <w:t>（</w:t>
            </w:r>
            <w:hyperlink r:id="rId55">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r>
        <w:trPr>
          <w:trHeight w:val="85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36" w:lineRule="exact"/>
              <w:ind w:left="434" w:right="47" w:hanging="38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41"/>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32" w:lineRule="exact" w:before="23"/>
              <w:ind w:left="59" w:right="60"/>
              <w:jc w:val="center"/>
              <w:rPr>
                <w:rFonts w:ascii="宋体" w:hAnsi="宋体" w:cs="宋体" w:eastAsia="宋体" w:hint="default"/>
                <w:sz w:val="18"/>
                <w:szCs w:val="18"/>
              </w:rPr>
            </w:pPr>
            <w:r>
              <w:rPr>
                <w:rFonts w:ascii="宋体" w:hAnsi="宋体" w:cs="宋体" w:eastAsia="宋体" w:hint="default"/>
                <w:spacing w:val="-2"/>
                <w:sz w:val="18"/>
                <w:szCs w:val="18"/>
              </w:rPr>
              <w:t>（</w:t>
            </w:r>
            <w:hyperlink r:id="rId55">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r>
        <w:trPr>
          <w:trHeight w:val="6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434" w:right="47" w:hanging="38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36.87%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0"/>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8"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55">
              <w:r>
                <w:rPr>
                  <w:rFonts w:ascii="Times New Roman" w:hAnsi="Times New Roman" w:cs="Times New Roman" w:eastAsia="Times New Roman" w:hint="default"/>
                  <w:sz w:val="18"/>
                  <w:szCs w:val="18"/>
                </w:rPr>
                <w:t>www.cninfo.com.</w:t>
              </w:r>
            </w:hyperlink>
          </w:p>
        </w:tc>
      </w:tr>
    </w:tbl>
    <w:p>
      <w:pPr>
        <w:spacing w:after="0" w:line="248" w:lineRule="exact"/>
        <w:jc w:val="center"/>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b/>
          <w:bCs/>
          <w:sz w:val="11"/>
          <w:szCs w:val="11"/>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14"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r>
        <w:trPr>
          <w:trHeight w:val="85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32" w:lineRule="exact"/>
              <w:ind w:left="434" w:right="47" w:hanging="38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33.85%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44"/>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32" w:lineRule="exact" w:before="23"/>
              <w:ind w:left="59" w:right="60"/>
              <w:jc w:val="center"/>
              <w:rPr>
                <w:rFonts w:ascii="宋体" w:hAnsi="宋体" w:cs="宋体" w:eastAsia="宋体" w:hint="default"/>
                <w:sz w:val="18"/>
                <w:szCs w:val="18"/>
              </w:rPr>
            </w:pPr>
            <w:r>
              <w:rPr>
                <w:rFonts w:ascii="宋体" w:hAnsi="宋体" w:cs="宋体" w:eastAsia="宋体" w:hint="default"/>
                <w:spacing w:val="-2"/>
                <w:sz w:val="18"/>
                <w:szCs w:val="18"/>
              </w:rPr>
              <w:t>（</w:t>
            </w:r>
            <w:hyperlink r:id="rId55">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r>
        <w:trPr>
          <w:trHeight w:val="8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32" w:lineRule="exact"/>
              <w:ind w:left="434" w:right="47" w:hanging="38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1.51%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44"/>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32" w:lineRule="exact" w:before="23"/>
              <w:ind w:left="59" w:right="60"/>
              <w:jc w:val="center"/>
              <w:rPr>
                <w:rFonts w:ascii="宋体" w:hAnsi="宋体" w:cs="宋体" w:eastAsia="宋体" w:hint="default"/>
                <w:sz w:val="18"/>
                <w:szCs w:val="18"/>
              </w:rPr>
            </w:pPr>
            <w:r>
              <w:rPr>
                <w:rFonts w:ascii="宋体" w:hAnsi="宋体" w:cs="宋体" w:eastAsia="宋体" w:hint="default"/>
                <w:spacing w:val="-2"/>
                <w:sz w:val="18"/>
                <w:szCs w:val="18"/>
              </w:rPr>
              <w:t>（</w:t>
            </w:r>
            <w:hyperlink r:id="rId55">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bl>
    <w:p>
      <w:pPr>
        <w:spacing w:line="240" w:lineRule="auto" w:before="7"/>
        <w:rPr>
          <w:rFonts w:ascii="宋体" w:hAnsi="宋体" w:cs="宋体" w:eastAsia="宋体" w:hint="default"/>
          <w:b/>
          <w:bCs/>
          <w:sz w:val="17"/>
          <w:szCs w:val="17"/>
        </w:rPr>
      </w:pPr>
    </w:p>
    <w:p>
      <w:pPr>
        <w:pStyle w:val="Heading4"/>
        <w:spacing w:line="240" w:lineRule="auto" w:before="36"/>
        <w:ind w:right="1127"/>
        <w:jc w:val="left"/>
        <w:rPr>
          <w:b w:val="0"/>
          <w:bCs w:val="0"/>
        </w:rPr>
      </w:pPr>
      <w:bookmarkStart w:name="2、表决权恢复的优先股股东请求召开临时股东大会" w:id="238"/>
      <w:bookmarkEnd w:id="2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1"/>
          <w:szCs w:val="31"/>
        </w:rPr>
      </w:pPr>
    </w:p>
    <w:p>
      <w:pPr>
        <w:pStyle w:val="Heading2"/>
        <w:spacing w:line="240" w:lineRule="auto"/>
        <w:ind w:right="1127"/>
        <w:jc w:val="left"/>
        <w:rPr>
          <w:b w:val="0"/>
          <w:bCs w:val="0"/>
        </w:rPr>
      </w:pPr>
      <w:bookmarkStart w:name="五、报告期内独立董事履行职责的情况" w:id="239"/>
      <w:bookmarkEnd w:id="239"/>
      <w:r>
        <w:rPr>
          <w:b w:val="0"/>
          <w:bCs w:val="0"/>
        </w:rPr>
      </w:r>
      <w:r>
        <w:rPr/>
        <w:t>五、报告期内独立董事履行职责的情况</w:t>
      </w:r>
      <w:r>
        <w:rPr>
          <w:b w:val="0"/>
          <w:bCs w:val="0"/>
        </w:rPr>
      </w:r>
    </w:p>
    <w:p>
      <w:pPr>
        <w:spacing w:line="240" w:lineRule="auto" w:before="6"/>
        <w:rPr>
          <w:rFonts w:ascii="宋体" w:hAnsi="宋体" w:cs="宋体" w:eastAsia="宋体" w:hint="default"/>
          <w:b/>
          <w:bCs/>
          <w:sz w:val="23"/>
          <w:szCs w:val="23"/>
        </w:rPr>
      </w:pPr>
    </w:p>
    <w:p>
      <w:pPr>
        <w:pStyle w:val="Heading4"/>
        <w:spacing w:line="240" w:lineRule="auto"/>
        <w:ind w:right="1127"/>
        <w:jc w:val="left"/>
        <w:rPr>
          <w:b w:val="0"/>
          <w:bCs w:val="0"/>
        </w:rPr>
      </w:pPr>
      <w:bookmarkStart w:name="1、独立董事出席董事会及股东大会的情况" w:id="240"/>
      <w:bookmarkEnd w:id="2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3"/>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4"/>
        <w:gridCol w:w="1164"/>
      </w:tblGrid>
      <w:tr>
        <w:trPr>
          <w:trHeight w:val="386"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854"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32" w:lineRule="exact"/>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32" w:lineRule="exact"/>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32" w:lineRule="exact"/>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32" w:lineRule="exact"/>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32" w:lineRule="exact"/>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44"/>
              <w:ind w:left="35"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32" w:lineRule="exact"/>
              <w:ind w:left="395"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389"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于明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87" w:right="0"/>
              <w:jc w:val="lef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32" w:right="0"/>
              <w:jc w:val="lef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 w:right="0"/>
              <w:jc w:val="center"/>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6</w:t>
            </w:r>
          </w:p>
        </w:tc>
      </w:tr>
      <w:tr>
        <w:trPr>
          <w:trHeight w:val="386"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李绍滨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87" w:right="0"/>
              <w:jc w:val="lef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32" w:right="0"/>
              <w:jc w:val="lef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 w:right="0"/>
              <w:jc w:val="center"/>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sz w:val="18"/>
              </w:rPr>
              <w:t>1</w:t>
            </w:r>
          </w:p>
        </w:tc>
      </w:tr>
      <w:tr>
        <w:trPr>
          <w:trHeight w:val="389"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李景辉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87" w:right="0"/>
              <w:jc w:val="lef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32" w:right="0"/>
              <w:jc w:val="lef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 w:right="0"/>
              <w:jc w:val="center"/>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64"/>
        <w:ind w:left="152" w:right="1127" w:firstLine="420"/>
        <w:jc w:val="left"/>
      </w:pPr>
      <w:r>
        <w:rPr/>
        <w:t>连续两次未亲自出席董事会的说明</w:t>
      </w:r>
    </w:p>
    <w:p>
      <w:pPr>
        <w:spacing w:line="240" w:lineRule="auto" w:before="0"/>
        <w:rPr>
          <w:rFonts w:ascii="宋体" w:hAnsi="宋体" w:cs="宋体" w:eastAsia="宋体" w:hint="default"/>
          <w:sz w:val="20"/>
          <w:szCs w:val="20"/>
        </w:rPr>
      </w:pPr>
    </w:p>
    <w:p>
      <w:pPr>
        <w:spacing w:line="470" w:lineRule="auto" w:before="174"/>
        <w:ind w:left="572" w:right="5512" w:hanging="421"/>
        <w:jc w:val="left"/>
        <w:rPr>
          <w:rFonts w:ascii="宋体" w:hAnsi="宋体" w:cs="宋体" w:eastAsia="宋体" w:hint="default"/>
          <w:sz w:val="21"/>
          <w:szCs w:val="21"/>
        </w:rPr>
      </w:pPr>
      <w:bookmarkStart w:name="2、独立董事对公司有关事项提出异议的情况" w:id="241"/>
      <w:bookmarkEnd w:id="241"/>
      <w:r>
        <w:rPr/>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、独立董事对公司有关事项提出异议的情况</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独立董事对公司有关事项是否提出异议</w:t>
      </w:r>
    </w:p>
    <w:p>
      <w:pPr>
        <w:pStyle w:val="BodyText"/>
        <w:spacing w:line="420" w:lineRule="auto" w:before="30"/>
        <w:ind w:right="55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报告期内独立董事对公司有关事项未提出异议。</w:t>
      </w:r>
    </w:p>
    <w:p>
      <w:pPr>
        <w:spacing w:line="240" w:lineRule="auto" w:before="6"/>
        <w:rPr>
          <w:rFonts w:ascii="宋体" w:hAnsi="宋体" w:cs="宋体" w:eastAsia="宋体" w:hint="default"/>
          <w:sz w:val="21"/>
          <w:szCs w:val="21"/>
        </w:rPr>
      </w:pPr>
    </w:p>
    <w:p>
      <w:pPr>
        <w:spacing w:line="470" w:lineRule="auto" w:before="0"/>
        <w:ind w:left="572" w:right="5512" w:hanging="420"/>
        <w:jc w:val="left"/>
        <w:rPr>
          <w:rFonts w:ascii="宋体" w:hAnsi="宋体" w:cs="宋体" w:eastAsia="宋体" w:hint="default"/>
          <w:sz w:val="21"/>
          <w:szCs w:val="21"/>
        </w:rPr>
      </w:pPr>
      <w:bookmarkStart w:name="3、独立董事履行职责的其他说明" w:id="242"/>
      <w:bookmarkEnd w:id="24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b/>
          <w:bCs/>
          <w:w w:val="100"/>
          <w:sz w:val="21"/>
          <w:szCs w:val="21"/>
        </w:rPr>
        <w:t> </w:t>
      </w:r>
      <w:r>
        <w:rPr>
          <w:rFonts w:ascii="宋体" w:hAnsi="宋体" w:cs="宋体" w:eastAsia="宋体" w:hint="default"/>
          <w:spacing w:val="-2"/>
          <w:sz w:val="21"/>
          <w:szCs w:val="21"/>
        </w:rPr>
        <w:t>独立董事对公司有关建议是否被采纳</w:t>
      </w:r>
    </w:p>
    <w:p>
      <w:pPr>
        <w:pStyle w:val="BodyText"/>
        <w:spacing w:line="434" w:lineRule="auto" w:before="32"/>
        <w:ind w:right="4814"/>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t>独立董事对公司有关建议被采纳或未被采纳的说明</w:t>
      </w:r>
      <w:r>
        <w:rPr>
          <w:w w:val="100"/>
        </w:rPr>
        <w:t> </w:t>
      </w:r>
      <w:r>
        <w:rPr>
          <w:spacing w:val="-2"/>
        </w:rPr>
        <w:t>报告期内，独立董事对公司提出的各项合理建议均被采纳。</w:t>
      </w:r>
    </w:p>
    <w:p>
      <w:pPr>
        <w:spacing w:line="240" w:lineRule="auto" w:before="8"/>
        <w:rPr>
          <w:rFonts w:ascii="宋体" w:hAnsi="宋体" w:cs="宋体" w:eastAsia="宋体" w:hint="default"/>
          <w:sz w:val="19"/>
          <w:szCs w:val="19"/>
        </w:rPr>
      </w:pPr>
    </w:p>
    <w:p>
      <w:pPr>
        <w:pStyle w:val="Heading2"/>
        <w:spacing w:line="240" w:lineRule="auto"/>
        <w:ind w:right="1127"/>
        <w:jc w:val="left"/>
        <w:rPr>
          <w:b w:val="0"/>
          <w:bCs w:val="0"/>
        </w:rPr>
      </w:pPr>
      <w:bookmarkStart w:name="六、董事会下设专门委员会在报告期内履行职责情况" w:id="243"/>
      <w:bookmarkEnd w:id="243"/>
      <w:r>
        <w:rPr>
          <w:b w:val="0"/>
          <w:bCs w:val="0"/>
        </w:rPr>
      </w:r>
      <w:r>
        <w:rPr/>
        <w:t>六、董事会下设专门委员会在报告期内履行职责情况</w:t>
      </w:r>
      <w:r>
        <w:rPr>
          <w:b w:val="0"/>
          <w:bCs w:val="0"/>
        </w:rPr>
      </w:r>
    </w:p>
    <w:p>
      <w:pPr>
        <w:spacing w:after="0" w:line="240" w:lineRule="auto"/>
        <w:jc w:val="left"/>
        <w:sectPr>
          <w:footerReference w:type="default" r:id="rId56"/>
          <w:pgSz w:w="11910" w:h="16840"/>
          <w:pgMar w:footer="1134" w:header="882" w:top="1280" w:bottom="1320" w:left="980" w:right="0"/>
          <w:pgNumType w:start="110"/>
        </w:sectPr>
      </w:pPr>
    </w:p>
    <w:p>
      <w:pPr>
        <w:pStyle w:val="Heading3"/>
        <w:spacing w:line="240" w:lineRule="auto" w:before="106"/>
        <w:ind w:right="1127"/>
        <w:jc w:val="left"/>
      </w:pPr>
      <w:bookmarkStart w:name="（一）董事会审计委员会" w:id="244"/>
      <w:bookmarkEnd w:id="244"/>
      <w:r>
        <w:rPr/>
      </w:r>
      <w:r>
        <w:rPr/>
        <w:t>（一）董事会审计委员会</w:t>
      </w:r>
    </w:p>
    <w:p>
      <w:pPr>
        <w:spacing w:line="240" w:lineRule="auto" w:before="10"/>
        <w:rPr>
          <w:rFonts w:ascii="黑体" w:hAnsi="黑体" w:cs="黑体" w:eastAsia="黑体" w:hint="default"/>
          <w:sz w:val="26"/>
          <w:szCs w:val="26"/>
        </w:rPr>
      </w:pPr>
    </w:p>
    <w:p>
      <w:pPr>
        <w:pStyle w:val="BodyText"/>
        <w:spacing w:line="343" w:lineRule="auto"/>
        <w:ind w:left="152" w:right="1022" w:firstLine="420"/>
        <w:jc w:val="left"/>
      </w:pPr>
      <w:r>
        <w:rPr/>
        <w:t>审计委员会定期召开会议审议内部审计部门提交的工作计划和报告的具体情况，并定期向董事会报</w:t>
      </w:r>
      <w:r>
        <w:rPr>
          <w:w w:val="100"/>
        </w:rPr>
        <w:t> </w:t>
      </w:r>
      <w:r>
        <w:rPr>
          <w:spacing w:val="-2"/>
        </w:rPr>
        <w:t>告；对与财务报告和信息披露事务相关的内部控制制度的建立和实施情况出具的审核意见；与公司聘请的</w:t>
      </w:r>
      <w:r>
        <w:rPr>
          <w:spacing w:val="-42"/>
        </w:rPr>
        <w:t> </w:t>
      </w:r>
      <w:r>
        <w:rPr>
          <w:spacing w:val="-42"/>
        </w:rPr>
      </w:r>
      <w:r>
        <w:rPr>
          <w:spacing w:val="-2"/>
        </w:rPr>
        <w:t>审计机构沟通，确定了公司</w:t>
      </w:r>
      <w:r>
        <w:rPr>
          <w:rFonts w:ascii="Times New Roman" w:hAnsi="Times New Roman" w:cs="Times New Roman" w:eastAsia="Times New Roman" w:hint="default"/>
          <w:spacing w:val="-2"/>
        </w:rPr>
        <w:t>2019</w:t>
      </w:r>
      <w:r>
        <w:rPr>
          <w:spacing w:val="-2"/>
        </w:rPr>
        <w:t>年度财务报告审计工作计划日程安排。审计委员会认真审阅了公司出具的</w:t>
      </w:r>
      <w:r>
        <w:rPr>
          <w:spacing w:val="-38"/>
        </w:rPr>
        <w:t> </w:t>
      </w:r>
      <w:r>
        <w:rPr>
          <w:spacing w:val="-38"/>
        </w:rPr>
      </w:r>
      <w:r>
        <w:rPr>
          <w:rFonts w:ascii="Times New Roman" w:hAnsi="Times New Roman" w:cs="Times New Roman" w:eastAsia="Times New Roman" w:hint="default"/>
          <w:spacing w:val="-2"/>
        </w:rPr>
        <w:t>2018</w:t>
      </w:r>
      <w:r>
        <w:rPr>
          <w:spacing w:val="-2"/>
        </w:rPr>
        <w:t>年度财务报表，认为：</w:t>
      </w:r>
      <w:r>
        <w:rPr>
          <w:rFonts w:ascii="Times New Roman" w:hAnsi="Times New Roman" w:cs="Times New Roman" w:eastAsia="Times New Roman" w:hint="default"/>
          <w:spacing w:val="-2"/>
        </w:rPr>
        <w:t>1</w:t>
      </w:r>
      <w:r>
        <w:rPr>
          <w:spacing w:val="-2"/>
        </w:rPr>
        <w:t>、公司财务报表依照公司会计政策编制、会计政策运用恰当，会计估计合理，</w:t>
      </w:r>
      <w:r>
        <w:rPr>
          <w:spacing w:val="-37"/>
        </w:rPr>
        <w:t> </w:t>
      </w:r>
      <w:r>
        <w:rPr>
          <w:spacing w:val="-37"/>
        </w:rPr>
      </w:r>
      <w:r>
        <w:rPr/>
        <w:t>符合新企业会计准则及财政部发布的有关规定要求；</w:t>
      </w:r>
      <w:r>
        <w:rPr>
          <w:rFonts w:ascii="Times New Roman" w:hAnsi="Times New Roman" w:cs="Times New Roman" w:eastAsia="Times New Roman" w:hint="default"/>
        </w:rPr>
        <w:t>2</w:t>
      </w:r>
      <w:r>
        <w:rPr/>
        <w:t>、公司财务报表纳入合并范围的单位和报表内容完</w:t>
      </w:r>
      <w:r>
        <w:rPr>
          <w:spacing w:val="-3"/>
          <w:w w:val="100"/>
        </w:rPr>
        <w:t> </w:t>
      </w:r>
      <w:r>
        <w:rPr/>
        <w:t>整，报表合并基础准确；</w:t>
      </w:r>
      <w:r>
        <w:rPr>
          <w:rFonts w:ascii="Times New Roman" w:hAnsi="Times New Roman" w:cs="Times New Roman" w:eastAsia="Times New Roman" w:hint="default"/>
        </w:rPr>
        <w:t>3</w:t>
      </w:r>
      <w:r>
        <w:rPr/>
        <w:t>、公司财务报表客观、真实地反映了公司的财务状况，未发现有重大偏差或重</w:t>
      </w:r>
      <w:r>
        <w:rPr>
          <w:w w:val="100"/>
        </w:rPr>
        <w:t> </w:t>
      </w:r>
      <w:r>
        <w:rPr>
          <w:spacing w:val="-2"/>
        </w:rPr>
        <w:t>大遗漏的情况，并同意提交外部审计机构开展审计工作。审计委员会审阅年审注册会计师出具的</w:t>
      </w:r>
      <w:r>
        <w:rPr>
          <w:rFonts w:ascii="Times New Roman" w:hAnsi="Times New Roman" w:cs="Times New Roman" w:eastAsia="Times New Roman" w:hint="default"/>
          <w:spacing w:val="-2"/>
        </w:rPr>
        <w:t>2018</w:t>
      </w:r>
      <w:r>
        <w:rPr>
          <w:spacing w:val="-2"/>
        </w:rPr>
        <w:t>年度</w:t>
      </w:r>
      <w:r>
        <w:rPr>
          <w:spacing w:val="-38"/>
        </w:rPr>
        <w:t> </w:t>
      </w:r>
      <w:r>
        <w:rPr>
          <w:spacing w:val="-3"/>
        </w:rPr>
        <w:t>财务会计审计报告，认为：</w:t>
      </w:r>
      <w:r>
        <w:rPr>
          <w:rFonts w:ascii="Times New Roman" w:hAnsi="Times New Roman" w:cs="Times New Roman" w:eastAsia="Times New Roman" w:hint="default"/>
          <w:spacing w:val="-3"/>
        </w:rPr>
        <w:t>1</w:t>
      </w:r>
      <w:r>
        <w:rPr>
          <w:spacing w:val="-3"/>
        </w:rPr>
        <w:t>、公司在审计前编制的财务报表与审计后的财务报告不存在重大差异；</w:t>
      </w:r>
      <w:r>
        <w:rPr>
          <w:rFonts w:ascii="Times New Roman" w:hAnsi="Times New Roman" w:cs="Times New Roman" w:eastAsia="Times New Roman" w:hint="default"/>
          <w:spacing w:val="-3"/>
        </w:rPr>
        <w:t>2</w:t>
      </w:r>
      <w:r>
        <w:rPr>
          <w:spacing w:val="-3"/>
        </w:rPr>
        <w:t>、经</w:t>
      </w:r>
      <w:r>
        <w:rPr>
          <w:spacing w:val="-5"/>
        </w:rPr>
        <w:t> </w:t>
      </w:r>
      <w:r>
        <w:rPr>
          <w:spacing w:val="-2"/>
        </w:rPr>
        <w:t>审计的公司财务报表符合新企业会计准则的相关规定，能够如实地反映企业的财务状况、经营成果及现金</w:t>
      </w:r>
      <w:r>
        <w:rPr>
          <w:spacing w:val="-42"/>
        </w:rPr>
        <w:t> </w:t>
      </w:r>
      <w:r>
        <w:rPr>
          <w:spacing w:val="-42"/>
        </w:rPr>
      </w:r>
      <w:r>
        <w:rPr/>
        <w:t>流量情况。</w:t>
      </w:r>
    </w:p>
    <w:p>
      <w:pPr>
        <w:pStyle w:val="Heading3"/>
        <w:spacing w:line="240" w:lineRule="auto" w:before="156"/>
        <w:ind w:right="1127"/>
        <w:jc w:val="left"/>
      </w:pPr>
      <w:bookmarkStart w:name="（二）董事会薪酬与考核委员会" w:id="245"/>
      <w:bookmarkEnd w:id="245"/>
      <w:r>
        <w:rPr/>
      </w:r>
      <w:r>
        <w:rPr/>
        <w:t>（二）董事会薪酬与考核委员会</w:t>
      </w:r>
    </w:p>
    <w:p>
      <w:pPr>
        <w:spacing w:line="240" w:lineRule="auto" w:before="12"/>
        <w:rPr>
          <w:rFonts w:ascii="黑体" w:hAnsi="黑体" w:cs="黑体" w:eastAsia="黑体" w:hint="default"/>
          <w:sz w:val="26"/>
          <w:szCs w:val="26"/>
        </w:rPr>
      </w:pPr>
    </w:p>
    <w:p>
      <w:pPr>
        <w:pStyle w:val="BodyText"/>
        <w:spacing w:line="336" w:lineRule="auto"/>
        <w:ind w:left="152" w:right="1128" w:firstLine="420"/>
        <w:jc w:val="both"/>
      </w:pPr>
      <w:r>
        <w:rPr>
          <w:spacing w:val="-2"/>
        </w:rPr>
        <w:t>报告期内，薪酬与考核委员会对调整董事长及高级管理人员薪酬事项、</w:t>
      </w:r>
      <w:r>
        <w:rPr>
          <w:rFonts w:ascii="Times New Roman" w:hAnsi="Times New Roman" w:cs="Times New Roman" w:eastAsia="Times New Roman" w:hint="default"/>
          <w:spacing w:val="-2"/>
        </w:rPr>
        <w:t>2019</w:t>
      </w:r>
      <w:r>
        <w:rPr>
          <w:spacing w:val="-2"/>
        </w:rPr>
        <w:t>年股权激励计划相关事项</w:t>
      </w:r>
      <w:r>
        <w:rPr>
          <w:w w:val="100"/>
        </w:rPr>
        <w:t> </w:t>
      </w:r>
      <w:r>
        <w:rPr>
          <w:spacing w:val="-2"/>
        </w:rPr>
        <w:t>进行了审议，并且对</w:t>
      </w:r>
      <w:r>
        <w:rPr>
          <w:rFonts w:ascii="Times New Roman" w:hAnsi="Times New Roman" w:cs="Times New Roman" w:eastAsia="Times New Roman" w:hint="default"/>
          <w:spacing w:val="-2"/>
        </w:rPr>
        <w:t>2019</w:t>
      </w:r>
      <w:r>
        <w:rPr>
          <w:spacing w:val="-2"/>
        </w:rPr>
        <w:t>年度公司高级管理人员薪酬事项进行了审议，委员会核查了公司高级管理人员的</w:t>
      </w:r>
      <w:r>
        <w:rPr>
          <w:spacing w:val="-38"/>
        </w:rPr>
        <w:t> </w:t>
      </w:r>
      <w:r>
        <w:rPr>
          <w:spacing w:val="-38"/>
        </w:rPr>
      </w:r>
      <w:r>
        <w:rPr/>
        <w:t>薪酬，认为其薪酬情况符合公司董事会和股东大会确定的相关报酬依据及公司的劳动人事管理制度。</w:t>
      </w:r>
    </w:p>
    <w:p>
      <w:pPr>
        <w:pStyle w:val="Heading3"/>
        <w:spacing w:line="240" w:lineRule="auto" w:before="163"/>
        <w:ind w:right="1127"/>
        <w:jc w:val="left"/>
      </w:pPr>
      <w:bookmarkStart w:name="（三）董事会战略委员会" w:id="246"/>
      <w:bookmarkEnd w:id="246"/>
      <w:r>
        <w:rPr/>
      </w:r>
      <w:r>
        <w:rPr/>
        <w:t>（三）董事会战略委员会</w:t>
      </w:r>
    </w:p>
    <w:p>
      <w:pPr>
        <w:spacing w:line="240" w:lineRule="auto" w:before="12"/>
        <w:rPr>
          <w:rFonts w:ascii="黑体" w:hAnsi="黑体" w:cs="黑体" w:eastAsia="黑体" w:hint="default"/>
          <w:sz w:val="26"/>
          <w:szCs w:val="26"/>
        </w:rPr>
      </w:pPr>
    </w:p>
    <w:p>
      <w:pPr>
        <w:pStyle w:val="BodyText"/>
        <w:spacing w:line="355" w:lineRule="auto"/>
        <w:ind w:left="152" w:right="1127" w:firstLine="420"/>
        <w:jc w:val="left"/>
      </w:pPr>
      <w:r>
        <w:rPr>
          <w:spacing w:val="-2"/>
        </w:rPr>
        <w:t>报告期内，公司战略委员会勤勉尽责地履行职责，就公司中长期战略规划及对外投资等事项向董事会</w:t>
      </w:r>
      <w:r>
        <w:rPr>
          <w:w w:val="100"/>
        </w:rPr>
        <w:t> </w:t>
      </w:r>
      <w:r>
        <w:rPr/>
        <w:t>提出了建议。</w:t>
      </w:r>
    </w:p>
    <w:p>
      <w:pPr>
        <w:pStyle w:val="Heading3"/>
        <w:spacing w:line="240" w:lineRule="auto" w:before="146"/>
        <w:ind w:right="1127"/>
        <w:jc w:val="left"/>
      </w:pPr>
      <w:bookmarkStart w:name="（四）董事会提名委员会" w:id="247"/>
      <w:bookmarkEnd w:id="247"/>
      <w:r>
        <w:rPr/>
      </w:r>
      <w:r>
        <w:rPr/>
        <w:t>（四）董事会提名委员会</w:t>
      </w:r>
    </w:p>
    <w:p>
      <w:pPr>
        <w:spacing w:line="240" w:lineRule="auto" w:before="10"/>
        <w:rPr>
          <w:rFonts w:ascii="黑体" w:hAnsi="黑体" w:cs="黑体" w:eastAsia="黑体" w:hint="default"/>
          <w:sz w:val="26"/>
          <w:szCs w:val="26"/>
        </w:rPr>
      </w:pPr>
    </w:p>
    <w:p>
      <w:pPr>
        <w:pStyle w:val="BodyText"/>
        <w:spacing w:line="348" w:lineRule="auto"/>
        <w:ind w:left="152" w:right="1022" w:firstLine="420"/>
        <w:jc w:val="left"/>
      </w:pPr>
      <w:r>
        <w:rPr>
          <w:spacing w:val="-4"/>
        </w:rPr>
        <w:t>报告期内，公司提名委员会勤勉尽责地履行职责，持续研究与关注高级管理人员选拔制度。</w:t>
      </w:r>
      <w:r>
        <w:rPr>
          <w:rFonts w:ascii="Times New Roman" w:hAnsi="Times New Roman" w:cs="Times New Roman" w:eastAsia="Times New Roman" w:hint="default"/>
          <w:spacing w:val="-4"/>
        </w:rPr>
        <w:t>2019</w:t>
      </w:r>
      <w:r>
        <w:rPr>
          <w:spacing w:val="-4"/>
        </w:rPr>
        <w:t>年度，</w:t>
      </w:r>
      <w:r>
        <w:rPr>
          <w:w w:val="100"/>
        </w:rPr>
        <w:t> </w:t>
      </w:r>
      <w:r>
        <w:rPr>
          <w:spacing w:val="-2"/>
        </w:rPr>
        <w:t>提名委员会提名第四届董事会成员、第四届监事会成员，提名公司陈为群女士任财务负责人、谢军伟先生</w:t>
      </w:r>
      <w:r>
        <w:rPr>
          <w:spacing w:val="-48"/>
        </w:rPr>
        <w:t> </w:t>
      </w:r>
      <w:r>
        <w:rPr>
          <w:spacing w:val="-48"/>
        </w:rPr>
      </w:r>
      <w:r>
        <w:rPr/>
        <w:t>任总经理。</w:t>
      </w:r>
    </w:p>
    <w:p>
      <w:pPr>
        <w:spacing w:line="240" w:lineRule="auto" w:before="5"/>
        <w:rPr>
          <w:rFonts w:ascii="宋体" w:hAnsi="宋体" w:cs="宋体" w:eastAsia="宋体" w:hint="default"/>
          <w:sz w:val="25"/>
          <w:szCs w:val="25"/>
        </w:rPr>
      </w:pPr>
    </w:p>
    <w:p>
      <w:pPr>
        <w:pStyle w:val="Heading2"/>
        <w:spacing w:line="240" w:lineRule="auto"/>
        <w:ind w:right="1127"/>
        <w:jc w:val="left"/>
        <w:rPr>
          <w:b w:val="0"/>
          <w:bCs w:val="0"/>
        </w:rPr>
      </w:pPr>
      <w:bookmarkStart w:name="七、监事会工作情况" w:id="248"/>
      <w:bookmarkEnd w:id="248"/>
      <w:r>
        <w:rPr>
          <w:b w:val="0"/>
          <w:bCs w:val="0"/>
        </w:rPr>
      </w:r>
      <w:r>
        <w:rPr/>
        <w:t>七、监事会工作情况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27"/>
        <w:jc w:val="left"/>
      </w:pPr>
      <w:r>
        <w:rPr/>
        <w:t>监事会在报告期内的监督活动中发现公司是否存在风险</w:t>
      </w:r>
    </w:p>
    <w:p>
      <w:pPr>
        <w:spacing w:line="240" w:lineRule="auto" w:before="12"/>
        <w:rPr>
          <w:rFonts w:ascii="宋体" w:hAnsi="宋体" w:cs="宋体" w:eastAsia="宋体" w:hint="default"/>
          <w:sz w:val="17"/>
          <w:szCs w:val="17"/>
        </w:rPr>
      </w:pPr>
    </w:p>
    <w:p>
      <w:pPr>
        <w:pStyle w:val="BodyText"/>
        <w:spacing w:line="420" w:lineRule="auto"/>
        <w:ind w:right="55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公司监事会对报告期内的监督事项无异议。</w:t>
      </w:r>
    </w:p>
    <w:p>
      <w:pPr>
        <w:spacing w:line="240" w:lineRule="auto" w:before="10"/>
        <w:rPr>
          <w:rFonts w:ascii="宋体" w:hAnsi="宋体" w:cs="宋体" w:eastAsia="宋体" w:hint="default"/>
          <w:sz w:val="20"/>
          <w:szCs w:val="20"/>
        </w:rPr>
      </w:pPr>
    </w:p>
    <w:p>
      <w:pPr>
        <w:pStyle w:val="Heading2"/>
        <w:spacing w:line="240" w:lineRule="auto"/>
        <w:ind w:right="1127"/>
        <w:jc w:val="left"/>
        <w:rPr>
          <w:b w:val="0"/>
          <w:bCs w:val="0"/>
        </w:rPr>
      </w:pPr>
      <w:bookmarkStart w:name="八、高级管理人员的考评及激励情况" w:id="249"/>
      <w:bookmarkEnd w:id="249"/>
      <w:r>
        <w:rPr>
          <w:b w:val="0"/>
          <w:bCs w:val="0"/>
        </w:rPr>
      </w:r>
      <w:r>
        <w:rPr/>
        <w:t>八、高级管理人员的考评及激励情况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公司建立了完善的绩效考核体系，高级管理人员执行年薪制，依据公司战略目标、行业薪酬水平、经</w:t>
      </w:r>
    </w:p>
    <w:p>
      <w:pPr>
        <w:spacing w:after="0" w:line="240" w:lineRule="auto"/>
        <w:jc w:val="left"/>
        <w:sectPr>
          <w:pgSz w:w="11910" w:h="16840"/>
          <w:pgMar w:header="882" w:footer="1134" w:top="1280" w:bottom="1320" w:left="980" w:right="0"/>
        </w:sectPr>
      </w:pPr>
    </w:p>
    <w:p>
      <w:pPr>
        <w:pStyle w:val="BodyText"/>
        <w:spacing w:line="355" w:lineRule="auto" w:before="112"/>
        <w:ind w:left="152" w:right="1110"/>
        <w:jc w:val="both"/>
      </w:pPr>
      <w:r>
        <w:rPr>
          <w:spacing w:val="-2"/>
        </w:rPr>
        <w:t>营效益等因素确定，年薪制包括固定年薪与绩效年薪两部分，固定年薪平均按月发放，绩效年薪由公司经</w:t>
      </w:r>
      <w:r>
        <w:rPr>
          <w:spacing w:val="-44"/>
        </w:rPr>
        <w:t> </w:t>
      </w:r>
      <w:r>
        <w:rPr>
          <w:spacing w:val="-44"/>
        </w:rPr>
      </w:r>
      <w:r>
        <w:rPr>
          <w:spacing w:val="-2"/>
        </w:rPr>
        <w:t>营管理委员会根据年度决算情况组织考核进行发放。公司董事会薪酬与考核委员会根据实际情况对公司高</w:t>
      </w:r>
      <w:r>
        <w:rPr>
          <w:spacing w:val="-43"/>
        </w:rPr>
        <w:t> </w:t>
      </w:r>
      <w:r>
        <w:rPr>
          <w:spacing w:val="-43"/>
        </w:rPr>
      </w:r>
      <w:r>
        <w:rPr>
          <w:spacing w:val="-2"/>
        </w:rPr>
        <w:t>级管理人员进行考核后，一致认为：</w:t>
      </w:r>
      <w:r>
        <w:rPr>
          <w:rFonts w:ascii="Times New Roman" w:hAnsi="Times New Roman" w:cs="Times New Roman" w:eastAsia="Times New Roman" w:hint="default"/>
          <w:spacing w:val="-2"/>
        </w:rPr>
        <w:t>2019</w:t>
      </w:r>
      <w:r>
        <w:rPr>
          <w:spacing w:val="-2"/>
        </w:rPr>
        <w:t>年度公司高级管理人员薪酬方案严格执行了公司薪酬管理制度。</w:t>
      </w:r>
      <w:r>
        <w:rPr/>
      </w:r>
    </w:p>
    <w:p>
      <w:pPr>
        <w:spacing w:line="240" w:lineRule="auto" w:before="1"/>
        <w:rPr>
          <w:rFonts w:ascii="宋体" w:hAnsi="宋体" w:cs="宋体" w:eastAsia="宋体" w:hint="default"/>
          <w:sz w:val="23"/>
          <w:szCs w:val="23"/>
        </w:rPr>
      </w:pPr>
    </w:p>
    <w:p>
      <w:pPr>
        <w:pStyle w:val="Heading2"/>
        <w:spacing w:line="240" w:lineRule="auto"/>
        <w:ind w:right="0"/>
        <w:jc w:val="both"/>
        <w:rPr>
          <w:b w:val="0"/>
          <w:bCs w:val="0"/>
        </w:rPr>
      </w:pPr>
      <w:bookmarkStart w:name="九、内部控制评价报告" w:id="250"/>
      <w:bookmarkEnd w:id="250"/>
      <w:r>
        <w:rPr>
          <w:b w:val="0"/>
          <w:bCs w:val="0"/>
        </w:rPr>
      </w:r>
      <w:r>
        <w:rPr/>
        <w:t>九、内部控制评价报告</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right="0"/>
        <w:jc w:val="both"/>
        <w:rPr>
          <w:b w:val="0"/>
          <w:bCs w:val="0"/>
        </w:rPr>
      </w:pPr>
      <w:bookmarkStart w:name="1、报告期内发现的内部控制重大缺陷的具体情况" w:id="251"/>
      <w:bookmarkEnd w:id="25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left="134" w:right="8933"/>
        <w:jc w:val="cente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3"/>
        <w:rPr>
          <w:rFonts w:ascii="宋体" w:hAnsi="宋体" w:cs="宋体" w:eastAsia="宋体" w:hint="default"/>
          <w:sz w:val="32"/>
          <w:szCs w:val="32"/>
        </w:rPr>
      </w:pPr>
    </w:p>
    <w:p>
      <w:pPr>
        <w:pStyle w:val="Heading4"/>
        <w:spacing w:line="240" w:lineRule="auto"/>
        <w:ind w:right="0"/>
        <w:jc w:val="both"/>
        <w:rPr>
          <w:b w:val="0"/>
          <w:bCs w:val="0"/>
        </w:rPr>
      </w:pPr>
      <w:bookmarkStart w:name="2、内控自我评价报告" w:id="252"/>
      <w:bookmarkEnd w:id="25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189"/>
        <w:gridCol w:w="3327"/>
        <w:gridCol w:w="3053"/>
      </w:tblGrid>
      <w:tr>
        <w:trPr>
          <w:trHeight w:val="386"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 w:right="0"/>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389"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 w:right="0"/>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602" w:right="56" w:hanging="54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97.04%</w:t>
            </w:r>
          </w:p>
        </w:tc>
      </w:tr>
      <w:tr>
        <w:trPr>
          <w:trHeight w:val="619"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602" w:right="56" w:hanging="54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98.55%</w:t>
            </w:r>
          </w:p>
        </w:tc>
      </w:tr>
      <w:tr>
        <w:trPr>
          <w:trHeight w:val="384"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91"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07" w:hRule="exact"/>
        </w:trPr>
        <w:tc>
          <w:tcPr>
            <w:tcW w:w="31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327" w:type="dxa"/>
            <w:vMerge w:val="restart"/>
            <w:tcBorders>
              <w:top w:val="single" w:sz="4" w:space="0" w:color="000000"/>
              <w:left w:val="single" w:sz="9" w:space="0" w:color="D4D4D4"/>
              <w:right w:val="single" w:sz="4" w:space="0" w:color="000000"/>
            </w:tcBorders>
          </w:tcPr>
          <w:p>
            <w:pPr>
              <w:pStyle w:val="TableParagraph"/>
              <w:spacing w:line="237" w:lineRule="auto" w:before="44"/>
              <w:ind w:left="35" w:right="35"/>
              <w:jc w:val="both"/>
              <w:rPr>
                <w:rFonts w:ascii="宋体" w:hAnsi="宋体" w:cs="宋体" w:eastAsia="宋体" w:hint="default"/>
                <w:sz w:val="18"/>
                <w:szCs w:val="18"/>
              </w:rPr>
            </w:pPr>
            <w:r>
              <w:rPr>
                <w:rFonts w:ascii="宋体" w:hAnsi="宋体" w:cs="宋体" w:eastAsia="宋体" w:hint="default"/>
                <w:sz w:val="18"/>
                <w:szCs w:val="18"/>
              </w:rPr>
              <w:t>财务报告重大缺陷的迹象包括：①公司董 事、监事和高级管理人员舞弊，造成重大 损失。②公司更正已公布的财务报告，出 现重大差错进行错报更正。③注册会计师 发现的却未被公司内部控制识别的当期财 务报告中的重大错报。④审计委员会对公 司的对外报告和财务报告内部控制监督无 效，造成重大损失。财务报告重要缺陷的 迹象包括：①未依照公认会计准则选择和 应用会计政策，造成重大错报；②未建立 反舞弊程序和控制措施，造成重大损失；</w:t>
            </w:r>
          </w:p>
          <w:p>
            <w:pPr>
              <w:pStyle w:val="TableParagraph"/>
              <w:spacing w:line="237" w:lineRule="auto"/>
              <w:ind w:left="35" w:right="35"/>
              <w:jc w:val="center"/>
              <w:rPr>
                <w:rFonts w:ascii="宋体" w:hAnsi="宋体" w:cs="宋体" w:eastAsia="宋体" w:hint="default"/>
                <w:sz w:val="18"/>
                <w:szCs w:val="18"/>
              </w:rPr>
            </w:pPr>
            <w:r>
              <w:rPr>
                <w:rFonts w:ascii="宋体" w:hAnsi="宋体" w:cs="宋体" w:eastAsia="宋体" w:hint="default"/>
                <w:sz w:val="18"/>
                <w:szCs w:val="18"/>
              </w:rPr>
              <w:t>③对于非常规或特殊交易的账务处理没有 建立相应的控制机制或没有实施且没有相 应的补偿性控制，造成重大错报；④对于 期末财务报告过程的控制存在一项或多项 缺陷且不能合理保证编制的财务报表达到 真实、准确的目标，造成重大错报。一般 缺陷是指除上述重大缺陷、重要缺陷之外 的其他控制缺陷。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37" w:lineRule="auto" w:before="150"/>
              <w:ind w:left="26" w:right="19"/>
              <w:jc w:val="center"/>
              <w:rPr>
                <w:rFonts w:ascii="宋体" w:hAnsi="宋体" w:cs="宋体" w:eastAsia="宋体" w:hint="default"/>
                <w:sz w:val="18"/>
                <w:szCs w:val="18"/>
              </w:rPr>
            </w:pPr>
            <w:r>
              <w:rPr>
                <w:rFonts w:ascii="宋体" w:hAnsi="宋体" w:cs="宋体" w:eastAsia="宋体" w:hint="default"/>
                <w:spacing w:val="-4"/>
                <w:sz w:val="18"/>
                <w:szCs w:val="18"/>
              </w:rPr>
              <w:t>非财务报告重大缺陷的迹象包括：①违</w:t>
            </w:r>
            <w:r>
              <w:rPr>
                <w:rFonts w:ascii="宋体" w:hAnsi="宋体" w:cs="宋体" w:eastAsia="宋体" w:hint="default"/>
                <w:sz w:val="18"/>
                <w:szCs w:val="18"/>
              </w:rPr>
              <w:t> </w:t>
            </w:r>
            <w:r>
              <w:rPr>
                <w:rFonts w:ascii="宋体" w:hAnsi="宋体" w:cs="宋体" w:eastAsia="宋体" w:hint="default"/>
                <w:spacing w:val="-4"/>
                <w:sz w:val="18"/>
                <w:szCs w:val="18"/>
              </w:rPr>
              <w:t>反国家法律法规或规范性文件，造成重</w:t>
            </w:r>
            <w:r>
              <w:rPr>
                <w:rFonts w:ascii="宋体" w:hAnsi="宋体" w:cs="宋体" w:eastAsia="宋体" w:hint="default"/>
                <w:sz w:val="18"/>
                <w:szCs w:val="18"/>
              </w:rPr>
              <w:t> </w:t>
            </w:r>
            <w:r>
              <w:rPr>
                <w:rFonts w:ascii="宋体" w:hAnsi="宋体" w:cs="宋体" w:eastAsia="宋体" w:hint="default"/>
                <w:spacing w:val="-4"/>
                <w:sz w:val="18"/>
                <w:szCs w:val="18"/>
              </w:rPr>
              <w:t>大后果；②重大决策程序不科学；③制</w:t>
            </w:r>
            <w:r>
              <w:rPr>
                <w:rFonts w:ascii="宋体" w:hAnsi="宋体" w:cs="宋体" w:eastAsia="宋体" w:hint="default"/>
                <w:sz w:val="18"/>
                <w:szCs w:val="18"/>
              </w:rPr>
              <w:t> </w:t>
            </w:r>
            <w:r>
              <w:rPr>
                <w:rFonts w:ascii="宋体" w:hAnsi="宋体" w:cs="宋体" w:eastAsia="宋体" w:hint="default"/>
                <w:spacing w:val="-4"/>
                <w:sz w:val="18"/>
                <w:szCs w:val="18"/>
              </w:rPr>
              <w:t>度缺失可能导致系统性失效，造成重大</w:t>
            </w:r>
            <w:r>
              <w:rPr>
                <w:rFonts w:ascii="宋体" w:hAnsi="宋体" w:cs="宋体" w:eastAsia="宋体" w:hint="default"/>
                <w:sz w:val="18"/>
                <w:szCs w:val="18"/>
              </w:rPr>
              <w:t> 损失；④重大或重要缺陷不能得到整 </w:t>
            </w:r>
            <w:r>
              <w:rPr>
                <w:rFonts w:ascii="宋体" w:hAnsi="宋体" w:cs="宋体" w:eastAsia="宋体" w:hint="default"/>
                <w:spacing w:val="-4"/>
                <w:sz w:val="18"/>
                <w:szCs w:val="18"/>
              </w:rPr>
              <w:t>改；⑤其他对公司影响重大的情形。其</w:t>
            </w:r>
            <w:r>
              <w:rPr>
                <w:rFonts w:ascii="宋体" w:hAnsi="宋体" w:cs="宋体" w:eastAsia="宋体" w:hint="default"/>
                <w:sz w:val="18"/>
                <w:szCs w:val="18"/>
              </w:rPr>
              <w:t> 他情形按影响程度分别确定为重要缺 陷或一般缺陷。</w:t>
            </w:r>
          </w:p>
        </w:tc>
      </w:tr>
      <w:tr>
        <w:trPr>
          <w:trHeight w:val="377" w:hRule="exact"/>
        </w:trPr>
        <w:tc>
          <w:tcPr>
            <w:tcW w:w="318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1"/>
              <w:ind w:left="3" w:right="0"/>
              <w:jc w:val="center"/>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4D4D4"/>
              <w:right w:val="single" w:sz="4" w:space="0" w:color="000000"/>
            </w:tcBorders>
          </w:tcPr>
          <w:p>
            <w:pPr/>
          </w:p>
        </w:tc>
        <w:tc>
          <w:tcPr>
            <w:tcW w:w="3053" w:type="dxa"/>
            <w:vMerge/>
            <w:tcBorders>
              <w:left w:val="single" w:sz="4" w:space="0" w:color="000000"/>
              <w:right w:val="single" w:sz="4" w:space="0" w:color="000000"/>
            </w:tcBorders>
          </w:tcPr>
          <w:p>
            <w:pPr/>
          </w:p>
        </w:tc>
      </w:tr>
      <w:tr>
        <w:trPr>
          <w:trHeight w:val="2105" w:hRule="exact"/>
        </w:trPr>
        <w:tc>
          <w:tcPr>
            <w:tcW w:w="3189" w:type="dxa"/>
            <w:tcBorders>
              <w:top w:val="nil" w:sz="6" w:space="0" w:color="auto"/>
              <w:left w:val="single" w:sz="4" w:space="0" w:color="000000"/>
              <w:bottom w:val="single" w:sz="4" w:space="0" w:color="000000"/>
              <w:right w:val="single" w:sz="4" w:space="0" w:color="000000"/>
            </w:tcBorders>
            <w:shd w:val="clear" w:color="auto" w:fill="D4D4D4"/>
          </w:tcPr>
          <w:p>
            <w:pPr/>
          </w:p>
        </w:tc>
        <w:tc>
          <w:tcPr>
            <w:tcW w:w="3327" w:type="dxa"/>
            <w:vMerge/>
            <w:tcBorders>
              <w:left w:val="single" w:sz="9" w:space="0" w:color="D4D4D4"/>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823" w:hRule="exact"/>
        </w:trPr>
        <w:tc>
          <w:tcPr>
            <w:tcW w:w="31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327" w:type="dxa"/>
            <w:vMerge w:val="restart"/>
            <w:tcBorders>
              <w:top w:val="single" w:sz="4" w:space="0" w:color="000000"/>
              <w:left w:val="single" w:sz="9" w:space="0" w:color="D4D4D4"/>
              <w:right w:val="single" w:sz="4" w:space="0" w:color="000000"/>
            </w:tcBorders>
          </w:tcPr>
          <w:p>
            <w:pPr>
              <w:pStyle w:val="TableParagraph"/>
              <w:spacing w:line="228" w:lineRule="auto" w:before="54"/>
              <w:ind w:left="23" w:right="17" w:hanging="3"/>
              <w:jc w:val="center"/>
              <w:rPr>
                <w:rFonts w:ascii="宋体" w:hAnsi="宋体" w:cs="宋体" w:eastAsia="宋体" w:hint="default"/>
                <w:sz w:val="18"/>
                <w:szCs w:val="18"/>
              </w:rPr>
            </w:pPr>
            <w:r>
              <w:rPr>
                <w:rFonts w:ascii="宋体" w:hAnsi="宋体" w:cs="宋体" w:eastAsia="宋体" w:hint="default"/>
                <w:sz w:val="18"/>
                <w:szCs w:val="18"/>
              </w:rPr>
              <w:t>公司以营业收入总额的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作为利润表整 体重要性水平的衡量指标。当潜在错报金 额大于或等于营业收入总额的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，则认定</w:t>
            </w:r>
            <w:r>
              <w:rPr>
                <w:rFonts w:ascii="宋体" w:hAnsi="宋体" w:cs="宋体" w:eastAsia="宋体" w:hint="default"/>
                <w:sz w:val="18"/>
                <w:szCs w:val="18"/>
              </w:rPr>
              <w:t> 为重大缺陷；当潜在错报金额小于营业收 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但大于或等于营业收入总额 的</w:t>
            </w:r>
            <w:r>
              <w:rPr>
                <w:rFonts w:ascii="宋体" w:hAnsi="宋体" w:cs="宋体" w:eastAsia="宋体" w:hint="default"/>
                <w:spacing w:val="-39"/>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，则认定为重要缺陷；当潜在错报金</w:t>
            </w:r>
            <w:r>
              <w:rPr>
                <w:rFonts w:ascii="宋体" w:hAnsi="宋体" w:cs="宋体" w:eastAsia="宋体" w:hint="default"/>
                <w:sz w:val="18"/>
                <w:szCs w:val="18"/>
              </w:rPr>
              <w:t> 额小于营业收入总额的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时，则认定为一</w:t>
            </w:r>
            <w:r>
              <w:rPr>
                <w:rFonts w:ascii="宋体" w:hAnsi="宋体" w:cs="宋体" w:eastAsia="宋体" w:hint="default"/>
                <w:sz w:val="18"/>
                <w:szCs w:val="18"/>
              </w:rPr>
              <w:t> 般缺陷。</w:t>
            </w:r>
          </w:p>
        </w:tc>
        <w:tc>
          <w:tcPr>
            <w:tcW w:w="3053" w:type="dxa"/>
            <w:vMerge w:val="restart"/>
            <w:tcBorders>
              <w:top w:val="single" w:sz="4" w:space="0" w:color="000000"/>
              <w:left w:val="single" w:sz="4" w:space="0" w:color="000000"/>
              <w:right w:val="single" w:sz="4" w:space="0" w:color="000000"/>
            </w:tcBorders>
          </w:tcPr>
          <w:p>
            <w:pPr>
              <w:pStyle w:val="TableParagraph"/>
              <w:spacing w:line="230" w:lineRule="auto" w:before="52"/>
              <w:ind w:left="26" w:right="19"/>
              <w:jc w:val="center"/>
              <w:rPr>
                <w:rFonts w:ascii="宋体" w:hAnsi="宋体" w:cs="宋体" w:eastAsia="宋体" w:hint="default"/>
                <w:sz w:val="18"/>
                <w:szCs w:val="18"/>
              </w:rPr>
            </w:pPr>
            <w:r>
              <w:rPr>
                <w:rFonts w:ascii="宋体" w:hAnsi="宋体" w:cs="宋体" w:eastAsia="宋体" w:hint="default"/>
                <w:sz w:val="18"/>
                <w:szCs w:val="18"/>
              </w:rPr>
              <w:t>公司以营业收入总额的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作为利润表 </w:t>
            </w:r>
            <w:r>
              <w:rPr>
                <w:rFonts w:ascii="宋体" w:hAnsi="宋体" w:cs="宋体" w:eastAsia="宋体" w:hint="default"/>
                <w:spacing w:val="-4"/>
                <w:sz w:val="18"/>
                <w:szCs w:val="18"/>
              </w:rPr>
              <w:t>整体重要性水平的衡量指标。当潜在错</w:t>
            </w:r>
            <w:r>
              <w:rPr>
                <w:rFonts w:ascii="宋体" w:hAnsi="宋体" w:cs="宋体" w:eastAsia="宋体" w:hint="default"/>
                <w:sz w:val="18"/>
                <w:szCs w:val="18"/>
              </w:rPr>
              <w:t> 报金额大于或等于营业收入总额的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，则认定为重大缺陷；当潜在错报 金额小于营业收入总额的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但大于或 等于营业收入总额的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 </w:t>
            </w:r>
            <w:r>
              <w:rPr>
                <w:rFonts w:ascii="宋体" w:hAnsi="宋体" w:cs="宋体" w:eastAsia="宋体" w:hint="default"/>
                <w:spacing w:val="-4"/>
                <w:sz w:val="18"/>
                <w:szCs w:val="18"/>
              </w:rPr>
              <w:t>要缺陷；当潜在错报金额小于营业收入</w:t>
            </w:r>
            <w:r>
              <w:rPr>
                <w:rFonts w:ascii="宋体" w:hAnsi="宋体" w:cs="宋体" w:eastAsia="宋体" w:hint="default"/>
                <w:sz w:val="18"/>
                <w:szCs w:val="18"/>
              </w:rPr>
              <w:t>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时，则认定为一般缺陷。</w:t>
            </w:r>
          </w:p>
        </w:tc>
      </w:tr>
      <w:tr>
        <w:trPr>
          <w:trHeight w:val="377" w:hRule="exact"/>
        </w:trPr>
        <w:tc>
          <w:tcPr>
            <w:tcW w:w="318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1"/>
              <w:ind w:left="3" w:right="0"/>
              <w:jc w:val="center"/>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4D4D4"/>
              <w:right w:val="single" w:sz="4" w:space="0" w:color="000000"/>
            </w:tcBorders>
          </w:tcPr>
          <w:p>
            <w:pPr/>
          </w:p>
        </w:tc>
        <w:tc>
          <w:tcPr>
            <w:tcW w:w="3053" w:type="dxa"/>
            <w:vMerge/>
            <w:tcBorders>
              <w:left w:val="single" w:sz="4" w:space="0" w:color="000000"/>
              <w:right w:val="single" w:sz="4" w:space="0" w:color="000000"/>
            </w:tcBorders>
          </w:tcPr>
          <w:p>
            <w:pPr/>
          </w:p>
        </w:tc>
      </w:tr>
      <w:tr>
        <w:trPr>
          <w:trHeight w:val="823" w:hRule="exact"/>
        </w:trPr>
        <w:tc>
          <w:tcPr>
            <w:tcW w:w="3189" w:type="dxa"/>
            <w:tcBorders>
              <w:top w:val="nil" w:sz="6" w:space="0" w:color="auto"/>
              <w:left w:val="single" w:sz="4" w:space="0" w:color="000000"/>
              <w:bottom w:val="single" w:sz="4" w:space="0" w:color="000000"/>
              <w:right w:val="single" w:sz="4" w:space="0" w:color="000000"/>
            </w:tcBorders>
            <w:shd w:val="clear" w:color="auto" w:fill="D4D4D4"/>
          </w:tcPr>
          <w:p>
            <w:pPr/>
          </w:p>
        </w:tc>
        <w:tc>
          <w:tcPr>
            <w:tcW w:w="3327" w:type="dxa"/>
            <w:vMerge/>
            <w:tcBorders>
              <w:left w:val="single" w:sz="9" w:space="0" w:color="D4D4D4"/>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386"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 w:right="0"/>
              <w:jc w:val="center"/>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193"/>
        <w:gridCol w:w="6374"/>
      </w:tblGrid>
      <w:tr>
        <w:trPr>
          <w:trHeight w:val="386"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136" w:right="0"/>
              <w:jc w:val="left"/>
              <w:rPr>
                <w:rFonts w:ascii="Times New Roman" w:hAnsi="Times New Roman" w:cs="Times New Roman" w:eastAsia="Times New Roman" w:hint="default"/>
                <w:sz w:val="18"/>
                <w:szCs w:val="18"/>
              </w:rPr>
            </w:pPr>
            <w:r>
              <w:rPr>
                <w:rFonts w:ascii="Times New Roman"/>
                <w:sz w:val="18"/>
              </w:rPr>
              <w:t>0</w:t>
            </w:r>
          </w:p>
        </w:tc>
      </w:tr>
      <w:tr>
        <w:trPr>
          <w:trHeight w:val="389"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136" w:right="0"/>
              <w:jc w:val="left"/>
              <w:rPr>
                <w:rFonts w:ascii="Times New Roman" w:hAnsi="Times New Roman" w:cs="Times New Roman" w:eastAsia="Times New Roman" w:hint="default"/>
                <w:sz w:val="18"/>
                <w:szCs w:val="18"/>
              </w:rPr>
            </w:pPr>
            <w:r>
              <w:rPr>
                <w:rFonts w:ascii="Times New Roman"/>
                <w:sz w:val="18"/>
              </w:rPr>
              <w:t>0</w:t>
            </w:r>
          </w:p>
        </w:tc>
      </w:tr>
      <w:tr>
        <w:trPr>
          <w:trHeight w:val="386"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136"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11"/>
        <w:rPr>
          <w:rFonts w:ascii="宋体" w:hAnsi="宋体" w:cs="宋体" w:eastAsia="宋体" w:hint="default"/>
          <w:b/>
          <w:bCs/>
          <w:sz w:val="17"/>
          <w:szCs w:val="17"/>
        </w:rPr>
      </w:pPr>
    </w:p>
    <w:p>
      <w:pPr>
        <w:pStyle w:val="Heading2"/>
        <w:spacing w:line="240" w:lineRule="auto" w:before="26"/>
        <w:ind w:right="1127"/>
        <w:jc w:val="left"/>
        <w:rPr>
          <w:b w:val="0"/>
          <w:bCs w:val="0"/>
        </w:rPr>
      </w:pPr>
      <w:bookmarkStart w:name="十、内部控制审计报告或鉴证报告" w:id="253"/>
      <w:bookmarkEnd w:id="253"/>
      <w:r>
        <w:rPr>
          <w:b w:val="0"/>
          <w:bCs w:val="0"/>
        </w:rPr>
      </w:r>
      <w:r>
        <w:rPr/>
        <w:t>十、内部控制审计报告或鉴证报告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127"/>
        <w:jc w:val="left"/>
      </w:pPr>
      <w:r>
        <w:rPr/>
        <w:t>不适用</w:t>
      </w:r>
    </w:p>
    <w:p>
      <w:pPr>
        <w:spacing w:after="0" w:line="240" w:lineRule="auto"/>
        <w:jc w:val="left"/>
        <w:sectPr>
          <w:pgSz w:w="11910" w:h="16840"/>
          <w:pgMar w:header="882" w:footer="1134" w:top="1280" w:bottom="1320" w:left="980" w:right="0"/>
        </w:sectPr>
      </w:pPr>
    </w:p>
    <w:p>
      <w:pPr>
        <w:spacing w:line="240" w:lineRule="auto" w:before="2"/>
        <w:rPr>
          <w:rFonts w:ascii="宋体" w:hAnsi="宋体" w:cs="宋体" w:eastAsia="宋体" w:hint="default"/>
          <w:sz w:val="25"/>
          <w:szCs w:val="25"/>
        </w:rPr>
      </w:pPr>
    </w:p>
    <w:p>
      <w:pPr>
        <w:spacing w:before="0"/>
        <w:ind w:left="3366" w:right="1127" w:firstLine="0"/>
        <w:jc w:val="left"/>
        <w:rPr>
          <w:rFonts w:ascii="宋体" w:hAnsi="宋体" w:cs="宋体" w:eastAsia="宋体" w:hint="default"/>
          <w:sz w:val="32"/>
          <w:szCs w:val="32"/>
        </w:rPr>
      </w:pPr>
      <w:bookmarkStart w:name="_TOC_250002" w:id="254"/>
      <w:bookmarkStart w:name="第十一节公司债券相关情况" w:id="255"/>
      <w:r>
        <w:rPr/>
      </w:r>
      <w:r>
        <w:rPr>
          <w:rFonts w:ascii="宋体" w:hAnsi="宋体" w:cs="宋体" w:eastAsia="宋体" w:hint="default"/>
          <w:b/>
          <w:bCs/>
          <w:sz w:val="32"/>
          <w:szCs w:val="32"/>
        </w:rPr>
        <w:t>第十一节公司债券相关情况</w:t>
      </w:r>
      <w:bookmarkEnd w:id="254"/>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5"/>
        <w:rPr>
          <w:rFonts w:ascii="宋体" w:hAnsi="宋体" w:cs="宋体" w:eastAsia="宋体" w:hint="default"/>
          <w:b/>
          <w:bCs/>
          <w:sz w:val="39"/>
          <w:szCs w:val="39"/>
        </w:rPr>
      </w:pPr>
    </w:p>
    <w:p>
      <w:pPr>
        <w:pStyle w:val="BodyText"/>
        <w:spacing w:line="355" w:lineRule="auto"/>
        <w:ind w:left="152" w:right="1127" w:firstLine="420"/>
        <w:jc w:val="left"/>
      </w:pPr>
      <w:r>
        <w:rPr>
          <w:spacing w:val="-2"/>
        </w:rPr>
        <w:t>公司是否存在公开发行并在证券交易所上市，且在年度报告批准报出日未到期或到期未能全额兑付的</w:t>
      </w:r>
      <w:r>
        <w:rPr>
          <w:w w:val="100"/>
        </w:rPr>
        <w:t> </w:t>
      </w:r>
      <w:r>
        <w:rPr/>
        <w:t>公司债券</w:t>
      </w:r>
    </w:p>
    <w:p>
      <w:pPr>
        <w:pStyle w:val="BodyText"/>
        <w:spacing w:line="240" w:lineRule="auto" w:before="133"/>
        <w:ind w:right="1127"/>
        <w:jc w:val="left"/>
      </w:pPr>
      <w:r>
        <w:rPr>
          <w:w w:val="100"/>
        </w:rPr>
        <w:t>否</w:t>
      </w:r>
    </w:p>
    <w:p>
      <w:pPr>
        <w:spacing w:after="0" w:line="240" w:lineRule="auto"/>
        <w:jc w:val="left"/>
        <w:sectPr>
          <w:pgSz w:w="11910" w:h="16840"/>
          <w:pgMar w:header="882" w:footer="1134" w:top="1280" w:bottom="1320" w:left="980" w:right="0"/>
        </w:sectPr>
      </w:pPr>
    </w:p>
    <w:p>
      <w:pPr>
        <w:spacing w:line="240" w:lineRule="auto" w:before="2"/>
        <w:rPr>
          <w:rFonts w:ascii="宋体" w:hAnsi="宋体" w:cs="宋体" w:eastAsia="宋体" w:hint="default"/>
          <w:sz w:val="25"/>
          <w:szCs w:val="25"/>
        </w:rPr>
      </w:pPr>
    </w:p>
    <w:p>
      <w:pPr>
        <w:spacing w:before="0"/>
        <w:ind w:left="4047" w:right="4328" w:firstLine="0"/>
        <w:jc w:val="center"/>
        <w:rPr>
          <w:rFonts w:ascii="宋体" w:hAnsi="宋体" w:cs="宋体" w:eastAsia="宋体" w:hint="default"/>
          <w:sz w:val="32"/>
          <w:szCs w:val="32"/>
        </w:rPr>
      </w:pPr>
      <w:bookmarkStart w:name="_TOC_250001" w:id="256"/>
      <w:bookmarkStart w:name="第十二节财务报告" w:id="257"/>
      <w:r>
        <w:rPr/>
      </w:r>
      <w:r>
        <w:rPr>
          <w:rFonts w:ascii="宋体" w:hAnsi="宋体" w:cs="宋体" w:eastAsia="宋体" w:hint="default"/>
          <w:b/>
          <w:bCs/>
          <w:sz w:val="32"/>
          <w:szCs w:val="32"/>
        </w:rPr>
        <w:t>第十二节财务报告</w:t>
      </w:r>
      <w:bookmarkEnd w:id="256"/>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Heading2"/>
        <w:spacing w:line="240" w:lineRule="auto" w:before="26"/>
        <w:ind w:left="212" w:right="698"/>
        <w:jc w:val="left"/>
        <w:rPr>
          <w:b w:val="0"/>
          <w:bCs w:val="0"/>
        </w:rPr>
      </w:pPr>
      <w:bookmarkStart w:name="一、审计报告" w:id="258"/>
      <w:bookmarkEnd w:id="258"/>
      <w:r>
        <w:rPr>
          <w:b w:val="0"/>
          <w:bCs w:val="0"/>
        </w:rPr>
      </w: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4782"/>
        <w:gridCol w:w="4786"/>
      </w:tblGrid>
      <w:tr>
        <w:trPr>
          <w:trHeight w:val="389"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386"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388"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388"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王首一、刘宇</w:t>
            </w:r>
          </w:p>
        </w:tc>
      </w:tr>
    </w:tbl>
    <w:p>
      <w:pPr>
        <w:pStyle w:val="BodyText"/>
        <w:spacing w:line="240" w:lineRule="auto" w:before="64"/>
        <w:ind w:left="3829" w:right="4328"/>
        <w:jc w:val="center"/>
      </w:pPr>
      <w:r>
        <w:rPr/>
        <w:t>审计报告正文</w:t>
      </w:r>
    </w:p>
    <w:p>
      <w:pPr>
        <w:spacing w:line="240" w:lineRule="auto" w:before="1"/>
        <w:rPr>
          <w:rFonts w:ascii="宋体" w:hAnsi="宋体" w:cs="宋体" w:eastAsia="宋体" w:hint="default"/>
          <w:sz w:val="19"/>
          <w:szCs w:val="19"/>
        </w:rPr>
      </w:pPr>
    </w:p>
    <w:p>
      <w:pPr>
        <w:pStyle w:val="Heading3"/>
        <w:spacing w:line="240" w:lineRule="auto"/>
        <w:ind w:left="3888" w:right="4328"/>
        <w:jc w:val="center"/>
      </w:pPr>
      <w:bookmarkStart w:name="审计报告" w:id="259"/>
      <w:bookmarkEnd w:id="259"/>
      <w:r>
        <w:rPr/>
      </w:r>
      <w:r>
        <w:rPr/>
        <w:t>审计报告</w:t>
      </w:r>
    </w:p>
    <w:p>
      <w:pPr>
        <w:spacing w:line="240" w:lineRule="auto" w:before="10"/>
        <w:rPr>
          <w:rFonts w:ascii="黑体" w:hAnsi="黑体" w:cs="黑体" w:eastAsia="黑体" w:hint="default"/>
          <w:sz w:val="23"/>
          <w:szCs w:val="23"/>
        </w:rPr>
      </w:pPr>
    </w:p>
    <w:p>
      <w:pPr>
        <w:pStyle w:val="BodyText"/>
        <w:spacing w:line="240" w:lineRule="auto" w:before="36"/>
        <w:ind w:left="6911" w:right="698"/>
        <w:jc w:val="left"/>
      </w:pPr>
      <w:r>
        <w:rPr/>
        <w:t>信会师报字</w:t>
      </w:r>
      <w:r>
        <w:rPr>
          <w:rFonts w:ascii="Times New Roman" w:hAnsi="Times New Roman" w:cs="Times New Roman" w:eastAsia="Times New Roman" w:hint="default"/>
        </w:rPr>
        <w:t>[2020]</w:t>
      </w:r>
      <w:r>
        <w:rPr/>
        <w:t>第</w:t>
      </w:r>
      <w:r>
        <w:rPr>
          <w:spacing w:val="-54"/>
        </w:rPr>
        <w:t> </w:t>
      </w:r>
      <w:r>
        <w:rPr>
          <w:rFonts w:ascii="Times New Roman" w:hAnsi="Times New Roman" w:cs="Times New Roman" w:eastAsia="Times New Roman" w:hint="default"/>
        </w:rPr>
        <w:t>ZG11088</w:t>
      </w:r>
      <w:r>
        <w:rPr>
          <w:rFonts w:ascii="Times New Roman" w:hAnsi="Times New Roman" w:cs="Times New Roman" w:eastAsia="Times New Roman" w:hint="default"/>
          <w:spacing w:val="-1"/>
        </w:rPr>
        <w:t> </w:t>
      </w:r>
      <w:r>
        <w:rPr/>
        <w:t>号</w:t>
      </w:r>
    </w:p>
    <w:p>
      <w:pPr>
        <w:spacing w:line="240" w:lineRule="auto" w:before="7"/>
        <w:rPr>
          <w:rFonts w:ascii="宋体" w:hAnsi="宋体" w:cs="宋体" w:eastAsia="宋体" w:hint="default"/>
          <w:sz w:val="15"/>
          <w:szCs w:val="15"/>
        </w:rPr>
      </w:pPr>
    </w:p>
    <w:p>
      <w:pPr>
        <w:pStyle w:val="Heading4"/>
        <w:spacing w:line="463" w:lineRule="auto" w:before="36"/>
        <w:ind w:left="635" w:right="5119"/>
        <w:jc w:val="left"/>
        <w:rPr>
          <w:b w:val="0"/>
          <w:bCs w:val="0"/>
        </w:rPr>
      </w:pPr>
      <w:bookmarkStart w:name="北京旋极信息技术股份有限公司全体股东：" w:id="260"/>
      <w:bookmarkEnd w:id="260"/>
      <w:r>
        <w:rPr>
          <w:b w:val="0"/>
          <w:bCs w:val="0"/>
        </w:rPr>
      </w:r>
      <w:r>
        <w:rPr>
          <w:spacing w:val="-1"/>
        </w:rPr>
        <w:t>北京旋极信息技术股份有限公司全体股东：</w:t>
      </w:r>
      <w:r>
        <w:rPr>
          <w:spacing w:val="-86"/>
        </w:rPr>
        <w:t> </w:t>
      </w:r>
      <w:r>
        <w:rPr>
          <w:spacing w:val="-86"/>
        </w:rPr>
      </w:r>
      <w:bookmarkStart w:name="一、审计意见" w:id="261"/>
      <w:bookmarkEnd w:id="261"/>
      <w:r>
        <w:rPr/>
        <w:t>一、审计意见</w:t>
      </w:r>
      <w:r>
        <w:rPr>
          <w:b w:val="0"/>
          <w:bCs w:val="0"/>
        </w:rPr>
      </w:r>
    </w:p>
    <w:p>
      <w:pPr>
        <w:pStyle w:val="BodyText"/>
        <w:spacing w:line="240" w:lineRule="auto" w:before="58"/>
        <w:ind w:left="632" w:right="698"/>
        <w:jc w:val="left"/>
      </w:pPr>
      <w:r>
        <w:rPr>
          <w:w w:val="100"/>
        </w:rPr>
        <w:t>我们</w:t>
      </w:r>
      <w:r>
        <w:rPr>
          <w:spacing w:val="-3"/>
          <w:w w:val="100"/>
        </w:rPr>
        <w:t>审</w:t>
      </w:r>
      <w:r>
        <w:rPr>
          <w:w w:val="100"/>
        </w:rPr>
        <w:t>计</w:t>
      </w:r>
      <w:r>
        <w:rPr>
          <w:spacing w:val="-3"/>
          <w:w w:val="100"/>
        </w:rPr>
        <w:t>了</w:t>
      </w:r>
      <w:r>
        <w:rPr>
          <w:w w:val="100"/>
        </w:rPr>
        <w:t>北</w:t>
      </w:r>
      <w:r>
        <w:rPr>
          <w:spacing w:val="-3"/>
          <w:w w:val="100"/>
        </w:rPr>
        <w:t>京</w:t>
      </w:r>
      <w:r>
        <w:rPr>
          <w:w w:val="100"/>
        </w:rPr>
        <w:t>旋</w:t>
      </w:r>
      <w:r>
        <w:rPr>
          <w:spacing w:val="-3"/>
          <w:w w:val="100"/>
        </w:rPr>
        <w:t>极</w:t>
      </w:r>
      <w:r>
        <w:rPr>
          <w:w w:val="100"/>
        </w:rPr>
        <w:t>信</w:t>
      </w:r>
      <w:r>
        <w:rPr>
          <w:spacing w:val="-3"/>
          <w:w w:val="100"/>
        </w:rPr>
        <w:t>息</w:t>
      </w:r>
      <w:r>
        <w:rPr>
          <w:w w:val="100"/>
        </w:rPr>
        <w:t>技术</w:t>
      </w:r>
      <w:r>
        <w:rPr>
          <w:spacing w:val="-3"/>
          <w:w w:val="100"/>
        </w:rPr>
        <w:t>股</w:t>
      </w:r>
      <w:r>
        <w:rPr>
          <w:w w:val="100"/>
        </w:rPr>
        <w:t>份</w:t>
      </w:r>
      <w:r>
        <w:rPr>
          <w:spacing w:val="-3"/>
          <w:w w:val="100"/>
        </w:rPr>
        <w:t>有</w:t>
      </w:r>
      <w:r>
        <w:rPr>
          <w:w w:val="100"/>
        </w:rPr>
        <w:t>限</w:t>
      </w:r>
      <w:r>
        <w:rPr>
          <w:spacing w:val="-3"/>
          <w:w w:val="100"/>
        </w:rPr>
        <w:t>公</w:t>
      </w:r>
      <w:r>
        <w:rPr>
          <w:w w:val="100"/>
        </w:rPr>
        <w:t>司</w:t>
      </w:r>
      <w:r>
        <w:rPr>
          <w:spacing w:val="-3"/>
          <w:w w:val="100"/>
        </w:rPr>
        <w:t>（</w:t>
      </w:r>
      <w:r>
        <w:rPr>
          <w:w w:val="100"/>
        </w:rPr>
        <w:t>以</w:t>
      </w:r>
      <w:r>
        <w:rPr>
          <w:spacing w:val="-3"/>
          <w:w w:val="100"/>
        </w:rPr>
        <w:t>下</w:t>
      </w:r>
      <w:r>
        <w:rPr>
          <w:w w:val="100"/>
        </w:rPr>
        <w:t>简称</w:t>
      </w:r>
      <w:r>
        <w:rPr>
          <w:spacing w:val="-3"/>
          <w:w w:val="100"/>
        </w:rPr>
        <w:t>“</w:t>
      </w:r>
      <w:r>
        <w:rPr>
          <w:w w:val="100"/>
        </w:rPr>
        <w:t>旋</w:t>
      </w:r>
      <w:r>
        <w:rPr>
          <w:spacing w:val="-3"/>
          <w:w w:val="100"/>
        </w:rPr>
        <w:t>极</w:t>
      </w:r>
      <w:r>
        <w:rPr>
          <w:w w:val="100"/>
        </w:rPr>
        <w:t>信</w:t>
      </w:r>
      <w:r>
        <w:rPr>
          <w:spacing w:val="-3"/>
          <w:w w:val="100"/>
        </w:rPr>
        <w:t>息</w:t>
      </w:r>
      <w:r>
        <w:rPr>
          <w:spacing w:val="-106"/>
          <w:w w:val="100"/>
        </w:rPr>
        <w:t>”</w:t>
      </w:r>
      <w:r>
        <w:rPr>
          <w:spacing w:val="-3"/>
          <w:w w:val="100"/>
        </w:rPr>
        <w:t>）</w:t>
      </w:r>
      <w:r>
        <w:rPr>
          <w:w w:val="100"/>
        </w:rPr>
        <w:t>财</w:t>
      </w:r>
      <w:r>
        <w:rPr>
          <w:spacing w:val="-3"/>
          <w:w w:val="100"/>
        </w:rPr>
        <w:t>务报</w:t>
      </w:r>
      <w:r>
        <w:rPr>
          <w:w w:val="100"/>
        </w:rPr>
        <w:t>表，</w:t>
      </w:r>
      <w:r>
        <w:rPr>
          <w:spacing w:val="-3"/>
          <w:w w:val="100"/>
        </w:rPr>
        <w:t>包</w:t>
      </w:r>
      <w:r>
        <w:rPr>
          <w:w w:val="100"/>
        </w:rPr>
        <w:t>括</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p>
    <w:p>
      <w:pPr>
        <w:pStyle w:val="BodyText"/>
        <w:spacing w:line="333" w:lineRule="auto" w:before="117"/>
        <w:ind w:left="212" w:right="1211"/>
        <w:jc w:val="left"/>
      </w:pPr>
      <w:r>
        <w:rPr>
          <w:rFonts w:ascii="Times New Roman" w:hAnsi="Times New Roman" w:cs="Times New Roman" w:eastAsia="Times New Roman" w:hint="default"/>
        </w:rPr>
        <w:t>31 </w:t>
      </w:r>
      <w:r>
        <w:rPr/>
        <w:t>日的合并及母公司资产负债表，</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年度的合并及母公司利润表、合并及母公司现金流量表、合并及</w:t>
      </w:r>
      <w:r>
        <w:rPr>
          <w:w w:val="100"/>
        </w:rPr>
        <w:t> </w:t>
      </w:r>
      <w:r>
        <w:rPr/>
        <w:t>母公司股东权益变动表以及相关财务报表附注。</w:t>
      </w:r>
    </w:p>
    <w:p>
      <w:pPr>
        <w:pStyle w:val="BodyText"/>
        <w:spacing w:line="240" w:lineRule="auto" w:before="154"/>
        <w:ind w:left="632" w:right="698"/>
        <w:jc w:val="left"/>
        <w:rPr>
          <w:rFonts w:ascii="Times New Roman" w:hAnsi="Times New Roman" w:cs="Times New Roman" w:eastAsia="Times New Roman" w:hint="default"/>
        </w:rPr>
      </w:pPr>
      <w:r>
        <w:rPr>
          <w:spacing w:val="-4"/>
        </w:rPr>
        <w:t>我们认为，后附的财务报表在所有重大方面按照企业会计准则的规定编制，公允反映了旋极信息</w:t>
      </w:r>
      <w:r>
        <w:rPr>
          <w:spacing w:val="31"/>
        </w:rPr>
        <w:t> </w:t>
      </w:r>
      <w:r>
        <w:rPr>
          <w:rFonts w:ascii="Times New Roman" w:hAnsi="Times New Roman" w:cs="Times New Roman" w:eastAsia="Times New Roman" w:hint="default"/>
        </w:rPr>
        <w:t>2019</w:t>
      </w:r>
    </w:p>
    <w:p>
      <w:pPr>
        <w:pStyle w:val="BodyText"/>
        <w:spacing w:line="451" w:lineRule="auto" w:before="115"/>
        <w:ind w:left="632" w:right="698" w:hanging="421"/>
        <w:jc w:val="left"/>
      </w:pP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日的合并及母公司财务状况以及</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年度的合并及母公司经营成果和现金流量。</w:t>
      </w:r>
      <w:r>
        <w:rPr>
          <w:w w:val="100"/>
        </w:rPr>
        <w:t> </w:t>
      </w:r>
      <w:bookmarkStart w:name="二、形成审计意见的基础" w:id="262"/>
      <w:bookmarkEnd w:id="262"/>
      <w:r>
        <w:rPr>
          <w:w w:val="100"/>
        </w:rPr>
      </w:r>
      <w:r>
        <w:rPr>
          <w:rFonts w:ascii="宋体" w:hAnsi="宋体" w:cs="宋体" w:eastAsia="宋体" w:hint="default"/>
          <w:b/>
          <w:bCs/>
        </w:rPr>
        <w:t>二、形成审计意见的基础</w:t>
      </w:r>
      <w:r>
        <w:rPr>
          <w:rFonts w:ascii="宋体" w:hAnsi="宋体" w:cs="宋体" w:eastAsia="宋体" w:hint="default"/>
          <w:b/>
          <w:bCs/>
          <w:w w:val="100"/>
        </w:rPr>
        <w:t> </w:t>
      </w:r>
      <w:r>
        <w:rPr>
          <w:spacing w:val="-2"/>
        </w:rPr>
        <w:t>我们按照中国注册会计师审计准则的规定执行了审计工作。审计报告的“注册会计师对财务报表审计</w:t>
      </w:r>
    </w:p>
    <w:p>
      <w:pPr>
        <w:pStyle w:val="BodyText"/>
        <w:spacing w:line="223" w:lineRule="exact"/>
        <w:ind w:left="212" w:right="698"/>
        <w:jc w:val="left"/>
      </w:pPr>
      <w:r>
        <w:rPr/>
        <w:t>的责任”部分进一步阐述了我们在这些准则下的责任。按照中国注册会计师职业道德守则，我们独立于旋</w:t>
      </w:r>
    </w:p>
    <w:p>
      <w:pPr>
        <w:pStyle w:val="BodyText"/>
        <w:spacing w:line="355" w:lineRule="auto" w:before="133"/>
        <w:ind w:left="212" w:right="698"/>
        <w:jc w:val="left"/>
      </w:pPr>
      <w:r>
        <w:rPr>
          <w:spacing w:val="-2"/>
        </w:rPr>
        <w:t>极信息，并履行了职业道德方面的其他责任。我们相信，我们获取的审计证据是充分、适当的，为发表审</w:t>
      </w:r>
      <w:r>
        <w:rPr>
          <w:spacing w:val="-43"/>
        </w:rPr>
        <w:t> </w:t>
      </w:r>
      <w:r>
        <w:rPr>
          <w:spacing w:val="-43"/>
        </w:rPr>
      </w:r>
      <w:r>
        <w:rPr/>
        <w:t>计意见提供了基础。</w:t>
      </w:r>
    </w:p>
    <w:p>
      <w:pPr>
        <w:pStyle w:val="Heading4"/>
        <w:spacing w:line="240" w:lineRule="auto" w:before="155"/>
        <w:ind w:left="635" w:right="698"/>
        <w:jc w:val="left"/>
        <w:rPr>
          <w:b w:val="0"/>
          <w:bCs w:val="0"/>
        </w:rPr>
      </w:pPr>
      <w:bookmarkStart w:name="三、关键审计事项" w:id="263"/>
      <w:bookmarkEnd w:id="263"/>
      <w:r>
        <w:rPr>
          <w:b w:val="0"/>
          <w:bCs w:val="0"/>
        </w:rPr>
      </w:r>
      <w:r>
        <w:rPr/>
        <w:t>三、关键审计事项</w:t>
      </w:r>
      <w:r>
        <w:rPr>
          <w:b w:val="0"/>
          <w:bCs w:val="0"/>
        </w:rPr>
      </w:r>
    </w:p>
    <w:p>
      <w:pPr>
        <w:spacing w:line="240" w:lineRule="auto" w:before="7"/>
        <w:rPr>
          <w:rFonts w:ascii="宋体" w:hAnsi="宋体" w:cs="宋体" w:eastAsia="宋体" w:hint="default"/>
          <w:b/>
          <w:bCs/>
          <w:sz w:val="19"/>
          <w:szCs w:val="19"/>
        </w:rPr>
      </w:pPr>
    </w:p>
    <w:p>
      <w:pPr>
        <w:pStyle w:val="BodyText"/>
        <w:spacing w:line="355" w:lineRule="auto"/>
        <w:ind w:left="212" w:right="1128" w:firstLine="420"/>
        <w:jc w:val="both"/>
      </w:pPr>
      <w:r>
        <w:rPr>
          <w:spacing w:val="-2"/>
        </w:rPr>
        <w:t>关键审计事项是我们根据职业判断，认为对本期财务报表审计最为重要的事项。这些事项的应对以对</w:t>
      </w:r>
      <w:r>
        <w:rPr>
          <w:w w:val="100"/>
        </w:rPr>
        <w:t> </w:t>
      </w:r>
      <w:r>
        <w:rPr>
          <w:spacing w:val="-2"/>
        </w:rPr>
        <w:t>财务报表整体进行审计并形成审计意见为背景，我们不对这些事项单独发表意见。我们确定下列事项是需</w:t>
      </w:r>
      <w:r>
        <w:rPr>
          <w:spacing w:val="-42"/>
        </w:rPr>
        <w:t> </w:t>
      </w:r>
      <w:r>
        <w:rPr>
          <w:spacing w:val="-42"/>
        </w:rPr>
      </w:r>
      <w:r>
        <w:rPr/>
        <w:t>要在审计报告中沟通的关键审计事项。</w:t>
      </w:r>
    </w:p>
    <w:p>
      <w:pPr>
        <w:spacing w:line="240" w:lineRule="auto" w:before="13"/>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4982"/>
        <w:gridCol w:w="4872"/>
      </w:tblGrid>
      <w:tr>
        <w:trPr>
          <w:trHeight w:val="554" w:hRule="exact"/>
        </w:trPr>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关键审计事项</w:t>
            </w:r>
          </w:p>
        </w:tc>
        <w:tc>
          <w:tcPr>
            <w:tcW w:w="4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60" w:right="0"/>
              <w:jc w:val="left"/>
              <w:rPr>
                <w:rFonts w:ascii="宋体" w:hAnsi="宋体" w:cs="宋体" w:eastAsia="宋体" w:hint="default"/>
                <w:sz w:val="18"/>
                <w:szCs w:val="18"/>
              </w:rPr>
            </w:pPr>
            <w:r>
              <w:rPr>
                <w:rFonts w:ascii="宋体" w:hAnsi="宋体" w:cs="宋体" w:eastAsia="宋体" w:hint="default"/>
                <w:sz w:val="18"/>
                <w:szCs w:val="18"/>
              </w:rPr>
              <w:t>该事项在审计中是如何应对的</w:t>
            </w:r>
          </w:p>
        </w:tc>
      </w:tr>
    </w:tbl>
    <w:p>
      <w:pPr>
        <w:spacing w:after="0" w:line="240" w:lineRule="auto"/>
        <w:jc w:val="left"/>
        <w:rPr>
          <w:rFonts w:ascii="宋体" w:hAnsi="宋体" w:cs="宋体" w:eastAsia="宋体" w:hint="default"/>
          <w:sz w:val="18"/>
          <w:szCs w:val="18"/>
        </w:rPr>
        <w:sectPr>
          <w:pgSz w:w="11910" w:h="16840"/>
          <w:pgMar w:header="882" w:footer="1134" w:top="1280" w:bottom="1320" w:left="920" w:right="0"/>
        </w:sectPr>
      </w:pPr>
    </w:p>
    <w:p>
      <w:pPr>
        <w:spacing w:line="240" w:lineRule="auto" w:before="2"/>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4982"/>
        <w:gridCol w:w="4872"/>
      </w:tblGrid>
      <w:tr>
        <w:trPr>
          <w:trHeight w:val="554" w:hRule="exact"/>
        </w:trPr>
        <w:tc>
          <w:tcPr>
            <w:tcW w:w="98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评估合并报表中商誉减值</w:t>
            </w:r>
          </w:p>
        </w:tc>
      </w:tr>
      <w:tr>
        <w:trPr>
          <w:trHeight w:val="7099" w:hRule="exact"/>
        </w:trPr>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408" w:lineRule="auto"/>
              <w:ind w:left="103" w:right="103" w:hanging="1"/>
              <w:jc w:val="center"/>
              <w:rPr>
                <w:rFonts w:ascii="宋体" w:hAnsi="宋体" w:cs="宋体" w:eastAsia="宋体" w:hint="default"/>
                <w:sz w:val="18"/>
                <w:szCs w:val="18"/>
              </w:rPr>
            </w:pPr>
            <w:r>
              <w:rPr>
                <w:rFonts w:ascii="宋体" w:hAnsi="宋体" w:cs="宋体" w:eastAsia="宋体" w:hint="default"/>
                <w:sz w:val="18"/>
                <w:szCs w:val="18"/>
              </w:rPr>
              <w:t>商誉减值的会计政策详情及分析请参阅合并财务报表附注 “三、重要会计政策和会计估计”注释（十九）长期资产减 </w:t>
            </w:r>
            <w:r>
              <w:rPr>
                <w:rFonts w:ascii="宋体" w:hAnsi="宋体" w:cs="宋体" w:eastAsia="宋体" w:hint="default"/>
                <w:spacing w:val="-4"/>
                <w:sz w:val="18"/>
                <w:szCs w:val="18"/>
              </w:rPr>
              <w:t>值所述的会计政策及“五、合并财务报表项目附注”注释（十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九）商誉。</w:t>
            </w:r>
          </w:p>
          <w:p>
            <w:pPr>
              <w:pStyle w:val="TableParagraph"/>
              <w:spacing w:line="240" w:lineRule="auto" w:before="1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日，旋极信息合并财务报表中商誉的账面原</w:t>
            </w:r>
          </w:p>
          <w:p>
            <w:pPr>
              <w:pStyle w:val="TableParagraph"/>
              <w:spacing w:line="240" w:lineRule="auto" w:before="14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值为人民币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1,928,793,481.85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商誉减值准备</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321,441,964.96</w:t>
            </w:r>
          </w:p>
          <w:p>
            <w:pPr>
              <w:pStyle w:val="TableParagraph"/>
              <w:spacing w:line="396" w:lineRule="auto" w:before="151"/>
              <w:ind w:left="102" w:right="99"/>
              <w:jc w:val="center"/>
              <w:rPr>
                <w:rFonts w:ascii="宋体" w:hAnsi="宋体" w:cs="宋体" w:eastAsia="宋体" w:hint="default"/>
                <w:sz w:val="18"/>
                <w:szCs w:val="18"/>
              </w:rPr>
            </w:pPr>
            <w:r>
              <w:rPr>
                <w:rFonts w:ascii="宋体" w:hAnsi="宋体" w:cs="宋体" w:eastAsia="宋体" w:hint="default"/>
                <w:sz w:val="18"/>
                <w:szCs w:val="18"/>
              </w:rPr>
              <w:t>元，商誉账面价值</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1,607,351,516.89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元。上述商誉主要是旋极 信息分别于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年度因</w:t>
            </w:r>
            <w:r>
              <w:rPr>
                <w:rFonts w:ascii="宋体" w:hAnsi="宋体" w:cs="宋体" w:eastAsia="宋体" w:hint="default"/>
                <w:spacing w:val="-3"/>
                <w:sz w:val="18"/>
                <w:szCs w:val="18"/>
              </w:rPr>
              <w:t> </w:t>
            </w:r>
            <w:r>
              <w:rPr>
                <w:rFonts w:ascii="宋体" w:hAnsi="宋体" w:cs="宋体" w:eastAsia="宋体" w:hint="default"/>
                <w:sz w:val="18"/>
                <w:szCs w:val="18"/>
              </w:rPr>
              <w:t>收购北京中软金卡信息技术有限公司、西安西谷微电子有限</w:t>
            </w:r>
            <w:r>
              <w:rPr>
                <w:rFonts w:ascii="宋体" w:hAnsi="宋体" w:cs="宋体" w:eastAsia="宋体" w:hint="default"/>
                <w:sz w:val="18"/>
                <w:szCs w:val="18"/>
              </w:rPr>
              <w:t> 责任公司、北京泰豪智能工程有限公司、北京联合信标测试 技术有限公司形成的。</w:t>
            </w:r>
          </w:p>
          <w:p>
            <w:pPr>
              <w:pStyle w:val="TableParagraph"/>
              <w:spacing w:line="408" w:lineRule="auto" w:before="117"/>
              <w:ind w:left="103" w:right="12" w:hanging="89"/>
              <w:jc w:val="center"/>
              <w:rPr>
                <w:rFonts w:ascii="宋体" w:hAnsi="宋体" w:cs="宋体" w:eastAsia="宋体" w:hint="default"/>
                <w:sz w:val="18"/>
                <w:szCs w:val="18"/>
              </w:rPr>
            </w:pPr>
            <w:r>
              <w:rPr>
                <w:rFonts w:ascii="宋体" w:hAnsi="宋体" w:cs="宋体" w:eastAsia="宋体" w:hint="default"/>
                <w:sz w:val="18"/>
                <w:szCs w:val="18"/>
              </w:rPr>
              <w:t>由于商誉对合并财务报表的重要性，计提减值时涉及管理层 </w:t>
            </w:r>
            <w:r>
              <w:rPr>
                <w:rFonts w:ascii="宋体" w:hAnsi="宋体" w:cs="宋体" w:eastAsia="宋体" w:hint="default"/>
                <w:spacing w:val="-1"/>
                <w:sz w:val="18"/>
                <w:szCs w:val="18"/>
              </w:rPr>
              <w:t>判断和估计，特别在预测未来现金流量方面包括对预测收入、</w:t>
            </w:r>
            <w:r>
              <w:rPr>
                <w:rFonts w:ascii="宋体" w:hAnsi="宋体" w:cs="宋体" w:eastAsia="宋体" w:hint="default"/>
                <w:sz w:val="18"/>
                <w:szCs w:val="18"/>
              </w:rPr>
              <w:t> 长期平均增长率和利润率以及确定恰当的折现率所作的关键 假设，这些关键假设具有固有不确定性且可能受到管理层偏 向的影响。因此，我们将评估合并财务报表中商誉的减值识 别为关键审计事项。</w:t>
            </w:r>
          </w:p>
        </w:tc>
        <w:tc>
          <w:tcPr>
            <w:tcW w:w="4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482" w:lineRule="auto"/>
              <w:ind w:left="570" w:right="149" w:firstLine="1500"/>
              <w:jc w:val="left"/>
              <w:rPr>
                <w:rFonts w:ascii="宋体" w:hAnsi="宋体" w:cs="宋体" w:eastAsia="宋体" w:hint="default"/>
                <w:sz w:val="18"/>
                <w:szCs w:val="18"/>
              </w:rPr>
            </w:pPr>
            <w:r>
              <w:rPr>
                <w:rFonts w:ascii="宋体" w:hAnsi="宋体" w:cs="宋体" w:eastAsia="宋体" w:hint="default"/>
                <w:sz w:val="18"/>
                <w:szCs w:val="18"/>
              </w:rPr>
              <w:t>审计应对 与评估合并财务报表中商誉的减值相关的审计程序中</w:t>
            </w:r>
          </w:p>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包括以下程序：</w:t>
            </w:r>
          </w:p>
          <w:p>
            <w:pPr>
              <w:pStyle w:val="TableParagraph"/>
              <w:spacing w:line="240" w:lineRule="auto" w:before="2"/>
              <w:ind w:right="0"/>
              <w:jc w:val="left"/>
              <w:rPr>
                <w:rFonts w:ascii="宋体" w:hAnsi="宋体" w:cs="宋体" w:eastAsia="宋体" w:hint="default"/>
                <w:sz w:val="18"/>
                <w:szCs w:val="18"/>
              </w:rPr>
            </w:pPr>
          </w:p>
          <w:p>
            <w:pPr>
              <w:pStyle w:val="TableParagraph"/>
              <w:spacing w:line="386" w:lineRule="auto"/>
              <w:ind w:left="134" w:right="13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、评价并测试与商誉减值测试相关的内部控制，包括对关 键假设的采用及减值计提金额的复核和审批；</w:t>
            </w:r>
          </w:p>
          <w:p>
            <w:pPr>
              <w:pStyle w:val="TableParagraph"/>
              <w:spacing w:line="386" w:lineRule="auto" w:before="125"/>
              <w:ind w:left="134" w:right="134" w:hanging="1"/>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、了解并评价管理层对商誉所属资产组的认定，以及商誉 减值测试的政策和方法；</w:t>
            </w:r>
          </w:p>
          <w:p>
            <w:pPr>
              <w:pStyle w:val="TableParagraph"/>
              <w:spacing w:line="384" w:lineRule="auto" w:before="127"/>
              <w:ind w:left="134" w:right="134" w:hanging="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、评价管理层聘请的协助其进行减值测试的外部独立评估 机构的胜任能力、专业素质和客观性；</w:t>
            </w:r>
          </w:p>
          <w:p>
            <w:pPr>
              <w:pStyle w:val="TableParagraph"/>
              <w:spacing w:line="386" w:lineRule="auto" w:before="129"/>
              <w:ind w:left="134" w:right="134"/>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、与外部独立评估机构进行沟通，了解其评估范围，以及 评估思路和方法</w:t>
            </w:r>
            <w:r>
              <w:rPr>
                <w:rFonts w:ascii="Times New Roman" w:hAnsi="Times New Roman" w:cs="Times New Roman" w:eastAsia="Times New Roman" w:hint="default"/>
                <w:sz w:val="18"/>
                <w:szCs w:val="18"/>
              </w:rPr>
              <w:t>,</w:t>
            </w:r>
            <w:r>
              <w:rPr>
                <w:rFonts w:ascii="宋体" w:hAnsi="宋体" w:cs="宋体" w:eastAsia="宋体" w:hint="default"/>
                <w:sz w:val="18"/>
                <w:szCs w:val="18"/>
              </w:rPr>
              <w:t>获取外部独立评估机构出具的评估报告；</w:t>
            </w:r>
          </w:p>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、复核商誉减值计算的正确性；</w:t>
            </w: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、评价财务报表附注中与商誉减值相关的披露。</w:t>
            </w:r>
          </w:p>
        </w:tc>
      </w:tr>
    </w:tbl>
    <w:p>
      <w:pPr>
        <w:pStyle w:val="Heading4"/>
        <w:spacing w:line="240" w:lineRule="auto" w:before="86"/>
        <w:ind w:left="635" w:right="698"/>
        <w:jc w:val="left"/>
        <w:rPr>
          <w:b w:val="0"/>
          <w:bCs w:val="0"/>
        </w:rPr>
      </w:pPr>
      <w:bookmarkStart w:name="四、其他信息" w:id="264"/>
      <w:bookmarkEnd w:id="264"/>
      <w:r>
        <w:rPr>
          <w:b w:val="0"/>
          <w:bCs w:val="0"/>
        </w:rPr>
      </w:r>
      <w:r>
        <w:rPr/>
        <w:t>四、其他信息</w:t>
      </w:r>
      <w:r>
        <w:rPr>
          <w:b w:val="0"/>
          <w:bCs w:val="0"/>
        </w:rPr>
      </w:r>
    </w:p>
    <w:p>
      <w:pPr>
        <w:spacing w:line="240" w:lineRule="auto" w:before="5"/>
        <w:rPr>
          <w:rFonts w:ascii="宋体" w:hAnsi="宋体" w:cs="宋体" w:eastAsia="宋体" w:hint="default"/>
          <w:b/>
          <w:bCs/>
          <w:sz w:val="19"/>
          <w:szCs w:val="19"/>
        </w:rPr>
      </w:pPr>
    </w:p>
    <w:p>
      <w:pPr>
        <w:pStyle w:val="BodyText"/>
        <w:spacing w:line="333" w:lineRule="auto"/>
        <w:ind w:left="212" w:right="698" w:firstLine="420"/>
        <w:jc w:val="left"/>
      </w:pPr>
      <w:r>
        <w:rPr>
          <w:spacing w:val="-5"/>
          <w:w w:val="100"/>
        </w:rPr>
        <w:t>旋极信息管理层（以下简称“管理层”）对其他信息负责。其他信息包括旋极信息</w:t>
      </w:r>
      <w:r>
        <w:rPr>
          <w:spacing w:val="-54"/>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3"/>
          <w:w w:val="100"/>
        </w:rPr>
        <w:t> </w:t>
      </w:r>
      <w:r>
        <w:rPr>
          <w:spacing w:val="-1"/>
          <w:w w:val="100"/>
        </w:rPr>
        <w:t>年年度报告中</w:t>
      </w:r>
      <w:r>
        <w:rPr>
          <w:w w:val="100"/>
        </w:rPr>
        <w:t> </w:t>
      </w:r>
      <w:r>
        <w:rPr/>
        <w:t>涵盖的信息，但不包括财务报表和我们的审计报告。</w:t>
      </w:r>
    </w:p>
    <w:p>
      <w:pPr>
        <w:pStyle w:val="BodyText"/>
        <w:spacing w:line="446" w:lineRule="auto" w:before="152"/>
        <w:ind w:left="632" w:right="698"/>
        <w:jc w:val="left"/>
      </w:pPr>
      <w:r>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结合我们对财务报表的审计，我们的责任是阅读其他信息，在此过程中，考虑其他信息是否与财务报</w:t>
      </w:r>
    </w:p>
    <w:p>
      <w:pPr>
        <w:pStyle w:val="BodyText"/>
        <w:spacing w:line="225" w:lineRule="exact"/>
        <w:ind w:left="212" w:right="698"/>
        <w:jc w:val="left"/>
      </w:pPr>
      <w:r>
        <w:rPr/>
        <w:t>表或我们在审计过程中了解到的情况存在重大不一致或者似乎存在重大错报。</w:t>
      </w:r>
    </w:p>
    <w:p>
      <w:pPr>
        <w:spacing w:line="240" w:lineRule="auto" w:before="1"/>
        <w:rPr>
          <w:rFonts w:ascii="宋体" w:hAnsi="宋体" w:cs="宋体" w:eastAsia="宋体" w:hint="default"/>
          <w:sz w:val="18"/>
          <w:szCs w:val="18"/>
        </w:rPr>
      </w:pPr>
    </w:p>
    <w:p>
      <w:pPr>
        <w:pStyle w:val="BodyText"/>
        <w:spacing w:line="355" w:lineRule="auto"/>
        <w:ind w:left="212" w:right="698" w:firstLine="420"/>
        <w:jc w:val="left"/>
      </w:pPr>
      <w:r>
        <w:rPr>
          <w:spacing w:val="-2"/>
        </w:rPr>
        <w:t>基于我们已执行的工作，如果我们确定其他信息存在重大错报，我们应当报告该事实。在这方面，我</w:t>
      </w:r>
      <w:r>
        <w:rPr>
          <w:w w:val="100"/>
        </w:rPr>
        <w:t> </w:t>
      </w:r>
      <w:r>
        <w:rPr/>
        <w:t>们无任何事项需要报告。</w:t>
      </w:r>
    </w:p>
    <w:p>
      <w:pPr>
        <w:pStyle w:val="Heading4"/>
        <w:spacing w:line="240" w:lineRule="auto" w:before="155"/>
        <w:ind w:left="635" w:right="698"/>
        <w:jc w:val="left"/>
        <w:rPr>
          <w:b w:val="0"/>
          <w:bCs w:val="0"/>
        </w:rPr>
      </w:pPr>
      <w:bookmarkStart w:name="五、管理层和治理层对财务报表的责任" w:id="265"/>
      <w:bookmarkEnd w:id="265"/>
      <w:r>
        <w:rPr>
          <w:b w:val="0"/>
          <w:bCs w:val="0"/>
        </w:rPr>
      </w:r>
      <w:r>
        <w:rPr/>
        <w:t>五、管理层和治理层对财务报表的责任</w:t>
      </w:r>
      <w:r>
        <w:rPr>
          <w:b w:val="0"/>
          <w:bCs w:val="0"/>
        </w:rPr>
      </w:r>
    </w:p>
    <w:p>
      <w:pPr>
        <w:spacing w:line="240" w:lineRule="auto" w:before="5"/>
        <w:rPr>
          <w:rFonts w:ascii="宋体" w:hAnsi="宋体" w:cs="宋体" w:eastAsia="宋体" w:hint="default"/>
          <w:b/>
          <w:bCs/>
          <w:sz w:val="19"/>
          <w:szCs w:val="19"/>
        </w:rPr>
      </w:pPr>
    </w:p>
    <w:p>
      <w:pPr>
        <w:pStyle w:val="BodyText"/>
        <w:spacing w:line="355" w:lineRule="auto"/>
        <w:ind w:left="212" w:right="698" w:firstLine="420"/>
        <w:jc w:val="left"/>
      </w:pPr>
      <w:r>
        <w:rPr>
          <w:spacing w:val="-2"/>
        </w:rPr>
        <w:t>管理层负责按照企业会计准则的规定编制财务报表，使其实现公允反映，并设计、执行和维护必要的</w:t>
      </w:r>
      <w:r>
        <w:rPr>
          <w:w w:val="100"/>
        </w:rPr>
        <w:t> </w:t>
      </w:r>
      <w:r>
        <w:rPr/>
        <w:t>内部控制，以使财务报表不存在由于舞弊或错误导致的重大错报。</w:t>
      </w:r>
    </w:p>
    <w:p>
      <w:pPr>
        <w:pStyle w:val="BodyText"/>
        <w:spacing w:line="355" w:lineRule="auto" w:before="135"/>
        <w:ind w:left="212" w:right="698" w:firstLine="420"/>
        <w:jc w:val="left"/>
      </w:pPr>
      <w:r>
        <w:rPr>
          <w:spacing w:val="-9"/>
          <w:w w:val="100"/>
        </w:rPr>
        <w:t>在编制财务报表时，管理层负责评估旋极信息的持续经营能力，披露与持续经营相关的事项（如适用），</w:t>
      </w:r>
      <w:r>
        <w:rPr>
          <w:w w:val="100"/>
        </w:rPr>
        <w:t> </w:t>
      </w:r>
      <w:r>
        <w:rPr/>
        <w:t>并运用持续经营假设，除非计划进行清算、终止运营或别无其他现实的选择。</w:t>
      </w:r>
    </w:p>
    <w:p>
      <w:pPr>
        <w:spacing w:after="0" w:line="355" w:lineRule="auto"/>
        <w:jc w:val="left"/>
        <w:sectPr>
          <w:pgSz w:w="11910" w:h="16840"/>
          <w:pgMar w:header="882" w:footer="1134" w:top="1280" w:bottom="1320" w:left="920" w:right="0"/>
        </w:sectPr>
      </w:pPr>
    </w:p>
    <w:p>
      <w:pPr>
        <w:spacing w:line="463" w:lineRule="auto" w:before="110"/>
        <w:ind w:left="575" w:right="5512" w:hanging="3"/>
        <w:jc w:val="left"/>
        <w:rPr>
          <w:rFonts w:ascii="宋体" w:hAnsi="宋体" w:cs="宋体" w:eastAsia="宋体" w:hint="default"/>
          <w:sz w:val="21"/>
          <w:szCs w:val="21"/>
        </w:rPr>
      </w:pPr>
      <w:r>
        <w:rPr>
          <w:rFonts w:ascii="宋体" w:hAnsi="宋体" w:cs="宋体" w:eastAsia="宋体" w:hint="default"/>
          <w:spacing w:val="-2"/>
          <w:sz w:val="21"/>
          <w:szCs w:val="21"/>
        </w:rPr>
        <w:t>治理层负责监督旋极信息的财务报告过程。</w:t>
      </w:r>
      <w:r>
        <w:rPr>
          <w:rFonts w:ascii="宋体" w:hAnsi="宋体" w:cs="宋体" w:eastAsia="宋体" w:hint="default"/>
          <w:spacing w:val="-69"/>
          <w:sz w:val="21"/>
          <w:szCs w:val="21"/>
        </w:rPr>
        <w:t> </w:t>
      </w:r>
      <w:r>
        <w:rPr>
          <w:rFonts w:ascii="宋体" w:hAnsi="宋体" w:cs="宋体" w:eastAsia="宋体" w:hint="default"/>
          <w:spacing w:val="-69"/>
          <w:sz w:val="21"/>
          <w:szCs w:val="21"/>
        </w:rPr>
      </w:r>
      <w:bookmarkStart w:name="六、注册会计师对财务报表审计的责任" w:id="266"/>
      <w:bookmarkEnd w:id="266"/>
      <w:r>
        <w:rPr>
          <w:rFonts w:ascii="宋体" w:hAnsi="宋体" w:cs="宋体" w:eastAsia="宋体" w:hint="default"/>
          <w:spacing w:val="-69"/>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355" w:lineRule="auto" w:before="58"/>
        <w:ind w:left="152" w:right="1128" w:firstLine="420"/>
        <w:jc w:val="both"/>
      </w:pPr>
      <w:r>
        <w:rPr>
          <w:spacing w:val="-2"/>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2"/>
        </w:rPr>
        <w:t> </w:t>
      </w:r>
      <w:r>
        <w:rPr>
          <w:spacing w:val="-42"/>
        </w:rPr>
      </w:r>
      <w:r>
        <w:rPr>
          <w:spacing w:val="-2"/>
        </w:rPr>
        <w:t>存在时总能发现。错报可能由于舞弊或错误导致，如果合理预期错报单独或汇总起来可能影响财务报表使</w:t>
      </w:r>
      <w:r>
        <w:rPr>
          <w:spacing w:val="-42"/>
        </w:rPr>
        <w:t> </w:t>
      </w:r>
      <w:r>
        <w:rPr>
          <w:spacing w:val="-42"/>
        </w:rPr>
      </w:r>
      <w:r>
        <w:rPr/>
        <w:t>用者依据财务报表作出的经济决策，则通常认为错报是重大的。</w:t>
      </w:r>
    </w:p>
    <w:p>
      <w:pPr>
        <w:pStyle w:val="BodyText"/>
        <w:spacing w:line="355" w:lineRule="auto" w:before="135"/>
        <w:ind w:left="152" w:right="1127" w:firstLine="420"/>
        <w:jc w:val="left"/>
      </w:pPr>
      <w:r>
        <w:rPr>
          <w:spacing w:val="-2"/>
        </w:rPr>
        <w:t>在按照审计准则执行审计工作的过程中，我们运用职业判断，并保持职业怀疑。同时，我们也执行以</w:t>
      </w:r>
      <w:r>
        <w:rPr>
          <w:w w:val="100"/>
        </w:rPr>
        <w:t> </w:t>
      </w:r>
      <w:r>
        <w:rPr/>
        <w:t>下工作：</w:t>
      </w:r>
    </w:p>
    <w:p>
      <w:pPr>
        <w:pStyle w:val="BodyText"/>
        <w:spacing w:line="350" w:lineRule="auto" w:before="135"/>
        <w:ind w:left="152" w:right="0" w:firstLine="42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w:t>
      </w:r>
      <w:r>
        <w:rPr>
          <w:spacing w:val="-4"/>
        </w:rPr>
        <w:t> </w:t>
      </w:r>
      <w:r>
        <w:rPr>
          <w:spacing w:val="-4"/>
        </w:rPr>
      </w:r>
      <w:r>
        <w:rPr>
          <w:spacing w:val="-2"/>
        </w:rPr>
        <w:t>虚假陈述或凌驾于内部控制之上，未能发现由于舞弊导致的重大错报的风险高于未能发现由于错误导致的</w:t>
      </w:r>
      <w:r>
        <w:rPr>
          <w:spacing w:val="-42"/>
        </w:rPr>
        <w:t> </w:t>
      </w:r>
      <w:r>
        <w:rPr>
          <w:spacing w:val="-42"/>
        </w:rPr>
      </w:r>
      <w:r>
        <w:rPr/>
        <w:t>重大错报的风险。</w:t>
      </w:r>
    </w:p>
    <w:p>
      <w:pPr>
        <w:pStyle w:val="BodyText"/>
        <w:spacing w:line="333" w:lineRule="auto" w:before="139"/>
        <w:ind w:left="152" w:right="1127" w:firstLine="420"/>
        <w:jc w:val="left"/>
      </w:pPr>
      <w:r>
        <w:rPr>
          <w:spacing w:val="-2"/>
        </w:rPr>
        <w:t>（</w:t>
      </w:r>
      <w:r>
        <w:rPr>
          <w:rFonts w:ascii="Times New Roman" w:hAnsi="Times New Roman" w:cs="Times New Roman" w:eastAsia="Times New Roman" w:hint="default"/>
          <w:spacing w:val="-2"/>
        </w:rPr>
        <w:t>2</w:t>
      </w:r>
      <w:r>
        <w:rPr>
          <w:spacing w:val="-2"/>
        </w:rPr>
        <w:t>）了解与审计相关的内部控制，以设计恰当的审计程序，但目的并非对内部控制的有效性发表意</w:t>
      </w:r>
      <w:r>
        <w:rPr>
          <w:w w:val="100"/>
        </w:rPr>
        <w:t> </w:t>
      </w:r>
      <w:r>
        <w:rPr/>
        <w:t>见。</w:t>
      </w:r>
    </w:p>
    <w:p>
      <w:pPr>
        <w:pStyle w:val="BodyText"/>
        <w:spacing w:line="240" w:lineRule="auto" w:before="152"/>
        <w:ind w:right="1127"/>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11"/>
        <w:rPr>
          <w:rFonts w:ascii="宋体" w:hAnsi="宋体" w:cs="宋体" w:eastAsia="宋体" w:hint="default"/>
          <w:sz w:val="16"/>
          <w:szCs w:val="16"/>
        </w:rPr>
      </w:pPr>
    </w:p>
    <w:p>
      <w:pPr>
        <w:pStyle w:val="BodyText"/>
        <w:spacing w:line="350" w:lineRule="auto"/>
        <w:ind w:left="152" w:right="1127" w:firstLine="420"/>
        <w:jc w:val="left"/>
      </w:pPr>
      <w:r>
        <w:rPr/>
        <w:t>（</w:t>
      </w:r>
      <w:r>
        <w:rPr>
          <w:rFonts w:ascii="Times New Roman" w:hAnsi="Times New Roman" w:cs="Times New Roman" w:eastAsia="Times New Roman" w:hint="default"/>
        </w:rPr>
        <w:t>4</w:t>
      </w:r>
      <w:r>
        <w:rPr/>
        <w:t>）对管理层使用持续经营假设的恰当性得出结论。同时，根据获取的审计证据，就可能导致对旋</w:t>
      </w:r>
      <w:r>
        <w:rPr>
          <w:w w:val="100"/>
        </w:rPr>
        <w:t> </w:t>
      </w:r>
      <w:r>
        <w:rPr>
          <w:spacing w:val="-2"/>
        </w:rPr>
        <w:t>极信息持续经营能力产生重大疑虑的事项或情况是否存在重大不确定性得出结论。如果我们得出结论认为</w:t>
      </w:r>
      <w:r>
        <w:rPr>
          <w:spacing w:val="-43"/>
        </w:rPr>
        <w:t> </w:t>
      </w:r>
      <w:r>
        <w:rPr>
          <w:spacing w:val="-43"/>
        </w:rPr>
      </w:r>
      <w:r>
        <w:rPr>
          <w:spacing w:val="-2"/>
        </w:rPr>
        <w:t>存在重大不确定性，审计准则要求我们在审计报告中提请报表使用者注意财务报表中的相关披露；如果披</w:t>
      </w:r>
      <w:r>
        <w:rPr>
          <w:spacing w:val="-42"/>
        </w:rPr>
        <w:t> </w:t>
      </w:r>
      <w:r>
        <w:rPr>
          <w:spacing w:val="-42"/>
        </w:rPr>
      </w:r>
      <w:r>
        <w:rPr>
          <w:spacing w:val="-2"/>
        </w:rPr>
        <w:t>露不充分，我们应当发表非无保留意见。我们的结论基于截至审计报告日可获得的信息。然而，未来的事</w:t>
      </w:r>
      <w:r>
        <w:rPr>
          <w:spacing w:val="-47"/>
        </w:rPr>
        <w:t> </w:t>
      </w:r>
      <w:r>
        <w:rPr>
          <w:spacing w:val="-47"/>
        </w:rPr>
      </w:r>
      <w:r>
        <w:rPr/>
        <w:t>项或情况可能导致旋极信息不能持续经营。</w:t>
      </w:r>
    </w:p>
    <w:p>
      <w:pPr>
        <w:pStyle w:val="BodyText"/>
        <w:spacing w:line="336" w:lineRule="auto" w:before="139"/>
        <w:ind w:left="152" w:right="1127" w:firstLine="419"/>
        <w:jc w:val="left"/>
      </w:pPr>
      <w:r>
        <w:rPr>
          <w:spacing w:val="-5"/>
          <w:w w:val="100"/>
        </w:rPr>
        <w:t>（</w:t>
      </w:r>
      <w:r>
        <w:rPr>
          <w:rFonts w:ascii="Times New Roman" w:hAnsi="Times New Roman" w:cs="Times New Roman" w:eastAsia="Times New Roman" w:hint="default"/>
          <w:spacing w:val="-5"/>
          <w:w w:val="100"/>
        </w:rPr>
        <w:t>5</w:t>
      </w:r>
      <w:r>
        <w:rPr>
          <w:spacing w:val="-5"/>
          <w:w w:val="100"/>
        </w:rPr>
        <w:t>）评价财务报表的总体列报（包括披露）、结构和内容，并评价财务报表是否公允反映相关交易和</w:t>
      </w:r>
      <w:r>
        <w:rPr>
          <w:spacing w:val="-3"/>
          <w:w w:val="100"/>
        </w:rPr>
        <w:t> </w:t>
      </w:r>
      <w:r>
        <w:rPr/>
        <w:t>事项。</w:t>
      </w:r>
    </w:p>
    <w:p>
      <w:pPr>
        <w:pStyle w:val="BodyText"/>
        <w:spacing w:line="336" w:lineRule="auto" w:before="150"/>
        <w:ind w:left="152" w:right="1127" w:firstLine="420"/>
        <w:jc w:val="left"/>
      </w:pPr>
      <w:r>
        <w:rPr>
          <w:spacing w:val="-2"/>
        </w:rPr>
        <w:t>（</w:t>
      </w:r>
      <w:r>
        <w:rPr>
          <w:rFonts w:ascii="Times New Roman" w:hAnsi="Times New Roman" w:cs="Times New Roman" w:eastAsia="Times New Roman" w:hint="default"/>
          <w:spacing w:val="-2"/>
        </w:rPr>
        <w:t>6</w:t>
      </w:r>
      <w:r>
        <w:rPr>
          <w:spacing w:val="-2"/>
        </w:rPr>
        <w:t>）就旋极信息中实体或业务活动的财务信息获取充分、适当的审计证据，以对财务报表发表审计</w:t>
      </w:r>
      <w:r>
        <w:rPr>
          <w:w w:val="100"/>
        </w:rPr>
        <w:t> </w:t>
      </w:r>
      <w:r>
        <w:rPr/>
        <w:t>意见。我们负责指导、监督和执行集团审计，并对审计意见承担全部责任。</w:t>
      </w:r>
    </w:p>
    <w:p>
      <w:pPr>
        <w:pStyle w:val="BodyText"/>
        <w:spacing w:line="355" w:lineRule="auto" w:before="150"/>
        <w:ind w:left="152" w:right="1127" w:firstLine="420"/>
        <w:jc w:val="left"/>
      </w:pPr>
      <w:r>
        <w:rPr>
          <w:spacing w:val="-2"/>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355" w:lineRule="auto" w:before="135"/>
        <w:ind w:left="152" w:right="1127" w:firstLine="420"/>
        <w:jc w:val="left"/>
      </w:pPr>
      <w:r>
        <w:rPr>
          <w:spacing w:val="-2"/>
        </w:rPr>
        <w:t>我们还就已遵守与独立性相关的职业道德要求向治理层提供声明，并与治理层沟通可能被合理认为影</w:t>
      </w:r>
      <w:r>
        <w:rPr>
          <w:w w:val="100"/>
        </w:rPr>
        <w:t> </w:t>
      </w:r>
      <w:r>
        <w:rPr>
          <w:spacing w:val="-5"/>
          <w:w w:val="100"/>
        </w:rPr>
        <w:t>响我们独立性的所有关系和其他事项，以及相关的防范措施（如适用）。</w:t>
      </w:r>
    </w:p>
    <w:p>
      <w:pPr>
        <w:pStyle w:val="BodyText"/>
        <w:spacing w:line="355" w:lineRule="auto" w:before="135"/>
        <w:ind w:left="152" w:right="1128" w:firstLine="420"/>
        <w:jc w:val="both"/>
      </w:pPr>
      <w:r>
        <w:rPr>
          <w:spacing w:val="-2"/>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p>
    <w:p>
      <w:pPr>
        <w:spacing w:after="0" w:line="355" w:lineRule="auto"/>
        <w:jc w:val="both"/>
        <w:sectPr>
          <w:pgSz w:w="11910" w:h="16840"/>
          <w:pgMar w:header="882" w:footer="1134" w:top="1280" w:bottom="1320" w:left="980" w:right="0"/>
        </w:sectPr>
      </w:pPr>
    </w:p>
    <w:p>
      <w:pPr>
        <w:pStyle w:val="BodyText"/>
        <w:spacing w:line="240" w:lineRule="auto" w:before="110"/>
        <w:ind w:left="152" w:right="1127"/>
        <w:jc w:val="left"/>
      </w:pPr>
      <w:r>
        <w:rPr/>
        <w:t>告中沟通该事项。</w:t>
      </w:r>
    </w:p>
    <w:p>
      <w:pPr>
        <w:spacing w:line="240" w:lineRule="auto" w:before="12"/>
        <w:rPr>
          <w:rFonts w:ascii="宋体" w:hAnsi="宋体" w:cs="宋体" w:eastAsia="宋体" w:hint="default"/>
          <w:sz w:val="17"/>
          <w:szCs w:val="17"/>
        </w:rPr>
      </w:pPr>
    </w:p>
    <w:p>
      <w:pPr>
        <w:pStyle w:val="BodyText"/>
        <w:tabs>
          <w:tab w:pos="4103" w:val="left" w:leader="none"/>
        </w:tabs>
        <w:spacing w:line="240" w:lineRule="auto"/>
        <w:ind w:left="573" w:right="1127"/>
        <w:jc w:val="left"/>
      </w:pPr>
      <w:r>
        <w:rPr>
          <w:spacing w:val="-2"/>
        </w:rPr>
        <w:t>立信会计师事务所</w:t>
        <w:tab/>
        <w:t>中国注册会计师：王首一（项目合伙人）</w:t>
      </w:r>
    </w:p>
    <w:p>
      <w:pPr>
        <w:spacing w:line="240" w:lineRule="auto" w:before="12"/>
        <w:rPr>
          <w:rFonts w:ascii="宋体" w:hAnsi="宋体" w:cs="宋体" w:eastAsia="宋体" w:hint="default"/>
          <w:sz w:val="17"/>
          <w:szCs w:val="17"/>
        </w:rPr>
      </w:pPr>
    </w:p>
    <w:p>
      <w:pPr>
        <w:pStyle w:val="BodyText"/>
        <w:spacing w:line="240" w:lineRule="auto"/>
        <w:ind w:left="573" w:right="1127"/>
        <w:jc w:val="left"/>
      </w:pPr>
      <w:r>
        <w:rPr/>
        <w:t>（特殊普通合伙）</w:t>
      </w:r>
    </w:p>
    <w:p>
      <w:pPr>
        <w:spacing w:line="240" w:lineRule="auto" w:before="12"/>
        <w:rPr>
          <w:rFonts w:ascii="宋体" w:hAnsi="宋体" w:cs="宋体" w:eastAsia="宋体" w:hint="default"/>
          <w:sz w:val="17"/>
          <w:szCs w:val="17"/>
        </w:rPr>
      </w:pPr>
    </w:p>
    <w:p>
      <w:pPr>
        <w:pStyle w:val="BodyText"/>
        <w:spacing w:line="240" w:lineRule="auto"/>
        <w:ind w:left="134" w:right="666"/>
        <w:jc w:val="center"/>
      </w:pPr>
      <w:r>
        <w:rPr/>
        <w:t>中国注册会计师：刘宇</w:t>
      </w:r>
    </w:p>
    <w:p>
      <w:pPr>
        <w:spacing w:line="240" w:lineRule="auto" w:before="12"/>
        <w:rPr>
          <w:rFonts w:ascii="宋体" w:hAnsi="宋体" w:cs="宋体" w:eastAsia="宋体" w:hint="default"/>
          <w:sz w:val="17"/>
          <w:szCs w:val="17"/>
        </w:rPr>
      </w:pPr>
    </w:p>
    <w:p>
      <w:pPr>
        <w:pStyle w:val="BodyText"/>
        <w:tabs>
          <w:tab w:pos="4104" w:val="left" w:leader="none"/>
        </w:tabs>
        <w:spacing w:line="240" w:lineRule="auto"/>
        <w:ind w:left="573" w:right="1127"/>
        <w:jc w:val="left"/>
      </w:pPr>
      <w:r>
        <w:rPr>
          <w:spacing w:val="-1"/>
        </w:rPr>
        <w:t>中国</w:t>
      </w:r>
      <w:r>
        <w:rPr>
          <w:rFonts w:ascii="Times New Roman" w:hAnsi="Times New Roman" w:cs="Times New Roman" w:eastAsia="Times New Roman" w:hint="default"/>
          <w:spacing w:val="-1"/>
        </w:rPr>
        <w:t>•</w:t>
      </w:r>
      <w:r>
        <w:rPr>
          <w:spacing w:val="-1"/>
        </w:rPr>
        <w:t>上海</w:t>
        <w:tab/>
      </w:r>
      <w:r>
        <w:rPr>
          <w:rFonts w:ascii="Times New Roman" w:hAnsi="Times New Roman" w:cs="Times New Roman" w:eastAsia="Times New Roman" w:hint="default"/>
          <w:spacing w:val="-1"/>
        </w:rPr>
        <w:t>2020</w:t>
      </w:r>
      <w:r>
        <w:rPr>
          <w:rFonts w:ascii="Times New Roman" w:hAnsi="Times New Roman" w:cs="Times New Roman" w:eastAsia="Times New Roman" w:hint="default"/>
          <w:spacing w:val="-1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51"/>
        </w:rPr>
        <w:t> </w:t>
      </w:r>
      <w:r>
        <w:rPr>
          <w:rFonts w:ascii="Times New Roman" w:hAnsi="Times New Roman" w:cs="Times New Roman" w:eastAsia="Times New Roman" w:hint="default"/>
          <w:spacing w:val="-2"/>
        </w:rPr>
        <w:t>23</w:t>
      </w:r>
      <w:r>
        <w:rPr>
          <w:rFonts w:ascii="Times New Roman" w:hAnsi="Times New Roman" w:cs="Times New Roman" w:eastAsia="Times New Roman" w:hint="default"/>
          <w:spacing w:val="-9"/>
        </w:rPr>
        <w:t> </w:t>
      </w:r>
      <w:r>
        <w:rPr/>
        <w:t>日</w:t>
      </w:r>
    </w:p>
    <w:p>
      <w:pPr>
        <w:spacing w:line="240" w:lineRule="auto" w:before="5"/>
        <w:rPr>
          <w:rFonts w:ascii="宋体" w:hAnsi="宋体" w:cs="宋体" w:eastAsia="宋体" w:hint="default"/>
          <w:sz w:val="31"/>
          <w:szCs w:val="31"/>
        </w:rPr>
      </w:pPr>
    </w:p>
    <w:p>
      <w:pPr>
        <w:pStyle w:val="Heading2"/>
        <w:spacing w:line="240" w:lineRule="auto"/>
        <w:ind w:right="1127"/>
        <w:jc w:val="left"/>
        <w:rPr>
          <w:b w:val="0"/>
          <w:bCs w:val="0"/>
        </w:rPr>
      </w:pPr>
      <w:bookmarkStart w:name="二、财务报表" w:id="267"/>
      <w:bookmarkEnd w:id="267"/>
      <w:r>
        <w:rPr>
          <w:b w:val="0"/>
          <w:bCs w:val="0"/>
        </w:rPr>
      </w:r>
      <w:r>
        <w:rPr/>
        <w:t>二、财务报表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127"/>
        <w:jc w:val="left"/>
      </w:pPr>
      <w:r>
        <w:rPr/>
        <w:t>财务附注中报表的单位为：元</w:t>
      </w:r>
    </w:p>
    <w:p>
      <w:pPr>
        <w:spacing w:line="240" w:lineRule="auto" w:before="0"/>
        <w:rPr>
          <w:rFonts w:ascii="宋体" w:hAnsi="宋体" w:cs="宋体" w:eastAsia="宋体" w:hint="default"/>
          <w:sz w:val="20"/>
          <w:szCs w:val="20"/>
        </w:rPr>
      </w:pPr>
    </w:p>
    <w:p>
      <w:pPr>
        <w:spacing w:line="470" w:lineRule="auto" w:before="176"/>
        <w:ind w:left="572" w:right="5512" w:hanging="420"/>
        <w:jc w:val="left"/>
        <w:rPr>
          <w:rFonts w:ascii="宋体" w:hAnsi="宋体" w:cs="宋体" w:eastAsia="宋体" w:hint="default"/>
          <w:sz w:val="21"/>
          <w:szCs w:val="21"/>
        </w:rPr>
      </w:pPr>
      <w:bookmarkStart w:name="1、合并资产负债表" w:id="268"/>
      <w:bookmarkEnd w:id="26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b/>
          <w:bCs/>
          <w:spacing w:val="-104"/>
          <w:sz w:val="21"/>
          <w:szCs w:val="21"/>
        </w:rPr>
        <w:t> </w:t>
      </w:r>
      <w:r>
        <w:rPr>
          <w:rFonts w:ascii="宋体" w:hAnsi="宋体" w:cs="宋体" w:eastAsia="宋体" w:hint="default"/>
          <w:spacing w:val="-2"/>
          <w:sz w:val="21"/>
          <w:szCs w:val="21"/>
        </w:rPr>
        <w:t>编制单位：北京旋极信息技术股份有限公司</w:t>
      </w:r>
    </w:p>
    <w:p>
      <w:pPr>
        <w:pStyle w:val="BodyText"/>
        <w:spacing w:line="240" w:lineRule="auto" w:before="32"/>
        <w:ind w:left="134" w:right="694"/>
        <w:jc w:val="center"/>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12"/>
        <w:rPr>
          <w:rFonts w:ascii="宋体" w:hAnsi="宋体" w:cs="宋体" w:eastAsia="宋体" w:hint="default"/>
          <w:sz w:val="13"/>
          <w:szCs w:val="13"/>
        </w:rPr>
      </w:pPr>
    </w:p>
    <w:p>
      <w:pPr>
        <w:pStyle w:val="BodyText"/>
        <w:spacing w:line="240" w:lineRule="auto" w:before="36"/>
        <w:ind w:left="0" w:right="1130"/>
        <w:jc w:val="right"/>
      </w:pPr>
      <w:r>
        <w:rPr>
          <w:spacing w:val="-1"/>
        </w:rPr>
        <w:t>单位：元</w:t>
      </w:r>
    </w:p>
    <w:p>
      <w:pPr>
        <w:spacing w:line="240" w:lineRule="auto" w:before="9"/>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10" w:space="0" w:color="D4D4D4"/>
              <w:left w:val="single" w:sz="10" w:space="0" w:color="D4D4D4"/>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2,086,495,288.10</w:t>
            </w:r>
          </w:p>
        </w:tc>
        <w:tc>
          <w:tcPr>
            <w:tcW w:w="3302" w:type="dxa"/>
            <w:tcBorders>
              <w:top w:val="single" w:sz="10" w:space="0" w:color="D4D4D4"/>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2,436,798,454.59</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9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30,000,000.00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9"/>
              <w:ind w:left="746" w:right="25" w:hanging="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149,529,532.39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81,560,061.23</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953,661,050.16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1,118,800,182.91</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106"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17,216,553.84</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92,149,221.64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360,688,001.54</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474"/>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9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98,629,982.36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435,921,536.66</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565"/>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18,877,254.10</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565"/>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4,416,962.36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565"/>
              <w:jc w:val="righ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58"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846,448,232.46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846,357,777.99</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86"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65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48,373,638.72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110,381,319.31</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26"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4D4D4"/>
              <w:bottom w:val="single" w:sz="9" w:space="0" w:color="D4D4D4"/>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4,322,503,499.67</w:t>
            </w:r>
          </w:p>
        </w:tc>
        <w:tc>
          <w:tcPr>
            <w:tcW w:w="3302"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5,390,507,334.23</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2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9" w:space="0" w:color="D4D4D4"/>
              <w:left w:val="single" w:sz="10" w:space="0" w:color="D4D4D4"/>
              <w:bottom w:val="single" w:sz="4" w:space="0" w:color="000000"/>
              <w:right w:val="single" w:sz="4" w:space="0" w:color="000000"/>
            </w:tcBorders>
          </w:tcPr>
          <w:p>
            <w:pPr/>
          </w:p>
        </w:tc>
        <w:tc>
          <w:tcPr>
            <w:tcW w:w="3302" w:type="dxa"/>
            <w:tcBorders>
              <w:top w:val="single" w:sz="9" w:space="0" w:color="D4D4D4"/>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86"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2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263,287,649.29</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106"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9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432,442,554.84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368,791,301.24</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26"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162,625,650.51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3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84,568,389.05</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761,178,279.37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4,043,099.80</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8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425,877,334.90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363,082,616.42</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24"/>
              <w:jc w:val="right"/>
              <w:rPr>
                <w:rFonts w:ascii="Times New Roman" w:hAnsi="Times New Roman" w:cs="Times New Roman" w:eastAsia="Times New Roman" w:hint="default"/>
                <w:sz w:val="18"/>
                <w:szCs w:val="18"/>
              </w:rPr>
            </w:pPr>
            <w:r>
              <w:rPr>
                <w:rFonts w:ascii="Times New Roman"/>
                <w:spacing w:val="-2"/>
                <w:sz w:val="18"/>
              </w:rPr>
              <w:t>5,698,573.11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2,026,439.28</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9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95,720,545.18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103,380,883.93</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23,562,812.20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58" w:right="0"/>
              <w:jc w:val="center"/>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1,607,351,516.89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1,607,351,516.89</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6,195,516.21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7,311,424.86</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24,000,047.03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23,516,751.79</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3,581,000.00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7,437,330.00</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3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3,632,802,219.29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2,750,229,013.50</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6" w:space="0" w:color="D4D4D4"/>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7,955,305,718.96</w:t>
            </w:r>
          </w:p>
        </w:tc>
        <w:tc>
          <w:tcPr>
            <w:tcW w:w="3302" w:type="dxa"/>
            <w:tcBorders>
              <w:top w:val="single" w:sz="4" w:space="0" w:color="000000"/>
              <w:left w:val="single" w:sz="4" w:space="0" w:color="000000"/>
              <w:bottom w:val="single" w:sz="6" w:space="0" w:color="D4D4D4"/>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8,140,736,347.73</w:t>
            </w:r>
          </w:p>
        </w:tc>
      </w:tr>
      <w:tr>
        <w:trPr>
          <w:trHeight w:val="388"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88"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left="128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5" w:space="0" w:color="D4D4D4"/>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361,437,799.78</w:t>
            </w:r>
            <w:r>
              <w:rPr>
                <w:rFonts w:ascii="Times New Roman"/>
                <w:sz w:val="18"/>
              </w:rPr>
            </w:r>
          </w:p>
        </w:tc>
        <w:tc>
          <w:tcPr>
            <w:tcW w:w="3302" w:type="dxa"/>
            <w:tcBorders>
              <w:top w:val="single" w:sz="5" w:space="0" w:color="D4D4D4"/>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751,039,500.00</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left="386"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05" w:lineRule="exact"/>
              <w:ind w:left="746" w:right="0"/>
              <w:jc w:val="left"/>
              <w:rPr>
                <w:rFonts w:ascii="宋体" w:hAnsi="宋体" w:cs="宋体" w:eastAsia="宋体" w:hint="default"/>
                <w:sz w:val="18"/>
                <w:szCs w:val="18"/>
              </w:rPr>
            </w:pPr>
            <w:r>
              <w:rPr>
                <w:rFonts w:ascii="宋体" w:hAnsi="宋体" w:cs="宋体" w:eastAsia="宋体" w:hint="default"/>
                <w:sz w:val="18"/>
                <w:szCs w:val="18"/>
              </w:rPr>
              <w:t>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106"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107,962,477.29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418,489,964.24</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929,184,195.42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996,251,859.72</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427,026,107.81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452,267,466.75</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37"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37"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01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10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66,929,833.41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75,862,497.61</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48,327,573.06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35,077,483.99</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9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452,569,778.38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291,575,126.19</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z w:val="18"/>
              </w:rPr>
              <w:t>862,496.13</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64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26"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106"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65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24,216,008.33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77,000,000.00</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2,049,806.38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13,169,479.36</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26"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10" w:space="0" w:color="D4D4D4"/>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2,419,703,579.86</w:t>
            </w:r>
          </w:p>
        </w:tc>
        <w:tc>
          <w:tcPr>
            <w:tcW w:w="3302"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3,110,733,377.86</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26"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6" w:space="0" w:color="D4D4D4"/>
              <w:left w:val="single" w:sz="10" w:space="0" w:color="D4D4D4"/>
              <w:bottom w:val="single" w:sz="4" w:space="0" w:color="000000"/>
              <w:right w:val="single" w:sz="4" w:space="0" w:color="000000"/>
            </w:tcBorders>
          </w:tcPr>
          <w:p>
            <w:pPr/>
          </w:p>
        </w:tc>
        <w:tc>
          <w:tcPr>
            <w:tcW w:w="3302" w:type="dxa"/>
            <w:tcBorders>
              <w:top w:val="single" w:sz="6" w:space="0" w:color="D4D4D4"/>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114,000,000.00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86"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9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73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9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26"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86"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67,408,793.05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65,800,345.68</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4,685,330.57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7,472,923.34</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3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186,094,123.62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73,273,269.02</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2,605,797,703.48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3,184,006,646.88</w:t>
            </w:r>
          </w:p>
        </w:tc>
      </w:tr>
    </w:tbl>
    <w:p>
      <w:pPr>
        <w:spacing w:after="0" w:line="240" w:lineRule="auto"/>
        <w:jc w:val="right"/>
        <w:rPr>
          <w:rFonts w:ascii="Times New Roman" w:hAnsi="Times New Roman" w:cs="Times New Roman" w:eastAsia="Times New Roman" w:hint="default"/>
          <w:sz w:val="18"/>
          <w:szCs w:val="18"/>
        </w:rPr>
        <w:sectPr>
          <w:footerReference w:type="default" r:id="rId57"/>
          <w:pgSz w:w="11910" w:h="16840"/>
          <w:pgMar w:footer="1134" w:header="882" w:top="1280" w:bottom="1320" w:left="980" w:right="0"/>
          <w:pgNumType w:start="12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88"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26"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88"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left="358"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9" w:space="0" w:color="D4D4D4"/>
              <w:left w:val="single" w:sz="10" w:space="0" w:color="D4D4D4"/>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1,747,134,595.00</w:t>
            </w:r>
            <w:r>
              <w:rPr>
                <w:rFonts w:ascii="Times New Roman"/>
                <w:sz w:val="18"/>
              </w:rPr>
            </w:r>
          </w:p>
        </w:tc>
        <w:tc>
          <w:tcPr>
            <w:tcW w:w="3302" w:type="dxa"/>
            <w:tcBorders>
              <w:top w:val="single" w:sz="9" w:space="0" w:color="D4D4D4"/>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1,748,662,113.00</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9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73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2,441,940,176.35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2,435,569,070.77</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9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90,103,360.00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194,948,400.37</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4,160,572.17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2,964,265.04</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8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50,173,507.71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50,173,507.71</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106"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9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1,096,830,805.06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845,609,192.48</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9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5,250,136,296.29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4,888,029,748.63</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99,371,719.19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68,699,952.22</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3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5,349,508,015.48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4,956,729,700.85</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66"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7,955,305,718.96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8,140,736,347.73</w:t>
            </w:r>
          </w:p>
        </w:tc>
      </w:tr>
    </w:tbl>
    <w:p>
      <w:pPr>
        <w:spacing w:line="240" w:lineRule="auto" w:before="9"/>
        <w:rPr>
          <w:rFonts w:ascii="Times New Roman" w:hAnsi="Times New Roman" w:cs="Times New Roman" w:eastAsia="Times New Roman" w:hint="default"/>
          <w:sz w:val="19"/>
          <w:szCs w:val="19"/>
        </w:rPr>
      </w:pPr>
    </w:p>
    <w:p>
      <w:pPr>
        <w:pStyle w:val="BodyText"/>
        <w:tabs>
          <w:tab w:pos="3198" w:val="left" w:leader="none"/>
          <w:tab w:pos="7292" w:val="left" w:leader="none"/>
        </w:tabs>
        <w:spacing w:line="240" w:lineRule="auto" w:before="36"/>
        <w:ind w:left="152" w:right="1127"/>
        <w:jc w:val="left"/>
      </w:pPr>
      <w:r>
        <w:rPr>
          <w:spacing w:val="-1"/>
        </w:rPr>
        <w:t>法定代表人：陈江涛</w:t>
        <w:tab/>
      </w:r>
      <w:r>
        <w:rPr>
          <w:spacing w:val="-2"/>
        </w:rPr>
        <w:t>主管会计工作负责人：陈为群</w:t>
        <w:tab/>
        <w:t>会计机构负责人：张丽英</w:t>
      </w:r>
    </w:p>
    <w:p>
      <w:pPr>
        <w:spacing w:line="240" w:lineRule="auto" w:before="0"/>
        <w:rPr>
          <w:rFonts w:ascii="宋体" w:hAnsi="宋体" w:cs="宋体" w:eastAsia="宋体" w:hint="default"/>
          <w:sz w:val="20"/>
          <w:szCs w:val="20"/>
        </w:rPr>
      </w:pPr>
    </w:p>
    <w:p>
      <w:pPr>
        <w:pStyle w:val="Heading4"/>
        <w:spacing w:line="240" w:lineRule="auto" w:before="176"/>
        <w:ind w:left="153" w:right="1127"/>
        <w:jc w:val="left"/>
        <w:rPr>
          <w:b w:val="0"/>
          <w:bCs w:val="0"/>
        </w:rPr>
      </w:pPr>
      <w:bookmarkStart w:name="2、母公司资产负债表" w:id="269"/>
      <w:bookmarkEnd w:id="26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left="0" w:right="1130"/>
        <w:jc w:val="right"/>
      </w:pPr>
      <w:r>
        <w:rPr>
          <w:spacing w:val="-1"/>
        </w:rPr>
        <w:t>单位：元</w:t>
      </w:r>
    </w:p>
    <w:p>
      <w:pPr>
        <w:spacing w:line="240" w:lineRule="auto" w:before="9"/>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5" w:space="0" w:color="D4D4D4"/>
              <w:left w:val="single" w:sz="10" w:space="0" w:color="D4D4D4"/>
              <w:bottom w:val="single" w:sz="4" w:space="0" w:color="000000"/>
              <w:right w:val="single" w:sz="4" w:space="0" w:color="000000"/>
            </w:tcBorders>
          </w:tcPr>
          <w:p>
            <w:pPr>
              <w:pStyle w:val="TableParagraph"/>
              <w:spacing w:line="240" w:lineRule="auto" w:before="80"/>
              <w:ind w:right="16"/>
              <w:jc w:val="right"/>
              <w:rPr>
                <w:rFonts w:ascii="Times New Roman" w:hAnsi="Times New Roman" w:cs="Times New Roman" w:eastAsia="Times New Roman" w:hint="default"/>
                <w:sz w:val="18"/>
                <w:szCs w:val="18"/>
              </w:rPr>
            </w:pPr>
            <w:r>
              <w:rPr>
                <w:rFonts w:ascii="Times New Roman"/>
                <w:spacing w:val="-1"/>
                <w:sz w:val="18"/>
              </w:rPr>
              <w:t>816,450,637.19</w:t>
            </w:r>
            <w:r>
              <w:rPr>
                <w:rFonts w:ascii="Times New Roman"/>
                <w:sz w:val="18"/>
              </w:rPr>
            </w:r>
          </w:p>
        </w:tc>
        <w:tc>
          <w:tcPr>
            <w:tcW w:w="3302" w:type="dxa"/>
            <w:tcBorders>
              <w:top w:val="single" w:sz="5" w:space="0" w:color="D4D4D4"/>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1,080,740,432.03</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654"/>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746" w:right="25" w:hanging="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25,789,228.33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11,083,098.20</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8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159,810,700.57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126,221,458.17</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1,300,000.00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76,887,684.00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275,686,358.21</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9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310,574,422.12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354,054,790.48</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565"/>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18,877,254.10</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565"/>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58"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38,871,694.27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107,540,552.84</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86"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65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16,642,365.96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33,417,582.92</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26"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4D4D4"/>
              <w:bottom w:val="single" w:sz="9" w:space="0" w:color="D4D4D4"/>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1,446,326,732.44</w:t>
            </w:r>
          </w:p>
        </w:tc>
        <w:tc>
          <w:tcPr>
            <w:tcW w:w="3302"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1,988,744,272.85</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2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9" w:space="0" w:color="D4D4D4"/>
              <w:left w:val="single" w:sz="10" w:space="0" w:color="D4D4D4"/>
              <w:bottom w:val="single" w:sz="4" w:space="0" w:color="000000"/>
              <w:right w:val="single" w:sz="4" w:space="0" w:color="000000"/>
            </w:tcBorders>
          </w:tcPr>
          <w:p>
            <w:pPr/>
          </w:p>
        </w:tc>
        <w:tc>
          <w:tcPr>
            <w:tcW w:w="3302" w:type="dxa"/>
            <w:tcBorders>
              <w:top w:val="single" w:sz="9" w:space="0" w:color="D4D4D4"/>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92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185,900,000.00</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01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9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3,002,199,074.96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2,969,247,162.68</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26"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101,900,000.00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3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84,568,389.05</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1,293,152.30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1,604,018.42</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105,697,370.85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58,664,269.22</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8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2,293,186.43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2,026,439.28</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9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44,986,502.62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36,688,113.17</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11,243,243.68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58" w:right="0"/>
              <w:jc w:val="center"/>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106"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4,995,642.23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6,140,743.52</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3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3,359,176,562.12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3,260,270,746.29</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5" w:space="0" w:color="D4D4D4"/>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4,805,503,294.56</w:t>
            </w:r>
            <w:r>
              <w:rPr>
                <w:rFonts w:ascii="Times New Roman"/>
                <w:sz w:val="18"/>
              </w:rPr>
            </w:r>
          </w:p>
        </w:tc>
        <w:tc>
          <w:tcPr>
            <w:tcW w:w="3302" w:type="dxa"/>
            <w:tcBorders>
              <w:top w:val="single" w:sz="4" w:space="0" w:color="000000"/>
              <w:left w:val="single" w:sz="4" w:space="0" w:color="000000"/>
              <w:bottom w:val="single" w:sz="5" w:space="0" w:color="D4D4D4"/>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5,249,015,019.14</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9" w:space="0" w:color="D4D4D4"/>
              <w:left w:val="single" w:sz="10" w:space="0" w:color="D4D4D4"/>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18"/>
                <w:szCs w:val="18"/>
              </w:rPr>
            </w:pPr>
            <w:r>
              <w:rPr>
                <w:rFonts w:ascii="Times New Roman"/>
                <w:spacing w:val="-1"/>
                <w:sz w:val="18"/>
              </w:rPr>
              <w:t>183,206,403.95</w:t>
            </w:r>
            <w:r>
              <w:rPr>
                <w:rFonts w:ascii="Times New Roman"/>
                <w:sz w:val="18"/>
              </w:rPr>
            </w:r>
          </w:p>
        </w:tc>
        <w:tc>
          <w:tcPr>
            <w:tcW w:w="3302" w:type="dxa"/>
            <w:tcBorders>
              <w:top w:val="single" w:sz="9" w:space="0" w:color="D4D4D4"/>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18"/>
                <w:szCs w:val="18"/>
              </w:rPr>
            </w:pPr>
            <w:r>
              <w:rPr>
                <w:rFonts w:ascii="Times New Roman"/>
                <w:spacing w:val="-1"/>
                <w:sz w:val="18"/>
              </w:rPr>
              <w:t>554,880,000.00</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01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746" w:right="25" w:hanging="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63,239,027.40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55,761,547.48</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8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28,807,024.56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69,888,882.99</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5,080,374.14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19,806,989.05</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1,646,299.35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2,339,204.42</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9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202,813,489.70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197,979,727.27</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z w:val="18"/>
              </w:rPr>
              <w:t>206,403.96</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64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106"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65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106"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26"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10" w:space="0" w:color="D4D4D4"/>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484,792,619.10</w:t>
            </w:r>
            <w:r>
              <w:rPr>
                <w:rFonts w:ascii="Times New Roman"/>
                <w:sz w:val="18"/>
              </w:rPr>
            </w:r>
          </w:p>
        </w:tc>
        <w:tc>
          <w:tcPr>
            <w:tcW w:w="3302"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980,656,351.21</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26"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10" w:space="0" w:color="D4D4D4"/>
              <w:left w:val="single" w:sz="10" w:space="0" w:color="D4D4D4"/>
              <w:bottom w:val="single" w:sz="4" w:space="0" w:color="000000"/>
              <w:right w:val="single" w:sz="4" w:space="0" w:color="000000"/>
            </w:tcBorders>
          </w:tcPr>
          <w:p>
            <w:pPr/>
          </w:p>
        </w:tc>
        <w:tc>
          <w:tcPr>
            <w:tcW w:w="3302" w:type="dxa"/>
            <w:tcBorders>
              <w:top w:val="single" w:sz="10" w:space="0" w:color="D4D4D4"/>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9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73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86"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9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26"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z w:val="18"/>
              </w:rPr>
              <w:t>385,258.36</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83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z w:val="18"/>
              </w:rPr>
              <w:t>385,258.36</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10" w:space="0" w:color="D4D4D4"/>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485,177,877.46</w:t>
            </w:r>
            <w:r>
              <w:rPr>
                <w:rFonts w:ascii="Times New Roman"/>
                <w:sz w:val="18"/>
              </w:rPr>
            </w:r>
          </w:p>
        </w:tc>
        <w:tc>
          <w:tcPr>
            <w:tcW w:w="3302"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980,656,351.21</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26"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58"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6" w:space="0" w:color="D4D4D4"/>
              <w:left w:val="single" w:sz="10" w:space="0" w:color="D4D4D4"/>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1,747,134,595.00</w:t>
            </w:r>
          </w:p>
        </w:tc>
        <w:tc>
          <w:tcPr>
            <w:tcW w:w="3302" w:type="dxa"/>
            <w:tcBorders>
              <w:top w:val="single" w:sz="6" w:space="0" w:color="D4D4D4"/>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1,748,662,113.00</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9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73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8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2,460,439,761.54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2,463,851,905.08</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9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90,103,360.00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194,948,400.37</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0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8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50,173,507.71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50,173,507.71</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386"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0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152,680,912.85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200,619,542.51</w:t>
            </w:r>
            <w:r>
              <w:rPr>
                <w:rFonts w:ascii="Times New Roman"/>
                <w:sz w:val="18"/>
              </w:rPr>
            </w:r>
          </w:p>
        </w:tc>
      </w:tr>
      <w:tr>
        <w:trPr>
          <w:trHeight w:val="389"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84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4,320,325,417.10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4,268,358,667.93</w:t>
            </w:r>
          </w:p>
        </w:tc>
      </w:tr>
      <w:tr>
        <w:trPr>
          <w:trHeight w:val="386"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7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4,805,503,294.56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5,249,015,019.14</w:t>
            </w:r>
          </w:p>
        </w:tc>
      </w:tr>
    </w:tbl>
    <w:p>
      <w:pPr>
        <w:spacing w:line="240" w:lineRule="auto" w:before="11"/>
        <w:rPr>
          <w:rFonts w:ascii="Times New Roman" w:hAnsi="Times New Roman" w:cs="Times New Roman" w:eastAsia="Times New Roman" w:hint="default"/>
          <w:sz w:val="19"/>
          <w:szCs w:val="19"/>
        </w:rPr>
      </w:pPr>
    </w:p>
    <w:p>
      <w:pPr>
        <w:pStyle w:val="Heading4"/>
        <w:spacing w:line="240" w:lineRule="auto" w:before="36"/>
        <w:ind w:right="1127"/>
        <w:jc w:val="left"/>
        <w:rPr>
          <w:b w:val="0"/>
          <w:bCs w:val="0"/>
        </w:rPr>
      </w:pPr>
      <w:bookmarkStart w:name="3、合并利润表" w:id="270"/>
      <w:bookmarkEnd w:id="27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36"/>
        <w:ind w:left="0" w:right="1133"/>
        <w:jc w:val="right"/>
      </w:pPr>
      <w:r>
        <w:rPr>
          <w:spacing w:val="-2"/>
        </w:rPr>
        <w:t>单位：元</w:t>
      </w:r>
      <w:r>
        <w:rPr/>
      </w:r>
    </w:p>
    <w:p>
      <w:pPr>
        <w:spacing w:line="240" w:lineRule="auto" w:before="9"/>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3056"/>
        <w:gridCol w:w="3222"/>
        <w:gridCol w:w="3276"/>
      </w:tblGrid>
      <w:tr>
        <w:trPr>
          <w:trHeight w:val="38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86"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9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3,329,393,828.36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3,859,957,922.70</w:t>
            </w:r>
          </w:p>
        </w:tc>
      </w:tr>
      <w:tr>
        <w:trPr>
          <w:trHeight w:val="38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3,329,393,828.36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3,859,957,922.70</w:t>
            </w:r>
          </w:p>
        </w:tc>
      </w:tr>
      <w:tr>
        <w:trPr>
          <w:trHeight w:val="386"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6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6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35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9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3,039,919,712.53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3,353,667,994.56</w:t>
            </w:r>
          </w:p>
        </w:tc>
      </w:tr>
      <w:tr>
        <w:trPr>
          <w:trHeight w:val="38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0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2,196,439,754.68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2,539,426,013.47</w:t>
            </w:r>
          </w:p>
        </w:tc>
      </w:tr>
      <w:tr>
        <w:trPr>
          <w:trHeight w:val="386"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6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35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70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43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1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344" w:right="80" w:hanging="360"/>
              <w:jc w:val="left"/>
              <w:rPr>
                <w:rFonts w:ascii="宋体" w:hAnsi="宋体" w:cs="宋体" w:eastAsia="宋体" w:hint="default"/>
                <w:sz w:val="18"/>
                <w:szCs w:val="18"/>
              </w:rPr>
            </w:pPr>
            <w:r>
              <w:rPr>
                <w:rFonts w:ascii="宋体" w:hAnsi="宋体" w:cs="宋体" w:eastAsia="宋体" w:hint="default"/>
                <w:sz w:val="18"/>
                <w:szCs w:val="18"/>
              </w:rPr>
              <w:t>提取保险责任合同准备金 净额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43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6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5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9,912,749.67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17,860,602.79</w:t>
            </w:r>
          </w:p>
        </w:tc>
      </w:tr>
      <w:tr>
        <w:trPr>
          <w:trHeight w:val="386"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6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262,161,773.47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263,965,835.20</w:t>
            </w:r>
            <w:r>
              <w:rPr>
                <w:rFonts w:ascii="Times New Roman"/>
                <w:sz w:val="18"/>
              </w:rPr>
            </w:r>
          </w:p>
        </w:tc>
      </w:tr>
      <w:tr>
        <w:trPr>
          <w:trHeight w:val="386"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6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382,610,254.48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364,548,304.38</w:t>
            </w:r>
            <w:r>
              <w:rPr>
                <w:rFonts w:ascii="Times New Roman"/>
                <w:sz w:val="18"/>
              </w:rPr>
            </w:r>
          </w:p>
        </w:tc>
      </w:tr>
      <w:tr>
        <w:trPr>
          <w:trHeight w:val="38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6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194,261,257.31</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170,485,386.35</w:t>
            </w:r>
            <w:r>
              <w:rPr>
                <w:rFonts w:ascii="Times New Roman"/>
                <w:sz w:val="18"/>
              </w:rPr>
            </w:r>
          </w:p>
        </w:tc>
      </w:tr>
      <w:tr>
        <w:trPr>
          <w:trHeight w:val="386"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6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-5,466,077.08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-2,618,147.63</w:t>
            </w:r>
            <w:r>
              <w:rPr>
                <w:rFonts w:ascii="Times New Roman"/>
                <w:sz w:val="18"/>
              </w:rPr>
            </w:r>
          </w:p>
        </w:tc>
      </w:tr>
      <w:tr>
        <w:trPr>
          <w:trHeight w:val="38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353"/>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30,468,104.16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26,976,125.91</w:t>
            </w:r>
          </w:p>
        </w:tc>
      </w:tr>
      <w:tr>
        <w:trPr>
          <w:trHeight w:val="386"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353"/>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40,003,158.62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37,451,872.18</w:t>
            </w:r>
          </w:p>
        </w:tc>
      </w:tr>
      <w:tr>
        <w:trPr>
          <w:trHeight w:val="38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6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14,855,154.91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25,173,801.45</w:t>
            </w:r>
          </w:p>
        </w:tc>
      </w:tr>
      <w:tr>
        <w:trPr>
          <w:trHeight w:val="61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344" w:right="92" w:hanging="531"/>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16,720,008.85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-15,314,615.57</w:t>
            </w:r>
          </w:p>
        </w:tc>
      </w:tr>
      <w:tr>
        <w:trPr>
          <w:trHeight w:val="622"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72" w:right="8" w:hanging="341"/>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的投资收益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-2,419,626.20</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-2,025,559.16</w:t>
            </w:r>
            <w:r>
              <w:rPr>
                <w:rFonts w:ascii="Times New Roman"/>
                <w:sz w:val="18"/>
              </w:rPr>
            </w:r>
          </w:p>
        </w:tc>
      </w:tr>
      <w:tr>
        <w:trPr>
          <w:trHeight w:val="622"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804" w:right="80" w:firstLine="36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r>
        <w:rPr/>
        <w:pict>
          <v:group style="position:absolute;margin-left:210.960007pt;margin-top:72.659981pt;width:158.9pt;height:18.6pt;mso-position-horizontal-relative:page;mso-position-vertical-relative:page;z-index:-1426576" coordorigin="4219,1453" coordsize="3178,372">
            <v:group style="position:absolute;left:4230;top:1464;width:2;height:351" coordorigin="4230,1464" coordsize="2,351">
              <v:shape style="position:absolute;left:4230;top:1464;width:2;height:351" coordorigin="4230,1464" coordsize="0,351" path="m4230,1464l4230,1814e" filled="false" stroked="true" strokeweight="1.08pt" strokecolor="#ffffff">
                <v:path arrowok="t"/>
              </v:shape>
            </v:group>
            <v:group style="position:absolute;left:4241;top:1464;width:3156;height:351" coordorigin="4241,1464" coordsize="3156,351">
              <v:shape style="position:absolute;left:4241;top:1464;width:3156;height:351" coordorigin="4241,1464" coordsize="3156,351" path="m4241,1814l7397,1814,7397,1464,4241,1464,4241,1814xe" filled="true" fillcolor="#ffffff" stroked="false">
                <v:path arrowok="t"/>
                <v:fill type="solid"/>
              </v:shape>
            </v:group>
            <w10:wrap type="none"/>
          </v:group>
        </w:pict>
      </w:r>
      <w:r>
        <w:rPr/>
        <w:pict>
          <v:group style="position:absolute;margin-left:210.960007pt;margin-top:305.339996pt;width:158.9pt;height:18.6pt;mso-position-horizontal-relative:page;mso-position-vertical-relative:page;z-index:-1426552" coordorigin="4219,6107" coordsize="3178,372">
            <v:group style="position:absolute;left:4230;top:6118;width:2;height:351" coordorigin="4230,6118" coordsize="2,351">
              <v:shape style="position:absolute;left:4230;top:6118;width:2;height:351" coordorigin="4230,6118" coordsize="0,351" path="m4230,6118l4230,6468e" filled="false" stroked="true" strokeweight="1.08pt" strokecolor="#ffffff">
                <v:path arrowok="t"/>
              </v:shape>
            </v:group>
            <v:group style="position:absolute;left:4241;top:6118;width:3156;height:351" coordorigin="4241,6118" coordsize="3156,351">
              <v:shape style="position:absolute;left:4241;top:6118;width:3156;height:351" coordorigin="4241,6118" coordsize="3156,351" path="m4241,6468l7397,6468,7397,6118,4241,6118,4241,646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56"/>
        <w:gridCol w:w="1072"/>
        <w:gridCol w:w="2150"/>
        <w:gridCol w:w="3276"/>
      </w:tblGrid>
      <w:tr>
        <w:trPr>
          <w:trHeight w:val="386"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13"/>
              <w:jc w:val="righ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41"/>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8"/>
              <w:ind w:left="1164" w:right="10" w:hanging="432"/>
              <w:jc w:val="left"/>
              <w:rPr>
                <w:rFonts w:ascii="宋体" w:hAnsi="宋体" w:cs="宋体" w:eastAsia="宋体"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exact" w:before="41"/>
              <w:ind w:left="80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ind w:left="9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2,568,389.05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344" w:right="8" w:hanging="612"/>
              <w:jc w:val="left"/>
              <w:rPr>
                <w:rFonts w:ascii="宋体" w:hAnsi="宋体" w:cs="宋体" w:eastAsia="宋体" w:hint="default"/>
                <w:sz w:val="18"/>
                <w:szCs w:val="18"/>
              </w:rPr>
            </w:pPr>
            <w:r>
              <w:rPr>
                <w:rFonts w:ascii="宋体" w:hAnsi="宋体" w:cs="宋体" w:eastAsia="宋体" w:hint="default"/>
                <w:spacing w:val="-6"/>
                <w:sz w:val="18"/>
                <w:szCs w:val="18"/>
              </w:rPr>
              <w:t>信用减值损失（损失以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r>
              <w:rPr>
                <w:rFonts w:ascii="宋体" w:hAnsi="宋体" w:cs="宋体" w:eastAsia="宋体" w:hint="default"/>
                <w:spacing w:val="-77"/>
                <w:sz w:val="18"/>
                <w:szCs w:val="18"/>
              </w:rPr>
              <w:t> </w:t>
            </w:r>
            <w:r>
              <w:rPr>
                <w:rFonts w:ascii="宋体" w:hAnsi="宋体" w:cs="宋体" w:eastAsia="宋体" w:hint="default"/>
                <w:sz w:val="18"/>
                <w:szCs w:val="18"/>
              </w:rPr>
              <w:t>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-7,007,165.38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1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344" w:right="8" w:hanging="612"/>
              <w:jc w:val="left"/>
              <w:rPr>
                <w:rFonts w:ascii="宋体" w:hAnsi="宋体" w:cs="宋体" w:eastAsia="宋体" w:hint="default"/>
                <w:sz w:val="18"/>
                <w:szCs w:val="18"/>
              </w:rPr>
            </w:pPr>
            <w:r>
              <w:rPr>
                <w:rFonts w:ascii="宋体" w:hAnsi="宋体" w:cs="宋体" w:eastAsia="宋体" w:hint="default"/>
                <w:spacing w:val="-6"/>
                <w:sz w:val="18"/>
                <w:szCs w:val="18"/>
              </w:rPr>
              <w:t>资产减值损失（损失以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r>
              <w:rPr>
                <w:rFonts w:ascii="宋体" w:hAnsi="宋体" w:cs="宋体" w:eastAsia="宋体" w:hint="default"/>
                <w:spacing w:val="-77"/>
                <w:sz w:val="18"/>
                <w:szCs w:val="18"/>
              </w:rPr>
              <w:t> </w:t>
            </w:r>
            <w:r>
              <w:rPr>
                <w:rFonts w:ascii="宋体" w:hAnsi="宋体" w:cs="宋体" w:eastAsia="宋体" w:hint="default"/>
                <w:sz w:val="18"/>
                <w:szCs w:val="18"/>
              </w:rPr>
              <w:t>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-368,534.38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-373,043,105.51</w:t>
            </w:r>
            <w:r>
              <w:rPr>
                <w:rFonts w:ascii="Times New Roman"/>
                <w:sz w:val="18"/>
              </w:rPr>
            </w:r>
          </w:p>
        </w:tc>
      </w:tr>
      <w:tr>
        <w:trPr>
          <w:trHeight w:val="622"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6" w:lineRule="exact" w:before="63"/>
              <w:ind w:left="1344" w:right="8" w:hanging="612"/>
              <w:jc w:val="left"/>
              <w:rPr>
                <w:rFonts w:ascii="宋体" w:hAnsi="宋体" w:cs="宋体" w:eastAsia="宋体" w:hint="default"/>
                <w:sz w:val="18"/>
                <w:szCs w:val="18"/>
              </w:rPr>
            </w:pPr>
            <w:r>
              <w:rPr>
                <w:rFonts w:ascii="宋体" w:hAnsi="宋体" w:cs="宋体" w:eastAsia="宋体" w:hint="default"/>
                <w:spacing w:val="-6"/>
                <w:sz w:val="18"/>
                <w:szCs w:val="18"/>
              </w:rPr>
              <w:t>资产处置收益（损失以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r>
              <w:rPr>
                <w:rFonts w:ascii="宋体" w:hAnsi="宋体" w:cs="宋体" w:eastAsia="宋体" w:hint="default"/>
                <w:spacing w:val="-77"/>
                <w:sz w:val="18"/>
                <w:szCs w:val="18"/>
              </w:rPr>
              <w:t> </w:t>
            </w:r>
            <w:r>
              <w:rPr>
                <w:rFonts w:ascii="宋体" w:hAnsi="宋体" w:cs="宋体" w:eastAsia="宋体" w:hint="default"/>
                <w:sz w:val="18"/>
                <w:szCs w:val="18"/>
              </w:rPr>
              <w:t>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151,335.84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62,723.26</w:t>
            </w:r>
          </w:p>
        </w:tc>
      </w:tr>
      <w:tr>
        <w:trPr>
          <w:trHeight w:val="386"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90"/>
              <w:jc w:val="righ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left="2055" w:right="0"/>
              <w:jc w:val="left"/>
              <w:rPr>
                <w:rFonts w:ascii="Times New Roman" w:hAnsi="Times New Roman" w:cs="Times New Roman" w:eastAsia="Times New Roman" w:hint="default"/>
                <w:sz w:val="18"/>
                <w:szCs w:val="18"/>
              </w:rPr>
            </w:pPr>
            <w:r>
              <w:rPr>
                <w:rFonts w:ascii="Times New Roman"/>
                <w:sz w:val="18"/>
              </w:rPr>
              <w:t>316,393,304.72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143,168,731.77</w:t>
            </w:r>
            <w:r>
              <w:rPr>
                <w:rFonts w:ascii="Times New Roman"/>
                <w:sz w:val="18"/>
              </w:rPr>
            </w:r>
          </w:p>
        </w:tc>
      </w:tr>
      <w:tr>
        <w:trPr>
          <w:trHeight w:val="38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0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10,094,282.38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14,906,015.37</w:t>
            </w:r>
          </w:p>
        </w:tc>
      </w:tr>
      <w:tr>
        <w:trPr>
          <w:trHeight w:val="386"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4,900,679.34</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8,963,826.52</w:t>
            </w:r>
            <w:r>
              <w:rPr>
                <w:rFonts w:ascii="Times New Roman"/>
                <w:sz w:val="18"/>
              </w:rPr>
            </w:r>
          </w:p>
        </w:tc>
      </w:tr>
      <w:tr>
        <w:trPr>
          <w:trHeight w:val="38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97"/>
              <w:jc w:val="righ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2"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995" w:right="0"/>
              <w:jc w:val="left"/>
              <w:rPr>
                <w:rFonts w:ascii="Times New Roman" w:hAnsi="Times New Roman" w:cs="Times New Roman" w:eastAsia="Times New Roman" w:hint="default"/>
                <w:sz w:val="18"/>
                <w:szCs w:val="18"/>
              </w:rPr>
            </w:pPr>
            <w:r>
              <w:rPr>
                <w:rFonts w:ascii="Times New Roman"/>
                <w:sz w:val="18"/>
              </w:rPr>
              <w:t>321,586,907.76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149,110,920.62</w:t>
            </w:r>
          </w:p>
        </w:tc>
      </w:tr>
      <w:tr>
        <w:trPr>
          <w:trHeight w:val="386"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58,465,733.08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78,099,030.12</w:t>
            </w:r>
          </w:p>
        </w:tc>
      </w:tr>
      <w:tr>
        <w:trPr>
          <w:trHeight w:val="39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90"/>
              <w:jc w:val="righ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9" w:space="0" w:color="D4D4D4"/>
              <w:right w:val="single" w:sz="4" w:space="0" w:color="000000"/>
            </w:tcBorders>
          </w:tcPr>
          <w:p>
            <w:pPr>
              <w:pStyle w:val="TableParagraph"/>
              <w:spacing w:line="240" w:lineRule="auto" w:before="81"/>
              <w:ind w:left="2055" w:right="0"/>
              <w:jc w:val="left"/>
              <w:rPr>
                <w:rFonts w:ascii="Times New Roman" w:hAnsi="Times New Roman" w:cs="Times New Roman" w:eastAsia="Times New Roman" w:hint="default"/>
                <w:sz w:val="18"/>
                <w:szCs w:val="18"/>
              </w:rPr>
            </w:pPr>
            <w:r>
              <w:rPr>
                <w:rFonts w:ascii="Times New Roman"/>
                <w:sz w:val="18"/>
              </w:rPr>
              <w:t>263,121,174.68</w:t>
            </w:r>
          </w:p>
        </w:tc>
        <w:tc>
          <w:tcPr>
            <w:tcW w:w="3276"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71,011,890.50</w:t>
            </w:r>
            <w:r>
              <w:rPr>
                <w:rFonts w:ascii="Times New Roman"/>
                <w:sz w:val="18"/>
              </w:rPr>
            </w:r>
          </w:p>
        </w:tc>
      </w:tr>
      <w:tr>
        <w:trPr>
          <w:trHeight w:val="37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5"/>
              <w:ind w:left="624"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4D4D4"/>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62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before="49"/>
              <w:ind w:left="3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27" w:lineRule="exact"/>
              <w:ind w:left="1" w:right="0"/>
              <w:jc w:val="center"/>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10" w:space="0" w:color="D4D4D4"/>
              <w:left w:val="single" w:sz="10" w:space="0" w:color="D4D4D4"/>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263,121,174.68</w:t>
            </w:r>
          </w:p>
        </w:tc>
        <w:tc>
          <w:tcPr>
            <w:tcW w:w="3276" w:type="dxa"/>
            <w:tcBorders>
              <w:top w:val="single" w:sz="10" w:space="0" w:color="D4D4D4"/>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71,011,890.50</w:t>
            </w:r>
            <w:r>
              <w:rPr>
                <w:rFonts w:ascii="Times New Roman"/>
                <w:sz w:val="18"/>
              </w:rPr>
            </w:r>
          </w:p>
        </w:tc>
      </w:tr>
      <w:tr>
        <w:trPr>
          <w:trHeight w:val="626"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before="41"/>
              <w:ind w:left="3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27" w:lineRule="exact"/>
              <w:ind w:left="1" w:right="0"/>
              <w:jc w:val="center"/>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10" w:space="0" w:color="D4D4D4"/>
              <w:right w:val="single" w:sz="4" w:space="0" w:color="000000"/>
            </w:tcBorders>
          </w:tcPr>
          <w:p>
            <w:pPr/>
          </w:p>
        </w:tc>
        <w:tc>
          <w:tcPr>
            <w:tcW w:w="3276" w:type="dxa"/>
            <w:tcBorders>
              <w:top w:val="single" w:sz="4" w:space="0" w:color="000000"/>
              <w:left w:val="single" w:sz="4" w:space="0" w:color="000000"/>
              <w:bottom w:val="single" w:sz="10" w:space="0" w:color="D4D4D4"/>
              <w:right w:val="single" w:sz="4" w:space="0" w:color="000000"/>
            </w:tcBorders>
          </w:tcPr>
          <w:p>
            <w:pPr/>
          </w:p>
        </w:tc>
      </w:tr>
      <w:tr>
        <w:trPr>
          <w:trHeight w:val="374"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7"/>
              <w:ind w:left="624"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4D4D4"/>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4"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0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归属于母公司所有者的净利润</w:t>
            </w:r>
          </w:p>
        </w:tc>
        <w:tc>
          <w:tcPr>
            <w:tcW w:w="3222" w:type="dxa"/>
            <w:gridSpan w:val="2"/>
            <w:tcBorders>
              <w:top w:val="single" w:sz="6" w:space="0" w:color="D4D4D4"/>
              <w:left w:val="single" w:sz="10" w:space="0" w:color="D4D4D4"/>
              <w:bottom w:val="single" w:sz="4" w:space="0" w:color="000000"/>
              <w:right w:val="single" w:sz="4" w:space="0" w:color="000000"/>
            </w:tcBorders>
          </w:tcPr>
          <w:p>
            <w:pPr>
              <w:pStyle w:val="TableParagraph"/>
              <w:spacing w:line="240" w:lineRule="auto" w:before="84"/>
              <w:ind w:left="2055" w:right="0"/>
              <w:jc w:val="left"/>
              <w:rPr>
                <w:rFonts w:ascii="Times New Roman" w:hAnsi="Times New Roman" w:cs="Times New Roman" w:eastAsia="Times New Roman" w:hint="default"/>
                <w:sz w:val="18"/>
                <w:szCs w:val="18"/>
              </w:rPr>
            </w:pPr>
            <w:r>
              <w:rPr>
                <w:rFonts w:ascii="Times New Roman"/>
                <w:sz w:val="18"/>
              </w:rPr>
              <w:t>258,641,760.54</w:t>
            </w:r>
          </w:p>
        </w:tc>
        <w:tc>
          <w:tcPr>
            <w:tcW w:w="3276" w:type="dxa"/>
            <w:tcBorders>
              <w:top w:val="single" w:sz="6" w:space="0" w:color="D4D4D4"/>
              <w:left w:val="single" w:sz="4" w:space="0" w:color="000000"/>
              <w:bottom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44,120,618.46</w:t>
            </w:r>
          </w:p>
        </w:tc>
      </w:tr>
      <w:tr>
        <w:trPr>
          <w:trHeight w:val="38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4,479,414.14</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26,891,272.04</w:t>
            </w:r>
          </w:p>
        </w:tc>
      </w:tr>
      <w:tr>
        <w:trPr>
          <w:trHeight w:val="386"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5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-6,390,243.88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2,021,199.74</w:t>
            </w:r>
            <w:r>
              <w:rPr>
                <w:rFonts w:ascii="Times New Roman"/>
                <w:sz w:val="18"/>
              </w:rPr>
            </w:r>
          </w:p>
        </w:tc>
      </w:tr>
      <w:tr>
        <w:trPr>
          <w:trHeight w:val="622"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72" w:right="80" w:hanging="809"/>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-6,390,243.88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2,021,199.74</w:t>
            </w:r>
            <w:r>
              <w:rPr>
                <w:rFonts w:ascii="Times New Roman"/>
                <w:sz w:val="18"/>
              </w:rPr>
            </w:r>
          </w:p>
        </w:tc>
      </w:tr>
      <w:tr>
        <w:trPr>
          <w:trHeight w:val="622"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41"/>
              <w:ind w:left="352" w:right="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合收益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-7,586,551.01</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1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344" w:right="13" w:hanging="42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 动额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6" w:lineRule="exact" w:before="63"/>
              <w:ind w:left="1072" w:right="13" w:hanging="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 他综合收益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252" w:right="13" w:hanging="33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 值变动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-7,586,551.01</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1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252" w:right="13" w:hanging="33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 值变动</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41"/>
              <w:ind w:left="352" w:right="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收益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1,196,307.13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2,021,199.74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6"/>
        <w:gridCol w:w="3222"/>
        <w:gridCol w:w="3276"/>
      </w:tblGrid>
      <w:tr>
        <w:trPr>
          <w:trHeight w:val="622"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164" w:right="13" w:hanging="2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 综合收益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1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432" w:right="13" w:hanging="51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 动</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9"/>
              <w:ind w:left="1072" w:right="13" w:hanging="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6" w:lineRule="exact" w:before="63"/>
              <w:ind w:left="892" w:right="13" w:firstLine="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1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624" w:right="13" w:firstLine="292"/>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9"/>
              <w:ind w:left="1432" w:right="13" w:hanging="516"/>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 备</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0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1,196,307.13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2,021,199.74</w:t>
            </w:r>
            <w:r>
              <w:rPr>
                <w:rFonts w:ascii="Times New Roman"/>
                <w:sz w:val="18"/>
              </w:rPr>
            </w:r>
          </w:p>
        </w:tc>
      </w:tr>
      <w:tr>
        <w:trPr>
          <w:trHeight w:val="386"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8"/>
              <w:ind w:left="1164" w:right="80" w:hanging="90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0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256,730,930.80</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73,033,090.24</w:t>
            </w:r>
          </w:p>
        </w:tc>
      </w:tr>
      <w:tr>
        <w:trPr>
          <w:trHeight w:val="619"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41"/>
              <w:ind w:left="44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252,251,516.66</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46,141,818.20</w:t>
            </w:r>
          </w:p>
        </w:tc>
      </w:tr>
      <w:tr>
        <w:trPr>
          <w:trHeight w:val="39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80"/>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4D4D4"/>
              <w:bottom w:val="single" w:sz="9" w:space="0" w:color="D4D4D4"/>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4,479,414.14</w:t>
            </w:r>
            <w:r>
              <w:rPr>
                <w:rFonts w:ascii="Times New Roman"/>
                <w:sz w:val="18"/>
              </w:rPr>
            </w:r>
          </w:p>
        </w:tc>
        <w:tc>
          <w:tcPr>
            <w:tcW w:w="3276"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26,891,272.04</w:t>
            </w:r>
          </w:p>
        </w:tc>
      </w:tr>
      <w:tr>
        <w:trPr>
          <w:trHeight w:val="374"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5"/>
              <w:ind w:left="89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7"/>
              <w:ind w:left="89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9" w:space="0" w:color="D4D4D4"/>
              <w:left w:val="single" w:sz="10" w:space="0" w:color="D4D4D4"/>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0.1512</w:t>
            </w:r>
            <w:r>
              <w:rPr>
                <w:rFonts w:ascii="Times New Roman"/>
                <w:sz w:val="18"/>
              </w:rPr>
            </w:r>
          </w:p>
        </w:tc>
        <w:tc>
          <w:tcPr>
            <w:tcW w:w="3276" w:type="dxa"/>
            <w:tcBorders>
              <w:top w:val="single" w:sz="9" w:space="0" w:color="D4D4D4"/>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0.0256</w:t>
            </w:r>
            <w:r>
              <w:rPr>
                <w:rFonts w:ascii="Times New Roman"/>
                <w:sz w:val="18"/>
              </w:rPr>
            </w:r>
          </w:p>
        </w:tc>
      </w:tr>
      <w:tr>
        <w:trPr>
          <w:trHeight w:val="386"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9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0.1503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0.0256</w:t>
            </w:r>
            <w:r>
              <w:rPr>
                <w:rFonts w:ascii="Times New Roman"/>
                <w:sz w:val="18"/>
              </w:rPr>
            </w:r>
          </w:p>
        </w:tc>
      </w:tr>
    </w:tbl>
    <w:p>
      <w:pPr>
        <w:pStyle w:val="BodyText"/>
        <w:spacing w:line="336" w:lineRule="auto" w:before="64"/>
        <w:ind w:left="152" w:right="1127" w:firstLine="419"/>
        <w:jc w:val="left"/>
      </w:pPr>
      <w:r>
        <w:rPr>
          <w:spacing w:val="-2"/>
        </w:rPr>
        <w:t>本期发生同一控制下企业合并的，被合并方在合并前实现的净利润为：</w:t>
      </w:r>
      <w:r>
        <w:rPr>
          <w:rFonts w:ascii="Times New Roman" w:hAnsi="Times New Roman" w:cs="Times New Roman" w:eastAsia="Times New Roman" w:hint="default"/>
          <w:spacing w:val="-2"/>
        </w:rPr>
        <w:t>0.00</w:t>
      </w:r>
      <w:r>
        <w:rPr>
          <w:rFonts w:ascii="Times New Roman" w:hAnsi="Times New Roman" w:cs="Times New Roman" w:eastAsia="Times New Roman" w:hint="default"/>
          <w:spacing w:val="44"/>
        </w:rPr>
        <w:t> </w:t>
      </w:r>
      <w:r>
        <w:rPr>
          <w:spacing w:val="-2"/>
        </w:rPr>
        <w:t>元，上期被合并方实现的</w:t>
      </w:r>
      <w:r>
        <w:rPr>
          <w:w w:val="100"/>
        </w:rPr>
        <w:t> </w:t>
      </w:r>
      <w:r>
        <w:rPr/>
        <w:t>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4"/>
          <w:szCs w:val="24"/>
        </w:rPr>
      </w:pPr>
    </w:p>
    <w:p>
      <w:pPr>
        <w:pStyle w:val="BodyText"/>
        <w:tabs>
          <w:tab w:pos="3198" w:val="left" w:leader="none"/>
          <w:tab w:pos="6981" w:val="left" w:leader="none"/>
        </w:tabs>
        <w:spacing w:line="240" w:lineRule="auto"/>
        <w:ind w:left="152" w:right="1127"/>
        <w:jc w:val="left"/>
      </w:pPr>
      <w:r>
        <w:rPr>
          <w:spacing w:val="-1"/>
        </w:rPr>
        <w:t>法定代表人：陈江涛</w:t>
        <w:tab/>
      </w:r>
      <w:r>
        <w:rPr>
          <w:spacing w:val="-2"/>
        </w:rPr>
        <w:t>主管会计工作负责人：陈为群</w:t>
        <w:tab/>
        <w:t>会计机构负责人：张丽英</w:t>
      </w:r>
      <w:r>
        <w:rPr/>
      </w:r>
    </w:p>
    <w:p>
      <w:pPr>
        <w:spacing w:line="240" w:lineRule="auto" w:before="0"/>
        <w:rPr>
          <w:rFonts w:ascii="宋体" w:hAnsi="宋体" w:cs="宋体" w:eastAsia="宋体" w:hint="default"/>
          <w:sz w:val="20"/>
          <w:szCs w:val="20"/>
        </w:rPr>
      </w:pPr>
    </w:p>
    <w:p>
      <w:pPr>
        <w:pStyle w:val="Heading4"/>
        <w:spacing w:line="240" w:lineRule="auto" w:before="174"/>
        <w:ind w:left="153" w:right="1127"/>
        <w:jc w:val="left"/>
        <w:rPr>
          <w:b w:val="0"/>
          <w:bCs w:val="0"/>
        </w:rPr>
      </w:pPr>
      <w:bookmarkStart w:name="4、母公司利润表" w:id="271"/>
      <w:bookmarkEnd w:id="27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left="0" w:right="1130"/>
        <w:jc w:val="right"/>
      </w:pPr>
      <w:r>
        <w:rPr>
          <w:spacing w:val="-1"/>
        </w:rPr>
        <w:t>单位：元</w:t>
      </w:r>
    </w:p>
    <w:p>
      <w:pPr>
        <w:spacing w:line="240" w:lineRule="auto" w:before="9"/>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26"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233,806,752.94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182,713,635.10</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745"/>
              <w:jc w:val="righ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85,505,831.12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38,691,159.52</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654"/>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1,153,674.18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6,320,969.61</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745"/>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37,077,520.29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19,840,778.73</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745"/>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74,247,736.22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36,145,420.20</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745"/>
              <w:jc w:val="righ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86,292,182.96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53,484,483.16</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386"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47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-12,345,192.20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-8,351,075.56</w:t>
            </w:r>
            <w:r>
              <w:rPr>
                <w:rFonts w:ascii="Times New Roman"/>
                <w:sz w:val="18"/>
              </w:rPr>
            </w:r>
          </w:p>
        </w:tc>
      </w:tr>
      <w:tr>
        <w:trPr>
          <w:trHeight w:val="389"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97"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17,871,712.78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18,636,337.23</w:t>
            </w:r>
          </w:p>
        </w:tc>
      </w:tr>
      <w:tr>
        <w:trPr>
          <w:trHeight w:val="386"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83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31,437,703.04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29,898,533.74</w:t>
            </w:r>
          </w:p>
        </w:tc>
      </w:tr>
      <w:tr>
        <w:trPr>
          <w:trHeight w:val="389"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1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4,340,877.21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2,650,583.54</w:t>
            </w:r>
            <w:r>
              <w:rPr>
                <w:rFonts w:ascii="Times New Roman"/>
                <w:sz w:val="18"/>
              </w:rPr>
            </w:r>
          </w:p>
        </w:tc>
      </w:tr>
      <w:tr>
        <w:trPr>
          <w:trHeight w:val="619"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297" w:right="47" w:hanging="528"/>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-17,888,096.61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93,087,947.36</w:t>
            </w:r>
            <w:r>
              <w:rPr>
                <w:rFonts w:ascii="Times New Roman"/>
                <w:sz w:val="18"/>
              </w:rPr>
            </w:r>
          </w:p>
        </w:tc>
      </w:tr>
      <w:tr>
        <w:trPr>
          <w:trHeight w:val="622"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9"/>
              <w:ind w:left="937" w:right="36" w:hanging="18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-17,888,096.61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-1,120,328.12</w:t>
            </w:r>
            <w:r>
              <w:rPr>
                <w:rFonts w:ascii="Times New Roman"/>
                <w:sz w:val="18"/>
              </w:rPr>
            </w:r>
          </w:p>
        </w:tc>
      </w:tr>
      <w:tr>
        <w:trPr>
          <w:trHeight w:val="854"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6" w:right="36" w:firstLine="101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exact" w:before="41"/>
              <w:ind w:left="848"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ind w:left="9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619"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41"/>
              <w:ind w:left="757"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8" w:lineRule="exact"/>
              <w:ind w:left="9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2,568,389.05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8"/>
              <w:ind w:left="1208" w:right="23" w:hanging="466"/>
              <w:jc w:val="left"/>
              <w:rPr>
                <w:rFonts w:ascii="宋体" w:hAnsi="宋体" w:cs="宋体" w:eastAsia="宋体" w:hint="default"/>
                <w:sz w:val="18"/>
                <w:szCs w:val="18"/>
              </w:rPr>
            </w:pPr>
            <w:r>
              <w:rPr>
                <w:rFonts w:ascii="宋体" w:hAnsi="宋体" w:cs="宋体" w:eastAsia="宋体" w:hint="default"/>
                <w:spacing w:val="-1"/>
                <w:sz w:val="18"/>
                <w:szCs w:val="18"/>
              </w:rPr>
              <w:t>信用减值损失（损失以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7,745,465.53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6" w:lineRule="exact" w:before="63"/>
              <w:ind w:left="1208" w:right="23" w:hanging="466"/>
              <w:jc w:val="left"/>
              <w:rPr>
                <w:rFonts w:ascii="宋体" w:hAnsi="宋体" w:cs="宋体" w:eastAsia="宋体" w:hint="default"/>
                <w:sz w:val="18"/>
                <w:szCs w:val="18"/>
              </w:rPr>
            </w:pPr>
            <w:r>
              <w:rPr>
                <w:rFonts w:ascii="宋体" w:hAnsi="宋体" w:cs="宋体" w:eastAsia="宋体" w:hint="default"/>
                <w:spacing w:val="-1"/>
                <w:sz w:val="18"/>
                <w:szCs w:val="18"/>
              </w:rPr>
              <w:t>资产减值损失（损失以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-21,706,089.99</w:t>
            </w:r>
          </w:p>
        </w:tc>
      </w:tr>
      <w:tr>
        <w:trPr>
          <w:trHeight w:val="622"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208" w:right="23" w:hanging="466"/>
              <w:jc w:val="left"/>
              <w:rPr>
                <w:rFonts w:ascii="宋体" w:hAnsi="宋体" w:cs="宋体" w:eastAsia="宋体" w:hint="default"/>
                <w:sz w:val="18"/>
                <w:szCs w:val="18"/>
              </w:rPr>
            </w:pP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46"/>
              <w:jc w:val="righ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-41,358,364.45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110,614,340.35</w:t>
            </w:r>
          </w:p>
        </w:tc>
      </w:tr>
      <w:tr>
        <w:trPr>
          <w:trHeight w:val="386"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28"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4,554,251.26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1,243,608.35</w:t>
            </w:r>
            <w:r>
              <w:rPr>
                <w:rFonts w:ascii="Times New Roman"/>
                <w:sz w:val="18"/>
              </w:rPr>
            </w:r>
          </w:p>
        </w:tc>
      </w:tr>
      <w:tr>
        <w:trPr>
          <w:trHeight w:val="389"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02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4,100,000.00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5,559,066.91</w:t>
            </w:r>
            <w:r>
              <w:rPr>
                <w:rFonts w:ascii="Times New Roman"/>
                <w:sz w:val="18"/>
              </w:rPr>
            </w:r>
          </w:p>
        </w:tc>
      </w:tr>
      <w:tr>
        <w:trPr>
          <w:trHeight w:val="622"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297" w:right="47" w:hanging="1248"/>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-40,904,113.19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106,298,881.79</w:t>
            </w:r>
            <w:r>
              <w:rPr>
                <w:rFonts w:ascii="Times New Roman"/>
                <w:sz w:val="18"/>
              </w:rPr>
            </w:r>
          </w:p>
        </w:tc>
      </w:tr>
      <w:tr>
        <w:trPr>
          <w:trHeight w:val="386"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2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8,053,414.13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-452,651.74</w:t>
            </w:r>
            <w:r>
              <w:rPr>
                <w:rFonts w:ascii="Times New Roman"/>
                <w:sz w:val="18"/>
              </w:rPr>
            </w:r>
          </w:p>
        </w:tc>
      </w:tr>
      <w:tr>
        <w:trPr>
          <w:trHeight w:val="386"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46"/>
              <w:jc w:val="righ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-48,957,527.32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106,751,533.53</w:t>
            </w:r>
            <w:r>
              <w:rPr>
                <w:rFonts w:ascii="Times New Roman"/>
                <w:sz w:val="18"/>
              </w:rPr>
            </w:r>
          </w:p>
        </w:tc>
      </w:tr>
      <w:tr>
        <w:trPr>
          <w:trHeight w:val="622"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9"/>
              <w:ind w:left="858" w:right="36" w:hanging="461"/>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-48,957,527.32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106,751,533.53</w:t>
            </w:r>
            <w:r>
              <w:rPr>
                <w:rFonts w:ascii="Times New Roman"/>
                <w:sz w:val="18"/>
              </w:rPr>
            </w:r>
          </w:p>
        </w:tc>
      </w:tr>
      <w:tr>
        <w:trPr>
          <w:trHeight w:val="622"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58" w:right="36" w:hanging="461"/>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08"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1,113,636.07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17" w:right="36" w:hanging="72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1,113,636.07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208" w:right="59" w:hanging="2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619"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937" w:right="59" w:firstLine="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8"/>
              <w:ind w:left="1117" w:right="59" w:hanging="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 价值变动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1,113,636.07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right="5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企业自身信用风险公允</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6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41"/>
              <w:ind w:left="386"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61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017" w:right="47" w:hanging="6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6" w:lineRule="exact" w:before="63"/>
              <w:ind w:left="1286" w:right="47" w:hanging="33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 变动</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926" w:right="47" w:firstLine="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61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746" w:right="47" w:firstLine="20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8"/>
              <w:ind w:left="477" w:right="47" w:firstLine="472"/>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286" w:right="47" w:hanging="336"/>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 准备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1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6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8"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46"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4D4D4"/>
              <w:bottom w:val="single" w:sz="10" w:space="0" w:color="D4D4D4"/>
              <w:right w:val="single" w:sz="4" w:space="0" w:color="000000"/>
            </w:tcBorders>
          </w:tcPr>
          <w:p>
            <w:pPr>
              <w:pStyle w:val="TableParagraph"/>
              <w:spacing w:line="240" w:lineRule="auto" w:before="81"/>
              <w:ind w:left="2178" w:right="0"/>
              <w:jc w:val="left"/>
              <w:rPr>
                <w:rFonts w:ascii="Times New Roman" w:hAnsi="Times New Roman" w:cs="Times New Roman" w:eastAsia="Times New Roman" w:hint="default"/>
                <w:sz w:val="18"/>
                <w:szCs w:val="18"/>
              </w:rPr>
            </w:pPr>
            <w:r>
              <w:rPr>
                <w:rFonts w:ascii="Times New Roman"/>
                <w:sz w:val="18"/>
              </w:rPr>
              <w:t>-47,843,891.25</w:t>
            </w:r>
          </w:p>
        </w:tc>
        <w:tc>
          <w:tcPr>
            <w:tcW w:w="3302"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81"/>
              <w:ind w:left="2143" w:right="0"/>
              <w:jc w:val="left"/>
              <w:rPr>
                <w:rFonts w:ascii="Times New Roman" w:hAnsi="Times New Roman" w:cs="Times New Roman" w:eastAsia="Times New Roman" w:hint="default"/>
                <w:sz w:val="18"/>
                <w:szCs w:val="18"/>
              </w:rPr>
            </w:pPr>
            <w:r>
              <w:rPr>
                <w:rFonts w:ascii="Times New Roman"/>
                <w:sz w:val="18"/>
              </w:rPr>
              <w:t>106,751,533.53</w:t>
            </w:r>
          </w:p>
        </w:tc>
      </w:tr>
      <w:tr>
        <w:trPr>
          <w:trHeight w:val="388"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left="837"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3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10" w:space="0" w:color="D4D4D4"/>
              <w:left w:val="single" w:sz="10" w:space="0" w:color="D4D4D4"/>
              <w:bottom w:val="single" w:sz="4" w:space="0" w:color="000000"/>
              <w:right w:val="single" w:sz="4" w:space="0" w:color="000000"/>
            </w:tcBorders>
          </w:tcPr>
          <w:p>
            <w:pPr/>
          </w:p>
        </w:tc>
        <w:tc>
          <w:tcPr>
            <w:tcW w:w="3302" w:type="dxa"/>
            <w:tcBorders>
              <w:top w:val="single" w:sz="10" w:space="0" w:color="D4D4D4"/>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83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19"/>
          <w:szCs w:val="19"/>
        </w:rPr>
      </w:pPr>
    </w:p>
    <w:p>
      <w:pPr>
        <w:pStyle w:val="Heading4"/>
        <w:spacing w:line="240" w:lineRule="auto" w:before="36"/>
        <w:ind w:right="1127"/>
        <w:jc w:val="left"/>
        <w:rPr>
          <w:b w:val="0"/>
          <w:bCs w:val="0"/>
        </w:rPr>
      </w:pPr>
      <w:bookmarkStart w:name="5、合并现金流量表" w:id="272"/>
      <w:bookmarkEnd w:id="27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36"/>
        <w:ind w:left="0" w:right="1130"/>
        <w:jc w:val="right"/>
      </w:pPr>
      <w:r>
        <w:rPr>
          <w:spacing w:val="-1"/>
        </w:rPr>
        <w:t>单位：元</w:t>
      </w:r>
    </w:p>
    <w:p>
      <w:pPr>
        <w:spacing w:line="240" w:lineRule="auto" w:before="9"/>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9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4"/>
              <w:ind w:left="206"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6" w:space="0" w:color="D4D4D4"/>
              <w:left w:val="single" w:sz="9" w:space="0" w:color="D4D4D4"/>
              <w:bottom w:val="single" w:sz="4" w:space="0" w:color="000000"/>
              <w:right w:val="single" w:sz="4" w:space="0" w:color="000000"/>
            </w:tcBorders>
          </w:tcPr>
          <w:p>
            <w:pPr>
              <w:pStyle w:val="TableParagraph"/>
              <w:spacing w:line="240" w:lineRule="auto" w:before="84"/>
              <w:ind w:left="2013" w:right="0"/>
              <w:jc w:val="left"/>
              <w:rPr>
                <w:rFonts w:ascii="Times New Roman" w:hAnsi="Times New Roman" w:cs="Times New Roman" w:eastAsia="Times New Roman" w:hint="default"/>
                <w:sz w:val="18"/>
                <w:szCs w:val="18"/>
              </w:rPr>
            </w:pPr>
            <w:r>
              <w:rPr>
                <w:rFonts w:ascii="Times New Roman"/>
                <w:sz w:val="18"/>
              </w:rPr>
              <w:t>3,771,834,471.79</w:t>
            </w:r>
          </w:p>
        </w:tc>
        <w:tc>
          <w:tcPr>
            <w:tcW w:w="3302" w:type="dxa"/>
            <w:tcBorders>
              <w:top w:val="single" w:sz="6" w:space="0" w:color="D4D4D4"/>
              <w:left w:val="single" w:sz="4" w:space="0" w:color="000000"/>
              <w:bottom w:val="single" w:sz="4" w:space="0" w:color="000000"/>
              <w:right w:val="single" w:sz="4" w:space="0" w:color="000000"/>
            </w:tcBorders>
          </w:tcPr>
          <w:p>
            <w:pPr>
              <w:pStyle w:val="TableParagraph"/>
              <w:spacing w:line="240" w:lineRule="auto" w:before="84"/>
              <w:ind w:left="2008" w:right="0"/>
              <w:jc w:val="left"/>
              <w:rPr>
                <w:rFonts w:ascii="Times New Roman" w:hAnsi="Times New Roman" w:cs="Times New Roman" w:eastAsia="Times New Roman" w:hint="default"/>
                <w:sz w:val="18"/>
                <w:szCs w:val="18"/>
              </w:rPr>
            </w:pPr>
            <w:r>
              <w:rPr>
                <w:rFonts w:ascii="Times New Roman"/>
                <w:sz w:val="18"/>
              </w:rPr>
              <w:t>3,803,744,173.18</w:t>
            </w:r>
          </w:p>
        </w:tc>
      </w:tr>
      <w:tr>
        <w:trPr>
          <w:trHeight w:val="6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exact" w:before="41"/>
              <w:ind w:left="386"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657"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exact" w:before="41"/>
              <w:ind w:left="386"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5"/>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746"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66"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5"/>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26"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46"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114"/>
              <w:jc w:val="righ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6,623,514.95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14,900,979.01</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1,171,275,014.87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355,299,114.94</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66"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4,949,733,001.61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4,173,944,267.13</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2,549,565,698.61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2,989,973,278.35</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657"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41"/>
              <w:ind w:left="386"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5"/>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26"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5"/>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37"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44"/>
              <w:ind w:left="386"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468,058,956.45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493,150,929.79</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119,050,810.63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234,923,625.98</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1,153,196,964.94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522,162,494.62</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66"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4,289,872,430.63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4,240,210,328.74</w:t>
            </w:r>
          </w:p>
        </w:tc>
      </w:tr>
      <w:tr>
        <w:trPr>
          <w:trHeight w:val="39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9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6" w:space="0" w:color="D4D4D4"/>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659,860,570.98</w:t>
            </w:r>
            <w:r>
              <w:rPr>
                <w:rFonts w:ascii="Times New Roman"/>
                <w:sz w:val="18"/>
              </w:rPr>
            </w:r>
          </w:p>
        </w:tc>
        <w:tc>
          <w:tcPr>
            <w:tcW w:w="3302" w:type="dxa"/>
            <w:tcBorders>
              <w:top w:val="single" w:sz="4" w:space="0" w:color="000000"/>
              <w:left w:val="single" w:sz="4" w:space="0" w:color="000000"/>
              <w:bottom w:val="single" w:sz="6" w:space="0" w:color="D4D4D4"/>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-66,266,061.61</w:t>
            </w:r>
          </w:p>
        </w:tc>
      </w:tr>
      <w:tr>
        <w:trPr>
          <w:trHeight w:val="37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4"/>
              <w:ind w:left="206"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3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9" w:space="0" w:color="D4D4D4"/>
              <w:left w:val="single" w:sz="9" w:space="0" w:color="D4D4D4"/>
              <w:bottom w:val="single" w:sz="4" w:space="0" w:color="000000"/>
              <w:right w:val="single" w:sz="4" w:space="0" w:color="000000"/>
            </w:tcBorders>
          </w:tcPr>
          <w:p>
            <w:pPr>
              <w:pStyle w:val="TableParagraph"/>
              <w:spacing w:line="240" w:lineRule="auto" w:before="80"/>
              <w:ind w:right="16"/>
              <w:jc w:val="right"/>
              <w:rPr>
                <w:rFonts w:ascii="Times New Roman" w:hAnsi="Times New Roman" w:cs="Times New Roman" w:eastAsia="Times New Roman" w:hint="default"/>
                <w:sz w:val="18"/>
                <w:szCs w:val="18"/>
              </w:rPr>
            </w:pPr>
            <w:r>
              <w:rPr>
                <w:rFonts w:ascii="Times New Roman"/>
                <w:spacing w:val="-1"/>
                <w:sz w:val="18"/>
              </w:rPr>
              <w:t>331,090,588.00</w:t>
            </w:r>
            <w:r>
              <w:rPr>
                <w:rFonts w:ascii="Times New Roman"/>
                <w:sz w:val="18"/>
              </w:rPr>
            </w:r>
          </w:p>
        </w:tc>
        <w:tc>
          <w:tcPr>
            <w:tcW w:w="3302" w:type="dxa"/>
            <w:tcBorders>
              <w:top w:val="single" w:sz="9" w:space="0" w:color="D4D4D4"/>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42,000,000.00</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65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6,804,925.61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9,746,109.40</w:t>
            </w:r>
            <w:r>
              <w:rPr>
                <w:rFonts w:ascii="Times New Roman"/>
                <w:sz w:val="18"/>
              </w:rPr>
            </w:r>
          </w:p>
        </w:tc>
      </w:tr>
      <w:tr>
        <w:trPr>
          <w:trHeight w:val="6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477" w:right="25" w:hanging="92"/>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139,767.94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455,094.58</w:t>
            </w:r>
          </w:p>
        </w:tc>
      </w:tr>
      <w:tr>
        <w:trPr>
          <w:trHeight w:val="6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017" w:right="25" w:hanging="632"/>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357,302.62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-262,867,424.23</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z w:val="18"/>
              </w:rPr>
              <w:t>307,332.13</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66"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438,392,584.17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-210,358,888.12</w:t>
            </w:r>
            <w:r>
              <w:rPr>
                <w:rFonts w:ascii="Times New Roman"/>
                <w:sz w:val="18"/>
              </w:rPr>
            </w:r>
          </w:p>
        </w:tc>
      </w:tr>
      <w:tr>
        <w:trPr>
          <w:trHeight w:val="6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8"/>
              <w:ind w:left="657" w:right="25" w:hanging="272"/>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33,348,363.39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82,897,464.76</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349,402,700.00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240,987,575.00</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26"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017" w:right="25" w:hanging="632"/>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369,330,828.94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-12,118,875.44</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66"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752,081,892.33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411,766,164.32</w:t>
            </w:r>
          </w:p>
        </w:tc>
      </w:tr>
      <w:tr>
        <w:trPr>
          <w:trHeight w:val="39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9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10" w:space="0" w:color="D4D4D4"/>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-313,689,308.16</w:t>
            </w:r>
            <w:r>
              <w:rPr>
                <w:rFonts w:ascii="Times New Roman"/>
                <w:sz w:val="18"/>
              </w:rPr>
            </w:r>
          </w:p>
        </w:tc>
        <w:tc>
          <w:tcPr>
            <w:tcW w:w="3302"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-622,125,052.44</w:t>
            </w:r>
            <w:r>
              <w:rPr>
                <w:rFonts w:ascii="Times New Roman"/>
                <w:sz w:val="18"/>
              </w:rPr>
            </w:r>
          </w:p>
        </w:tc>
      </w:tr>
      <w:tr>
        <w:trPr>
          <w:trHeight w:val="37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4"/>
              <w:ind w:left="206"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386"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4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130,153,360.00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22,100,000.00</w:t>
            </w:r>
            <w:r>
              <w:rPr>
                <w:rFonts w:ascii="Times New Roman"/>
                <w:sz w:val="18"/>
              </w:rPr>
            </w:r>
          </w:p>
        </w:tc>
      </w:tr>
      <w:tr>
        <w:trPr>
          <w:trHeight w:val="622"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8"/>
              <w:ind w:left="1028" w:right="36" w:hanging="632"/>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40,050,000.00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4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425,300,100.00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837,639,500.00</w:t>
            </w:r>
            <w:r>
              <w:rPr>
                <w:rFonts w:ascii="Times New Roman"/>
                <w:sz w:val="18"/>
              </w:rPr>
            </w:r>
          </w:p>
        </w:tc>
      </w:tr>
      <w:tr>
        <w:trPr>
          <w:trHeight w:val="386"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36"/>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23,446,735.73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4,252,464.27</w:t>
            </w:r>
            <w:r>
              <w:rPr>
                <w:rFonts w:ascii="Times New Roman"/>
                <w:sz w:val="18"/>
              </w:rPr>
            </w:r>
          </w:p>
        </w:tc>
      </w:tr>
      <w:tr>
        <w:trPr>
          <w:trHeight w:val="386"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7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578,900,195.73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863,991,964.27</w:t>
            </w:r>
            <w:r>
              <w:rPr>
                <w:rFonts w:ascii="Times New Roman"/>
                <w:sz w:val="18"/>
              </w:rPr>
            </w:r>
          </w:p>
        </w:tc>
      </w:tr>
      <w:tr>
        <w:trPr>
          <w:trHeight w:val="389"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848"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1,012,339,600.00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320,116,569.92</w:t>
            </w:r>
          </w:p>
        </w:tc>
      </w:tr>
      <w:tr>
        <w:trPr>
          <w:trHeight w:val="622"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41"/>
              <w:ind w:left="397"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36,445,941.52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215,337,594.78</w:t>
            </w:r>
            <w:r>
              <w:rPr>
                <w:rFonts w:ascii="Times New Roman"/>
                <w:sz w:val="18"/>
              </w:rPr>
            </w:r>
          </w:p>
        </w:tc>
      </w:tr>
      <w:tr>
        <w:trPr>
          <w:trHeight w:val="619"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028" w:right="36" w:hanging="632"/>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4,022,970.84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36"/>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171,060,908.16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353,313,795.02</w:t>
            </w:r>
            <w:r>
              <w:rPr>
                <w:rFonts w:ascii="Times New Roman"/>
                <w:sz w:val="18"/>
              </w:rPr>
            </w:r>
          </w:p>
        </w:tc>
      </w:tr>
      <w:tr>
        <w:trPr>
          <w:trHeight w:val="386"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7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1,219,846,449.68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888,767,959.72</w:t>
            </w:r>
            <w:r>
              <w:rPr>
                <w:rFonts w:ascii="Times New Roman"/>
                <w:sz w:val="18"/>
              </w:rPr>
            </w:r>
          </w:p>
        </w:tc>
      </w:tr>
      <w:tr>
        <w:trPr>
          <w:trHeight w:val="389"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08"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-640,946,253.95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-24,775,995.45</w:t>
            </w:r>
          </w:p>
        </w:tc>
      </w:tr>
      <w:tr>
        <w:trPr>
          <w:trHeight w:val="619"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297" w:right="36" w:hanging="126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1,203,188.12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2,367,020.83</w:t>
            </w:r>
            <w:r>
              <w:rPr>
                <w:rFonts w:ascii="Times New Roman"/>
                <w:sz w:val="18"/>
              </w:rPr>
            </w:r>
          </w:p>
        </w:tc>
      </w:tr>
      <w:tr>
        <w:trPr>
          <w:trHeight w:val="389"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1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-293,571,803.01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-710,800,088.67</w:t>
            </w:r>
            <w:r>
              <w:rPr>
                <w:rFonts w:ascii="Times New Roman"/>
                <w:sz w:val="18"/>
              </w:rPr>
            </w:r>
          </w:p>
        </w:tc>
      </w:tr>
      <w:tr>
        <w:trPr>
          <w:trHeight w:val="386"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36"/>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2,310,857,544.09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3,021,657,632.76</w:t>
            </w:r>
          </w:p>
        </w:tc>
      </w:tr>
      <w:tr>
        <w:trPr>
          <w:trHeight w:val="389"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1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2,017,285,741.08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2,310,857,544.09</w:t>
            </w:r>
          </w:p>
        </w:tc>
      </w:tr>
    </w:tbl>
    <w:p>
      <w:pPr>
        <w:spacing w:line="240" w:lineRule="auto" w:before="11"/>
        <w:rPr>
          <w:rFonts w:ascii="Times New Roman" w:hAnsi="Times New Roman" w:cs="Times New Roman" w:eastAsia="Times New Roman" w:hint="default"/>
          <w:sz w:val="19"/>
          <w:szCs w:val="19"/>
        </w:rPr>
      </w:pPr>
    </w:p>
    <w:p>
      <w:pPr>
        <w:pStyle w:val="Heading4"/>
        <w:spacing w:line="240" w:lineRule="auto" w:before="36"/>
        <w:ind w:right="1127"/>
        <w:jc w:val="left"/>
        <w:rPr>
          <w:b w:val="0"/>
          <w:bCs w:val="0"/>
        </w:rPr>
      </w:pPr>
      <w:bookmarkStart w:name="6、母公司现金流量表" w:id="273"/>
      <w:bookmarkEnd w:id="27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36"/>
        <w:ind w:left="0" w:right="1130"/>
        <w:jc w:val="right"/>
      </w:pPr>
      <w:r>
        <w:rPr>
          <w:spacing w:val="-1"/>
        </w:rPr>
        <w:t>单位：元</w:t>
      </w:r>
    </w:p>
    <w:p>
      <w:pPr>
        <w:spacing w:line="240" w:lineRule="auto" w:before="9"/>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9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4"/>
              <w:ind w:left="206"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9" w:space="0" w:color="D4D4D4"/>
              <w:left w:val="single" w:sz="9" w:space="0" w:color="D4D4D4"/>
              <w:bottom w:val="single" w:sz="4" w:space="0" w:color="000000"/>
              <w:right w:val="single" w:sz="4" w:space="0" w:color="000000"/>
            </w:tcBorders>
          </w:tcPr>
          <w:p>
            <w:pPr>
              <w:pStyle w:val="TableParagraph"/>
              <w:spacing w:line="240" w:lineRule="auto" w:before="80"/>
              <w:ind w:right="16"/>
              <w:jc w:val="right"/>
              <w:rPr>
                <w:rFonts w:ascii="Times New Roman" w:hAnsi="Times New Roman" w:cs="Times New Roman" w:eastAsia="Times New Roman" w:hint="default"/>
                <w:sz w:val="18"/>
                <w:szCs w:val="18"/>
              </w:rPr>
            </w:pPr>
            <w:r>
              <w:rPr>
                <w:rFonts w:ascii="Times New Roman"/>
                <w:spacing w:val="-1"/>
                <w:sz w:val="18"/>
              </w:rPr>
              <w:t>375,521,355.60</w:t>
            </w:r>
            <w:r>
              <w:rPr>
                <w:rFonts w:ascii="Times New Roman"/>
                <w:sz w:val="18"/>
              </w:rPr>
            </w:r>
          </w:p>
        </w:tc>
        <w:tc>
          <w:tcPr>
            <w:tcW w:w="3302" w:type="dxa"/>
            <w:tcBorders>
              <w:top w:val="single" w:sz="9" w:space="0" w:color="D4D4D4"/>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226,626,933.88</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3,040,758.59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3,314,386.97</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942,407,633.03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339,938,358.08</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66"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1,320,969,747.22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569,879,678.93</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174,062,576.40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546,987,481.64</w:t>
            </w:r>
            <w:r>
              <w:rPr>
                <w:rFonts w:ascii="Times New Roman"/>
                <w:sz w:val="18"/>
              </w:rPr>
            </w:r>
          </w:p>
        </w:tc>
      </w:tr>
      <w:tr>
        <w:trPr>
          <w:trHeight w:val="61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41"/>
              <w:ind w:left="386"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48,967,570.78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57,800,914.67</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5,119,767.31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36,752,343.65</w:t>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917,355,962.33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278,521,633.25</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66"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1,145,505,876.82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920,062,373.21</w:t>
            </w:r>
            <w:r>
              <w:rPr>
                <w:rFonts w:ascii="Times New Roman"/>
                <w:sz w:val="18"/>
              </w:rPr>
            </w:r>
          </w:p>
        </w:tc>
      </w:tr>
      <w:tr>
        <w:trPr>
          <w:trHeight w:val="39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9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10" w:space="0" w:color="D4D4D4"/>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175,463,870.40</w:t>
            </w:r>
            <w:r>
              <w:rPr>
                <w:rFonts w:ascii="Times New Roman"/>
                <w:sz w:val="18"/>
              </w:rPr>
            </w:r>
          </w:p>
        </w:tc>
        <w:tc>
          <w:tcPr>
            <w:tcW w:w="3302"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-350,182,694.28</w:t>
            </w:r>
            <w:r>
              <w:rPr>
                <w:rFonts w:ascii="Times New Roman"/>
                <w:sz w:val="18"/>
              </w:rPr>
            </w:r>
          </w:p>
        </w:tc>
      </w:tr>
      <w:tr>
        <w:trPr>
          <w:trHeight w:val="37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4"/>
              <w:ind w:left="206"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3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5" w:space="0" w:color="D4D4D4"/>
              <w:left w:val="single" w:sz="9" w:space="0" w:color="D4D4D4"/>
              <w:bottom w:val="single" w:sz="4" w:space="0" w:color="000000"/>
              <w:right w:val="single" w:sz="4" w:space="0" w:color="000000"/>
            </w:tcBorders>
          </w:tcPr>
          <w:p>
            <w:pPr>
              <w:pStyle w:val="TableParagraph"/>
              <w:spacing w:line="240" w:lineRule="auto" w:before="85"/>
              <w:ind w:right="16"/>
              <w:jc w:val="right"/>
              <w:rPr>
                <w:rFonts w:ascii="Times New Roman" w:hAnsi="Times New Roman" w:cs="Times New Roman" w:eastAsia="Times New Roman" w:hint="default"/>
                <w:sz w:val="18"/>
                <w:szCs w:val="18"/>
              </w:rPr>
            </w:pPr>
            <w:r>
              <w:rPr>
                <w:rFonts w:ascii="Times New Roman"/>
                <w:spacing w:val="-1"/>
                <w:sz w:val="18"/>
              </w:rPr>
              <w:t>1,300,000.00</w:t>
            </w:r>
            <w:r>
              <w:rPr>
                <w:rFonts w:ascii="Times New Roman"/>
                <w:sz w:val="18"/>
              </w:rPr>
            </w:r>
          </w:p>
        </w:tc>
        <w:tc>
          <w:tcPr>
            <w:tcW w:w="3302" w:type="dxa"/>
            <w:tcBorders>
              <w:top w:val="single" w:sz="5" w:space="0" w:color="D4D4D4"/>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spacing w:val="-1"/>
                <w:sz w:val="18"/>
              </w:rPr>
              <w:t>3,400,000.00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58"/>
          <w:pgSz w:w="11910" w:h="16840"/>
          <w:pgMar w:footer="1134" w:header="882"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65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99,208,275.48</w:t>
            </w:r>
          </w:p>
        </w:tc>
      </w:tr>
      <w:tr>
        <w:trPr>
          <w:trHeight w:val="6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8"/>
              <w:ind w:left="477" w:right="25" w:hanging="92"/>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r>
      <w:tr>
        <w:trPr>
          <w:trHeight w:val="6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17" w:right="25" w:hanging="632"/>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66"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101,300,000.00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102,708,275.48</w:t>
            </w:r>
            <w:r>
              <w:rPr>
                <w:rFonts w:ascii="Times New Roman"/>
                <w:sz w:val="18"/>
              </w:rPr>
            </w:r>
          </w:p>
        </w:tc>
      </w:tr>
      <w:tr>
        <w:trPr>
          <w:trHeight w:val="61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657" w:right="25" w:hanging="272"/>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7,168,318.58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55,283,193.34</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01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z w:val="18"/>
              </w:rPr>
              <w:t>322,500.00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159,167,575.00</w:t>
            </w:r>
            <w:r>
              <w:rPr>
                <w:rFonts w:ascii="Times New Roman"/>
                <w:sz w:val="18"/>
              </w:rPr>
            </w:r>
          </w:p>
        </w:tc>
      </w:tr>
      <w:tr>
        <w:trPr>
          <w:trHeight w:val="6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017" w:right="25" w:hanging="632"/>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66"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7,490,818.58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314,450,768.34</w:t>
            </w:r>
            <w:r>
              <w:rPr>
                <w:rFonts w:ascii="Times New Roman"/>
                <w:sz w:val="18"/>
              </w:rPr>
            </w:r>
          </w:p>
        </w:tc>
      </w:tr>
      <w:tr>
        <w:trPr>
          <w:trHeight w:val="39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9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6" w:space="0" w:color="D4D4D4"/>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93,809,181.42</w:t>
            </w:r>
          </w:p>
        </w:tc>
        <w:tc>
          <w:tcPr>
            <w:tcW w:w="3302" w:type="dxa"/>
            <w:tcBorders>
              <w:top w:val="single" w:sz="4" w:space="0" w:color="000000"/>
              <w:left w:val="single" w:sz="4" w:space="0" w:color="000000"/>
              <w:bottom w:val="single" w:sz="6" w:space="0" w:color="D4D4D4"/>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-211,742,492.86</w:t>
            </w:r>
            <w:r>
              <w:rPr>
                <w:rFonts w:ascii="Times New Roman"/>
                <w:sz w:val="18"/>
              </w:rPr>
            </w:r>
          </w:p>
        </w:tc>
      </w:tr>
      <w:tr>
        <w:trPr>
          <w:trHeight w:val="37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4"/>
              <w:ind w:left="206"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7"/>
              <w:ind w:left="83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9" w:space="0" w:color="D4D4D4"/>
              <w:left w:val="single" w:sz="9"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90,103,360.00</w:t>
            </w:r>
          </w:p>
        </w:tc>
        <w:tc>
          <w:tcPr>
            <w:tcW w:w="3302" w:type="dxa"/>
            <w:tcBorders>
              <w:top w:val="single" w:sz="9" w:space="0" w:color="D4D4D4"/>
              <w:left w:val="single" w:sz="4" w:space="0" w:color="000000"/>
              <w:bottom w:val="single" w:sz="4" w:space="0" w:color="000000"/>
              <w:right w:val="single" w:sz="4" w:space="0" w:color="000000"/>
            </w:tcBorders>
          </w:tcPr>
          <w:p>
            <w:pP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3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223,000,000.00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628,480,000.00</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23,446,735.73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3,668,364.27</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66"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336,550,095.73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632,148,364.27</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3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674,880,000.00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213,241,076.30</w:t>
            </w:r>
            <w:r>
              <w:rPr>
                <w:rFonts w:ascii="Times New Roman"/>
                <w:sz w:val="18"/>
              </w:rPr>
            </w:r>
          </w:p>
        </w:tc>
      </w:tr>
      <w:tr>
        <w:trPr>
          <w:trHeight w:val="6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44"/>
              <w:ind w:left="386"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17,871,712.78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102,383,719.30</w:t>
            </w:r>
            <w:r>
              <w:rPr>
                <w:rFonts w:ascii="Times New Roman"/>
                <w:sz w:val="18"/>
              </w:rPr>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171,060,908.16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298,313,795.02</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66"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863,812,620.94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613,938,590.62</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9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-527,262,525.21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18,209,773.65</w:t>
            </w:r>
          </w:p>
        </w:tc>
      </w:tr>
      <w:tr>
        <w:trPr>
          <w:trHeight w:val="6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8"/>
              <w:ind w:left="1286" w:right="25" w:hanging="126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436,466.80</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06"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-257,989,473.39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-543,278,946.69</w:t>
            </w:r>
            <w:r>
              <w:rPr>
                <w:rFonts w:ascii="Times New Roman"/>
                <w:sz w:val="18"/>
              </w:rPr>
            </w:r>
          </w:p>
        </w:tc>
      </w:tr>
      <w:tr>
        <w:trPr>
          <w:trHeight w:val="386"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5"/>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1,058,076,607.81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1,601,355,554.50</w:t>
            </w:r>
          </w:p>
        </w:tc>
      </w:tr>
      <w:tr>
        <w:trPr>
          <w:trHeight w:val="3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06"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800,087,134.42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1,058,076,607.81</w:t>
            </w:r>
          </w:p>
        </w:tc>
      </w:tr>
    </w:tbl>
    <w:p>
      <w:pPr>
        <w:spacing w:after="0" w:line="240" w:lineRule="auto"/>
        <w:jc w:val="right"/>
        <w:rPr>
          <w:rFonts w:ascii="Times New Roman" w:hAnsi="Times New Roman" w:cs="Times New Roman" w:eastAsia="Times New Roman" w:hint="default"/>
          <w:sz w:val="18"/>
          <w:szCs w:val="18"/>
        </w:rPr>
        <w:sectPr>
          <w:footerReference w:type="default" r:id="rId59"/>
          <w:pgSz w:w="11910" w:h="16840"/>
          <w:pgMar w:footer="1134" w:header="882" w:top="1280" w:bottom="1320" w:left="980" w:right="0"/>
          <w:pgNumType w:start="131"/>
        </w:sectPr>
      </w:pPr>
    </w:p>
    <w:p>
      <w:pPr>
        <w:spacing w:line="472" w:lineRule="auto" w:before="112"/>
        <w:ind w:left="572" w:right="8330" w:hanging="420"/>
        <w:jc w:val="left"/>
        <w:rPr>
          <w:rFonts w:ascii="宋体" w:hAnsi="宋体" w:cs="宋体" w:eastAsia="宋体" w:hint="default"/>
          <w:sz w:val="21"/>
          <w:szCs w:val="21"/>
        </w:rPr>
      </w:pPr>
      <w:bookmarkStart w:name="7、合并所有者权益变动表" w:id="274"/>
      <w:bookmarkEnd w:id="274"/>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b/>
          <w:bCs/>
          <w:w w:val="100"/>
          <w:sz w:val="21"/>
          <w:szCs w:val="21"/>
        </w:rPr>
        <w:t> </w:t>
      </w:r>
      <w:r>
        <w:rPr>
          <w:rFonts w:ascii="宋体" w:hAnsi="宋体" w:cs="宋体" w:eastAsia="宋体" w:hint="default"/>
          <w:sz w:val="21"/>
          <w:szCs w:val="21"/>
        </w:rPr>
        <w:t>本期金额</w:t>
      </w:r>
    </w:p>
    <w:p>
      <w:pPr>
        <w:pStyle w:val="BodyText"/>
        <w:spacing w:line="240" w:lineRule="auto" w:before="30"/>
        <w:ind w:left="0" w:right="1132"/>
        <w:jc w:val="right"/>
      </w:pPr>
      <w:r>
        <w:rPr>
          <w:spacing w:val="-1"/>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44"/>
        <w:ind w:left="1928" w:right="8798" w:firstLine="0"/>
        <w:jc w:val="left"/>
        <w:rPr>
          <w:rFonts w:ascii="宋体" w:hAnsi="宋体" w:cs="宋体" w:eastAsia="宋体" w:hint="default"/>
          <w:sz w:val="18"/>
          <w:szCs w:val="18"/>
        </w:rPr>
      </w:pPr>
      <w:r>
        <w:rPr/>
        <w:pict>
          <v:shape style="position:absolute;margin-left:55.560001pt;margin-top:-87.609306pt;width:484.95pt;height:615.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1"/>
                    <w:gridCol w:w="971"/>
                    <w:gridCol w:w="187"/>
                    <w:gridCol w:w="185"/>
                    <w:gridCol w:w="94"/>
                    <w:gridCol w:w="91"/>
                    <w:gridCol w:w="960"/>
                    <w:gridCol w:w="905"/>
                    <w:gridCol w:w="842"/>
                    <w:gridCol w:w="185"/>
                    <w:gridCol w:w="797"/>
                    <w:gridCol w:w="185"/>
                    <w:gridCol w:w="960"/>
                    <w:gridCol w:w="185"/>
                    <w:gridCol w:w="958"/>
                    <w:gridCol w:w="799"/>
                    <w:gridCol w:w="960"/>
                  </w:tblGrid>
                  <w:tr>
                    <w:trPr>
                      <w:trHeight w:val="386" w:hRule="exact"/>
                    </w:trPr>
                    <w:tc>
                      <w:tcPr>
                        <w:tcW w:w="421" w:type="dxa"/>
                        <w:vMerge w:val="restart"/>
                        <w:tcBorders>
                          <w:top w:val="single" w:sz="4" w:space="0" w:color="000000"/>
                          <w:left w:val="single" w:sz="4" w:space="0" w:color="000000"/>
                          <w:right w:val="single" w:sz="4" w:space="0" w:color="000000"/>
                        </w:tcBorders>
                        <w:shd w:val="clear" w:color="auto" w:fill="D4D4D4"/>
                      </w:tcPr>
                      <w:p>
                        <w:pPr/>
                      </w:p>
                    </w:tc>
                    <w:tc>
                      <w:tcPr>
                        <w:tcW w:w="9263" w:type="dxa"/>
                        <w:gridSpan w:val="1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30" w:hRule="exact"/>
                    </w:trPr>
                    <w:tc>
                      <w:tcPr>
                        <w:tcW w:w="421" w:type="dxa"/>
                        <w:vMerge/>
                        <w:tcBorders>
                          <w:left w:val="single" w:sz="4" w:space="0" w:color="000000"/>
                          <w:right w:val="single" w:sz="4" w:space="0" w:color="000000"/>
                        </w:tcBorders>
                        <w:shd w:val="clear" w:color="auto" w:fill="D4D4D4"/>
                      </w:tcPr>
                      <w:p>
                        <w:pPr/>
                      </w:p>
                    </w:tc>
                    <w:tc>
                      <w:tcPr>
                        <w:tcW w:w="7504" w:type="dxa"/>
                        <w:gridSpan w:val="14"/>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41"/>
                          <w:ind w:left="13"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99" w:type="dxa"/>
                        <w:vMerge w:val="restart"/>
                        <w:tcBorders>
                          <w:top w:val="single" w:sz="4" w:space="0" w:color="000000"/>
                          <w:left w:val="single" w:sz="4" w:space="0" w:color="000000"/>
                          <w:right w:val="single" w:sz="4" w:space="0" w:color="000000"/>
                        </w:tcBorders>
                        <w:shd w:val="clear" w:color="auto" w:fill="D4D4D4"/>
                      </w:tcPr>
                      <w:p>
                        <w:pPr/>
                      </w:p>
                    </w:tc>
                    <w:tc>
                      <w:tcPr>
                        <w:tcW w:w="960" w:type="dxa"/>
                        <w:vMerge w:val="restart"/>
                        <w:tcBorders>
                          <w:top w:val="single" w:sz="4" w:space="0" w:color="000000"/>
                          <w:left w:val="single" w:sz="4" w:space="0" w:color="000000"/>
                          <w:right w:val="single" w:sz="4" w:space="0" w:color="000000"/>
                        </w:tcBorders>
                        <w:shd w:val="clear" w:color="auto" w:fill="D4D4D4"/>
                      </w:tcPr>
                      <w:p>
                        <w:pPr/>
                      </w:p>
                    </w:tc>
                  </w:tr>
                  <w:tr>
                    <w:trPr>
                      <w:trHeight w:val="276" w:hRule="exact"/>
                    </w:trPr>
                    <w:tc>
                      <w:tcPr>
                        <w:tcW w:w="421" w:type="dxa"/>
                        <w:vMerge/>
                        <w:tcBorders>
                          <w:left w:val="single" w:sz="4" w:space="0" w:color="000000"/>
                          <w:bottom w:val="nil" w:sz="6" w:space="0" w:color="auto"/>
                          <w:right w:val="single" w:sz="4" w:space="0" w:color="000000"/>
                        </w:tcBorders>
                        <w:shd w:val="clear" w:color="auto" w:fill="D4D4D4"/>
                      </w:tcPr>
                      <w:p>
                        <w:pPr/>
                      </w:p>
                    </w:tc>
                    <w:tc>
                      <w:tcPr>
                        <w:tcW w:w="971" w:type="dxa"/>
                        <w:vMerge w:val="restart"/>
                        <w:tcBorders>
                          <w:top w:val="single" w:sz="4" w:space="0" w:color="FFFFFF"/>
                          <w:left w:val="single" w:sz="4" w:space="0" w:color="000000"/>
                          <w:right w:val="single" w:sz="4" w:space="0" w:color="000000"/>
                        </w:tcBorders>
                        <w:shd w:val="clear" w:color="auto" w:fill="D4D4D4"/>
                      </w:tcPr>
                      <w:p>
                        <w:pPr/>
                      </w:p>
                    </w:tc>
                    <w:tc>
                      <w:tcPr>
                        <w:tcW w:w="557" w:type="dxa"/>
                        <w:gridSpan w:val="4"/>
                        <w:vMerge w:val="restart"/>
                        <w:tcBorders>
                          <w:top w:val="single" w:sz="4" w:space="0" w:color="FFFFFF"/>
                          <w:left w:val="single" w:sz="4" w:space="0" w:color="000000"/>
                          <w:right w:val="single" w:sz="4" w:space="0" w:color="000000"/>
                        </w:tcBorders>
                        <w:shd w:val="clear" w:color="auto" w:fill="D4D4D4"/>
                      </w:tcPr>
                      <w:p>
                        <w:pPr>
                          <w:pStyle w:val="TableParagraph"/>
                          <w:spacing w:line="232" w:lineRule="exact" w:before="25"/>
                          <w:ind w:left="93" w:right="91"/>
                          <w:jc w:val="both"/>
                          <w:rPr>
                            <w:rFonts w:ascii="宋体" w:hAnsi="宋体" w:cs="宋体" w:eastAsia="宋体" w:hint="default"/>
                            <w:sz w:val="18"/>
                            <w:szCs w:val="18"/>
                          </w:rPr>
                        </w:pPr>
                        <w:r>
                          <w:rPr>
                            <w:rFonts w:ascii="宋体" w:hAnsi="宋体" w:cs="宋体" w:eastAsia="宋体" w:hint="default"/>
                            <w:sz w:val="18"/>
                            <w:szCs w:val="18"/>
                          </w:rPr>
                          <w:t>其他 权益 工具</w:t>
                        </w:r>
                      </w:p>
                    </w:tc>
                    <w:tc>
                      <w:tcPr>
                        <w:tcW w:w="960" w:type="dxa"/>
                        <w:vMerge w:val="restart"/>
                        <w:tcBorders>
                          <w:top w:val="single" w:sz="4" w:space="0" w:color="FFFFFF"/>
                          <w:left w:val="single" w:sz="4" w:space="0" w:color="000000"/>
                          <w:right w:val="single" w:sz="4" w:space="0" w:color="000000"/>
                        </w:tcBorders>
                        <w:shd w:val="clear" w:color="auto" w:fill="D4D4D4"/>
                      </w:tcPr>
                      <w:p>
                        <w:pPr/>
                      </w:p>
                    </w:tc>
                    <w:tc>
                      <w:tcPr>
                        <w:tcW w:w="905" w:type="dxa"/>
                        <w:vMerge w:val="restart"/>
                        <w:tcBorders>
                          <w:top w:val="single" w:sz="4" w:space="0" w:color="FFFFFF"/>
                          <w:left w:val="single" w:sz="4" w:space="0" w:color="000000"/>
                          <w:right w:val="single" w:sz="4" w:space="0" w:color="000000"/>
                        </w:tcBorders>
                        <w:shd w:val="clear" w:color="auto" w:fill="D4D4D4"/>
                      </w:tcPr>
                      <w:p>
                        <w:pPr/>
                      </w:p>
                    </w:tc>
                    <w:tc>
                      <w:tcPr>
                        <w:tcW w:w="842" w:type="dxa"/>
                        <w:vMerge w:val="restart"/>
                        <w:tcBorders>
                          <w:top w:val="single" w:sz="4" w:space="0" w:color="FFFFFF"/>
                          <w:left w:val="single" w:sz="4" w:space="0" w:color="000000"/>
                          <w:right w:val="single" w:sz="4" w:space="0" w:color="000000"/>
                        </w:tcBorders>
                        <w:shd w:val="clear" w:color="auto" w:fill="D4D4D4"/>
                      </w:tcPr>
                      <w:p>
                        <w:pPr/>
                      </w:p>
                    </w:tc>
                    <w:tc>
                      <w:tcPr>
                        <w:tcW w:w="185"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3"/>
                            <w:szCs w:val="23"/>
                          </w:rPr>
                        </w:pPr>
                      </w:p>
                      <w:p>
                        <w:pPr>
                          <w:pStyle w:val="TableParagraph"/>
                          <w:spacing w:line="237" w:lineRule="auto"/>
                          <w:ind w:left="23" w:right="-29"/>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797" w:type="dxa"/>
                        <w:vMerge w:val="restart"/>
                        <w:tcBorders>
                          <w:top w:val="single" w:sz="4" w:space="0" w:color="FFFFFF"/>
                          <w:left w:val="single" w:sz="4" w:space="0" w:color="000000"/>
                          <w:right w:val="single" w:sz="4" w:space="0" w:color="000000"/>
                        </w:tcBorders>
                        <w:shd w:val="clear" w:color="auto" w:fill="D4D4D4"/>
                      </w:tcPr>
                      <w:p>
                        <w:pPr/>
                      </w:p>
                    </w:tc>
                    <w:tc>
                      <w:tcPr>
                        <w:tcW w:w="185" w:type="dxa"/>
                        <w:vMerge w:val="restart"/>
                        <w:tcBorders>
                          <w:top w:val="single" w:sz="4" w:space="0" w:color="FFFFFF"/>
                          <w:left w:val="single" w:sz="4" w:space="0" w:color="000000"/>
                          <w:right w:val="single" w:sz="4" w:space="0" w:color="000000"/>
                        </w:tcBorders>
                        <w:shd w:val="clear" w:color="auto" w:fill="D4D4D4"/>
                      </w:tcPr>
                      <w:p>
                        <w:pPr>
                          <w:pStyle w:val="TableParagraph"/>
                          <w:spacing w:line="237" w:lineRule="auto" w:before="80"/>
                          <w:ind w:left="23" w:right="-29"/>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960" w:type="dxa"/>
                        <w:vMerge w:val="restart"/>
                        <w:tcBorders>
                          <w:top w:val="single" w:sz="4" w:space="0" w:color="FFFFFF"/>
                          <w:left w:val="single" w:sz="4" w:space="0" w:color="000000"/>
                          <w:right w:val="single" w:sz="4" w:space="0" w:color="000000"/>
                        </w:tcBorders>
                        <w:shd w:val="clear" w:color="auto" w:fill="D4D4D4"/>
                      </w:tcPr>
                      <w:p>
                        <w:pPr/>
                      </w:p>
                    </w:tc>
                    <w:tc>
                      <w:tcPr>
                        <w:tcW w:w="185"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3" w:right="-29"/>
                          <w:jc w:val="left"/>
                          <w:rPr>
                            <w:rFonts w:ascii="宋体" w:hAnsi="宋体" w:cs="宋体" w:eastAsia="宋体" w:hint="default"/>
                            <w:sz w:val="18"/>
                            <w:szCs w:val="18"/>
                          </w:rPr>
                        </w:pPr>
                        <w:r>
                          <w:rPr>
                            <w:rFonts w:ascii="宋体" w:hAnsi="宋体" w:cs="宋体" w:eastAsia="宋体" w:hint="default"/>
                            <w:sz w:val="18"/>
                            <w:szCs w:val="18"/>
                          </w:rPr>
                          <w:t>其 他</w:t>
                        </w:r>
                      </w:p>
                    </w:tc>
                    <w:tc>
                      <w:tcPr>
                        <w:tcW w:w="958" w:type="dxa"/>
                        <w:vMerge w:val="restart"/>
                        <w:tcBorders>
                          <w:top w:val="single" w:sz="4" w:space="0" w:color="FFFFFF"/>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960" w:type="dxa"/>
                        <w:vMerge/>
                        <w:tcBorders>
                          <w:left w:val="single" w:sz="4" w:space="0" w:color="000000"/>
                          <w:bottom w:val="nil" w:sz="6" w:space="0" w:color="auto"/>
                          <w:right w:val="single" w:sz="4" w:space="0" w:color="000000"/>
                        </w:tcBorders>
                        <w:shd w:val="clear" w:color="auto" w:fill="D4D4D4"/>
                      </w:tcPr>
                      <w:p>
                        <w:pPr/>
                      </w:p>
                    </w:tc>
                  </w:tr>
                  <w:tr>
                    <w:trPr>
                      <w:trHeight w:val="230" w:hRule="exact"/>
                    </w:trPr>
                    <w:tc>
                      <w:tcPr>
                        <w:tcW w:w="42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
                          <w:ind w:left="2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71" w:type="dxa"/>
                        <w:vMerge/>
                        <w:tcBorders>
                          <w:left w:val="single" w:sz="4" w:space="0" w:color="000000"/>
                          <w:right w:val="single" w:sz="4" w:space="0" w:color="000000"/>
                        </w:tcBorders>
                        <w:shd w:val="clear" w:color="auto" w:fill="D4D4D4"/>
                      </w:tcPr>
                      <w:p>
                        <w:pPr/>
                      </w:p>
                    </w:tc>
                    <w:tc>
                      <w:tcPr>
                        <w:tcW w:w="557" w:type="dxa"/>
                        <w:gridSpan w:val="4"/>
                        <w:vMerge/>
                        <w:tcBorders>
                          <w:left w:val="single" w:sz="4" w:space="0" w:color="000000"/>
                          <w:right w:val="single" w:sz="4" w:space="0" w:color="000000"/>
                        </w:tcBorders>
                        <w:shd w:val="clear" w:color="auto" w:fill="D4D4D4"/>
                      </w:tcPr>
                      <w:p>
                        <w:pPr/>
                      </w:p>
                    </w:tc>
                    <w:tc>
                      <w:tcPr>
                        <w:tcW w:w="960" w:type="dxa"/>
                        <w:vMerge/>
                        <w:tcBorders>
                          <w:left w:val="single" w:sz="4" w:space="0" w:color="000000"/>
                          <w:right w:val="single" w:sz="4" w:space="0" w:color="000000"/>
                        </w:tcBorders>
                        <w:shd w:val="clear" w:color="auto" w:fill="D4D4D4"/>
                      </w:tcPr>
                      <w:p>
                        <w:pPr/>
                      </w:p>
                    </w:tc>
                    <w:tc>
                      <w:tcPr>
                        <w:tcW w:w="905" w:type="dxa"/>
                        <w:vMerge/>
                        <w:tcBorders>
                          <w:left w:val="single" w:sz="4" w:space="0" w:color="000000"/>
                          <w:right w:val="single" w:sz="4" w:space="0" w:color="000000"/>
                        </w:tcBorders>
                        <w:shd w:val="clear" w:color="auto" w:fill="D4D4D4"/>
                      </w:tcPr>
                      <w:p>
                        <w:pPr/>
                      </w:p>
                    </w:tc>
                    <w:tc>
                      <w:tcPr>
                        <w:tcW w:w="842" w:type="dxa"/>
                        <w:vMerge/>
                        <w:tcBorders>
                          <w:left w:val="single" w:sz="4" w:space="0" w:color="000000"/>
                          <w:bottom w:val="nil" w:sz="6" w:space="0" w:color="auto"/>
                          <w:right w:val="single" w:sz="4" w:space="0" w:color="000000"/>
                        </w:tcBorders>
                        <w:shd w:val="clear" w:color="auto" w:fill="D4D4D4"/>
                      </w:tcPr>
                      <w:p>
                        <w:pPr/>
                      </w:p>
                    </w:tc>
                    <w:tc>
                      <w:tcPr>
                        <w:tcW w:w="185"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185" w:type="dxa"/>
                        <w:vMerge/>
                        <w:tcBorders>
                          <w:left w:val="single" w:sz="4" w:space="0" w:color="000000"/>
                          <w:right w:val="single" w:sz="4" w:space="0" w:color="000000"/>
                        </w:tcBorders>
                        <w:shd w:val="clear" w:color="auto" w:fill="D4D4D4"/>
                      </w:tcPr>
                      <w:p>
                        <w:pPr/>
                      </w:p>
                    </w:tc>
                    <w:tc>
                      <w:tcPr>
                        <w:tcW w:w="960" w:type="dxa"/>
                        <w:vMerge/>
                        <w:tcBorders>
                          <w:left w:val="single" w:sz="4" w:space="0" w:color="000000"/>
                          <w:right w:val="single" w:sz="4" w:space="0" w:color="000000"/>
                        </w:tcBorders>
                        <w:shd w:val="clear" w:color="auto" w:fill="D4D4D4"/>
                      </w:tcPr>
                      <w:p>
                        <w:pPr/>
                      </w:p>
                    </w:tc>
                    <w:tc>
                      <w:tcPr>
                        <w:tcW w:w="185" w:type="dxa"/>
                        <w:vMerge/>
                        <w:tcBorders>
                          <w:left w:val="single" w:sz="4" w:space="0" w:color="000000"/>
                          <w:right w:val="single" w:sz="4" w:space="0" w:color="000000"/>
                        </w:tcBorders>
                        <w:shd w:val="clear" w:color="auto" w:fill="D4D4D4"/>
                      </w:tcPr>
                      <w:p>
                        <w:pPr/>
                      </w:p>
                    </w:tc>
                    <w:tc>
                      <w:tcPr>
                        <w:tcW w:w="958"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32" w:lineRule="exact" w:before="105"/>
                          <w:ind w:left="215" w:right="3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960" w:type="dxa"/>
                        <w:vMerge w:val="restart"/>
                        <w:tcBorders>
                          <w:top w:val="nil" w:sz="6" w:space="0" w:color="auto"/>
                          <w:left w:val="single" w:sz="4" w:space="0" w:color="000000"/>
                          <w:right w:val="single" w:sz="4" w:space="0" w:color="000000"/>
                        </w:tcBorders>
                        <w:shd w:val="clear" w:color="auto" w:fill="D4D4D4"/>
                      </w:tcPr>
                      <w:p>
                        <w:pPr>
                          <w:pStyle w:val="TableParagraph"/>
                          <w:spacing w:line="232" w:lineRule="exact" w:before="105"/>
                          <w:ind w:left="295" w:right="24" w:hanging="272"/>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118" w:hRule="exact"/>
                    </w:trPr>
                    <w:tc>
                      <w:tcPr>
                        <w:tcW w:w="421" w:type="dxa"/>
                        <w:vMerge/>
                        <w:tcBorders>
                          <w:left w:val="single" w:sz="4" w:space="0" w:color="000000"/>
                          <w:bottom w:val="nil" w:sz="6" w:space="0" w:color="auto"/>
                          <w:right w:val="single" w:sz="4" w:space="0" w:color="000000"/>
                        </w:tcBorders>
                        <w:shd w:val="clear" w:color="auto" w:fill="D4D4D4"/>
                      </w:tcPr>
                      <w:p>
                        <w:pPr/>
                      </w:p>
                    </w:tc>
                    <w:tc>
                      <w:tcPr>
                        <w:tcW w:w="971" w:type="dxa"/>
                        <w:vMerge/>
                        <w:tcBorders>
                          <w:left w:val="single" w:sz="4" w:space="0" w:color="000000"/>
                          <w:bottom w:val="nil" w:sz="6" w:space="0" w:color="auto"/>
                          <w:right w:val="single" w:sz="4" w:space="0" w:color="000000"/>
                        </w:tcBorders>
                        <w:shd w:val="clear" w:color="auto" w:fill="D4D4D4"/>
                      </w:tcPr>
                      <w:p>
                        <w:pPr/>
                      </w:p>
                    </w:tc>
                    <w:tc>
                      <w:tcPr>
                        <w:tcW w:w="557" w:type="dxa"/>
                        <w:gridSpan w:val="4"/>
                        <w:vMerge/>
                        <w:tcBorders>
                          <w:left w:val="single" w:sz="4" w:space="0" w:color="000000"/>
                          <w:right w:val="single" w:sz="4" w:space="0" w:color="000000"/>
                        </w:tcBorders>
                        <w:shd w:val="clear" w:color="auto" w:fill="D4D4D4"/>
                      </w:tcPr>
                      <w:p>
                        <w:pPr/>
                      </w:p>
                    </w:tc>
                    <w:tc>
                      <w:tcPr>
                        <w:tcW w:w="960" w:type="dxa"/>
                        <w:vMerge/>
                        <w:tcBorders>
                          <w:left w:val="single" w:sz="4" w:space="0" w:color="000000"/>
                          <w:bottom w:val="nil" w:sz="6" w:space="0" w:color="auto"/>
                          <w:right w:val="single" w:sz="4" w:space="0" w:color="000000"/>
                        </w:tcBorders>
                        <w:shd w:val="clear" w:color="auto" w:fill="D4D4D4"/>
                      </w:tcPr>
                      <w:p>
                        <w:pPr/>
                      </w:p>
                    </w:tc>
                    <w:tc>
                      <w:tcPr>
                        <w:tcW w:w="905" w:type="dxa"/>
                        <w:vMerge/>
                        <w:tcBorders>
                          <w:left w:val="single" w:sz="4" w:space="0" w:color="000000"/>
                          <w:bottom w:val="nil" w:sz="6" w:space="0" w:color="auto"/>
                          <w:right w:val="single" w:sz="4" w:space="0" w:color="000000"/>
                        </w:tcBorders>
                        <w:shd w:val="clear" w:color="auto" w:fill="D4D4D4"/>
                      </w:tcPr>
                      <w:p>
                        <w:pPr/>
                      </w:p>
                    </w:tc>
                    <w:tc>
                      <w:tcPr>
                        <w:tcW w:w="84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235" w:right="55"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85" w:type="dxa"/>
                        <w:vMerge/>
                        <w:tcBorders>
                          <w:left w:val="single" w:sz="4" w:space="0" w:color="000000"/>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185" w:type="dxa"/>
                        <w:vMerge/>
                        <w:tcBorders>
                          <w:left w:val="single" w:sz="4" w:space="0" w:color="000000"/>
                          <w:right w:val="single" w:sz="4" w:space="0" w:color="000000"/>
                        </w:tcBorders>
                        <w:shd w:val="clear" w:color="auto" w:fill="D4D4D4"/>
                      </w:tcPr>
                      <w:p>
                        <w:pPr/>
                      </w:p>
                    </w:tc>
                    <w:tc>
                      <w:tcPr>
                        <w:tcW w:w="960" w:type="dxa"/>
                        <w:vMerge/>
                        <w:tcBorders>
                          <w:left w:val="single" w:sz="4" w:space="0" w:color="000000"/>
                          <w:bottom w:val="nil" w:sz="6" w:space="0" w:color="auto"/>
                          <w:right w:val="single" w:sz="4" w:space="0" w:color="000000"/>
                        </w:tcBorders>
                        <w:shd w:val="clear" w:color="auto" w:fill="D4D4D4"/>
                      </w:tcPr>
                      <w:p>
                        <w:pPr/>
                      </w:p>
                    </w:tc>
                    <w:tc>
                      <w:tcPr>
                        <w:tcW w:w="185" w:type="dxa"/>
                        <w:vMerge/>
                        <w:tcBorders>
                          <w:left w:val="single" w:sz="4" w:space="0" w:color="000000"/>
                          <w:right w:val="single" w:sz="4" w:space="0" w:color="000000"/>
                        </w:tcBorders>
                        <w:shd w:val="clear" w:color="auto" w:fill="D4D4D4"/>
                      </w:tcPr>
                      <w:p>
                        <w:pPr/>
                      </w:p>
                    </w:tc>
                    <w:tc>
                      <w:tcPr>
                        <w:tcW w:w="958" w:type="dxa"/>
                        <w:vMerge/>
                        <w:tcBorders>
                          <w:left w:val="single" w:sz="4" w:space="0" w:color="000000"/>
                          <w:bottom w:val="nil" w:sz="6" w:space="0" w:color="auto"/>
                          <w:right w:val="single" w:sz="4" w:space="0" w:color="000000"/>
                        </w:tcBorders>
                        <w:shd w:val="clear" w:color="auto" w:fill="D4D4D4"/>
                      </w:tcPr>
                      <w:p>
                        <w:pPr/>
                      </w:p>
                    </w:tc>
                    <w:tc>
                      <w:tcPr>
                        <w:tcW w:w="799" w:type="dxa"/>
                        <w:vMerge/>
                        <w:tcBorders>
                          <w:left w:val="single" w:sz="4" w:space="0" w:color="000000"/>
                          <w:right w:val="single" w:sz="4" w:space="0" w:color="000000"/>
                        </w:tcBorders>
                        <w:shd w:val="clear" w:color="auto" w:fill="D4D4D4"/>
                      </w:tcPr>
                      <w:p>
                        <w:pPr/>
                      </w:p>
                    </w:tc>
                    <w:tc>
                      <w:tcPr>
                        <w:tcW w:w="960" w:type="dxa"/>
                        <w:vMerge/>
                        <w:tcBorders>
                          <w:left w:val="single" w:sz="4" w:space="0" w:color="000000"/>
                          <w:right w:val="single" w:sz="4" w:space="0" w:color="000000"/>
                        </w:tcBorders>
                        <w:shd w:val="clear" w:color="auto" w:fill="D4D4D4"/>
                      </w:tcPr>
                      <w:p>
                        <w:pPr/>
                      </w:p>
                    </w:tc>
                  </w:tr>
                  <w:tr>
                    <w:trPr>
                      <w:trHeight w:val="190" w:hRule="exact"/>
                    </w:trPr>
                    <w:tc>
                      <w:tcPr>
                        <w:tcW w:w="421" w:type="dxa"/>
                        <w:vMerge w:val="restart"/>
                        <w:tcBorders>
                          <w:top w:val="nil" w:sz="6" w:space="0" w:color="auto"/>
                          <w:left w:val="single" w:sz="4" w:space="0" w:color="000000"/>
                          <w:right w:val="single" w:sz="4" w:space="0" w:color="000000"/>
                        </w:tcBorders>
                        <w:shd w:val="clear" w:color="auto" w:fill="D4D4D4"/>
                      </w:tcPr>
                      <w:p>
                        <w:pPr/>
                      </w:p>
                    </w:tc>
                    <w:tc>
                      <w:tcPr>
                        <w:tcW w:w="97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3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57" w:type="dxa"/>
                        <w:gridSpan w:val="4"/>
                        <w:vMerge/>
                        <w:tcBorders>
                          <w:left w:val="single" w:sz="4" w:space="0" w:color="000000"/>
                          <w:bottom w:val="single" w:sz="4" w:space="0" w:color="000000"/>
                          <w:right w:val="single" w:sz="4" w:space="0" w:color="000000"/>
                        </w:tcBorders>
                        <w:shd w:val="clear" w:color="auto" w:fill="D4D4D4"/>
                      </w:tcPr>
                      <w:p>
                        <w:pPr/>
                      </w:p>
                    </w:tc>
                    <w:tc>
                      <w:tcPr>
                        <w:tcW w:w="96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1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0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23"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842" w:type="dxa"/>
                        <w:vMerge/>
                        <w:tcBorders>
                          <w:left w:val="single" w:sz="4" w:space="0" w:color="000000"/>
                          <w:right w:val="single" w:sz="4" w:space="0" w:color="000000"/>
                        </w:tcBorders>
                        <w:shd w:val="clear" w:color="auto" w:fill="D4D4D4"/>
                      </w:tcPr>
                      <w:p>
                        <w:pPr/>
                      </w:p>
                    </w:tc>
                    <w:tc>
                      <w:tcPr>
                        <w:tcW w:w="185" w:type="dxa"/>
                        <w:vMerge/>
                        <w:tcBorders>
                          <w:left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5" w:type="dxa"/>
                        <w:vMerge/>
                        <w:tcBorders>
                          <w:left w:val="single" w:sz="4" w:space="0" w:color="000000"/>
                          <w:right w:val="single" w:sz="4" w:space="0" w:color="000000"/>
                        </w:tcBorders>
                        <w:shd w:val="clear" w:color="auto" w:fill="D4D4D4"/>
                      </w:tcPr>
                      <w:p>
                        <w:pPr/>
                      </w:p>
                    </w:tc>
                    <w:tc>
                      <w:tcPr>
                        <w:tcW w:w="96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5" w:type="dxa"/>
                        <w:vMerge/>
                        <w:tcBorders>
                          <w:left w:val="single" w:sz="4" w:space="0" w:color="000000"/>
                          <w:right w:val="single" w:sz="4" w:space="0" w:color="000000"/>
                        </w:tcBorders>
                        <w:shd w:val="clear" w:color="auto" w:fill="D4D4D4"/>
                      </w:tcPr>
                      <w:p>
                        <w:pPr/>
                      </w:p>
                    </w:tc>
                    <w:tc>
                      <w:tcPr>
                        <w:tcW w:w="95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29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9" w:type="dxa"/>
                        <w:vMerge/>
                        <w:tcBorders>
                          <w:left w:val="single" w:sz="4" w:space="0" w:color="000000"/>
                          <w:right w:val="single" w:sz="4" w:space="0" w:color="000000"/>
                        </w:tcBorders>
                        <w:shd w:val="clear" w:color="auto" w:fill="D4D4D4"/>
                      </w:tcPr>
                      <w:p>
                        <w:pPr/>
                      </w:p>
                    </w:tc>
                    <w:tc>
                      <w:tcPr>
                        <w:tcW w:w="960" w:type="dxa"/>
                        <w:vMerge/>
                        <w:tcBorders>
                          <w:left w:val="single" w:sz="4" w:space="0" w:color="000000"/>
                          <w:right w:val="single" w:sz="4" w:space="0" w:color="000000"/>
                        </w:tcBorders>
                        <w:shd w:val="clear" w:color="auto" w:fill="D4D4D4"/>
                      </w:tcPr>
                      <w:p>
                        <w:pPr/>
                      </w:p>
                    </w:tc>
                  </w:tr>
                  <w:tr>
                    <w:trPr>
                      <w:trHeight w:val="149" w:hRule="exact"/>
                    </w:trPr>
                    <w:tc>
                      <w:tcPr>
                        <w:tcW w:w="421" w:type="dxa"/>
                        <w:vMerge/>
                        <w:tcBorders>
                          <w:left w:val="single" w:sz="4" w:space="0" w:color="000000"/>
                          <w:right w:val="single" w:sz="4" w:space="0" w:color="000000"/>
                        </w:tcBorders>
                        <w:shd w:val="clear" w:color="auto" w:fill="D4D4D4"/>
                      </w:tcPr>
                      <w:p>
                        <w:pPr/>
                      </w:p>
                    </w:tc>
                    <w:tc>
                      <w:tcPr>
                        <w:tcW w:w="971" w:type="dxa"/>
                        <w:vMerge/>
                        <w:tcBorders>
                          <w:left w:val="single" w:sz="4" w:space="0" w:color="000000"/>
                          <w:bottom w:val="nil" w:sz="6" w:space="0" w:color="auto"/>
                          <w:right w:val="single" w:sz="4" w:space="0" w:color="000000"/>
                        </w:tcBorders>
                        <w:shd w:val="clear" w:color="auto" w:fill="D4D4D4"/>
                      </w:tcPr>
                      <w:p>
                        <w:pPr/>
                      </w:p>
                    </w:tc>
                    <w:tc>
                      <w:tcPr>
                        <w:tcW w:w="187" w:type="dxa"/>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66"/>
                          <w:ind w:left="23" w:right="-2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185" w:type="dxa"/>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66"/>
                          <w:ind w:left="23" w:right="-2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94" w:type="dxa"/>
                        <w:vMerge w:val="restart"/>
                        <w:tcBorders>
                          <w:top w:val="single" w:sz="4" w:space="0" w:color="000000"/>
                          <w:left w:val="single" w:sz="4" w:space="0" w:color="000000"/>
                          <w:right w:val="nil" w:sz="6" w:space="0" w:color="auto"/>
                        </w:tcBorders>
                        <w:shd w:val="clear" w:color="auto" w:fill="D4D4D4"/>
                      </w:tcPr>
                      <w:p>
                        <w:pPr/>
                      </w:p>
                    </w:tc>
                    <w:tc>
                      <w:tcPr>
                        <w:tcW w:w="91" w:type="dxa"/>
                        <w:vMerge w:val="restart"/>
                        <w:tcBorders>
                          <w:top w:val="single" w:sz="4" w:space="0" w:color="000000"/>
                          <w:left w:val="nil" w:sz="6" w:space="0" w:color="auto"/>
                          <w:right w:val="single" w:sz="4" w:space="0" w:color="000000"/>
                        </w:tcBorders>
                        <w:shd w:val="clear" w:color="auto" w:fill="D4D4D4"/>
                      </w:tcPr>
                      <w:p>
                        <w:pPr/>
                      </w:p>
                    </w:tc>
                    <w:tc>
                      <w:tcPr>
                        <w:tcW w:w="960" w:type="dxa"/>
                        <w:vMerge/>
                        <w:tcBorders>
                          <w:left w:val="single" w:sz="4" w:space="0" w:color="000000"/>
                          <w:bottom w:val="nil" w:sz="6" w:space="0" w:color="auto"/>
                          <w:right w:val="single" w:sz="4" w:space="0" w:color="000000"/>
                        </w:tcBorders>
                        <w:shd w:val="clear" w:color="auto" w:fill="D4D4D4"/>
                      </w:tcPr>
                      <w:p>
                        <w:pPr/>
                      </w:p>
                    </w:tc>
                    <w:tc>
                      <w:tcPr>
                        <w:tcW w:w="905" w:type="dxa"/>
                        <w:vMerge/>
                        <w:tcBorders>
                          <w:left w:val="single" w:sz="4" w:space="0" w:color="000000"/>
                          <w:bottom w:val="nil" w:sz="6" w:space="0" w:color="auto"/>
                          <w:right w:val="single" w:sz="4" w:space="0" w:color="000000"/>
                        </w:tcBorders>
                        <w:shd w:val="clear" w:color="auto" w:fill="D4D4D4"/>
                      </w:tcPr>
                      <w:p>
                        <w:pPr/>
                      </w:p>
                    </w:tc>
                    <w:tc>
                      <w:tcPr>
                        <w:tcW w:w="842" w:type="dxa"/>
                        <w:vMerge/>
                        <w:tcBorders>
                          <w:left w:val="single" w:sz="4" w:space="0" w:color="000000"/>
                          <w:right w:val="single" w:sz="4" w:space="0" w:color="000000"/>
                        </w:tcBorders>
                        <w:shd w:val="clear" w:color="auto" w:fill="D4D4D4"/>
                      </w:tcPr>
                      <w:p>
                        <w:pPr/>
                      </w:p>
                    </w:tc>
                    <w:tc>
                      <w:tcPr>
                        <w:tcW w:w="185" w:type="dxa"/>
                        <w:vMerge/>
                        <w:tcBorders>
                          <w:left w:val="single" w:sz="4" w:space="0" w:color="000000"/>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185" w:type="dxa"/>
                        <w:vMerge/>
                        <w:tcBorders>
                          <w:left w:val="single" w:sz="4" w:space="0" w:color="000000"/>
                          <w:right w:val="single" w:sz="4" w:space="0" w:color="000000"/>
                        </w:tcBorders>
                        <w:shd w:val="clear" w:color="auto" w:fill="D4D4D4"/>
                      </w:tcPr>
                      <w:p>
                        <w:pPr/>
                      </w:p>
                    </w:tc>
                    <w:tc>
                      <w:tcPr>
                        <w:tcW w:w="960" w:type="dxa"/>
                        <w:vMerge/>
                        <w:tcBorders>
                          <w:left w:val="single" w:sz="4" w:space="0" w:color="000000"/>
                          <w:bottom w:val="nil" w:sz="6" w:space="0" w:color="auto"/>
                          <w:right w:val="single" w:sz="4" w:space="0" w:color="000000"/>
                        </w:tcBorders>
                        <w:shd w:val="clear" w:color="auto" w:fill="D4D4D4"/>
                      </w:tcPr>
                      <w:p>
                        <w:pPr/>
                      </w:p>
                    </w:tc>
                    <w:tc>
                      <w:tcPr>
                        <w:tcW w:w="185" w:type="dxa"/>
                        <w:vMerge/>
                        <w:tcBorders>
                          <w:left w:val="single" w:sz="4" w:space="0" w:color="000000"/>
                          <w:right w:val="single" w:sz="4" w:space="0" w:color="000000"/>
                        </w:tcBorders>
                        <w:shd w:val="clear" w:color="auto" w:fill="D4D4D4"/>
                      </w:tcPr>
                      <w:p>
                        <w:pPr/>
                      </w:p>
                    </w:tc>
                    <w:tc>
                      <w:tcPr>
                        <w:tcW w:w="958" w:type="dxa"/>
                        <w:vMerge/>
                        <w:tcBorders>
                          <w:left w:val="single" w:sz="4" w:space="0" w:color="000000"/>
                          <w:bottom w:val="nil" w:sz="6" w:space="0" w:color="auto"/>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960" w:type="dxa"/>
                        <w:vMerge/>
                        <w:tcBorders>
                          <w:left w:val="single" w:sz="4" w:space="0" w:color="000000"/>
                          <w:bottom w:val="nil" w:sz="6" w:space="0" w:color="auto"/>
                          <w:right w:val="single" w:sz="4" w:space="0" w:color="000000"/>
                        </w:tcBorders>
                        <w:shd w:val="clear" w:color="auto" w:fill="D4D4D4"/>
                      </w:tcPr>
                      <w:p>
                        <w:pPr/>
                      </w:p>
                    </w:tc>
                  </w:tr>
                  <w:tr>
                    <w:trPr>
                      <w:trHeight w:val="120" w:hRule="exact"/>
                    </w:trPr>
                    <w:tc>
                      <w:tcPr>
                        <w:tcW w:w="421" w:type="dxa"/>
                        <w:vMerge/>
                        <w:tcBorders>
                          <w:left w:val="single" w:sz="4" w:space="0" w:color="000000"/>
                          <w:right w:val="single" w:sz="4" w:space="0" w:color="000000"/>
                        </w:tcBorders>
                        <w:shd w:val="clear" w:color="auto" w:fill="D4D4D4"/>
                      </w:tcPr>
                      <w:p>
                        <w:pPr/>
                      </w:p>
                    </w:tc>
                    <w:tc>
                      <w:tcPr>
                        <w:tcW w:w="971" w:type="dxa"/>
                        <w:vMerge w:val="restart"/>
                        <w:tcBorders>
                          <w:top w:val="nil" w:sz="6" w:space="0" w:color="auto"/>
                          <w:left w:val="single" w:sz="4" w:space="0" w:color="000000"/>
                          <w:right w:val="single" w:sz="4" w:space="0" w:color="000000"/>
                        </w:tcBorders>
                        <w:shd w:val="clear" w:color="auto" w:fill="D4D4D4"/>
                      </w:tcPr>
                      <w:p>
                        <w:pPr/>
                      </w:p>
                    </w:tc>
                    <w:tc>
                      <w:tcPr>
                        <w:tcW w:w="187" w:type="dxa"/>
                        <w:vMerge/>
                        <w:tcBorders>
                          <w:left w:val="single" w:sz="4" w:space="0" w:color="000000"/>
                          <w:right w:val="single" w:sz="4" w:space="0" w:color="000000"/>
                        </w:tcBorders>
                        <w:shd w:val="clear" w:color="auto" w:fill="D4D4D4"/>
                      </w:tcPr>
                      <w:p>
                        <w:pPr/>
                      </w:p>
                    </w:tc>
                    <w:tc>
                      <w:tcPr>
                        <w:tcW w:w="185" w:type="dxa"/>
                        <w:vMerge/>
                        <w:tcBorders>
                          <w:left w:val="single" w:sz="4" w:space="0" w:color="000000"/>
                          <w:right w:val="single" w:sz="4" w:space="0" w:color="000000"/>
                        </w:tcBorders>
                        <w:shd w:val="clear" w:color="auto" w:fill="D4D4D4"/>
                      </w:tcPr>
                      <w:p>
                        <w:pPr/>
                      </w:p>
                    </w:tc>
                    <w:tc>
                      <w:tcPr>
                        <w:tcW w:w="94" w:type="dxa"/>
                        <w:vMerge/>
                        <w:tcBorders>
                          <w:left w:val="single" w:sz="4" w:space="0" w:color="000000"/>
                          <w:right w:val="nil" w:sz="6" w:space="0" w:color="auto"/>
                        </w:tcBorders>
                        <w:shd w:val="clear" w:color="auto" w:fill="D4D4D4"/>
                      </w:tcPr>
                      <w:p>
                        <w:pPr/>
                      </w:p>
                    </w:tc>
                    <w:tc>
                      <w:tcPr>
                        <w:tcW w:w="91" w:type="dxa"/>
                        <w:vMerge/>
                        <w:tcBorders>
                          <w:left w:val="nil" w:sz="6" w:space="0" w:color="auto"/>
                          <w:right w:val="single" w:sz="4" w:space="0" w:color="000000"/>
                        </w:tcBorders>
                        <w:shd w:val="clear" w:color="auto" w:fill="D4D4D4"/>
                      </w:tcPr>
                      <w:p>
                        <w:pPr/>
                      </w:p>
                    </w:tc>
                    <w:tc>
                      <w:tcPr>
                        <w:tcW w:w="960" w:type="dxa"/>
                        <w:vMerge w:val="restart"/>
                        <w:tcBorders>
                          <w:top w:val="nil" w:sz="6" w:space="0" w:color="auto"/>
                          <w:left w:val="single" w:sz="4" w:space="0" w:color="000000"/>
                          <w:right w:val="single" w:sz="4" w:space="0" w:color="000000"/>
                        </w:tcBorders>
                        <w:shd w:val="clear" w:color="auto" w:fill="D4D4D4"/>
                      </w:tcPr>
                      <w:p>
                        <w:pPr/>
                      </w:p>
                    </w:tc>
                    <w:tc>
                      <w:tcPr>
                        <w:tcW w:w="905" w:type="dxa"/>
                        <w:vMerge w:val="restart"/>
                        <w:tcBorders>
                          <w:top w:val="nil" w:sz="6" w:space="0" w:color="auto"/>
                          <w:left w:val="single" w:sz="4" w:space="0" w:color="000000"/>
                          <w:right w:val="single" w:sz="4" w:space="0" w:color="000000"/>
                        </w:tcBorders>
                        <w:shd w:val="clear" w:color="auto" w:fill="D4D4D4"/>
                      </w:tcPr>
                      <w:p>
                        <w:pPr/>
                      </w:p>
                    </w:tc>
                    <w:tc>
                      <w:tcPr>
                        <w:tcW w:w="842" w:type="dxa"/>
                        <w:vMerge/>
                        <w:tcBorders>
                          <w:left w:val="single" w:sz="4" w:space="0" w:color="000000"/>
                          <w:bottom w:val="nil" w:sz="6" w:space="0" w:color="auto"/>
                          <w:right w:val="single" w:sz="4" w:space="0" w:color="000000"/>
                        </w:tcBorders>
                        <w:shd w:val="clear" w:color="auto" w:fill="D4D4D4"/>
                      </w:tcPr>
                      <w:p>
                        <w:pPr/>
                      </w:p>
                    </w:tc>
                    <w:tc>
                      <w:tcPr>
                        <w:tcW w:w="185" w:type="dxa"/>
                        <w:vMerge/>
                        <w:tcBorders>
                          <w:left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
                    </w:tc>
                    <w:tc>
                      <w:tcPr>
                        <w:tcW w:w="185" w:type="dxa"/>
                        <w:vMerge/>
                        <w:tcBorders>
                          <w:left w:val="single" w:sz="4" w:space="0" w:color="000000"/>
                          <w:right w:val="single" w:sz="4" w:space="0" w:color="000000"/>
                        </w:tcBorders>
                        <w:shd w:val="clear" w:color="auto" w:fill="D4D4D4"/>
                      </w:tcPr>
                      <w:p>
                        <w:pPr/>
                      </w:p>
                    </w:tc>
                    <w:tc>
                      <w:tcPr>
                        <w:tcW w:w="960" w:type="dxa"/>
                        <w:vMerge w:val="restart"/>
                        <w:tcBorders>
                          <w:top w:val="nil" w:sz="6" w:space="0" w:color="auto"/>
                          <w:left w:val="single" w:sz="4" w:space="0" w:color="000000"/>
                          <w:right w:val="single" w:sz="4" w:space="0" w:color="000000"/>
                        </w:tcBorders>
                        <w:shd w:val="clear" w:color="auto" w:fill="D4D4D4"/>
                      </w:tcPr>
                      <w:p>
                        <w:pPr/>
                      </w:p>
                    </w:tc>
                    <w:tc>
                      <w:tcPr>
                        <w:tcW w:w="185" w:type="dxa"/>
                        <w:vMerge/>
                        <w:tcBorders>
                          <w:left w:val="single" w:sz="4" w:space="0" w:color="000000"/>
                          <w:right w:val="single" w:sz="4" w:space="0" w:color="000000"/>
                        </w:tcBorders>
                        <w:shd w:val="clear" w:color="auto" w:fill="D4D4D4"/>
                      </w:tcPr>
                      <w:p>
                        <w:pPr/>
                      </w:p>
                    </w:tc>
                    <w:tc>
                      <w:tcPr>
                        <w:tcW w:w="958" w:type="dxa"/>
                        <w:vMerge w:val="restart"/>
                        <w:tcBorders>
                          <w:top w:val="nil" w:sz="6" w:space="0" w:color="auto"/>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
                    </w:tc>
                    <w:tc>
                      <w:tcPr>
                        <w:tcW w:w="960" w:type="dxa"/>
                        <w:vMerge w:val="restart"/>
                        <w:tcBorders>
                          <w:top w:val="nil" w:sz="6" w:space="0" w:color="auto"/>
                          <w:left w:val="single" w:sz="4" w:space="0" w:color="000000"/>
                          <w:right w:val="single" w:sz="4" w:space="0" w:color="000000"/>
                        </w:tcBorders>
                        <w:shd w:val="clear" w:color="auto" w:fill="D4D4D4"/>
                      </w:tcPr>
                      <w:p>
                        <w:pPr/>
                      </w:p>
                    </w:tc>
                  </w:tr>
                  <w:tr>
                    <w:trPr>
                      <w:trHeight w:val="233" w:hRule="exact"/>
                    </w:trPr>
                    <w:tc>
                      <w:tcPr>
                        <w:tcW w:w="421" w:type="dxa"/>
                        <w:vMerge/>
                        <w:tcBorders>
                          <w:left w:val="single" w:sz="4" w:space="0" w:color="000000"/>
                          <w:right w:val="single" w:sz="4" w:space="0" w:color="000000"/>
                        </w:tcBorders>
                        <w:shd w:val="clear" w:color="auto" w:fill="D4D4D4"/>
                      </w:tcPr>
                      <w:p>
                        <w:pPr/>
                      </w:p>
                    </w:tc>
                    <w:tc>
                      <w:tcPr>
                        <w:tcW w:w="971" w:type="dxa"/>
                        <w:vMerge/>
                        <w:tcBorders>
                          <w:left w:val="single" w:sz="4" w:space="0" w:color="000000"/>
                          <w:right w:val="single" w:sz="4" w:space="0" w:color="000000"/>
                        </w:tcBorders>
                        <w:shd w:val="clear" w:color="auto" w:fill="D4D4D4"/>
                      </w:tcPr>
                      <w:p>
                        <w:pPr/>
                      </w:p>
                    </w:tc>
                    <w:tc>
                      <w:tcPr>
                        <w:tcW w:w="187" w:type="dxa"/>
                        <w:vMerge/>
                        <w:tcBorders>
                          <w:left w:val="single" w:sz="4" w:space="0" w:color="000000"/>
                          <w:right w:val="single" w:sz="4" w:space="0" w:color="000000"/>
                        </w:tcBorders>
                        <w:shd w:val="clear" w:color="auto" w:fill="D4D4D4"/>
                      </w:tcPr>
                      <w:p>
                        <w:pPr/>
                      </w:p>
                    </w:tc>
                    <w:tc>
                      <w:tcPr>
                        <w:tcW w:w="185" w:type="dxa"/>
                        <w:vMerge/>
                        <w:tcBorders>
                          <w:left w:val="single" w:sz="4" w:space="0" w:color="000000"/>
                          <w:right w:val="single" w:sz="4" w:space="0" w:color="000000"/>
                        </w:tcBorders>
                        <w:shd w:val="clear" w:color="auto" w:fill="D4D4D4"/>
                      </w:tcPr>
                      <w:p>
                        <w:pPr/>
                      </w:p>
                    </w:tc>
                    <w:tc>
                      <w:tcPr>
                        <w:tcW w:w="94" w:type="dxa"/>
                        <w:vMerge/>
                        <w:tcBorders>
                          <w:left w:val="single" w:sz="4" w:space="0" w:color="000000"/>
                          <w:right w:val="nil" w:sz="6" w:space="0" w:color="auto"/>
                        </w:tcBorders>
                        <w:shd w:val="clear" w:color="auto" w:fill="D4D4D4"/>
                      </w:tcPr>
                      <w:p>
                        <w:pPr/>
                      </w:p>
                    </w:tc>
                    <w:tc>
                      <w:tcPr>
                        <w:tcW w:w="91" w:type="dxa"/>
                        <w:vMerge/>
                        <w:tcBorders>
                          <w:left w:val="nil" w:sz="6" w:space="0" w:color="auto"/>
                          <w:right w:val="single" w:sz="4" w:space="0" w:color="000000"/>
                        </w:tcBorders>
                        <w:shd w:val="clear" w:color="auto" w:fill="D4D4D4"/>
                      </w:tcPr>
                      <w:p>
                        <w:pPr/>
                      </w:p>
                    </w:tc>
                    <w:tc>
                      <w:tcPr>
                        <w:tcW w:w="960" w:type="dxa"/>
                        <w:vMerge/>
                        <w:tcBorders>
                          <w:left w:val="single" w:sz="4" w:space="0" w:color="000000"/>
                          <w:right w:val="single" w:sz="4" w:space="0" w:color="000000"/>
                        </w:tcBorders>
                        <w:shd w:val="clear" w:color="auto" w:fill="D4D4D4"/>
                      </w:tcPr>
                      <w:p>
                        <w:pPr/>
                      </w:p>
                    </w:tc>
                    <w:tc>
                      <w:tcPr>
                        <w:tcW w:w="905" w:type="dxa"/>
                        <w:vMerge/>
                        <w:tcBorders>
                          <w:left w:val="single" w:sz="4" w:space="0" w:color="000000"/>
                          <w:right w:val="single" w:sz="4" w:space="0" w:color="000000"/>
                        </w:tcBorders>
                        <w:shd w:val="clear" w:color="auto" w:fill="D4D4D4"/>
                      </w:tcPr>
                      <w:p>
                        <w:pPr/>
                      </w:p>
                    </w:tc>
                    <w:tc>
                      <w:tcPr>
                        <w:tcW w:w="842" w:type="dxa"/>
                        <w:vMerge w:val="restart"/>
                        <w:tcBorders>
                          <w:top w:val="nil" w:sz="6" w:space="0" w:color="auto"/>
                          <w:left w:val="single" w:sz="4" w:space="0" w:color="000000"/>
                          <w:right w:val="single" w:sz="4" w:space="0" w:color="000000"/>
                        </w:tcBorders>
                        <w:shd w:val="clear" w:color="auto" w:fill="D4D4D4"/>
                      </w:tcPr>
                      <w:p>
                        <w:pPr/>
                      </w:p>
                    </w:tc>
                    <w:tc>
                      <w:tcPr>
                        <w:tcW w:w="185"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185" w:type="dxa"/>
                        <w:vMerge/>
                        <w:tcBorders>
                          <w:left w:val="single" w:sz="4" w:space="0" w:color="000000"/>
                          <w:right w:val="single" w:sz="4" w:space="0" w:color="000000"/>
                        </w:tcBorders>
                        <w:shd w:val="clear" w:color="auto" w:fill="D4D4D4"/>
                      </w:tcPr>
                      <w:p>
                        <w:pPr/>
                      </w:p>
                    </w:tc>
                    <w:tc>
                      <w:tcPr>
                        <w:tcW w:w="960" w:type="dxa"/>
                        <w:vMerge/>
                        <w:tcBorders>
                          <w:left w:val="single" w:sz="4" w:space="0" w:color="000000"/>
                          <w:right w:val="single" w:sz="4" w:space="0" w:color="000000"/>
                        </w:tcBorders>
                        <w:shd w:val="clear" w:color="auto" w:fill="D4D4D4"/>
                      </w:tcPr>
                      <w:p>
                        <w:pPr/>
                      </w:p>
                    </w:tc>
                    <w:tc>
                      <w:tcPr>
                        <w:tcW w:w="185" w:type="dxa"/>
                        <w:vMerge/>
                        <w:tcBorders>
                          <w:left w:val="single" w:sz="4" w:space="0" w:color="000000"/>
                          <w:right w:val="single" w:sz="4" w:space="0" w:color="000000"/>
                        </w:tcBorders>
                        <w:shd w:val="clear" w:color="auto" w:fill="D4D4D4"/>
                      </w:tcPr>
                      <w:p>
                        <w:pPr/>
                      </w:p>
                    </w:tc>
                    <w:tc>
                      <w:tcPr>
                        <w:tcW w:w="958" w:type="dxa"/>
                        <w:vMerge/>
                        <w:tcBorders>
                          <w:left w:val="single" w:sz="4" w:space="0" w:color="000000"/>
                          <w:right w:val="single" w:sz="4" w:space="0" w:color="000000"/>
                        </w:tcBorders>
                        <w:shd w:val="clear" w:color="auto" w:fill="D4D4D4"/>
                      </w:tcPr>
                      <w:p>
                        <w:pPr/>
                      </w:p>
                    </w:tc>
                    <w:tc>
                      <w:tcPr>
                        <w:tcW w:w="799" w:type="dxa"/>
                        <w:vMerge/>
                        <w:tcBorders>
                          <w:left w:val="single" w:sz="4" w:space="0" w:color="000000"/>
                          <w:right w:val="single" w:sz="4" w:space="0" w:color="000000"/>
                        </w:tcBorders>
                        <w:shd w:val="clear" w:color="auto" w:fill="D4D4D4"/>
                      </w:tcPr>
                      <w:p>
                        <w:pPr/>
                      </w:p>
                    </w:tc>
                    <w:tc>
                      <w:tcPr>
                        <w:tcW w:w="960" w:type="dxa"/>
                        <w:vMerge/>
                        <w:tcBorders>
                          <w:left w:val="single" w:sz="4" w:space="0" w:color="000000"/>
                          <w:right w:val="single" w:sz="4" w:space="0" w:color="000000"/>
                        </w:tcBorders>
                        <w:shd w:val="clear" w:color="auto" w:fill="D4D4D4"/>
                      </w:tcPr>
                      <w:p>
                        <w:pPr/>
                      </w:p>
                    </w:tc>
                  </w:tr>
                  <w:tr>
                    <w:trPr>
                      <w:trHeight w:val="275" w:hRule="exact"/>
                    </w:trPr>
                    <w:tc>
                      <w:tcPr>
                        <w:tcW w:w="421" w:type="dxa"/>
                        <w:vMerge/>
                        <w:tcBorders>
                          <w:left w:val="single" w:sz="4" w:space="0" w:color="000000"/>
                          <w:bottom w:val="single" w:sz="4" w:space="0" w:color="000000"/>
                          <w:right w:val="single" w:sz="4" w:space="0" w:color="000000"/>
                        </w:tcBorders>
                        <w:shd w:val="clear" w:color="auto" w:fill="D4D4D4"/>
                      </w:tcPr>
                      <w:p>
                        <w:pPr/>
                      </w:p>
                    </w:tc>
                    <w:tc>
                      <w:tcPr>
                        <w:tcW w:w="971" w:type="dxa"/>
                        <w:vMerge/>
                        <w:tcBorders>
                          <w:left w:val="single" w:sz="4" w:space="0" w:color="000000"/>
                          <w:bottom w:val="single" w:sz="4" w:space="0" w:color="000000"/>
                          <w:right w:val="single" w:sz="4" w:space="0" w:color="000000"/>
                        </w:tcBorders>
                        <w:shd w:val="clear" w:color="auto" w:fill="D4D4D4"/>
                      </w:tcPr>
                      <w:p>
                        <w:pPr/>
                      </w:p>
                    </w:tc>
                    <w:tc>
                      <w:tcPr>
                        <w:tcW w:w="187" w:type="dxa"/>
                        <w:vMerge/>
                        <w:tcBorders>
                          <w:left w:val="single" w:sz="4" w:space="0" w:color="000000"/>
                          <w:bottom w:val="single" w:sz="4" w:space="0" w:color="000000"/>
                          <w:right w:val="single" w:sz="4" w:space="0" w:color="000000"/>
                        </w:tcBorders>
                        <w:shd w:val="clear" w:color="auto" w:fill="D4D4D4"/>
                      </w:tcPr>
                      <w:p>
                        <w:pPr/>
                      </w:p>
                    </w:tc>
                    <w:tc>
                      <w:tcPr>
                        <w:tcW w:w="185" w:type="dxa"/>
                        <w:vMerge/>
                        <w:tcBorders>
                          <w:left w:val="single" w:sz="4" w:space="0" w:color="000000"/>
                          <w:bottom w:val="single" w:sz="4" w:space="0" w:color="000000"/>
                          <w:right w:val="single" w:sz="4" w:space="0" w:color="000000"/>
                        </w:tcBorders>
                        <w:shd w:val="clear" w:color="auto" w:fill="D4D4D4"/>
                      </w:tcPr>
                      <w:p>
                        <w:pPr/>
                      </w:p>
                    </w:tc>
                    <w:tc>
                      <w:tcPr>
                        <w:tcW w:w="94" w:type="dxa"/>
                        <w:vMerge/>
                        <w:tcBorders>
                          <w:left w:val="single" w:sz="4" w:space="0" w:color="000000"/>
                          <w:bottom w:val="single" w:sz="4" w:space="0" w:color="000000"/>
                          <w:right w:val="nil" w:sz="6" w:space="0" w:color="auto"/>
                        </w:tcBorders>
                        <w:shd w:val="clear" w:color="auto" w:fill="D4D4D4"/>
                      </w:tcPr>
                      <w:p>
                        <w:pPr/>
                      </w:p>
                    </w:tc>
                    <w:tc>
                      <w:tcPr>
                        <w:tcW w:w="91" w:type="dxa"/>
                        <w:vMerge/>
                        <w:tcBorders>
                          <w:left w:val="nil" w:sz="6" w:space="0" w:color="auto"/>
                          <w:bottom w:val="single" w:sz="4" w:space="0" w:color="000000"/>
                          <w:right w:val="single" w:sz="4" w:space="0" w:color="000000"/>
                        </w:tcBorders>
                        <w:shd w:val="clear" w:color="auto" w:fill="D4D4D4"/>
                      </w:tcPr>
                      <w:p>
                        <w:pPr/>
                      </w:p>
                    </w:tc>
                    <w:tc>
                      <w:tcPr>
                        <w:tcW w:w="960" w:type="dxa"/>
                        <w:vMerge/>
                        <w:tcBorders>
                          <w:left w:val="single" w:sz="4" w:space="0" w:color="000000"/>
                          <w:bottom w:val="single" w:sz="4" w:space="0" w:color="000000"/>
                          <w:right w:val="single" w:sz="4" w:space="0" w:color="000000"/>
                        </w:tcBorders>
                        <w:shd w:val="clear" w:color="auto" w:fill="D4D4D4"/>
                      </w:tcPr>
                      <w:p>
                        <w:pPr/>
                      </w:p>
                    </w:tc>
                    <w:tc>
                      <w:tcPr>
                        <w:tcW w:w="905" w:type="dxa"/>
                        <w:vMerge/>
                        <w:tcBorders>
                          <w:left w:val="single" w:sz="4" w:space="0" w:color="000000"/>
                          <w:bottom w:val="single" w:sz="4" w:space="0" w:color="000000"/>
                          <w:right w:val="single" w:sz="4" w:space="0" w:color="000000"/>
                        </w:tcBorders>
                        <w:shd w:val="clear" w:color="auto" w:fill="D4D4D4"/>
                      </w:tcPr>
                      <w:p>
                        <w:pPr/>
                      </w:p>
                    </w:tc>
                    <w:tc>
                      <w:tcPr>
                        <w:tcW w:w="842" w:type="dxa"/>
                        <w:vMerge/>
                        <w:tcBorders>
                          <w:left w:val="single" w:sz="4" w:space="0" w:color="000000"/>
                          <w:bottom w:val="single" w:sz="4" w:space="0" w:color="000000"/>
                          <w:right w:val="single" w:sz="4" w:space="0" w:color="000000"/>
                        </w:tcBorders>
                        <w:shd w:val="clear" w:color="auto" w:fill="D4D4D4"/>
                      </w:tcPr>
                      <w:p>
                        <w:pPr/>
                      </w:p>
                    </w:tc>
                    <w:tc>
                      <w:tcPr>
                        <w:tcW w:w="185"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185" w:type="dxa"/>
                        <w:vMerge/>
                        <w:tcBorders>
                          <w:left w:val="single" w:sz="4" w:space="0" w:color="000000"/>
                          <w:bottom w:val="single" w:sz="4" w:space="0" w:color="000000"/>
                          <w:right w:val="single" w:sz="4" w:space="0" w:color="000000"/>
                        </w:tcBorders>
                        <w:shd w:val="clear" w:color="auto" w:fill="D4D4D4"/>
                      </w:tcPr>
                      <w:p>
                        <w:pPr/>
                      </w:p>
                    </w:tc>
                    <w:tc>
                      <w:tcPr>
                        <w:tcW w:w="960" w:type="dxa"/>
                        <w:vMerge/>
                        <w:tcBorders>
                          <w:left w:val="single" w:sz="4" w:space="0" w:color="000000"/>
                          <w:bottom w:val="single" w:sz="4" w:space="0" w:color="000000"/>
                          <w:right w:val="single" w:sz="4" w:space="0" w:color="000000"/>
                        </w:tcBorders>
                        <w:shd w:val="clear" w:color="auto" w:fill="D4D4D4"/>
                      </w:tcPr>
                      <w:p>
                        <w:pPr/>
                      </w:p>
                    </w:tc>
                    <w:tc>
                      <w:tcPr>
                        <w:tcW w:w="185" w:type="dxa"/>
                        <w:vMerge/>
                        <w:tcBorders>
                          <w:left w:val="single" w:sz="4" w:space="0" w:color="000000"/>
                          <w:bottom w:val="single" w:sz="4" w:space="0" w:color="000000"/>
                          <w:right w:val="single" w:sz="4" w:space="0" w:color="000000"/>
                        </w:tcBorders>
                        <w:shd w:val="clear" w:color="auto" w:fill="D4D4D4"/>
                      </w:tcPr>
                      <w:p>
                        <w:pPr/>
                      </w:p>
                    </w:tc>
                    <w:tc>
                      <w:tcPr>
                        <w:tcW w:w="958" w:type="dxa"/>
                        <w:vMerge/>
                        <w:tcBorders>
                          <w:left w:val="single" w:sz="4" w:space="0" w:color="000000"/>
                          <w:bottom w:val="single" w:sz="4" w:space="0" w:color="000000"/>
                          <w:right w:val="single" w:sz="4" w:space="0" w:color="000000"/>
                        </w:tcBorders>
                        <w:shd w:val="clear" w:color="auto" w:fill="D4D4D4"/>
                      </w:tcPr>
                      <w:p>
                        <w:pPr/>
                      </w:p>
                    </w:tc>
                    <w:tc>
                      <w:tcPr>
                        <w:tcW w:w="799" w:type="dxa"/>
                        <w:vMerge/>
                        <w:tcBorders>
                          <w:left w:val="single" w:sz="4" w:space="0" w:color="000000"/>
                          <w:bottom w:val="single" w:sz="4" w:space="0" w:color="000000"/>
                          <w:right w:val="single" w:sz="4" w:space="0" w:color="000000"/>
                        </w:tcBorders>
                        <w:shd w:val="clear" w:color="auto" w:fill="D4D4D4"/>
                      </w:tcPr>
                      <w:p>
                        <w:pPr/>
                      </w:p>
                    </w:tc>
                    <w:tc>
                      <w:tcPr>
                        <w:tcW w:w="960" w:type="dxa"/>
                        <w:vMerge/>
                        <w:tcBorders>
                          <w:left w:val="single" w:sz="4" w:space="0" w:color="000000"/>
                          <w:bottom w:val="single" w:sz="4" w:space="0" w:color="000000"/>
                          <w:right w:val="single" w:sz="4" w:space="0" w:color="000000"/>
                        </w:tcBorders>
                        <w:shd w:val="clear" w:color="auto" w:fill="D4D4D4"/>
                      </w:tcPr>
                      <w:p>
                        <w:pPr/>
                      </w:p>
                    </w:tc>
                  </w:tr>
                  <w:tr>
                    <w:trPr>
                      <w:trHeight w:val="1129" w:hRule="exact"/>
                    </w:trPr>
                    <w:tc>
                      <w:tcPr>
                        <w:tcW w:w="4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108"/>
                          <w:ind w:left="26" w:right="23"/>
                          <w:jc w:val="both"/>
                          <w:rPr>
                            <w:rFonts w:ascii="宋体" w:hAnsi="宋体" w:cs="宋体" w:eastAsia="宋体" w:hint="default"/>
                            <w:sz w:val="18"/>
                            <w:szCs w:val="18"/>
                          </w:rPr>
                        </w:pPr>
                        <w:r>
                          <w:rPr>
                            <w:rFonts w:ascii="宋体" w:hAnsi="宋体" w:cs="宋体" w:eastAsia="宋体" w:hint="default"/>
                            <w:sz w:val="18"/>
                            <w:szCs w:val="18"/>
                          </w:rPr>
                          <w:t>一、 上年 期末 余额</w:t>
                        </w:r>
                      </w:p>
                    </w:tc>
                    <w:tc>
                      <w:tcPr>
                        <w:tcW w:w="97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33"/>
                          <w:ind w:left="85" w:right="0"/>
                          <w:jc w:val="left"/>
                          <w:rPr>
                            <w:rFonts w:ascii="Times New Roman" w:hAnsi="Times New Roman" w:cs="Times New Roman" w:eastAsia="Times New Roman" w:hint="default"/>
                            <w:sz w:val="18"/>
                            <w:szCs w:val="18"/>
                          </w:rPr>
                        </w:pPr>
                        <w:r>
                          <w:rPr>
                            <w:rFonts w:ascii="Times New Roman"/>
                            <w:sz w:val="18"/>
                          </w:rPr>
                          <w:t>1,748,662,1</w:t>
                        </w:r>
                      </w:p>
                      <w:p>
                        <w:pPr>
                          <w:pStyle w:val="TableParagraph"/>
                          <w:spacing w:line="207" w:lineRule="exact"/>
                          <w:ind w:left="526" w:right="0"/>
                          <w:jc w:val="left"/>
                          <w:rPr>
                            <w:rFonts w:ascii="Times New Roman" w:hAnsi="Times New Roman" w:cs="Times New Roman" w:eastAsia="Times New Roman" w:hint="default"/>
                            <w:sz w:val="18"/>
                            <w:szCs w:val="18"/>
                          </w:rPr>
                        </w:pPr>
                        <w:r>
                          <w:rPr>
                            <w:rFonts w:ascii="Times New Roman"/>
                            <w:sz w:val="18"/>
                          </w:rPr>
                          <w:t>13.00</w:t>
                        </w: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gridSpan w:val="2"/>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33"/>
                          <w:ind w:left="71" w:right="0"/>
                          <w:jc w:val="left"/>
                          <w:rPr>
                            <w:rFonts w:ascii="Times New Roman" w:hAnsi="Times New Roman" w:cs="Times New Roman" w:eastAsia="Times New Roman" w:hint="default"/>
                            <w:sz w:val="18"/>
                            <w:szCs w:val="18"/>
                          </w:rPr>
                        </w:pPr>
                        <w:r>
                          <w:rPr>
                            <w:rFonts w:ascii="Times New Roman"/>
                            <w:sz w:val="18"/>
                          </w:rPr>
                          <w:t>2,435,569,0</w:t>
                        </w:r>
                      </w:p>
                      <w:p>
                        <w:pPr>
                          <w:pStyle w:val="TableParagraph"/>
                          <w:spacing w:line="207" w:lineRule="exact"/>
                          <w:ind w:left="520" w:right="0"/>
                          <w:jc w:val="left"/>
                          <w:rPr>
                            <w:rFonts w:ascii="Times New Roman" w:hAnsi="Times New Roman" w:cs="Times New Roman" w:eastAsia="Times New Roman" w:hint="default"/>
                            <w:sz w:val="18"/>
                            <w:szCs w:val="18"/>
                          </w:rPr>
                        </w:pPr>
                        <w:r>
                          <w:rPr>
                            <w:rFonts w:ascii="Times New Roman"/>
                            <w:sz w:val="18"/>
                          </w:rPr>
                          <w:t>70.77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33"/>
                          <w:ind w:left="62" w:right="0"/>
                          <w:jc w:val="left"/>
                          <w:rPr>
                            <w:rFonts w:ascii="Times New Roman" w:hAnsi="Times New Roman" w:cs="Times New Roman" w:eastAsia="Times New Roman" w:hint="default"/>
                            <w:sz w:val="18"/>
                            <w:szCs w:val="18"/>
                          </w:rPr>
                        </w:pPr>
                        <w:r>
                          <w:rPr>
                            <w:rFonts w:ascii="Times New Roman"/>
                            <w:sz w:val="18"/>
                          </w:rPr>
                          <w:t>194,948,40</w:t>
                        </w:r>
                      </w:p>
                      <w:p>
                        <w:pPr>
                          <w:pStyle w:val="TableParagraph"/>
                          <w:spacing w:line="207" w:lineRule="exact"/>
                          <w:ind w:left="559" w:right="0"/>
                          <w:jc w:val="left"/>
                          <w:rPr>
                            <w:rFonts w:ascii="Times New Roman" w:hAnsi="Times New Roman" w:cs="Times New Roman" w:eastAsia="Times New Roman" w:hint="default"/>
                            <w:sz w:val="18"/>
                            <w:szCs w:val="18"/>
                          </w:rPr>
                        </w:pPr>
                        <w:r>
                          <w:rPr>
                            <w:rFonts w:ascii="Times New Roman"/>
                            <w:sz w:val="18"/>
                          </w:rPr>
                          <w:t>0.37</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33"/>
                          <w:ind w:right="18"/>
                          <w:jc w:val="right"/>
                          <w:rPr>
                            <w:rFonts w:ascii="Times New Roman" w:hAnsi="Times New Roman" w:cs="Times New Roman" w:eastAsia="Times New Roman" w:hint="default"/>
                            <w:sz w:val="18"/>
                            <w:szCs w:val="18"/>
                          </w:rPr>
                        </w:pPr>
                        <w:r>
                          <w:rPr>
                            <w:rFonts w:ascii="Times New Roman"/>
                            <w:sz w:val="18"/>
                          </w:rPr>
                          <w:t>2,964,265.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04</w:t>
                        </w: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33"/>
                          <w:ind w:left="45" w:right="0"/>
                          <w:jc w:val="left"/>
                          <w:rPr>
                            <w:rFonts w:ascii="Times New Roman" w:hAnsi="Times New Roman" w:cs="Times New Roman" w:eastAsia="Times New Roman" w:hint="default"/>
                            <w:sz w:val="18"/>
                            <w:szCs w:val="18"/>
                          </w:rPr>
                        </w:pPr>
                        <w:r>
                          <w:rPr>
                            <w:rFonts w:ascii="Times New Roman"/>
                            <w:sz w:val="18"/>
                          </w:rPr>
                          <w:t>50,173,50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7.71</w:t>
                        </w:r>
                      </w:p>
                    </w:tc>
                    <w:tc>
                      <w:tcPr>
                        <w:tcW w:w="185" w:type="dxa"/>
                        <w:tcBorders>
                          <w:top w:val="single" w:sz="32" w:space="0" w:color="D4D4D4"/>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33"/>
                          <w:ind w:right="20"/>
                          <w:jc w:val="right"/>
                          <w:rPr>
                            <w:rFonts w:ascii="Times New Roman" w:hAnsi="Times New Roman" w:cs="Times New Roman" w:eastAsia="Times New Roman" w:hint="default"/>
                            <w:sz w:val="18"/>
                            <w:szCs w:val="18"/>
                          </w:rPr>
                        </w:pPr>
                        <w:r>
                          <w:rPr>
                            <w:rFonts w:ascii="Times New Roman"/>
                            <w:spacing w:val="-1"/>
                            <w:sz w:val="18"/>
                          </w:rPr>
                          <w:t>845,609,192</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.48</w:t>
                        </w: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33"/>
                          <w:ind w:left="71" w:right="0"/>
                          <w:jc w:val="left"/>
                          <w:rPr>
                            <w:rFonts w:ascii="Times New Roman" w:hAnsi="Times New Roman" w:cs="Times New Roman" w:eastAsia="Times New Roman" w:hint="default"/>
                            <w:sz w:val="18"/>
                            <w:szCs w:val="18"/>
                          </w:rPr>
                        </w:pPr>
                        <w:r>
                          <w:rPr>
                            <w:rFonts w:ascii="Times New Roman"/>
                            <w:sz w:val="18"/>
                          </w:rPr>
                          <w:t>4,888,029,7</w:t>
                        </w:r>
                      </w:p>
                      <w:p>
                        <w:pPr>
                          <w:pStyle w:val="TableParagraph"/>
                          <w:spacing w:line="207" w:lineRule="exact"/>
                          <w:ind w:left="520" w:right="0"/>
                          <w:jc w:val="left"/>
                          <w:rPr>
                            <w:rFonts w:ascii="Times New Roman" w:hAnsi="Times New Roman" w:cs="Times New Roman" w:eastAsia="Times New Roman" w:hint="default"/>
                            <w:sz w:val="18"/>
                            <w:szCs w:val="18"/>
                          </w:rPr>
                        </w:pPr>
                        <w:r>
                          <w:rPr>
                            <w:rFonts w:ascii="Times New Roman"/>
                            <w:sz w:val="18"/>
                          </w:rPr>
                          <w:t>48.63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33"/>
                          <w:ind w:left="47" w:right="0"/>
                          <w:jc w:val="left"/>
                          <w:rPr>
                            <w:rFonts w:ascii="Times New Roman" w:hAnsi="Times New Roman" w:cs="Times New Roman" w:eastAsia="Times New Roman" w:hint="default"/>
                            <w:sz w:val="18"/>
                            <w:szCs w:val="18"/>
                          </w:rPr>
                        </w:pPr>
                        <w:r>
                          <w:rPr>
                            <w:rFonts w:ascii="Times New Roman"/>
                            <w:sz w:val="18"/>
                          </w:rPr>
                          <w:t>68,699,95</w:t>
                        </w:r>
                      </w:p>
                      <w:p>
                        <w:pPr>
                          <w:pStyle w:val="TableParagraph"/>
                          <w:spacing w:line="207" w:lineRule="exact"/>
                          <w:ind w:left="453" w:right="0"/>
                          <w:jc w:val="left"/>
                          <w:rPr>
                            <w:rFonts w:ascii="Times New Roman" w:hAnsi="Times New Roman" w:cs="Times New Roman" w:eastAsia="Times New Roman" w:hint="default"/>
                            <w:sz w:val="18"/>
                            <w:szCs w:val="18"/>
                          </w:rPr>
                        </w:pPr>
                        <w:r>
                          <w:rPr>
                            <w:rFonts w:ascii="Times New Roman"/>
                            <w:sz w:val="18"/>
                          </w:rPr>
                          <w:t>2.22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33"/>
                          <w:ind w:left="71" w:right="0"/>
                          <w:jc w:val="left"/>
                          <w:rPr>
                            <w:rFonts w:ascii="Times New Roman" w:hAnsi="Times New Roman" w:cs="Times New Roman" w:eastAsia="Times New Roman" w:hint="default"/>
                            <w:sz w:val="18"/>
                            <w:szCs w:val="18"/>
                          </w:rPr>
                        </w:pPr>
                        <w:r>
                          <w:rPr>
                            <w:rFonts w:ascii="Times New Roman"/>
                            <w:sz w:val="18"/>
                          </w:rPr>
                          <w:t>4,956,729,7</w:t>
                        </w:r>
                      </w:p>
                      <w:p>
                        <w:pPr>
                          <w:pStyle w:val="TableParagraph"/>
                          <w:spacing w:line="207" w:lineRule="exact"/>
                          <w:ind w:left="520" w:right="0"/>
                          <w:jc w:val="left"/>
                          <w:rPr>
                            <w:rFonts w:ascii="Times New Roman" w:hAnsi="Times New Roman" w:cs="Times New Roman" w:eastAsia="Times New Roman" w:hint="default"/>
                            <w:sz w:val="18"/>
                            <w:szCs w:val="18"/>
                          </w:rPr>
                        </w:pPr>
                        <w:r>
                          <w:rPr>
                            <w:rFonts w:ascii="Times New Roman"/>
                            <w:sz w:val="18"/>
                          </w:rPr>
                          <w:t>00.85</w:t>
                        </w:r>
                      </w:p>
                    </w:tc>
                  </w:tr>
                  <w:tr>
                    <w:trPr>
                      <w:trHeight w:val="1320" w:hRule="exact"/>
                    </w:trPr>
                    <w:tc>
                      <w:tcPr>
                        <w:tcW w:w="4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21"/>
                            <w:szCs w:val="21"/>
                          </w:rPr>
                        </w:pPr>
                      </w:p>
                      <w:p>
                        <w:pPr>
                          <w:pStyle w:val="TableParagraph"/>
                          <w:spacing w:line="237" w:lineRule="auto"/>
                          <w:ind w:left="26" w:right="23"/>
                          <w:jc w:val="both"/>
                          <w:rPr>
                            <w:rFonts w:ascii="宋体" w:hAnsi="宋体" w:cs="宋体" w:eastAsia="宋体" w:hint="default"/>
                            <w:sz w:val="18"/>
                            <w:szCs w:val="18"/>
                          </w:rPr>
                        </w:pPr>
                        <w:r>
                          <w:rPr>
                            <w:rFonts w:ascii="宋体" w:hAnsi="宋体" w:cs="宋体" w:eastAsia="宋体" w:hint="default"/>
                            <w:sz w:val="18"/>
                            <w:szCs w:val="18"/>
                          </w:rPr>
                          <w:t>加： 会计 政策 变更</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gridSpan w:val="2"/>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07" w:lineRule="exact"/>
                          <w:ind w:left="494" w:right="0"/>
                          <w:jc w:val="left"/>
                          <w:rPr>
                            <w:rFonts w:ascii="Times New Roman" w:hAnsi="Times New Roman" w:cs="Times New Roman" w:eastAsia="Times New Roman" w:hint="default"/>
                            <w:sz w:val="18"/>
                            <w:szCs w:val="18"/>
                          </w:rPr>
                        </w:pPr>
                        <w:r>
                          <w:rPr>
                            <w:rFonts w:ascii="Times New Roman"/>
                            <w:sz w:val="18"/>
                          </w:rPr>
                          <w:t>0.00</w:t>
                        </w: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10,166,403.</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05</w:t>
                        </w: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166,403.05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64,203.64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230,606.69</w:t>
                        </w:r>
                      </w:p>
                    </w:tc>
                  </w:tr>
                  <w:tr>
                    <w:trPr>
                      <w:trHeight w:val="1087" w:hRule="exact"/>
                    </w:trPr>
                    <w:tc>
                      <w:tcPr>
                        <w:tcW w:w="4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23"/>
                            <w:szCs w:val="23"/>
                          </w:rPr>
                        </w:pPr>
                      </w:p>
                      <w:p>
                        <w:pPr>
                          <w:pStyle w:val="TableParagraph"/>
                          <w:spacing w:line="232" w:lineRule="exact"/>
                          <w:ind w:left="26" w:right="23"/>
                          <w:jc w:val="both"/>
                          <w:rPr>
                            <w:rFonts w:ascii="宋体" w:hAnsi="宋体" w:cs="宋体" w:eastAsia="宋体" w:hint="default"/>
                            <w:sz w:val="18"/>
                            <w:szCs w:val="18"/>
                          </w:rPr>
                        </w:pPr>
                        <w:r>
                          <w:rPr>
                            <w:rFonts w:ascii="宋体" w:hAnsi="宋体" w:cs="宋体" w:eastAsia="宋体" w:hint="default"/>
                            <w:sz w:val="18"/>
                            <w:szCs w:val="18"/>
                          </w:rPr>
                          <w:t>前期 差错 更正</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gridSpan w:val="2"/>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1555" w:hRule="exact"/>
                    </w:trPr>
                    <w:tc>
                      <w:tcPr>
                        <w:tcW w:w="4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21"/>
                            <w:szCs w:val="21"/>
                          </w:rPr>
                        </w:pPr>
                      </w:p>
                      <w:p>
                        <w:pPr>
                          <w:pStyle w:val="TableParagraph"/>
                          <w:spacing w:line="237" w:lineRule="auto"/>
                          <w:ind w:left="26" w:right="23"/>
                          <w:jc w:val="both"/>
                          <w:rPr>
                            <w:rFonts w:ascii="宋体" w:hAnsi="宋体" w:cs="宋体" w:eastAsia="宋体" w:hint="default"/>
                            <w:sz w:val="18"/>
                            <w:szCs w:val="18"/>
                          </w:rPr>
                        </w:pPr>
                        <w:r>
                          <w:rPr>
                            <w:rFonts w:ascii="宋体" w:hAnsi="宋体" w:cs="宋体" w:eastAsia="宋体" w:hint="default"/>
                            <w:sz w:val="18"/>
                            <w:szCs w:val="18"/>
                          </w:rPr>
                          <w:t>同一 控制 下企 业合 并</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gridSpan w:val="2"/>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4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gridSpan w:val="2"/>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1087" w:hRule="exact"/>
                    </w:trPr>
                    <w:tc>
                      <w:tcPr>
                        <w:tcW w:w="4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44"/>
                          <w:ind w:left="26" w:right="23"/>
                          <w:jc w:val="both"/>
                          <w:rPr>
                            <w:rFonts w:ascii="宋体" w:hAnsi="宋体" w:cs="宋体" w:eastAsia="宋体" w:hint="default"/>
                            <w:sz w:val="18"/>
                            <w:szCs w:val="18"/>
                          </w:rPr>
                        </w:pPr>
                        <w:r>
                          <w:rPr>
                            <w:rFonts w:ascii="宋体" w:hAnsi="宋体" w:cs="宋体" w:eastAsia="宋体" w:hint="default"/>
                            <w:sz w:val="18"/>
                            <w:szCs w:val="18"/>
                          </w:rPr>
                          <w:t>二、 本年 期初 余额</w:t>
                        </w:r>
                      </w:p>
                    </w:tc>
                    <w:tc>
                      <w:tcPr>
                        <w:tcW w:w="97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1,748,662,1</w:t>
                        </w:r>
                      </w:p>
                      <w:p>
                        <w:pPr>
                          <w:pStyle w:val="TableParagraph"/>
                          <w:spacing w:line="240" w:lineRule="auto" w:before="2"/>
                          <w:ind w:left="526" w:right="0"/>
                          <w:jc w:val="left"/>
                          <w:rPr>
                            <w:rFonts w:ascii="Times New Roman" w:hAnsi="Times New Roman" w:cs="Times New Roman" w:eastAsia="Times New Roman" w:hint="default"/>
                            <w:sz w:val="18"/>
                            <w:szCs w:val="18"/>
                          </w:rPr>
                        </w:pPr>
                        <w:r>
                          <w:rPr>
                            <w:rFonts w:ascii="Times New Roman"/>
                            <w:sz w:val="18"/>
                          </w:rPr>
                          <w:t>13.00</w:t>
                        </w: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gridSpan w:val="2"/>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2,435,569,0</w:t>
                        </w:r>
                      </w:p>
                      <w:p>
                        <w:pPr>
                          <w:pStyle w:val="TableParagraph"/>
                          <w:spacing w:line="240" w:lineRule="auto" w:before="2"/>
                          <w:ind w:left="520" w:right="0"/>
                          <w:jc w:val="left"/>
                          <w:rPr>
                            <w:rFonts w:ascii="Times New Roman" w:hAnsi="Times New Roman" w:cs="Times New Roman" w:eastAsia="Times New Roman" w:hint="default"/>
                            <w:sz w:val="18"/>
                            <w:szCs w:val="18"/>
                          </w:rPr>
                        </w:pPr>
                        <w:r>
                          <w:rPr>
                            <w:rFonts w:ascii="Times New Roman"/>
                            <w:sz w:val="18"/>
                          </w:rPr>
                          <w:t>70.77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194,948,40</w:t>
                        </w:r>
                      </w:p>
                      <w:p>
                        <w:pPr>
                          <w:pStyle w:val="TableParagraph"/>
                          <w:spacing w:line="240" w:lineRule="auto" w:before="2"/>
                          <w:ind w:left="559" w:right="0"/>
                          <w:jc w:val="left"/>
                          <w:rPr>
                            <w:rFonts w:ascii="Times New Roman" w:hAnsi="Times New Roman" w:cs="Times New Roman" w:eastAsia="Times New Roman" w:hint="default"/>
                            <w:sz w:val="18"/>
                            <w:szCs w:val="18"/>
                          </w:rPr>
                        </w:pPr>
                        <w:r>
                          <w:rPr>
                            <w:rFonts w:ascii="Times New Roman"/>
                            <w:sz w:val="18"/>
                          </w:rPr>
                          <w:t>0.37</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-7,035,734</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.96</w:t>
                        </w: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50,173,50</w:t>
                        </w:r>
                      </w:p>
                      <w:p>
                        <w:pPr>
                          <w:pStyle w:val="TableParagraph"/>
                          <w:spacing w:line="240" w:lineRule="auto" w:before="2"/>
                          <w:ind w:left="451" w:right="0"/>
                          <w:jc w:val="left"/>
                          <w:rPr>
                            <w:rFonts w:ascii="Times New Roman" w:hAnsi="Times New Roman" w:cs="Times New Roman" w:eastAsia="Times New Roman" w:hint="default"/>
                            <w:sz w:val="18"/>
                            <w:szCs w:val="18"/>
                          </w:rPr>
                        </w:pPr>
                        <w:r>
                          <w:rPr>
                            <w:rFonts w:ascii="Times New Roman"/>
                            <w:sz w:val="18"/>
                          </w:rPr>
                          <w:t>7.71</w:t>
                        </w: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855,775,595</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.53</w:t>
                        </w: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4,888,196,1</w:t>
                        </w:r>
                      </w:p>
                      <w:p>
                        <w:pPr>
                          <w:pStyle w:val="TableParagraph"/>
                          <w:spacing w:line="240" w:lineRule="auto" w:before="2"/>
                          <w:ind w:left="520" w:right="0"/>
                          <w:jc w:val="left"/>
                          <w:rPr>
                            <w:rFonts w:ascii="Times New Roman" w:hAnsi="Times New Roman" w:cs="Times New Roman" w:eastAsia="Times New Roman" w:hint="default"/>
                            <w:sz w:val="18"/>
                            <w:szCs w:val="18"/>
                          </w:rPr>
                        </w:pPr>
                        <w:r>
                          <w:rPr>
                            <w:rFonts w:ascii="Times New Roman"/>
                            <w:sz w:val="18"/>
                          </w:rPr>
                          <w:t>51.68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68,764,15</w:t>
                        </w:r>
                      </w:p>
                      <w:p>
                        <w:pPr>
                          <w:pStyle w:val="TableParagraph"/>
                          <w:spacing w:line="240" w:lineRule="auto" w:before="2"/>
                          <w:ind w:left="453" w:right="0"/>
                          <w:jc w:val="left"/>
                          <w:rPr>
                            <w:rFonts w:ascii="Times New Roman" w:hAnsi="Times New Roman" w:cs="Times New Roman" w:eastAsia="Times New Roman" w:hint="default"/>
                            <w:sz w:val="18"/>
                            <w:szCs w:val="18"/>
                          </w:rPr>
                        </w:pPr>
                        <w:r>
                          <w:rPr>
                            <w:rFonts w:ascii="Times New Roman"/>
                            <w:sz w:val="18"/>
                          </w:rPr>
                          <w:t>5.86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4,956,960,3</w:t>
                        </w:r>
                      </w:p>
                      <w:p>
                        <w:pPr>
                          <w:pStyle w:val="TableParagraph"/>
                          <w:spacing w:line="240" w:lineRule="auto" w:before="2"/>
                          <w:ind w:left="520" w:right="0"/>
                          <w:jc w:val="left"/>
                          <w:rPr>
                            <w:rFonts w:ascii="Times New Roman" w:hAnsi="Times New Roman" w:cs="Times New Roman" w:eastAsia="Times New Roman" w:hint="default"/>
                            <w:sz w:val="18"/>
                            <w:szCs w:val="18"/>
                          </w:rPr>
                        </w:pPr>
                        <w:r>
                          <w:rPr>
                            <w:rFonts w:ascii="Times New Roman"/>
                            <w:sz w:val="18"/>
                          </w:rPr>
                          <w:t>07.54</w:t>
                        </w:r>
                      </w:p>
                    </w:tc>
                  </w:tr>
                  <w:tr>
                    <w:trPr>
                      <w:trHeight w:val="2489" w:hRule="exact"/>
                    </w:trPr>
                    <w:tc>
                      <w:tcPr>
                        <w:tcW w:w="4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44"/>
                          <w:ind w:left="26" w:right="23"/>
                          <w:jc w:val="both"/>
                          <w:rPr>
                            <w:rFonts w:ascii="宋体" w:hAnsi="宋体" w:cs="宋体" w:eastAsia="宋体" w:hint="default"/>
                            <w:sz w:val="18"/>
                            <w:szCs w:val="18"/>
                          </w:rPr>
                        </w:pPr>
                        <w:r>
                          <w:rPr>
                            <w:rFonts w:ascii="宋体" w:hAnsi="宋体" w:cs="宋体" w:eastAsia="宋体" w:hint="default"/>
                            <w:sz w:val="18"/>
                            <w:szCs w:val="18"/>
                          </w:rPr>
                          <w:t>三、 本期 增减 变动 金额</w:t>
                        </w:r>
                      </w:p>
                      <w:p>
                        <w:pPr>
                          <w:pStyle w:val="TableParagraph"/>
                          <w:spacing w:line="235" w:lineRule="auto" w:before="4"/>
                          <w:ind w:left="26" w:right="23"/>
                          <w:jc w:val="both"/>
                          <w:rPr>
                            <w:rFonts w:ascii="宋体" w:hAnsi="宋体" w:cs="宋体" w:eastAsia="宋体" w:hint="default"/>
                            <w:sz w:val="18"/>
                            <w:szCs w:val="18"/>
                          </w:rPr>
                        </w:pPr>
                        <w:r>
                          <w:rPr>
                            <w:rFonts w:ascii="宋体" w:hAnsi="宋体" w:cs="宋体" w:eastAsia="宋体" w:hint="default"/>
                            <w:sz w:val="18"/>
                            <w:szCs w:val="18"/>
                          </w:rPr>
                          <w:t>（减 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 列）</w:t>
                        </w:r>
                      </w:p>
                    </w:tc>
                    <w:tc>
                      <w:tcPr>
                        <w:tcW w:w="97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-1,527,518.</w:t>
                        </w:r>
                        <w:r>
                          <w:rPr>
                            <w:rFonts w:ascii="Times New Roman"/>
                            <w:sz w:val="18"/>
                          </w:rPr>
                        </w:r>
                      </w:p>
                      <w:p>
                        <w:pPr>
                          <w:pStyle w:val="TableParagraph"/>
                          <w:spacing w:line="240" w:lineRule="auto" w:before="2"/>
                          <w:ind w:right="17"/>
                          <w:jc w:val="right"/>
                          <w:rPr>
                            <w:rFonts w:ascii="Times New Roman" w:hAnsi="Times New Roman" w:cs="Times New Roman" w:eastAsia="Times New Roman" w:hint="default"/>
                            <w:sz w:val="18"/>
                            <w:szCs w:val="18"/>
                          </w:rPr>
                        </w:pPr>
                        <w:r>
                          <w:rPr>
                            <w:rFonts w:ascii="Times New Roman"/>
                            <w:sz w:val="18"/>
                          </w:rPr>
                          <w:t>00</w:t>
                        </w: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gridSpan w:val="2"/>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6,371,105.5</w:t>
                        </w:r>
                      </w:p>
                      <w:p>
                        <w:pPr>
                          <w:pStyle w:val="TableParagraph"/>
                          <w:spacing w:line="240" w:lineRule="auto" w:before="2"/>
                          <w:ind w:right="23"/>
                          <w:jc w:val="right"/>
                          <w:rPr>
                            <w:rFonts w:ascii="Times New Roman" w:hAnsi="Times New Roman" w:cs="Times New Roman" w:eastAsia="Times New Roman" w:hint="default"/>
                            <w:sz w:val="18"/>
                            <w:szCs w:val="18"/>
                          </w:rPr>
                        </w:pPr>
                        <w:r>
                          <w:rPr>
                            <w:rFonts w:ascii="Times New Roman"/>
                            <w:sz w:val="18"/>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-104,845,0</w:t>
                        </w:r>
                      </w:p>
                      <w:p>
                        <w:pPr>
                          <w:pStyle w:val="TableParagraph"/>
                          <w:spacing w:line="240" w:lineRule="auto" w:before="2"/>
                          <w:ind w:left="467" w:right="0"/>
                          <w:jc w:val="left"/>
                          <w:rPr>
                            <w:rFonts w:ascii="Times New Roman" w:hAnsi="Times New Roman" w:cs="Times New Roman" w:eastAsia="Times New Roman" w:hint="default"/>
                            <w:sz w:val="18"/>
                            <w:szCs w:val="18"/>
                          </w:rPr>
                        </w:pPr>
                        <w:r>
                          <w:rPr>
                            <w:rFonts w:ascii="Times New Roman"/>
                            <w:sz w:val="18"/>
                          </w:rPr>
                          <w:t>40.37</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11,196,30</w:t>
                        </w:r>
                      </w:p>
                      <w:p>
                        <w:pPr>
                          <w:pStyle w:val="TableParagraph"/>
                          <w:spacing w:line="240" w:lineRule="auto" w:before="2"/>
                          <w:ind w:left="494" w:right="0"/>
                          <w:jc w:val="left"/>
                          <w:rPr>
                            <w:rFonts w:ascii="Times New Roman" w:hAnsi="Times New Roman" w:cs="Times New Roman" w:eastAsia="Times New Roman" w:hint="default"/>
                            <w:sz w:val="18"/>
                            <w:szCs w:val="18"/>
                          </w:rPr>
                        </w:pPr>
                        <w:r>
                          <w:rPr>
                            <w:rFonts w:ascii="Times New Roman"/>
                            <w:sz w:val="18"/>
                          </w:rPr>
                          <w:t>7.13</w:t>
                        </w: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241,055,209</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.53</w:t>
                        </w: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361,940,144</w:t>
                        </w:r>
                      </w:p>
                      <w:p>
                        <w:pPr>
                          <w:pStyle w:val="TableParagraph"/>
                          <w:spacing w:line="240" w:lineRule="auto" w:before="2"/>
                          <w:ind w:right="18"/>
                          <w:jc w:val="right"/>
                          <w:rPr>
                            <w:rFonts w:ascii="Times New Roman" w:hAnsi="Times New Roman" w:cs="Times New Roman" w:eastAsia="Times New Roman" w:hint="default"/>
                            <w:sz w:val="18"/>
                            <w:szCs w:val="18"/>
                          </w:rPr>
                        </w:pPr>
                        <w:r>
                          <w:rPr>
                            <w:rFonts w:ascii="Times New Roman"/>
                            <w:sz w:val="18"/>
                          </w:rPr>
                          <w:t>.61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30,607,56</w:t>
                        </w:r>
                      </w:p>
                      <w:p>
                        <w:pPr>
                          <w:pStyle w:val="TableParagraph"/>
                          <w:spacing w:line="240" w:lineRule="auto" w:before="2"/>
                          <w:ind w:left="453" w:right="0"/>
                          <w:jc w:val="left"/>
                          <w:rPr>
                            <w:rFonts w:ascii="Times New Roman" w:hAnsi="Times New Roman" w:cs="Times New Roman" w:eastAsia="Times New Roman" w:hint="default"/>
                            <w:sz w:val="18"/>
                            <w:szCs w:val="18"/>
                          </w:rPr>
                        </w:pPr>
                        <w:r>
                          <w:rPr>
                            <w:rFonts w:ascii="Times New Roman"/>
                            <w:sz w:val="18"/>
                          </w:rPr>
                          <w:t>3.33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392,547,707</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.94</w:t>
                        </w:r>
                      </w:p>
                    </w:tc>
                  </w:tr>
                  <w:tr>
                    <w:trPr>
                      <w:trHeight w:val="569" w:hRule="exact"/>
                    </w:trPr>
                    <w:tc>
                      <w:tcPr>
                        <w:tcW w:w="4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51"/>
                          <w:ind w:left="26" w:right="0"/>
                          <w:jc w:val="left"/>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）综</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gridSpan w:val="2"/>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right="21"/>
                          <w:jc w:val="right"/>
                          <w:rPr>
                            <w:rFonts w:ascii="Times New Roman" w:hAnsi="Times New Roman" w:cs="Times New Roman" w:eastAsia="Times New Roman" w:hint="default"/>
                            <w:sz w:val="18"/>
                            <w:szCs w:val="18"/>
                          </w:rPr>
                        </w:pPr>
                        <w:r>
                          <w:rPr>
                            <w:rFonts w:ascii="Times New Roman"/>
                            <w:spacing w:val="-1"/>
                            <w:sz w:val="18"/>
                          </w:rPr>
                          <w:t>-6,390,243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.88</w:t>
                        </w: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right="20"/>
                          <w:jc w:val="right"/>
                          <w:rPr>
                            <w:rFonts w:ascii="Times New Roman" w:hAnsi="Times New Roman" w:cs="Times New Roman" w:eastAsia="Times New Roman" w:hint="default"/>
                            <w:sz w:val="18"/>
                            <w:szCs w:val="18"/>
                          </w:rPr>
                        </w:pPr>
                        <w:r>
                          <w:rPr>
                            <w:rFonts w:ascii="Times New Roman"/>
                            <w:spacing w:val="-1"/>
                            <w:sz w:val="18"/>
                          </w:rPr>
                          <w:t>258,641,760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.54</w:t>
                        </w: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right="18"/>
                          <w:jc w:val="right"/>
                          <w:rPr>
                            <w:rFonts w:ascii="Times New Roman" w:hAnsi="Times New Roman" w:cs="Times New Roman" w:eastAsia="Times New Roman" w:hint="default"/>
                            <w:sz w:val="18"/>
                            <w:szCs w:val="18"/>
                          </w:rPr>
                        </w:pPr>
                        <w:r>
                          <w:rPr>
                            <w:rFonts w:ascii="Times New Roman"/>
                            <w:spacing w:val="-1"/>
                            <w:sz w:val="18"/>
                          </w:rPr>
                          <w:t>252,251,516</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.66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right="18"/>
                          <w:jc w:val="right"/>
                          <w:rPr>
                            <w:rFonts w:ascii="Times New Roman" w:hAnsi="Times New Roman" w:cs="Times New Roman" w:eastAsia="Times New Roman" w:hint="default"/>
                            <w:sz w:val="18"/>
                            <w:szCs w:val="18"/>
                          </w:rPr>
                        </w:pPr>
                        <w:r>
                          <w:rPr>
                            <w:rFonts w:ascii="Times New Roman"/>
                            <w:spacing w:val="-1"/>
                            <w:sz w:val="18"/>
                          </w:rPr>
                          <w:t>4,479,414</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.14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right="20"/>
                          <w:jc w:val="right"/>
                          <w:rPr>
                            <w:rFonts w:ascii="Times New Roman" w:hAnsi="Times New Roman" w:cs="Times New Roman" w:eastAsia="Times New Roman" w:hint="default"/>
                            <w:sz w:val="18"/>
                            <w:szCs w:val="18"/>
                          </w:rPr>
                        </w:pPr>
                        <w:r>
                          <w:rPr>
                            <w:rFonts w:ascii="Times New Roman"/>
                            <w:spacing w:val="-1"/>
                            <w:sz w:val="18"/>
                          </w:rPr>
                          <w:t>256,730,930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.80</w:t>
                        </w:r>
                      </w:p>
                    </w:tc>
                  </w:tr>
                </w:tbl>
                <w:p>
                  <w:pPr/>
                </w:p>
              </w:txbxContent>
            </v:textbox>
            <w10:wrap type="none"/>
          </v:shape>
        </w:pict>
      </w:r>
      <w:r>
        <w:rPr>
          <w:rFonts w:ascii="宋体" w:hAnsi="宋体" w:cs="宋体" w:eastAsia="宋体" w:hint="default"/>
          <w:sz w:val="18"/>
          <w:szCs w:val="18"/>
        </w:rPr>
        <w:t>其 他</w:t>
      </w:r>
    </w:p>
    <w:p>
      <w:pPr>
        <w:spacing w:line="240" w:lineRule="auto" w:before="8"/>
        <w:rPr>
          <w:rFonts w:ascii="宋体" w:hAnsi="宋体" w:cs="宋体" w:eastAsia="宋体" w:hint="default"/>
          <w:sz w:val="7"/>
          <w:szCs w:val="7"/>
        </w:rPr>
      </w:pPr>
    </w:p>
    <w:p>
      <w:pPr>
        <w:spacing w:line="117" w:lineRule="exact"/>
        <w:ind w:left="1907" w:right="0" w:firstLine="0"/>
        <w:rPr>
          <w:rFonts w:ascii="宋体" w:hAnsi="宋体" w:cs="宋体" w:eastAsia="宋体" w:hint="default"/>
          <w:sz w:val="11"/>
          <w:szCs w:val="11"/>
        </w:rPr>
      </w:pPr>
      <w:r>
        <w:rPr>
          <w:rFonts w:ascii="宋体" w:hAnsi="宋体" w:cs="宋体" w:eastAsia="宋体" w:hint="default"/>
          <w:position w:val="-1"/>
          <w:sz w:val="11"/>
          <w:szCs w:val="11"/>
        </w:rPr>
        <w:pict>
          <v:group style="width:8.65pt;height:5.9pt;mso-position-horizontal-relative:char;mso-position-vertical-relative:line" coordorigin="0,0" coordsize="173,118">
            <v:group style="position:absolute;left:0;top:0;width:173;height:118" coordorigin="0,0" coordsize="173,118">
              <v:shape style="position:absolute;left:0;top:0;width:173;height:118" coordorigin="0,0" coordsize="173,118" path="m0,118l173,118,173,0,0,0,0,118xe" filled="true" fillcolor="#d4d4d4" stroked="false">
                <v:path arrowok="t"/>
                <v:fill type="solid"/>
              </v:shape>
            </v:group>
          </v:group>
        </w:pict>
      </w:r>
      <w:r>
        <w:rPr>
          <w:rFonts w:ascii="宋体" w:hAnsi="宋体" w:cs="宋体" w:eastAsia="宋体" w:hint="default"/>
          <w:position w:val="-1"/>
          <w:sz w:val="11"/>
          <w:szCs w:val="11"/>
        </w:rPr>
      </w:r>
    </w:p>
    <w:p>
      <w:pPr>
        <w:spacing w:after="0" w:line="117" w:lineRule="exact"/>
        <w:rPr>
          <w:rFonts w:ascii="宋体" w:hAnsi="宋体" w:cs="宋体" w:eastAsia="宋体" w:hint="default"/>
          <w:sz w:val="11"/>
          <w:szCs w:val="11"/>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432"/>
        <w:gridCol w:w="971"/>
        <w:gridCol w:w="187"/>
        <w:gridCol w:w="185"/>
        <w:gridCol w:w="185"/>
        <w:gridCol w:w="960"/>
        <w:gridCol w:w="905"/>
        <w:gridCol w:w="842"/>
        <w:gridCol w:w="185"/>
        <w:gridCol w:w="797"/>
        <w:gridCol w:w="185"/>
        <w:gridCol w:w="960"/>
        <w:gridCol w:w="185"/>
        <w:gridCol w:w="958"/>
        <w:gridCol w:w="799"/>
        <w:gridCol w:w="960"/>
      </w:tblGrid>
      <w:tr>
        <w:trPr>
          <w:trHeight w:val="782" w:hRule="exact"/>
        </w:trPr>
        <w:tc>
          <w:tcPr>
            <w:tcW w:w="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04" w:lineRule="exact"/>
              <w:ind w:left="37" w:right="0"/>
              <w:jc w:val="left"/>
              <w:rPr>
                <w:rFonts w:ascii="宋体" w:hAnsi="宋体" w:cs="宋体" w:eastAsia="宋体" w:hint="default"/>
                <w:sz w:val="18"/>
                <w:szCs w:val="18"/>
              </w:rPr>
            </w:pPr>
            <w:r>
              <w:rPr>
                <w:rFonts w:ascii="宋体" w:hAnsi="宋体" w:cs="宋体" w:eastAsia="宋体" w:hint="default"/>
                <w:sz w:val="18"/>
                <w:szCs w:val="18"/>
              </w:rPr>
              <w:t>合收</w:t>
            </w:r>
          </w:p>
          <w:p>
            <w:pPr>
              <w:pStyle w:val="TableParagraph"/>
              <w:spacing w:line="240" w:lineRule="auto"/>
              <w:ind w:left="125" w:right="23" w:hanging="89"/>
              <w:jc w:val="left"/>
              <w:rPr>
                <w:rFonts w:ascii="宋体" w:hAnsi="宋体" w:cs="宋体" w:eastAsia="宋体" w:hint="default"/>
                <w:sz w:val="18"/>
                <w:szCs w:val="18"/>
              </w:rPr>
            </w:pPr>
            <w:r>
              <w:rPr>
                <w:rFonts w:ascii="宋体" w:hAnsi="宋体" w:cs="宋体" w:eastAsia="宋体" w:hint="default"/>
                <w:sz w:val="18"/>
                <w:szCs w:val="18"/>
              </w:rPr>
              <w:t>益总 额</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1788" w:hRule="exact"/>
        </w:trPr>
        <w:tc>
          <w:tcPr>
            <w:tcW w:w="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41"/>
              <w:ind w:left="37" w:right="0"/>
              <w:jc w:val="both"/>
              <w:rPr>
                <w:rFonts w:ascii="宋体" w:hAnsi="宋体" w:cs="宋体" w:eastAsia="宋体" w:hint="default"/>
                <w:sz w:val="18"/>
                <w:szCs w:val="18"/>
              </w:rPr>
            </w:pPr>
            <w:r>
              <w:rPr>
                <w:rFonts w:ascii="宋体" w:hAnsi="宋体" w:cs="宋体" w:eastAsia="宋体" w:hint="default"/>
                <w:sz w:val="18"/>
                <w:szCs w:val="18"/>
              </w:rPr>
              <w:t>（二</w:t>
            </w:r>
          </w:p>
          <w:p>
            <w:pPr>
              <w:pStyle w:val="TableParagraph"/>
              <w:spacing w:line="237" w:lineRule="auto"/>
              <w:ind w:left="37" w:right="23"/>
              <w:jc w:val="both"/>
              <w:rPr>
                <w:rFonts w:ascii="宋体" w:hAnsi="宋体" w:cs="宋体" w:eastAsia="宋体" w:hint="default"/>
                <w:sz w:val="18"/>
                <w:szCs w:val="18"/>
              </w:rPr>
            </w:pPr>
            <w:r>
              <w:rPr>
                <w:rFonts w:ascii="宋体" w:hAnsi="宋体" w:cs="宋体" w:eastAsia="宋体" w:hint="default"/>
                <w:sz w:val="18"/>
                <w:szCs w:val="18"/>
              </w:rPr>
              <w:t>）所 有者 投入 和减 少资 本</w:t>
            </w:r>
          </w:p>
        </w:tc>
        <w:tc>
          <w:tcPr>
            <w:tcW w:w="97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-1,527,518.</w:t>
            </w:r>
            <w:r>
              <w:rPr>
                <w:rFonts w:ascii="Times New Roman"/>
                <w:sz w:val="18"/>
              </w:rPr>
            </w:r>
          </w:p>
          <w:p>
            <w:pPr>
              <w:pStyle w:val="TableParagraph"/>
              <w:spacing w:line="240" w:lineRule="auto" w:before="2"/>
              <w:ind w:right="17"/>
              <w:jc w:val="right"/>
              <w:rPr>
                <w:rFonts w:ascii="Times New Roman" w:hAnsi="Times New Roman" w:cs="Times New Roman" w:eastAsia="Times New Roman" w:hint="default"/>
                <w:sz w:val="18"/>
                <w:szCs w:val="18"/>
              </w:rPr>
            </w:pPr>
            <w:r>
              <w:rPr>
                <w:rFonts w:ascii="Times New Roman"/>
                <w:sz w:val="18"/>
              </w:rPr>
              <w:t>00</w:t>
            </w: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6,371,105.5</w:t>
            </w:r>
          </w:p>
          <w:p>
            <w:pPr>
              <w:pStyle w:val="TableParagraph"/>
              <w:spacing w:line="240" w:lineRule="auto" w:before="2"/>
              <w:ind w:right="23"/>
              <w:jc w:val="right"/>
              <w:rPr>
                <w:rFonts w:ascii="Times New Roman" w:hAnsi="Times New Roman" w:cs="Times New Roman" w:eastAsia="Times New Roman" w:hint="default"/>
                <w:sz w:val="18"/>
                <w:szCs w:val="18"/>
              </w:rPr>
            </w:pPr>
            <w:r>
              <w:rPr>
                <w:rFonts w:ascii="Times New Roman"/>
                <w:sz w:val="18"/>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-104,845,0</w:t>
            </w:r>
          </w:p>
          <w:p>
            <w:pPr>
              <w:pStyle w:val="TableParagraph"/>
              <w:spacing w:line="240" w:lineRule="auto" w:before="2"/>
              <w:ind w:left="467" w:right="0"/>
              <w:jc w:val="left"/>
              <w:rPr>
                <w:rFonts w:ascii="Times New Roman" w:hAnsi="Times New Roman" w:cs="Times New Roman" w:eastAsia="Times New Roman" w:hint="default"/>
                <w:sz w:val="18"/>
                <w:szCs w:val="18"/>
              </w:rPr>
            </w:pPr>
            <w:r>
              <w:rPr>
                <w:rFonts w:ascii="Times New Roman"/>
                <w:sz w:val="18"/>
              </w:rPr>
              <w:t>40.37</w:t>
            </w:r>
          </w:p>
        </w:tc>
        <w:tc>
          <w:tcPr>
            <w:tcW w:w="842"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109,688,627</w:t>
            </w:r>
          </w:p>
          <w:p>
            <w:pPr>
              <w:pStyle w:val="TableParagraph"/>
              <w:spacing w:line="240" w:lineRule="auto" w:before="2"/>
              <w:ind w:right="18"/>
              <w:jc w:val="right"/>
              <w:rPr>
                <w:rFonts w:ascii="Times New Roman" w:hAnsi="Times New Roman" w:cs="Times New Roman" w:eastAsia="Times New Roman" w:hint="default"/>
                <w:sz w:val="18"/>
                <w:szCs w:val="18"/>
              </w:rPr>
            </w:pPr>
            <w:r>
              <w:rPr>
                <w:rFonts w:ascii="Times New Roman"/>
                <w:sz w:val="18"/>
              </w:rPr>
              <w:t>.95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30,151,12</w:t>
            </w:r>
          </w:p>
          <w:p>
            <w:pPr>
              <w:pStyle w:val="TableParagraph"/>
              <w:spacing w:line="240" w:lineRule="auto" w:before="2"/>
              <w:ind w:left="453" w:right="0"/>
              <w:jc w:val="left"/>
              <w:rPr>
                <w:rFonts w:ascii="Times New Roman" w:hAnsi="Times New Roman" w:cs="Times New Roman" w:eastAsia="Times New Roman" w:hint="default"/>
                <w:sz w:val="18"/>
                <w:szCs w:val="18"/>
              </w:rPr>
            </w:pPr>
            <w:r>
              <w:rPr>
                <w:rFonts w:ascii="Times New Roman"/>
                <w:sz w:val="18"/>
              </w:rPr>
              <w:t>0.03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139,839,747</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.98</w:t>
            </w:r>
          </w:p>
        </w:tc>
      </w:tr>
      <w:tr>
        <w:trPr>
          <w:trHeight w:val="1320" w:hRule="exact"/>
        </w:trPr>
        <w:tc>
          <w:tcPr>
            <w:tcW w:w="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6"/>
              <w:ind w:left="37" w:right="23" w:hanging="15"/>
              <w:jc w:val="both"/>
              <w:rPr>
                <w:rFonts w:ascii="宋体" w:hAnsi="宋体" w:cs="宋体" w:eastAsia="宋体" w:hint="default"/>
                <w:sz w:val="18"/>
                <w:szCs w:val="18"/>
              </w:rPr>
            </w:pPr>
            <w:r>
              <w:rPr>
                <w:rFonts w:ascii="Times New Roman" w:hAnsi="Times New Roman" w:cs="Times New Roman" w:eastAsia="Times New Roman" w:hint="default"/>
                <w:spacing w:val="-42"/>
                <w:sz w:val="18"/>
                <w:szCs w:val="18"/>
              </w:rPr>
              <w:t>1</w:t>
            </w:r>
            <w:r>
              <w:rPr>
                <w:rFonts w:ascii="宋体" w:hAnsi="宋体" w:cs="宋体" w:eastAsia="宋体" w:hint="default"/>
                <w:spacing w:val="-42"/>
                <w:sz w:val="18"/>
                <w:szCs w:val="18"/>
              </w:rPr>
              <w:t>．所</w:t>
            </w:r>
            <w:r>
              <w:rPr>
                <w:rFonts w:ascii="宋体" w:hAnsi="宋体" w:cs="宋体" w:eastAsia="宋体" w:hint="default"/>
                <w:spacing w:val="-63"/>
                <w:sz w:val="18"/>
                <w:szCs w:val="18"/>
              </w:rPr>
              <w:t> </w:t>
            </w:r>
            <w:r>
              <w:rPr>
                <w:rFonts w:ascii="宋体" w:hAnsi="宋体" w:cs="宋体" w:eastAsia="宋体" w:hint="default"/>
                <w:sz w:val="18"/>
                <w:szCs w:val="18"/>
              </w:rPr>
              <w:t>有者</w:t>
            </w:r>
            <w:r>
              <w:rPr>
                <w:rFonts w:ascii="宋体" w:hAnsi="宋体" w:cs="宋体" w:eastAsia="宋体" w:hint="default"/>
                <w:sz w:val="18"/>
                <w:szCs w:val="18"/>
              </w:rPr>
              <w:t> 投入 的普 通股</w:t>
            </w:r>
          </w:p>
        </w:tc>
        <w:tc>
          <w:tcPr>
            <w:tcW w:w="97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pacing w:val="-1"/>
                <w:sz w:val="18"/>
              </w:rPr>
              <w:t>23,931,875.</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00</w:t>
            </w: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07" w:lineRule="exact"/>
              <w:ind w:left="55" w:right="0"/>
              <w:jc w:val="left"/>
              <w:rPr>
                <w:rFonts w:ascii="Times New Roman" w:hAnsi="Times New Roman" w:cs="Times New Roman" w:eastAsia="Times New Roman" w:hint="default"/>
                <w:sz w:val="18"/>
                <w:szCs w:val="18"/>
              </w:rPr>
            </w:pPr>
            <w:r>
              <w:rPr>
                <w:rFonts w:ascii="Times New Roman"/>
                <w:sz w:val="18"/>
              </w:rPr>
              <w:t>-103,313,35</w:t>
            </w:r>
          </w:p>
          <w:p>
            <w:pPr>
              <w:pStyle w:val="TableParagraph"/>
              <w:spacing w:line="207" w:lineRule="exact"/>
              <w:ind w:left="611" w:right="0"/>
              <w:jc w:val="left"/>
              <w:rPr>
                <w:rFonts w:ascii="Times New Roman" w:hAnsi="Times New Roman" w:cs="Times New Roman" w:eastAsia="Times New Roman" w:hint="default"/>
                <w:sz w:val="18"/>
                <w:szCs w:val="18"/>
              </w:rPr>
            </w:pPr>
            <w:r>
              <w:rPr>
                <w:rFonts w:ascii="Times New Roman"/>
                <w:sz w:val="18"/>
              </w:rPr>
              <w:t>1.48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07" w:lineRule="exact"/>
              <w:ind w:left="93" w:right="0"/>
              <w:jc w:val="left"/>
              <w:rPr>
                <w:rFonts w:ascii="Times New Roman" w:hAnsi="Times New Roman" w:cs="Times New Roman" w:eastAsia="Times New Roman" w:hint="default"/>
                <w:sz w:val="18"/>
                <w:szCs w:val="18"/>
              </w:rPr>
            </w:pPr>
            <w:r>
              <w:rPr>
                <w:rFonts w:ascii="Times New Roman"/>
                <w:sz w:val="18"/>
              </w:rPr>
              <w:t>-12,400,12</w:t>
            </w:r>
          </w:p>
          <w:p>
            <w:pPr>
              <w:pStyle w:val="TableParagraph"/>
              <w:spacing w:line="207" w:lineRule="exact"/>
              <w:ind w:left="559" w:right="0"/>
              <w:jc w:val="left"/>
              <w:rPr>
                <w:rFonts w:ascii="Times New Roman" w:hAnsi="Times New Roman" w:cs="Times New Roman" w:eastAsia="Times New Roman" w:hint="default"/>
                <w:sz w:val="18"/>
                <w:szCs w:val="18"/>
              </w:rPr>
            </w:pPr>
            <w:r>
              <w:rPr>
                <w:rFonts w:ascii="Times New Roman"/>
                <w:sz w:val="18"/>
              </w:rPr>
              <w:t>5.00</w:t>
            </w:r>
          </w:p>
        </w:tc>
        <w:tc>
          <w:tcPr>
            <w:tcW w:w="842"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07" w:lineRule="exact"/>
              <w:ind w:right="16"/>
              <w:jc w:val="right"/>
              <w:rPr>
                <w:rFonts w:ascii="Times New Roman" w:hAnsi="Times New Roman" w:cs="Times New Roman" w:eastAsia="Times New Roman" w:hint="default"/>
                <w:sz w:val="18"/>
                <w:szCs w:val="18"/>
              </w:rPr>
            </w:pPr>
            <w:r>
              <w:rPr>
                <w:rFonts w:ascii="Times New Roman"/>
                <w:sz w:val="18"/>
              </w:rPr>
              <w:t>-66,981,351</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.48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07" w:lineRule="exact"/>
              <w:ind w:left="47"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07" w:lineRule="exact"/>
              <w:ind w:left="453" w:right="0"/>
              <w:jc w:val="left"/>
              <w:rPr>
                <w:rFonts w:ascii="Times New Roman" w:hAnsi="Times New Roman" w:cs="Times New Roman" w:eastAsia="Times New Roman" w:hint="default"/>
                <w:sz w:val="18"/>
                <w:szCs w:val="18"/>
              </w:rPr>
            </w:pPr>
            <w:r>
              <w:rPr>
                <w:rFonts w:ascii="Times New Roman"/>
                <w:sz w:val="18"/>
              </w:rPr>
              <w:t>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-26,981,351</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.48</w:t>
            </w:r>
          </w:p>
        </w:tc>
      </w:tr>
      <w:tr>
        <w:trPr>
          <w:trHeight w:val="1790" w:hRule="exact"/>
        </w:trPr>
        <w:tc>
          <w:tcPr>
            <w:tcW w:w="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8"/>
              <w:ind w:left="37" w:right="23" w:hanging="15"/>
              <w:jc w:val="both"/>
              <w:rPr>
                <w:rFonts w:ascii="宋体" w:hAnsi="宋体" w:cs="宋体" w:eastAsia="宋体" w:hint="default"/>
                <w:sz w:val="18"/>
                <w:szCs w:val="18"/>
              </w:rPr>
            </w:pPr>
            <w:r>
              <w:rPr>
                <w:rFonts w:ascii="Times New Roman" w:hAnsi="Times New Roman" w:cs="Times New Roman" w:eastAsia="Times New Roman" w:hint="default"/>
                <w:spacing w:val="-42"/>
                <w:sz w:val="18"/>
                <w:szCs w:val="18"/>
              </w:rPr>
              <w:t>2</w:t>
            </w:r>
            <w:r>
              <w:rPr>
                <w:rFonts w:ascii="宋体" w:hAnsi="宋体" w:cs="宋体" w:eastAsia="宋体" w:hint="default"/>
                <w:spacing w:val="-42"/>
                <w:sz w:val="18"/>
                <w:szCs w:val="18"/>
              </w:rPr>
              <w:t>．其</w:t>
            </w:r>
            <w:r>
              <w:rPr>
                <w:rFonts w:ascii="宋体" w:hAnsi="宋体" w:cs="宋体" w:eastAsia="宋体" w:hint="default"/>
                <w:spacing w:val="-63"/>
                <w:sz w:val="18"/>
                <w:szCs w:val="18"/>
              </w:rPr>
              <w:t> </w:t>
            </w:r>
            <w:r>
              <w:rPr>
                <w:rFonts w:ascii="宋体" w:hAnsi="宋体" w:cs="宋体" w:eastAsia="宋体" w:hint="default"/>
                <w:sz w:val="18"/>
                <w:szCs w:val="18"/>
              </w:rPr>
              <w:t>他权</w:t>
            </w:r>
            <w:r>
              <w:rPr>
                <w:rFonts w:ascii="宋体" w:hAnsi="宋体" w:cs="宋体" w:eastAsia="宋体" w:hint="default"/>
                <w:sz w:val="18"/>
                <w:szCs w:val="18"/>
              </w:rPr>
              <w:t> 益工 具持 有者 投入 资本</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2021" w:hRule="exact"/>
        </w:trPr>
        <w:tc>
          <w:tcPr>
            <w:tcW w:w="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6"/>
              <w:ind w:left="37" w:right="23" w:hanging="15"/>
              <w:jc w:val="both"/>
              <w:rPr>
                <w:rFonts w:ascii="宋体" w:hAnsi="宋体" w:cs="宋体" w:eastAsia="宋体" w:hint="default"/>
                <w:sz w:val="18"/>
                <w:szCs w:val="18"/>
              </w:rPr>
            </w:pPr>
            <w:r>
              <w:rPr>
                <w:rFonts w:ascii="Times New Roman" w:hAnsi="Times New Roman" w:cs="Times New Roman" w:eastAsia="Times New Roman" w:hint="default"/>
                <w:spacing w:val="-42"/>
                <w:sz w:val="18"/>
                <w:szCs w:val="18"/>
              </w:rPr>
              <w:t>3</w:t>
            </w:r>
            <w:r>
              <w:rPr>
                <w:rFonts w:ascii="宋体" w:hAnsi="宋体" w:cs="宋体" w:eastAsia="宋体" w:hint="default"/>
                <w:spacing w:val="-42"/>
                <w:sz w:val="18"/>
                <w:szCs w:val="18"/>
              </w:rPr>
              <w:t>．股</w:t>
            </w:r>
            <w:r>
              <w:rPr>
                <w:rFonts w:ascii="宋体" w:hAnsi="宋体" w:cs="宋体" w:eastAsia="宋体" w:hint="default"/>
                <w:spacing w:val="-63"/>
                <w:sz w:val="18"/>
                <w:szCs w:val="18"/>
              </w:rPr>
              <w:t> </w:t>
            </w:r>
            <w:r>
              <w:rPr>
                <w:rFonts w:ascii="宋体" w:hAnsi="宋体" w:cs="宋体" w:eastAsia="宋体" w:hint="default"/>
                <w:sz w:val="18"/>
                <w:szCs w:val="18"/>
              </w:rPr>
              <w:t>份支</w:t>
            </w:r>
            <w:r>
              <w:rPr>
                <w:rFonts w:ascii="宋体" w:hAnsi="宋体" w:cs="宋体" w:eastAsia="宋体" w:hint="default"/>
                <w:sz w:val="18"/>
                <w:szCs w:val="18"/>
              </w:rPr>
              <w:t> 付计 入所 有者 权益 的金 额</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51,197,335.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07" w:lineRule="exact"/>
              <w:ind w:left="93" w:right="0"/>
              <w:jc w:val="left"/>
              <w:rPr>
                <w:rFonts w:ascii="Times New Roman" w:hAnsi="Times New Roman" w:cs="Times New Roman" w:eastAsia="Times New Roman" w:hint="default"/>
                <w:sz w:val="18"/>
                <w:szCs w:val="18"/>
              </w:rPr>
            </w:pPr>
            <w:r>
              <w:rPr>
                <w:rFonts w:ascii="Times New Roman"/>
                <w:sz w:val="18"/>
              </w:rPr>
              <w:t>-92,444,91</w:t>
            </w:r>
          </w:p>
          <w:p>
            <w:pPr>
              <w:pStyle w:val="TableParagraph"/>
              <w:spacing w:line="207" w:lineRule="exact"/>
              <w:ind w:left="559" w:right="0"/>
              <w:jc w:val="left"/>
              <w:rPr>
                <w:rFonts w:ascii="Times New Roman" w:hAnsi="Times New Roman" w:cs="Times New Roman" w:eastAsia="Times New Roman" w:hint="default"/>
                <w:sz w:val="18"/>
                <w:szCs w:val="18"/>
              </w:rPr>
            </w:pPr>
            <w:r>
              <w:rPr>
                <w:rFonts w:ascii="Times New Roman"/>
                <w:sz w:val="18"/>
              </w:rPr>
              <w:t>5.37</w:t>
            </w:r>
          </w:p>
        </w:tc>
        <w:tc>
          <w:tcPr>
            <w:tcW w:w="842"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143,642,250</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.49</w:t>
            </w:r>
          </w:p>
        </w:tc>
        <w:tc>
          <w:tcPr>
            <w:tcW w:w="79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143,642,250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.49</w:t>
            </w:r>
          </w:p>
        </w:tc>
      </w:tr>
      <w:tr>
        <w:trPr>
          <w:trHeight w:val="622" w:hRule="exact"/>
        </w:trPr>
        <w:tc>
          <w:tcPr>
            <w:tcW w:w="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25" w:right="71" w:hanging="104"/>
              <w:jc w:val="left"/>
              <w:rPr>
                <w:rFonts w:ascii="宋体" w:hAnsi="宋体" w:cs="宋体" w:eastAsia="宋体" w:hint="default"/>
                <w:sz w:val="18"/>
                <w:szCs w:val="18"/>
              </w:rPr>
            </w:pPr>
            <w:r>
              <w:rPr>
                <w:rFonts w:ascii="Times New Roman" w:hAnsi="Times New Roman" w:cs="Times New Roman" w:eastAsia="Times New Roman" w:hint="default"/>
                <w:spacing w:val="-42"/>
                <w:sz w:val="18"/>
                <w:szCs w:val="18"/>
              </w:rPr>
              <w:t>4</w:t>
            </w:r>
            <w:r>
              <w:rPr>
                <w:rFonts w:ascii="宋体" w:hAnsi="宋体" w:cs="宋体" w:eastAsia="宋体" w:hint="default"/>
                <w:spacing w:val="-42"/>
                <w:sz w:val="18"/>
                <w:szCs w:val="18"/>
              </w:rPr>
              <w:t>．其</w:t>
            </w:r>
            <w:r>
              <w:rPr>
                <w:rFonts w:ascii="宋体" w:hAnsi="宋体" w:cs="宋体" w:eastAsia="宋体" w:hint="default"/>
                <w:spacing w:val="-63"/>
                <w:sz w:val="18"/>
                <w:szCs w:val="18"/>
              </w:rPr>
              <w:t> </w:t>
            </w:r>
            <w:r>
              <w:rPr>
                <w:rFonts w:ascii="宋体" w:hAnsi="宋体" w:cs="宋体" w:eastAsia="宋体" w:hint="default"/>
                <w:sz w:val="18"/>
                <w:szCs w:val="18"/>
              </w:rPr>
              <w:t>他</w:t>
            </w:r>
          </w:p>
        </w:tc>
        <w:tc>
          <w:tcPr>
            <w:tcW w:w="971" w:type="dxa"/>
            <w:tcBorders>
              <w:top w:val="single" w:sz="4" w:space="0" w:color="000000"/>
              <w:left w:val="single" w:sz="10" w:space="0" w:color="D4D4D4"/>
              <w:bottom w:val="single" w:sz="4" w:space="0" w:color="000000"/>
              <w:right w:val="single" w:sz="4" w:space="0" w:color="000000"/>
            </w:tcBorders>
          </w:tcPr>
          <w:p>
            <w:pPr>
              <w:pStyle w:val="TableParagraph"/>
              <w:spacing w:line="207" w:lineRule="exact" w:before="93"/>
              <w:ind w:right="16"/>
              <w:jc w:val="right"/>
              <w:rPr>
                <w:rFonts w:ascii="Times New Roman" w:hAnsi="Times New Roman" w:cs="Times New Roman" w:eastAsia="Times New Roman" w:hint="default"/>
                <w:sz w:val="18"/>
                <w:szCs w:val="18"/>
              </w:rPr>
            </w:pPr>
            <w:r>
              <w:rPr>
                <w:rFonts w:ascii="Times New Roman"/>
                <w:sz w:val="18"/>
              </w:rPr>
              <w:t>-25,459,393</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.00</w:t>
            </w: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3"/>
              <w:ind w:right="19"/>
              <w:jc w:val="right"/>
              <w:rPr>
                <w:rFonts w:ascii="Times New Roman" w:hAnsi="Times New Roman" w:cs="Times New Roman" w:eastAsia="Times New Roman" w:hint="default"/>
                <w:sz w:val="18"/>
                <w:szCs w:val="18"/>
              </w:rPr>
            </w:pPr>
            <w:r>
              <w:rPr>
                <w:rFonts w:ascii="Times New Roman"/>
                <w:spacing w:val="-1"/>
                <w:sz w:val="18"/>
              </w:rPr>
              <w:t>58,487,121.</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94</w:t>
            </w: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3"/>
              <w:ind w:right="17"/>
              <w:jc w:val="right"/>
              <w:rPr>
                <w:rFonts w:ascii="Times New Roman" w:hAnsi="Times New Roman" w:cs="Times New Roman" w:eastAsia="Times New Roman" w:hint="default"/>
                <w:sz w:val="18"/>
                <w:szCs w:val="18"/>
              </w:rPr>
            </w:pPr>
            <w:r>
              <w:rPr>
                <w:rFonts w:ascii="Times New Roman"/>
                <w:spacing w:val="-1"/>
                <w:sz w:val="18"/>
              </w:rPr>
              <w:t>33,027,728.</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94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3"/>
              <w:ind w:left="79" w:right="0"/>
              <w:jc w:val="left"/>
              <w:rPr>
                <w:rFonts w:ascii="Times New Roman" w:hAnsi="Times New Roman" w:cs="Times New Roman" w:eastAsia="Times New Roman" w:hint="default"/>
                <w:sz w:val="18"/>
                <w:szCs w:val="18"/>
              </w:rPr>
            </w:pPr>
            <w:r>
              <w:rPr>
                <w:rFonts w:ascii="Times New Roman"/>
                <w:sz w:val="18"/>
              </w:rPr>
              <w:t>-9,848,87</w:t>
            </w:r>
          </w:p>
          <w:p>
            <w:pPr>
              <w:pStyle w:val="TableParagraph"/>
              <w:spacing w:line="207" w:lineRule="exact"/>
              <w:ind w:left="453" w:right="0"/>
              <w:jc w:val="left"/>
              <w:rPr>
                <w:rFonts w:ascii="Times New Roman" w:hAnsi="Times New Roman" w:cs="Times New Roman" w:eastAsia="Times New Roman" w:hint="default"/>
                <w:sz w:val="18"/>
                <w:szCs w:val="18"/>
              </w:rPr>
            </w:pPr>
            <w:r>
              <w:rPr>
                <w:rFonts w:ascii="Times New Roman"/>
                <w:sz w:val="18"/>
              </w:rPr>
              <w:t>9.97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3"/>
              <w:ind w:right="19"/>
              <w:jc w:val="right"/>
              <w:rPr>
                <w:rFonts w:ascii="Times New Roman" w:hAnsi="Times New Roman" w:cs="Times New Roman" w:eastAsia="Times New Roman" w:hint="default"/>
                <w:sz w:val="18"/>
                <w:szCs w:val="18"/>
              </w:rPr>
            </w:pPr>
            <w:r>
              <w:rPr>
                <w:rFonts w:ascii="Times New Roman"/>
                <w:spacing w:val="-1"/>
                <w:sz w:val="18"/>
              </w:rPr>
              <w:t>23,178,848.</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97</w:t>
            </w:r>
          </w:p>
        </w:tc>
      </w:tr>
      <w:tr>
        <w:trPr>
          <w:trHeight w:val="1087" w:hRule="exact"/>
        </w:trPr>
        <w:tc>
          <w:tcPr>
            <w:tcW w:w="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41"/>
              <w:ind w:left="37" w:right="0"/>
              <w:jc w:val="both"/>
              <w:rPr>
                <w:rFonts w:ascii="宋体" w:hAnsi="宋体" w:cs="宋体" w:eastAsia="宋体" w:hint="default"/>
                <w:sz w:val="18"/>
                <w:szCs w:val="18"/>
              </w:rPr>
            </w:pPr>
            <w:r>
              <w:rPr>
                <w:rFonts w:ascii="宋体" w:hAnsi="宋体" w:cs="宋体" w:eastAsia="宋体" w:hint="default"/>
                <w:sz w:val="18"/>
                <w:szCs w:val="18"/>
              </w:rPr>
              <w:t>（三</w:t>
            </w:r>
          </w:p>
          <w:p>
            <w:pPr>
              <w:pStyle w:val="TableParagraph"/>
              <w:spacing w:line="232" w:lineRule="exact" w:before="23"/>
              <w:ind w:left="37" w:right="23"/>
              <w:jc w:val="both"/>
              <w:rPr>
                <w:rFonts w:ascii="宋体" w:hAnsi="宋体" w:cs="宋体" w:eastAsia="宋体" w:hint="default"/>
                <w:sz w:val="18"/>
                <w:szCs w:val="18"/>
              </w:rPr>
            </w:pPr>
            <w:r>
              <w:rPr>
                <w:rFonts w:ascii="宋体" w:hAnsi="宋体" w:cs="宋体" w:eastAsia="宋体" w:hint="default"/>
                <w:sz w:val="18"/>
                <w:szCs w:val="18"/>
              </w:rPr>
              <w:t>）利 润分 配</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7" w:lineRule="exact" w:before="119"/>
              <w:ind w:left="79" w:right="0"/>
              <w:jc w:val="left"/>
              <w:rPr>
                <w:rFonts w:ascii="Times New Roman" w:hAnsi="Times New Roman" w:cs="Times New Roman" w:eastAsia="Times New Roman" w:hint="default"/>
                <w:sz w:val="18"/>
                <w:szCs w:val="18"/>
              </w:rPr>
            </w:pPr>
            <w:r>
              <w:rPr>
                <w:rFonts w:ascii="Times New Roman"/>
                <w:sz w:val="18"/>
              </w:rPr>
              <w:t>-4,022,97</w:t>
            </w:r>
          </w:p>
          <w:p>
            <w:pPr>
              <w:pStyle w:val="TableParagraph"/>
              <w:spacing w:line="207" w:lineRule="exact"/>
              <w:ind w:left="453" w:right="0"/>
              <w:jc w:val="left"/>
              <w:rPr>
                <w:rFonts w:ascii="Times New Roman" w:hAnsi="Times New Roman" w:cs="Times New Roman" w:eastAsia="Times New Roman" w:hint="default"/>
                <w:sz w:val="18"/>
                <w:szCs w:val="18"/>
              </w:rPr>
            </w:pPr>
            <w:r>
              <w:rPr>
                <w:rFonts w:ascii="Times New Roman"/>
                <w:sz w:val="18"/>
              </w:rPr>
              <w:t>0.84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7" w:lineRule="exact" w:before="119"/>
              <w:ind w:right="18"/>
              <w:jc w:val="right"/>
              <w:rPr>
                <w:rFonts w:ascii="Times New Roman" w:hAnsi="Times New Roman" w:cs="Times New Roman" w:eastAsia="Times New Roman" w:hint="default"/>
                <w:sz w:val="18"/>
                <w:szCs w:val="18"/>
              </w:rPr>
            </w:pPr>
            <w:r>
              <w:rPr>
                <w:rFonts w:ascii="Times New Roman"/>
                <w:spacing w:val="-1"/>
                <w:sz w:val="18"/>
              </w:rPr>
              <w:t>-4,022,970.</w:t>
            </w:r>
            <w:r>
              <w:rPr>
                <w:rFonts w:ascii="Times New Roman"/>
                <w:sz w:val="18"/>
              </w:rPr>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84</w:t>
            </w:r>
          </w:p>
        </w:tc>
      </w:tr>
      <w:tr>
        <w:trPr>
          <w:trHeight w:val="1087" w:hRule="exact"/>
        </w:trPr>
        <w:tc>
          <w:tcPr>
            <w:tcW w:w="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auto" w:before="48"/>
              <w:ind w:left="37" w:right="23" w:hanging="15"/>
              <w:jc w:val="both"/>
              <w:rPr>
                <w:rFonts w:ascii="宋体" w:hAnsi="宋体" w:cs="宋体" w:eastAsia="宋体" w:hint="default"/>
                <w:sz w:val="18"/>
                <w:szCs w:val="18"/>
              </w:rPr>
            </w:pPr>
            <w:r>
              <w:rPr>
                <w:rFonts w:ascii="Times New Roman" w:hAnsi="Times New Roman" w:cs="Times New Roman" w:eastAsia="Times New Roman" w:hint="default"/>
                <w:spacing w:val="-42"/>
                <w:sz w:val="18"/>
                <w:szCs w:val="18"/>
              </w:rPr>
              <w:t>1</w:t>
            </w:r>
            <w:r>
              <w:rPr>
                <w:rFonts w:ascii="宋体" w:hAnsi="宋体" w:cs="宋体" w:eastAsia="宋体" w:hint="default"/>
                <w:spacing w:val="-42"/>
                <w:sz w:val="18"/>
                <w:szCs w:val="18"/>
              </w:rPr>
              <w:t>．提</w:t>
            </w:r>
            <w:r>
              <w:rPr>
                <w:rFonts w:ascii="宋体" w:hAnsi="宋体" w:cs="宋体" w:eastAsia="宋体" w:hint="default"/>
                <w:spacing w:val="-63"/>
                <w:sz w:val="18"/>
                <w:szCs w:val="18"/>
              </w:rPr>
              <w:t> </w:t>
            </w:r>
            <w:r>
              <w:rPr>
                <w:rFonts w:ascii="宋体" w:hAnsi="宋体" w:cs="宋体" w:eastAsia="宋体" w:hint="default"/>
                <w:sz w:val="18"/>
                <w:szCs w:val="18"/>
              </w:rPr>
              <w:t>取盈</w:t>
            </w:r>
            <w:r>
              <w:rPr>
                <w:rFonts w:ascii="宋体" w:hAnsi="宋体" w:cs="宋体" w:eastAsia="宋体" w:hint="default"/>
                <w:sz w:val="18"/>
                <w:szCs w:val="18"/>
              </w:rPr>
              <w:t> 余公 积</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1320" w:hRule="exact"/>
        </w:trPr>
        <w:tc>
          <w:tcPr>
            <w:tcW w:w="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6"/>
              <w:ind w:left="37" w:right="23" w:hanging="15"/>
              <w:jc w:val="both"/>
              <w:rPr>
                <w:rFonts w:ascii="宋体" w:hAnsi="宋体" w:cs="宋体" w:eastAsia="宋体" w:hint="default"/>
                <w:sz w:val="18"/>
                <w:szCs w:val="18"/>
              </w:rPr>
            </w:pPr>
            <w:r>
              <w:rPr>
                <w:rFonts w:ascii="Times New Roman" w:hAnsi="Times New Roman" w:cs="Times New Roman" w:eastAsia="Times New Roman" w:hint="default"/>
                <w:spacing w:val="-42"/>
                <w:sz w:val="18"/>
                <w:szCs w:val="18"/>
              </w:rPr>
              <w:t>2</w:t>
            </w:r>
            <w:r>
              <w:rPr>
                <w:rFonts w:ascii="宋体" w:hAnsi="宋体" w:cs="宋体" w:eastAsia="宋体" w:hint="default"/>
                <w:spacing w:val="-42"/>
                <w:sz w:val="18"/>
                <w:szCs w:val="18"/>
              </w:rPr>
              <w:t>．提</w:t>
            </w:r>
            <w:r>
              <w:rPr>
                <w:rFonts w:ascii="宋体" w:hAnsi="宋体" w:cs="宋体" w:eastAsia="宋体" w:hint="default"/>
                <w:spacing w:val="-63"/>
                <w:sz w:val="18"/>
                <w:szCs w:val="18"/>
              </w:rPr>
              <w:t> </w:t>
            </w:r>
            <w:r>
              <w:rPr>
                <w:rFonts w:ascii="宋体" w:hAnsi="宋体" w:cs="宋体" w:eastAsia="宋体" w:hint="default"/>
                <w:sz w:val="18"/>
                <w:szCs w:val="18"/>
              </w:rPr>
              <w:t>取一</w:t>
            </w:r>
            <w:r>
              <w:rPr>
                <w:rFonts w:ascii="宋体" w:hAnsi="宋体" w:cs="宋体" w:eastAsia="宋体" w:hint="default"/>
                <w:sz w:val="18"/>
                <w:szCs w:val="18"/>
              </w:rPr>
              <w:t> 般风 险准 备</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2023" w:hRule="exact"/>
        </w:trPr>
        <w:tc>
          <w:tcPr>
            <w:tcW w:w="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9"/>
              <w:ind w:left="37" w:right="23" w:hanging="15"/>
              <w:jc w:val="both"/>
              <w:rPr>
                <w:rFonts w:ascii="宋体" w:hAnsi="宋体" w:cs="宋体" w:eastAsia="宋体" w:hint="default"/>
                <w:sz w:val="18"/>
                <w:szCs w:val="18"/>
              </w:rPr>
            </w:pPr>
            <w:r>
              <w:rPr>
                <w:rFonts w:ascii="Times New Roman" w:hAnsi="Times New Roman" w:cs="Times New Roman" w:eastAsia="Times New Roman" w:hint="default"/>
                <w:spacing w:val="-42"/>
                <w:sz w:val="18"/>
                <w:szCs w:val="18"/>
              </w:rPr>
              <w:t>3</w:t>
            </w:r>
            <w:r>
              <w:rPr>
                <w:rFonts w:ascii="宋体" w:hAnsi="宋体" w:cs="宋体" w:eastAsia="宋体" w:hint="default"/>
                <w:spacing w:val="-42"/>
                <w:sz w:val="18"/>
                <w:szCs w:val="18"/>
              </w:rPr>
              <w:t>．对</w:t>
            </w:r>
            <w:r>
              <w:rPr>
                <w:rFonts w:ascii="宋体" w:hAnsi="宋体" w:cs="宋体" w:eastAsia="宋体" w:hint="default"/>
                <w:spacing w:val="-63"/>
                <w:sz w:val="18"/>
                <w:szCs w:val="18"/>
              </w:rPr>
              <w:t> </w:t>
            </w:r>
            <w:r>
              <w:rPr>
                <w:rFonts w:ascii="宋体" w:hAnsi="宋体" w:cs="宋体" w:eastAsia="宋体" w:hint="default"/>
                <w:sz w:val="18"/>
                <w:szCs w:val="18"/>
              </w:rPr>
              <w:t>所有</w:t>
            </w:r>
            <w:r>
              <w:rPr>
                <w:rFonts w:ascii="宋体" w:hAnsi="宋体" w:cs="宋体" w:eastAsia="宋体" w:hint="default"/>
                <w:sz w:val="18"/>
                <w:szCs w:val="18"/>
              </w:rPr>
              <w:t> 者</w:t>
            </w:r>
          </w:p>
          <w:p>
            <w:pPr>
              <w:pStyle w:val="TableParagraph"/>
              <w:spacing w:line="212" w:lineRule="exact"/>
              <w:ind w:left="125" w:right="0" w:hanging="89"/>
              <w:jc w:val="both"/>
              <w:rPr>
                <w:rFonts w:ascii="宋体" w:hAnsi="宋体" w:cs="宋体" w:eastAsia="宋体" w:hint="default"/>
                <w:sz w:val="18"/>
                <w:szCs w:val="18"/>
              </w:rPr>
            </w:pPr>
            <w:r>
              <w:rPr>
                <w:rFonts w:ascii="宋体" w:hAnsi="宋体" w:cs="宋体" w:eastAsia="宋体" w:hint="default"/>
                <w:sz w:val="18"/>
                <w:szCs w:val="18"/>
              </w:rPr>
              <w:t>（或</w:t>
            </w:r>
          </w:p>
          <w:p>
            <w:pPr>
              <w:pStyle w:val="TableParagraph"/>
              <w:spacing w:line="232" w:lineRule="exact" w:before="24"/>
              <w:ind w:left="37" w:right="23" w:hanging="3"/>
              <w:jc w:val="center"/>
              <w:rPr>
                <w:rFonts w:ascii="宋体" w:hAnsi="宋体" w:cs="宋体" w:eastAsia="宋体" w:hint="default"/>
                <w:sz w:val="18"/>
                <w:szCs w:val="18"/>
              </w:rPr>
            </w:pPr>
            <w:r>
              <w:rPr>
                <w:rFonts w:ascii="宋体" w:hAnsi="宋体" w:cs="宋体" w:eastAsia="宋体" w:hint="default"/>
                <w:sz w:val="18"/>
                <w:szCs w:val="18"/>
              </w:rPr>
              <w:t>股 东） 的分 配</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-4,022,97</w:t>
            </w:r>
          </w:p>
          <w:p>
            <w:pPr>
              <w:pStyle w:val="TableParagraph"/>
              <w:spacing w:line="240" w:lineRule="auto" w:before="2"/>
              <w:ind w:left="453" w:right="0"/>
              <w:jc w:val="left"/>
              <w:rPr>
                <w:rFonts w:ascii="Times New Roman" w:hAnsi="Times New Roman" w:cs="Times New Roman" w:eastAsia="Times New Roman" w:hint="default"/>
                <w:sz w:val="18"/>
                <w:szCs w:val="18"/>
              </w:rPr>
            </w:pPr>
            <w:r>
              <w:rPr>
                <w:rFonts w:ascii="Times New Roman"/>
                <w:sz w:val="18"/>
              </w:rPr>
              <w:t>0.84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-4,022,970.</w:t>
            </w:r>
            <w:r>
              <w:rPr>
                <w:rFonts w:ascii="Times New Roman"/>
                <w:sz w:val="18"/>
              </w:rPr>
            </w:r>
          </w:p>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84</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432"/>
        <w:gridCol w:w="971"/>
        <w:gridCol w:w="187"/>
        <w:gridCol w:w="185"/>
        <w:gridCol w:w="185"/>
        <w:gridCol w:w="960"/>
        <w:gridCol w:w="905"/>
        <w:gridCol w:w="842"/>
        <w:gridCol w:w="185"/>
        <w:gridCol w:w="797"/>
        <w:gridCol w:w="185"/>
        <w:gridCol w:w="960"/>
        <w:gridCol w:w="185"/>
        <w:gridCol w:w="958"/>
        <w:gridCol w:w="799"/>
        <w:gridCol w:w="960"/>
      </w:tblGrid>
      <w:tr>
        <w:trPr>
          <w:trHeight w:val="622" w:hRule="exact"/>
        </w:trPr>
        <w:tc>
          <w:tcPr>
            <w:tcW w:w="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25" w:right="71" w:hanging="104"/>
              <w:jc w:val="left"/>
              <w:rPr>
                <w:rFonts w:ascii="宋体" w:hAnsi="宋体" w:cs="宋体" w:eastAsia="宋体" w:hint="default"/>
                <w:sz w:val="18"/>
                <w:szCs w:val="18"/>
              </w:rPr>
            </w:pPr>
            <w:r>
              <w:rPr>
                <w:rFonts w:ascii="Times New Roman" w:hAnsi="Times New Roman" w:cs="Times New Roman" w:eastAsia="Times New Roman" w:hint="default"/>
                <w:spacing w:val="-42"/>
                <w:sz w:val="18"/>
                <w:szCs w:val="18"/>
              </w:rPr>
              <w:t>4</w:t>
            </w:r>
            <w:r>
              <w:rPr>
                <w:rFonts w:ascii="宋体" w:hAnsi="宋体" w:cs="宋体" w:eastAsia="宋体" w:hint="default"/>
                <w:spacing w:val="-42"/>
                <w:sz w:val="18"/>
                <w:szCs w:val="18"/>
              </w:rPr>
              <w:t>．其</w:t>
            </w:r>
            <w:r>
              <w:rPr>
                <w:rFonts w:ascii="宋体" w:hAnsi="宋体" w:cs="宋体" w:eastAsia="宋体" w:hint="default"/>
                <w:spacing w:val="-63"/>
                <w:sz w:val="18"/>
                <w:szCs w:val="18"/>
              </w:rPr>
              <w:t> </w:t>
            </w:r>
            <w:r>
              <w:rPr>
                <w:rFonts w:ascii="宋体" w:hAnsi="宋体" w:cs="宋体" w:eastAsia="宋体" w:hint="default"/>
                <w:sz w:val="18"/>
                <w:szCs w:val="18"/>
              </w:rPr>
              <w:t>他</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1553" w:hRule="exact"/>
        </w:trPr>
        <w:tc>
          <w:tcPr>
            <w:tcW w:w="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41"/>
              <w:ind w:left="37" w:right="0"/>
              <w:jc w:val="both"/>
              <w:rPr>
                <w:rFonts w:ascii="宋体" w:hAnsi="宋体" w:cs="宋体" w:eastAsia="宋体" w:hint="default"/>
                <w:sz w:val="18"/>
                <w:szCs w:val="18"/>
              </w:rPr>
            </w:pPr>
            <w:r>
              <w:rPr>
                <w:rFonts w:ascii="宋体" w:hAnsi="宋体" w:cs="宋体" w:eastAsia="宋体" w:hint="default"/>
                <w:sz w:val="18"/>
                <w:szCs w:val="18"/>
              </w:rPr>
              <w:t>（四</w:t>
            </w:r>
          </w:p>
          <w:p>
            <w:pPr>
              <w:pStyle w:val="TableParagraph"/>
              <w:spacing w:line="237" w:lineRule="auto"/>
              <w:ind w:left="37" w:right="23"/>
              <w:jc w:val="both"/>
              <w:rPr>
                <w:rFonts w:ascii="宋体" w:hAnsi="宋体" w:cs="宋体" w:eastAsia="宋体" w:hint="default"/>
                <w:sz w:val="18"/>
                <w:szCs w:val="18"/>
              </w:rPr>
            </w:pPr>
            <w:r>
              <w:rPr>
                <w:rFonts w:ascii="宋体" w:hAnsi="宋体" w:cs="宋体" w:eastAsia="宋体" w:hint="default"/>
                <w:sz w:val="18"/>
                <w:szCs w:val="18"/>
              </w:rPr>
              <w:t>）所 有者 权益 内部 结转</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8" w:right="0"/>
              <w:jc w:val="left"/>
              <w:rPr>
                <w:rFonts w:ascii="Times New Roman" w:hAnsi="Times New Roman" w:cs="Times New Roman" w:eastAsia="Times New Roman" w:hint="default"/>
                <w:sz w:val="18"/>
                <w:szCs w:val="18"/>
              </w:rPr>
            </w:pPr>
            <w:r>
              <w:rPr>
                <w:rFonts w:ascii="Times New Roman"/>
                <w:sz w:val="18"/>
              </w:rPr>
              <w:t>17,586,55</w:t>
            </w:r>
          </w:p>
          <w:p>
            <w:pPr>
              <w:pStyle w:val="TableParagraph"/>
              <w:spacing w:line="240" w:lineRule="auto" w:before="2"/>
              <w:ind w:left="494" w:right="0"/>
              <w:jc w:val="left"/>
              <w:rPr>
                <w:rFonts w:ascii="Times New Roman" w:hAnsi="Times New Roman" w:cs="Times New Roman" w:eastAsia="Times New Roman" w:hint="default"/>
                <w:sz w:val="18"/>
                <w:szCs w:val="18"/>
              </w:rPr>
            </w:pPr>
            <w:r>
              <w:rPr>
                <w:rFonts w:ascii="Times New Roman"/>
                <w:sz w:val="18"/>
              </w:rPr>
              <w:t>1.01</w:t>
            </w: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-17,586,551</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.01</w:t>
            </w: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2023" w:hRule="exact"/>
        </w:trPr>
        <w:tc>
          <w:tcPr>
            <w:tcW w:w="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8"/>
              <w:ind w:left="37" w:right="23" w:hanging="15"/>
              <w:jc w:val="both"/>
              <w:rPr>
                <w:rFonts w:ascii="宋体" w:hAnsi="宋体" w:cs="宋体" w:eastAsia="宋体" w:hint="default"/>
                <w:sz w:val="18"/>
                <w:szCs w:val="18"/>
              </w:rPr>
            </w:pPr>
            <w:r>
              <w:rPr>
                <w:rFonts w:ascii="Times New Roman" w:hAnsi="Times New Roman" w:cs="Times New Roman" w:eastAsia="Times New Roman" w:hint="default"/>
                <w:spacing w:val="-42"/>
                <w:sz w:val="18"/>
                <w:szCs w:val="18"/>
              </w:rPr>
              <w:t>1</w:t>
            </w:r>
            <w:r>
              <w:rPr>
                <w:rFonts w:ascii="宋体" w:hAnsi="宋体" w:cs="宋体" w:eastAsia="宋体" w:hint="default"/>
                <w:spacing w:val="-42"/>
                <w:sz w:val="18"/>
                <w:szCs w:val="18"/>
              </w:rPr>
              <w:t>．资</w:t>
            </w:r>
            <w:r>
              <w:rPr>
                <w:rFonts w:ascii="宋体" w:hAnsi="宋体" w:cs="宋体" w:eastAsia="宋体" w:hint="default"/>
                <w:spacing w:val="-63"/>
                <w:sz w:val="18"/>
                <w:szCs w:val="18"/>
              </w:rPr>
              <w:t> </w:t>
            </w:r>
            <w:r>
              <w:rPr>
                <w:rFonts w:ascii="宋体" w:hAnsi="宋体" w:cs="宋体" w:eastAsia="宋体" w:hint="default"/>
                <w:sz w:val="18"/>
                <w:szCs w:val="18"/>
              </w:rPr>
              <w:t>本公</w:t>
            </w:r>
            <w:r>
              <w:rPr>
                <w:rFonts w:ascii="宋体" w:hAnsi="宋体" w:cs="宋体" w:eastAsia="宋体" w:hint="default"/>
                <w:sz w:val="18"/>
                <w:szCs w:val="18"/>
              </w:rPr>
              <w:t> 积转 增资 本</w:t>
            </w:r>
          </w:p>
          <w:p>
            <w:pPr>
              <w:pStyle w:val="TableParagraph"/>
              <w:spacing w:line="232" w:lineRule="exact" w:before="22"/>
              <w:ind w:left="37" w:right="23"/>
              <w:jc w:val="center"/>
              <w:rPr>
                <w:rFonts w:ascii="宋体" w:hAnsi="宋体" w:cs="宋体" w:eastAsia="宋体" w:hint="default"/>
                <w:sz w:val="18"/>
                <w:szCs w:val="18"/>
              </w:rPr>
            </w:pPr>
            <w:r>
              <w:rPr>
                <w:rFonts w:ascii="宋体" w:hAnsi="宋体" w:cs="宋体" w:eastAsia="宋体" w:hint="default"/>
                <w:sz w:val="18"/>
                <w:szCs w:val="18"/>
              </w:rPr>
              <w:t>（或 股 本）</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2021" w:hRule="exact"/>
        </w:trPr>
        <w:tc>
          <w:tcPr>
            <w:tcW w:w="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6"/>
              <w:ind w:left="37" w:right="23" w:hanging="15"/>
              <w:jc w:val="both"/>
              <w:rPr>
                <w:rFonts w:ascii="宋体" w:hAnsi="宋体" w:cs="宋体" w:eastAsia="宋体" w:hint="default"/>
                <w:sz w:val="18"/>
                <w:szCs w:val="18"/>
              </w:rPr>
            </w:pPr>
            <w:r>
              <w:rPr>
                <w:rFonts w:ascii="Times New Roman" w:hAnsi="Times New Roman" w:cs="Times New Roman" w:eastAsia="Times New Roman" w:hint="default"/>
                <w:spacing w:val="-42"/>
                <w:sz w:val="18"/>
                <w:szCs w:val="18"/>
              </w:rPr>
              <w:t>2</w:t>
            </w:r>
            <w:r>
              <w:rPr>
                <w:rFonts w:ascii="宋体" w:hAnsi="宋体" w:cs="宋体" w:eastAsia="宋体" w:hint="default"/>
                <w:spacing w:val="-42"/>
                <w:sz w:val="18"/>
                <w:szCs w:val="18"/>
              </w:rPr>
              <w:t>．盈</w:t>
            </w:r>
            <w:r>
              <w:rPr>
                <w:rFonts w:ascii="宋体" w:hAnsi="宋体" w:cs="宋体" w:eastAsia="宋体" w:hint="default"/>
                <w:spacing w:val="-63"/>
                <w:sz w:val="18"/>
                <w:szCs w:val="18"/>
              </w:rPr>
              <w:t> </w:t>
            </w:r>
            <w:r>
              <w:rPr>
                <w:rFonts w:ascii="宋体" w:hAnsi="宋体" w:cs="宋体" w:eastAsia="宋体" w:hint="default"/>
                <w:sz w:val="18"/>
                <w:szCs w:val="18"/>
              </w:rPr>
              <w:t>余公</w:t>
            </w:r>
            <w:r>
              <w:rPr>
                <w:rFonts w:ascii="宋体" w:hAnsi="宋体" w:cs="宋体" w:eastAsia="宋体" w:hint="default"/>
                <w:sz w:val="18"/>
                <w:szCs w:val="18"/>
              </w:rPr>
              <w:t> 积转 增资 本</w:t>
            </w:r>
          </w:p>
          <w:p>
            <w:pPr>
              <w:pStyle w:val="TableParagraph"/>
              <w:spacing w:line="237" w:lineRule="auto"/>
              <w:ind w:left="37" w:right="23"/>
              <w:jc w:val="center"/>
              <w:rPr>
                <w:rFonts w:ascii="宋体" w:hAnsi="宋体" w:cs="宋体" w:eastAsia="宋体" w:hint="default"/>
                <w:sz w:val="18"/>
                <w:szCs w:val="18"/>
              </w:rPr>
            </w:pPr>
            <w:r>
              <w:rPr>
                <w:rFonts w:ascii="宋体" w:hAnsi="宋体" w:cs="宋体" w:eastAsia="宋体" w:hint="default"/>
                <w:sz w:val="18"/>
                <w:szCs w:val="18"/>
              </w:rPr>
              <w:t>（或 股 本）</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1322" w:hRule="exact"/>
        </w:trPr>
        <w:tc>
          <w:tcPr>
            <w:tcW w:w="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6"/>
              <w:ind w:left="37" w:right="23" w:hanging="15"/>
              <w:jc w:val="both"/>
              <w:rPr>
                <w:rFonts w:ascii="宋体" w:hAnsi="宋体" w:cs="宋体" w:eastAsia="宋体" w:hint="default"/>
                <w:sz w:val="18"/>
                <w:szCs w:val="18"/>
              </w:rPr>
            </w:pPr>
            <w:r>
              <w:rPr>
                <w:rFonts w:ascii="Times New Roman" w:hAnsi="Times New Roman" w:cs="Times New Roman" w:eastAsia="Times New Roman" w:hint="default"/>
                <w:spacing w:val="-42"/>
                <w:sz w:val="18"/>
                <w:szCs w:val="18"/>
              </w:rPr>
              <w:t>3</w:t>
            </w:r>
            <w:r>
              <w:rPr>
                <w:rFonts w:ascii="宋体" w:hAnsi="宋体" w:cs="宋体" w:eastAsia="宋体" w:hint="default"/>
                <w:spacing w:val="-42"/>
                <w:sz w:val="18"/>
                <w:szCs w:val="18"/>
              </w:rPr>
              <w:t>．盈</w:t>
            </w:r>
            <w:r>
              <w:rPr>
                <w:rFonts w:ascii="宋体" w:hAnsi="宋体" w:cs="宋体" w:eastAsia="宋体" w:hint="default"/>
                <w:spacing w:val="-63"/>
                <w:sz w:val="18"/>
                <w:szCs w:val="18"/>
              </w:rPr>
              <w:t> </w:t>
            </w:r>
            <w:r>
              <w:rPr>
                <w:rFonts w:ascii="宋体" w:hAnsi="宋体" w:cs="宋体" w:eastAsia="宋体" w:hint="default"/>
                <w:sz w:val="18"/>
                <w:szCs w:val="18"/>
              </w:rPr>
              <w:t>余公</w:t>
            </w:r>
            <w:r>
              <w:rPr>
                <w:rFonts w:ascii="宋体" w:hAnsi="宋体" w:cs="宋体" w:eastAsia="宋体" w:hint="default"/>
                <w:sz w:val="18"/>
                <w:szCs w:val="18"/>
              </w:rPr>
              <w:t> 积弥 补亏 损</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2021" w:hRule="exact"/>
        </w:trPr>
        <w:tc>
          <w:tcPr>
            <w:tcW w:w="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6"/>
              <w:ind w:left="37" w:right="23" w:hanging="15"/>
              <w:jc w:val="both"/>
              <w:rPr>
                <w:rFonts w:ascii="宋体" w:hAnsi="宋体" w:cs="宋体" w:eastAsia="宋体" w:hint="default"/>
                <w:sz w:val="18"/>
                <w:szCs w:val="18"/>
              </w:rPr>
            </w:pPr>
            <w:r>
              <w:rPr>
                <w:rFonts w:ascii="Times New Roman" w:hAnsi="Times New Roman" w:cs="Times New Roman" w:eastAsia="Times New Roman" w:hint="default"/>
                <w:spacing w:val="-42"/>
                <w:sz w:val="18"/>
                <w:szCs w:val="18"/>
              </w:rPr>
              <w:t>4</w:t>
            </w:r>
            <w:r>
              <w:rPr>
                <w:rFonts w:ascii="宋体" w:hAnsi="宋体" w:cs="宋体" w:eastAsia="宋体" w:hint="default"/>
                <w:spacing w:val="-42"/>
                <w:sz w:val="18"/>
                <w:szCs w:val="18"/>
              </w:rPr>
              <w:t>．设</w:t>
            </w:r>
            <w:r>
              <w:rPr>
                <w:rFonts w:ascii="宋体" w:hAnsi="宋体" w:cs="宋体" w:eastAsia="宋体" w:hint="default"/>
                <w:spacing w:val="-63"/>
                <w:sz w:val="18"/>
                <w:szCs w:val="18"/>
              </w:rPr>
              <w:t> </w:t>
            </w:r>
            <w:r>
              <w:rPr>
                <w:rFonts w:ascii="宋体" w:hAnsi="宋体" w:cs="宋体" w:eastAsia="宋体" w:hint="default"/>
                <w:sz w:val="18"/>
                <w:szCs w:val="18"/>
              </w:rPr>
              <w:t>定受</w:t>
            </w:r>
            <w:r>
              <w:rPr>
                <w:rFonts w:ascii="宋体" w:hAnsi="宋体" w:cs="宋体" w:eastAsia="宋体" w:hint="default"/>
                <w:sz w:val="18"/>
                <w:szCs w:val="18"/>
              </w:rPr>
              <w:t> 益计 划变 动额 结转 留存 收益</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1788" w:hRule="exact"/>
        </w:trPr>
        <w:tc>
          <w:tcPr>
            <w:tcW w:w="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6"/>
              <w:ind w:left="37" w:right="23" w:hanging="15"/>
              <w:jc w:val="both"/>
              <w:rPr>
                <w:rFonts w:ascii="宋体" w:hAnsi="宋体" w:cs="宋体" w:eastAsia="宋体" w:hint="default"/>
                <w:sz w:val="18"/>
                <w:szCs w:val="18"/>
              </w:rPr>
            </w:pPr>
            <w:r>
              <w:rPr>
                <w:rFonts w:ascii="Times New Roman" w:hAnsi="Times New Roman" w:cs="Times New Roman" w:eastAsia="Times New Roman" w:hint="default"/>
                <w:spacing w:val="-42"/>
                <w:sz w:val="18"/>
                <w:szCs w:val="18"/>
              </w:rPr>
              <w:t>5</w:t>
            </w:r>
            <w:r>
              <w:rPr>
                <w:rFonts w:ascii="宋体" w:hAnsi="宋体" w:cs="宋体" w:eastAsia="宋体" w:hint="default"/>
                <w:spacing w:val="-42"/>
                <w:sz w:val="18"/>
                <w:szCs w:val="18"/>
              </w:rPr>
              <w:t>．其</w:t>
            </w:r>
            <w:r>
              <w:rPr>
                <w:rFonts w:ascii="宋体" w:hAnsi="宋体" w:cs="宋体" w:eastAsia="宋体" w:hint="default"/>
                <w:spacing w:val="-63"/>
                <w:sz w:val="18"/>
                <w:szCs w:val="18"/>
              </w:rPr>
              <w:t> </w:t>
            </w:r>
            <w:r>
              <w:rPr>
                <w:rFonts w:ascii="宋体" w:hAnsi="宋体" w:cs="宋体" w:eastAsia="宋体" w:hint="default"/>
                <w:sz w:val="18"/>
                <w:szCs w:val="18"/>
              </w:rPr>
              <w:t>他综</w:t>
            </w:r>
            <w:r>
              <w:rPr>
                <w:rFonts w:ascii="宋体" w:hAnsi="宋体" w:cs="宋体" w:eastAsia="宋体" w:hint="default"/>
                <w:sz w:val="18"/>
                <w:szCs w:val="18"/>
              </w:rPr>
              <w:t> 合收 益结 转留 存收 益</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07" w:lineRule="exact"/>
              <w:ind w:left="88" w:right="0"/>
              <w:jc w:val="left"/>
              <w:rPr>
                <w:rFonts w:ascii="Times New Roman" w:hAnsi="Times New Roman" w:cs="Times New Roman" w:eastAsia="Times New Roman" w:hint="default"/>
                <w:sz w:val="18"/>
                <w:szCs w:val="18"/>
              </w:rPr>
            </w:pPr>
            <w:r>
              <w:rPr>
                <w:rFonts w:ascii="Times New Roman"/>
                <w:sz w:val="18"/>
              </w:rPr>
              <w:t>17,586,55</w:t>
            </w:r>
          </w:p>
          <w:p>
            <w:pPr>
              <w:pStyle w:val="TableParagraph"/>
              <w:spacing w:line="207" w:lineRule="exact"/>
              <w:ind w:left="494" w:right="0"/>
              <w:jc w:val="left"/>
              <w:rPr>
                <w:rFonts w:ascii="Times New Roman" w:hAnsi="Times New Roman" w:cs="Times New Roman" w:eastAsia="Times New Roman" w:hint="default"/>
                <w:sz w:val="18"/>
                <w:szCs w:val="18"/>
              </w:rPr>
            </w:pPr>
            <w:r>
              <w:rPr>
                <w:rFonts w:ascii="Times New Roman"/>
                <w:sz w:val="18"/>
              </w:rPr>
              <w:t>1.01</w:t>
            </w: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-17,586,551</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.01</w:t>
            </w: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25" w:right="71" w:hanging="104"/>
              <w:jc w:val="left"/>
              <w:rPr>
                <w:rFonts w:ascii="宋体" w:hAnsi="宋体" w:cs="宋体" w:eastAsia="宋体" w:hint="default"/>
                <w:sz w:val="18"/>
                <w:szCs w:val="18"/>
              </w:rPr>
            </w:pPr>
            <w:r>
              <w:rPr>
                <w:rFonts w:ascii="Times New Roman" w:hAnsi="Times New Roman" w:cs="Times New Roman" w:eastAsia="Times New Roman" w:hint="default"/>
                <w:spacing w:val="-42"/>
                <w:sz w:val="18"/>
                <w:szCs w:val="18"/>
              </w:rPr>
              <w:t>6</w:t>
            </w:r>
            <w:r>
              <w:rPr>
                <w:rFonts w:ascii="宋体" w:hAnsi="宋体" w:cs="宋体" w:eastAsia="宋体" w:hint="default"/>
                <w:spacing w:val="-42"/>
                <w:sz w:val="18"/>
                <w:szCs w:val="18"/>
              </w:rPr>
              <w:t>．其</w:t>
            </w:r>
            <w:r>
              <w:rPr>
                <w:rFonts w:ascii="宋体" w:hAnsi="宋体" w:cs="宋体" w:eastAsia="宋体" w:hint="default"/>
                <w:spacing w:val="-63"/>
                <w:sz w:val="18"/>
                <w:szCs w:val="18"/>
              </w:rPr>
              <w:t> </w:t>
            </w:r>
            <w:r>
              <w:rPr>
                <w:rFonts w:ascii="宋体" w:hAnsi="宋体" w:cs="宋体" w:eastAsia="宋体" w:hint="default"/>
                <w:sz w:val="18"/>
                <w:szCs w:val="18"/>
              </w:rPr>
              <w:t>他</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1087" w:hRule="exact"/>
        </w:trPr>
        <w:tc>
          <w:tcPr>
            <w:tcW w:w="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41"/>
              <w:ind w:left="37" w:right="0"/>
              <w:jc w:val="both"/>
              <w:rPr>
                <w:rFonts w:ascii="宋体" w:hAnsi="宋体" w:cs="宋体" w:eastAsia="宋体" w:hint="default"/>
                <w:sz w:val="18"/>
                <w:szCs w:val="18"/>
              </w:rPr>
            </w:pPr>
            <w:r>
              <w:rPr>
                <w:rFonts w:ascii="宋体" w:hAnsi="宋体" w:cs="宋体" w:eastAsia="宋体" w:hint="default"/>
                <w:sz w:val="18"/>
                <w:szCs w:val="18"/>
              </w:rPr>
              <w:t>（五</w:t>
            </w:r>
          </w:p>
          <w:p>
            <w:pPr>
              <w:pStyle w:val="TableParagraph"/>
              <w:spacing w:line="237" w:lineRule="auto"/>
              <w:ind w:left="37" w:right="23"/>
              <w:jc w:val="both"/>
              <w:rPr>
                <w:rFonts w:ascii="宋体" w:hAnsi="宋体" w:cs="宋体" w:eastAsia="宋体" w:hint="default"/>
                <w:sz w:val="18"/>
                <w:szCs w:val="18"/>
              </w:rPr>
            </w:pPr>
            <w:r>
              <w:rPr>
                <w:rFonts w:ascii="宋体" w:hAnsi="宋体" w:cs="宋体" w:eastAsia="宋体" w:hint="default"/>
                <w:sz w:val="18"/>
                <w:szCs w:val="18"/>
              </w:rPr>
              <w:t>）专 项储 备</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854" w:hRule="exact"/>
        </w:trPr>
        <w:tc>
          <w:tcPr>
            <w:tcW w:w="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37" w:right="23" w:hanging="15"/>
              <w:jc w:val="both"/>
              <w:rPr>
                <w:rFonts w:ascii="宋体" w:hAnsi="宋体" w:cs="宋体" w:eastAsia="宋体" w:hint="default"/>
                <w:sz w:val="18"/>
                <w:szCs w:val="18"/>
              </w:rPr>
            </w:pPr>
            <w:r>
              <w:rPr>
                <w:rFonts w:ascii="Times New Roman" w:hAnsi="Times New Roman" w:cs="Times New Roman" w:eastAsia="Times New Roman" w:hint="default"/>
                <w:spacing w:val="-42"/>
                <w:sz w:val="18"/>
                <w:szCs w:val="18"/>
              </w:rPr>
              <w:t>1</w:t>
            </w:r>
            <w:r>
              <w:rPr>
                <w:rFonts w:ascii="宋体" w:hAnsi="宋体" w:cs="宋体" w:eastAsia="宋体" w:hint="default"/>
                <w:spacing w:val="-42"/>
                <w:sz w:val="18"/>
                <w:szCs w:val="18"/>
              </w:rPr>
              <w:t>．本</w:t>
            </w:r>
            <w:r>
              <w:rPr>
                <w:rFonts w:ascii="宋体" w:hAnsi="宋体" w:cs="宋体" w:eastAsia="宋体" w:hint="default"/>
                <w:spacing w:val="-63"/>
                <w:sz w:val="18"/>
                <w:szCs w:val="18"/>
              </w:rPr>
              <w:t> </w:t>
            </w:r>
            <w:r>
              <w:rPr>
                <w:rFonts w:ascii="宋体" w:hAnsi="宋体" w:cs="宋体" w:eastAsia="宋体" w:hint="default"/>
                <w:sz w:val="18"/>
                <w:szCs w:val="18"/>
              </w:rPr>
              <w:t>期提</w:t>
            </w:r>
            <w:r>
              <w:rPr>
                <w:rFonts w:ascii="宋体" w:hAnsi="宋体" w:cs="宋体" w:eastAsia="宋体" w:hint="default"/>
                <w:sz w:val="18"/>
                <w:szCs w:val="18"/>
              </w:rPr>
              <w:t> 取</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432"/>
        <w:gridCol w:w="971"/>
        <w:gridCol w:w="187"/>
        <w:gridCol w:w="185"/>
        <w:gridCol w:w="185"/>
        <w:gridCol w:w="960"/>
        <w:gridCol w:w="905"/>
        <w:gridCol w:w="842"/>
        <w:gridCol w:w="185"/>
        <w:gridCol w:w="797"/>
        <w:gridCol w:w="185"/>
        <w:gridCol w:w="960"/>
        <w:gridCol w:w="185"/>
        <w:gridCol w:w="958"/>
        <w:gridCol w:w="799"/>
        <w:gridCol w:w="960"/>
      </w:tblGrid>
      <w:tr>
        <w:trPr>
          <w:trHeight w:val="854" w:hRule="exact"/>
        </w:trPr>
        <w:tc>
          <w:tcPr>
            <w:tcW w:w="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auto" w:before="48"/>
              <w:ind w:left="37" w:right="23" w:hanging="15"/>
              <w:jc w:val="both"/>
              <w:rPr>
                <w:rFonts w:ascii="宋体" w:hAnsi="宋体" w:cs="宋体" w:eastAsia="宋体" w:hint="default"/>
                <w:sz w:val="18"/>
                <w:szCs w:val="18"/>
              </w:rPr>
            </w:pPr>
            <w:r>
              <w:rPr>
                <w:rFonts w:ascii="Times New Roman" w:hAnsi="Times New Roman" w:cs="Times New Roman" w:eastAsia="Times New Roman" w:hint="default"/>
                <w:spacing w:val="-42"/>
                <w:sz w:val="18"/>
                <w:szCs w:val="18"/>
              </w:rPr>
              <w:t>2</w:t>
            </w:r>
            <w:r>
              <w:rPr>
                <w:rFonts w:ascii="宋体" w:hAnsi="宋体" w:cs="宋体" w:eastAsia="宋体" w:hint="default"/>
                <w:spacing w:val="-42"/>
                <w:sz w:val="18"/>
                <w:szCs w:val="18"/>
              </w:rPr>
              <w:t>．本</w:t>
            </w:r>
            <w:r>
              <w:rPr>
                <w:rFonts w:ascii="宋体" w:hAnsi="宋体" w:cs="宋体" w:eastAsia="宋体" w:hint="default"/>
                <w:spacing w:val="-63"/>
                <w:sz w:val="18"/>
                <w:szCs w:val="18"/>
              </w:rPr>
              <w:t> </w:t>
            </w:r>
            <w:r>
              <w:rPr>
                <w:rFonts w:ascii="宋体" w:hAnsi="宋体" w:cs="宋体" w:eastAsia="宋体" w:hint="default"/>
                <w:sz w:val="18"/>
                <w:szCs w:val="18"/>
              </w:rPr>
              <w:t>期使</w:t>
            </w:r>
            <w:r>
              <w:rPr>
                <w:rFonts w:ascii="宋体" w:hAnsi="宋体" w:cs="宋体" w:eastAsia="宋体" w:hint="default"/>
                <w:sz w:val="18"/>
                <w:szCs w:val="18"/>
              </w:rPr>
              <w:t> 用</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854" w:hRule="exact"/>
        </w:trPr>
        <w:tc>
          <w:tcPr>
            <w:tcW w:w="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41"/>
              <w:ind w:left="37" w:right="0"/>
              <w:jc w:val="left"/>
              <w:rPr>
                <w:rFonts w:ascii="宋体" w:hAnsi="宋体" w:cs="宋体" w:eastAsia="宋体" w:hint="default"/>
                <w:sz w:val="18"/>
                <w:szCs w:val="18"/>
              </w:rPr>
            </w:pPr>
            <w:r>
              <w:rPr>
                <w:rFonts w:ascii="宋体" w:hAnsi="宋体" w:cs="宋体" w:eastAsia="宋体" w:hint="default"/>
                <w:sz w:val="18"/>
                <w:szCs w:val="18"/>
              </w:rPr>
              <w:t>（六</w:t>
            </w:r>
          </w:p>
          <w:p>
            <w:pPr>
              <w:pStyle w:val="TableParagraph"/>
              <w:spacing w:line="240" w:lineRule="auto"/>
              <w:ind w:left="125" w:right="23" w:hanging="89"/>
              <w:jc w:val="left"/>
              <w:rPr>
                <w:rFonts w:ascii="宋体" w:hAnsi="宋体" w:cs="宋体" w:eastAsia="宋体" w:hint="default"/>
                <w:sz w:val="18"/>
                <w:szCs w:val="18"/>
              </w:rPr>
            </w:pPr>
            <w:r>
              <w:rPr>
                <w:rFonts w:ascii="宋体" w:hAnsi="宋体" w:cs="宋体" w:eastAsia="宋体" w:hint="default"/>
                <w:sz w:val="18"/>
                <w:szCs w:val="18"/>
              </w:rPr>
              <w:t>）其 他</w:t>
            </w:r>
          </w:p>
        </w:tc>
        <w:tc>
          <w:tcPr>
            <w:tcW w:w="971" w:type="dxa"/>
            <w:tcBorders>
              <w:top w:val="single" w:sz="4" w:space="0" w:color="000000"/>
              <w:left w:val="single" w:sz="10"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1087" w:hRule="exact"/>
        </w:trPr>
        <w:tc>
          <w:tcPr>
            <w:tcW w:w="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44"/>
              <w:ind w:left="37" w:right="23"/>
              <w:jc w:val="both"/>
              <w:rPr>
                <w:rFonts w:ascii="宋体" w:hAnsi="宋体" w:cs="宋体" w:eastAsia="宋体" w:hint="default"/>
                <w:sz w:val="18"/>
                <w:szCs w:val="18"/>
              </w:rPr>
            </w:pPr>
            <w:r>
              <w:rPr>
                <w:rFonts w:ascii="宋体" w:hAnsi="宋体" w:cs="宋体" w:eastAsia="宋体" w:hint="default"/>
                <w:sz w:val="18"/>
                <w:szCs w:val="18"/>
              </w:rPr>
              <w:t>四、 本期 期末 余额</w:t>
            </w:r>
          </w:p>
        </w:tc>
        <w:tc>
          <w:tcPr>
            <w:tcW w:w="97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77" w:right="0"/>
              <w:jc w:val="left"/>
              <w:rPr>
                <w:rFonts w:ascii="Times New Roman" w:hAnsi="Times New Roman" w:cs="Times New Roman" w:eastAsia="Times New Roman" w:hint="default"/>
                <w:sz w:val="18"/>
                <w:szCs w:val="18"/>
              </w:rPr>
            </w:pPr>
            <w:r>
              <w:rPr>
                <w:rFonts w:ascii="Times New Roman"/>
                <w:sz w:val="18"/>
              </w:rPr>
              <w:t>1,747,134,5</w:t>
            </w:r>
          </w:p>
          <w:p>
            <w:pPr>
              <w:pStyle w:val="TableParagraph"/>
              <w:spacing w:line="240" w:lineRule="auto" w:before="2"/>
              <w:ind w:left="526" w:right="0"/>
              <w:jc w:val="left"/>
              <w:rPr>
                <w:rFonts w:ascii="Times New Roman" w:hAnsi="Times New Roman" w:cs="Times New Roman" w:eastAsia="Times New Roman" w:hint="default"/>
                <w:sz w:val="18"/>
                <w:szCs w:val="18"/>
              </w:rPr>
            </w:pPr>
            <w:r>
              <w:rPr>
                <w:rFonts w:ascii="Times New Roman"/>
                <w:sz w:val="18"/>
              </w:rPr>
              <w:t>95.00</w:t>
            </w: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71" w:right="0"/>
              <w:jc w:val="left"/>
              <w:rPr>
                <w:rFonts w:ascii="Times New Roman" w:hAnsi="Times New Roman" w:cs="Times New Roman" w:eastAsia="Times New Roman" w:hint="default"/>
                <w:sz w:val="18"/>
                <w:szCs w:val="18"/>
              </w:rPr>
            </w:pPr>
            <w:r>
              <w:rPr>
                <w:rFonts w:ascii="Times New Roman"/>
                <w:sz w:val="18"/>
              </w:rPr>
              <w:t>2,441,940,1</w:t>
            </w:r>
          </w:p>
          <w:p>
            <w:pPr>
              <w:pStyle w:val="TableParagraph"/>
              <w:spacing w:line="240" w:lineRule="auto" w:before="2"/>
              <w:ind w:left="520" w:right="0"/>
              <w:jc w:val="left"/>
              <w:rPr>
                <w:rFonts w:ascii="Times New Roman" w:hAnsi="Times New Roman" w:cs="Times New Roman" w:eastAsia="Times New Roman" w:hint="default"/>
                <w:sz w:val="18"/>
                <w:szCs w:val="18"/>
              </w:rPr>
            </w:pPr>
            <w:r>
              <w:rPr>
                <w:rFonts w:ascii="Times New Roman"/>
                <w:sz w:val="18"/>
              </w:rPr>
              <w:t>76.35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6"/>
              <w:jc w:val="right"/>
              <w:rPr>
                <w:rFonts w:ascii="Times New Roman" w:hAnsi="Times New Roman" w:cs="Times New Roman" w:eastAsia="Times New Roman" w:hint="default"/>
                <w:sz w:val="18"/>
                <w:szCs w:val="18"/>
              </w:rPr>
            </w:pPr>
            <w:r>
              <w:rPr>
                <w:rFonts w:ascii="Times New Roman"/>
                <w:sz w:val="18"/>
              </w:rPr>
              <w:t>90,103,360</w:t>
            </w:r>
          </w:p>
          <w:p>
            <w:pPr>
              <w:pStyle w:val="TableParagraph"/>
              <w:spacing w:line="240" w:lineRule="auto" w:before="2"/>
              <w:ind w:right="18"/>
              <w:jc w:val="right"/>
              <w:rPr>
                <w:rFonts w:ascii="Times New Roman" w:hAnsi="Times New Roman" w:cs="Times New Roman" w:eastAsia="Times New Roman" w:hint="default"/>
                <w:sz w:val="18"/>
                <w:szCs w:val="18"/>
              </w:rPr>
            </w:pPr>
            <w:r>
              <w:rPr>
                <w:rFonts w:ascii="Times New Roman"/>
                <w:sz w:val="18"/>
              </w:rPr>
              <w:t>.00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z w:val="18"/>
              </w:rPr>
              <w:t>4,160,572.</w:t>
            </w:r>
          </w:p>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17</w:t>
            </w:r>
          </w:p>
        </w:tc>
        <w:tc>
          <w:tcPr>
            <w:tcW w:w="18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45" w:right="0"/>
              <w:jc w:val="left"/>
              <w:rPr>
                <w:rFonts w:ascii="Times New Roman" w:hAnsi="Times New Roman" w:cs="Times New Roman" w:eastAsia="Times New Roman" w:hint="default"/>
                <w:sz w:val="18"/>
                <w:szCs w:val="18"/>
              </w:rPr>
            </w:pPr>
            <w:r>
              <w:rPr>
                <w:rFonts w:ascii="Times New Roman"/>
                <w:sz w:val="18"/>
              </w:rPr>
              <w:t>50,173,50</w:t>
            </w:r>
          </w:p>
          <w:p>
            <w:pPr>
              <w:pStyle w:val="TableParagraph"/>
              <w:spacing w:line="240" w:lineRule="auto" w:before="2"/>
              <w:ind w:left="451" w:right="0"/>
              <w:jc w:val="left"/>
              <w:rPr>
                <w:rFonts w:ascii="Times New Roman" w:hAnsi="Times New Roman" w:cs="Times New Roman" w:eastAsia="Times New Roman" w:hint="default"/>
                <w:sz w:val="18"/>
                <w:szCs w:val="18"/>
              </w:rPr>
            </w:pPr>
            <w:r>
              <w:rPr>
                <w:rFonts w:ascii="Times New Roman"/>
                <w:sz w:val="18"/>
              </w:rPr>
              <w:t>7.71</w:t>
            </w:r>
          </w:p>
        </w:tc>
        <w:tc>
          <w:tcPr>
            <w:tcW w:w="18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71" w:right="0"/>
              <w:jc w:val="left"/>
              <w:rPr>
                <w:rFonts w:ascii="Times New Roman" w:hAnsi="Times New Roman" w:cs="Times New Roman" w:eastAsia="Times New Roman" w:hint="default"/>
                <w:sz w:val="18"/>
                <w:szCs w:val="18"/>
              </w:rPr>
            </w:pPr>
            <w:r>
              <w:rPr>
                <w:rFonts w:ascii="Times New Roman"/>
                <w:sz w:val="18"/>
              </w:rPr>
              <w:t>1,096,830,8</w:t>
            </w:r>
          </w:p>
          <w:p>
            <w:pPr>
              <w:pStyle w:val="TableParagraph"/>
              <w:spacing w:line="240" w:lineRule="auto" w:before="2"/>
              <w:ind w:left="520" w:right="0"/>
              <w:jc w:val="left"/>
              <w:rPr>
                <w:rFonts w:ascii="Times New Roman" w:hAnsi="Times New Roman" w:cs="Times New Roman" w:eastAsia="Times New Roman" w:hint="default"/>
                <w:sz w:val="18"/>
                <w:szCs w:val="18"/>
              </w:rPr>
            </w:pPr>
            <w:r>
              <w:rPr>
                <w:rFonts w:ascii="Times New Roman"/>
                <w:sz w:val="18"/>
              </w:rPr>
              <w:t>05.06</w:t>
            </w:r>
          </w:p>
        </w:tc>
        <w:tc>
          <w:tcPr>
            <w:tcW w:w="18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71" w:right="0"/>
              <w:jc w:val="left"/>
              <w:rPr>
                <w:rFonts w:ascii="Times New Roman" w:hAnsi="Times New Roman" w:cs="Times New Roman" w:eastAsia="Times New Roman" w:hint="default"/>
                <w:sz w:val="18"/>
                <w:szCs w:val="18"/>
              </w:rPr>
            </w:pPr>
            <w:r>
              <w:rPr>
                <w:rFonts w:ascii="Times New Roman"/>
                <w:sz w:val="18"/>
              </w:rPr>
              <w:t>5,250,136,2</w:t>
            </w:r>
          </w:p>
          <w:p>
            <w:pPr>
              <w:pStyle w:val="TableParagraph"/>
              <w:spacing w:line="240" w:lineRule="auto" w:before="2"/>
              <w:ind w:left="520" w:right="0"/>
              <w:jc w:val="left"/>
              <w:rPr>
                <w:rFonts w:ascii="Times New Roman" w:hAnsi="Times New Roman" w:cs="Times New Roman" w:eastAsia="Times New Roman" w:hint="default"/>
                <w:sz w:val="18"/>
                <w:szCs w:val="18"/>
              </w:rPr>
            </w:pPr>
            <w:r>
              <w:rPr>
                <w:rFonts w:ascii="Times New Roman"/>
                <w:sz w:val="18"/>
              </w:rPr>
              <w:t>96.29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47" w:right="0"/>
              <w:jc w:val="left"/>
              <w:rPr>
                <w:rFonts w:ascii="Times New Roman" w:hAnsi="Times New Roman" w:cs="Times New Roman" w:eastAsia="Times New Roman" w:hint="default"/>
                <w:sz w:val="18"/>
                <w:szCs w:val="18"/>
              </w:rPr>
            </w:pPr>
            <w:r>
              <w:rPr>
                <w:rFonts w:ascii="Times New Roman"/>
                <w:sz w:val="18"/>
              </w:rPr>
              <w:t>99,371,71</w:t>
            </w:r>
          </w:p>
          <w:p>
            <w:pPr>
              <w:pStyle w:val="TableParagraph"/>
              <w:spacing w:line="240" w:lineRule="auto" w:before="2"/>
              <w:ind w:left="453" w:right="0"/>
              <w:jc w:val="left"/>
              <w:rPr>
                <w:rFonts w:ascii="Times New Roman" w:hAnsi="Times New Roman" w:cs="Times New Roman" w:eastAsia="Times New Roman" w:hint="default"/>
                <w:sz w:val="18"/>
                <w:szCs w:val="18"/>
              </w:rPr>
            </w:pPr>
            <w:r>
              <w:rPr>
                <w:rFonts w:ascii="Times New Roman"/>
                <w:sz w:val="18"/>
              </w:rPr>
              <w:t>9.19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71" w:right="0"/>
              <w:jc w:val="left"/>
              <w:rPr>
                <w:rFonts w:ascii="Times New Roman" w:hAnsi="Times New Roman" w:cs="Times New Roman" w:eastAsia="Times New Roman" w:hint="default"/>
                <w:sz w:val="18"/>
                <w:szCs w:val="18"/>
              </w:rPr>
            </w:pPr>
            <w:r>
              <w:rPr>
                <w:rFonts w:ascii="Times New Roman"/>
                <w:sz w:val="18"/>
              </w:rPr>
              <w:t>5,349,508,0</w:t>
            </w:r>
          </w:p>
          <w:p>
            <w:pPr>
              <w:pStyle w:val="TableParagraph"/>
              <w:spacing w:line="240" w:lineRule="auto" w:before="2"/>
              <w:ind w:left="520" w:right="0"/>
              <w:jc w:val="left"/>
              <w:rPr>
                <w:rFonts w:ascii="Times New Roman" w:hAnsi="Times New Roman" w:cs="Times New Roman" w:eastAsia="Times New Roman" w:hint="default"/>
                <w:sz w:val="18"/>
                <w:szCs w:val="18"/>
              </w:rPr>
            </w:pPr>
            <w:r>
              <w:rPr>
                <w:rFonts w:ascii="Times New Roman"/>
                <w:sz w:val="18"/>
              </w:rPr>
              <w:t>15.48</w:t>
            </w:r>
          </w:p>
        </w:tc>
      </w:tr>
    </w:tbl>
    <w:p>
      <w:pPr>
        <w:pStyle w:val="BodyText"/>
        <w:spacing w:line="240" w:lineRule="auto" w:before="64"/>
        <w:ind w:right="1127"/>
        <w:jc w:val="left"/>
      </w:pPr>
      <w:r>
        <w:rPr/>
        <w:t>上期金额</w:t>
      </w:r>
    </w:p>
    <w:p>
      <w:pPr>
        <w:spacing w:line="240" w:lineRule="auto" w:before="1"/>
        <w:rPr>
          <w:rFonts w:ascii="宋体" w:hAnsi="宋体" w:cs="宋体" w:eastAsia="宋体" w:hint="default"/>
          <w:sz w:val="15"/>
          <w:szCs w:val="15"/>
        </w:rPr>
      </w:pPr>
    </w:p>
    <w:p>
      <w:pPr>
        <w:pStyle w:val="BodyText"/>
        <w:spacing w:line="240" w:lineRule="auto" w:before="36"/>
        <w:ind w:left="0" w:right="1130"/>
        <w:jc w:val="right"/>
      </w:pPr>
      <w:r>
        <w:rPr>
          <w:spacing w:val="-1"/>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44"/>
        <w:ind w:left="6793" w:right="3950" w:firstLine="0"/>
        <w:jc w:val="center"/>
        <w:rPr>
          <w:rFonts w:ascii="宋体" w:hAnsi="宋体" w:cs="宋体" w:eastAsia="宋体" w:hint="default"/>
          <w:sz w:val="18"/>
          <w:szCs w:val="18"/>
        </w:rPr>
      </w:pPr>
      <w:r>
        <w:rPr/>
        <w:pict>
          <v:shape style="position:absolute;margin-left:55.560001pt;margin-top:-66.249275pt;width:484.95pt;height:491.0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8"/>
                    <w:gridCol w:w="985"/>
                    <w:gridCol w:w="187"/>
                    <w:gridCol w:w="187"/>
                    <w:gridCol w:w="94"/>
                    <w:gridCol w:w="91"/>
                    <w:gridCol w:w="974"/>
                    <w:gridCol w:w="876"/>
                    <w:gridCol w:w="746"/>
                    <w:gridCol w:w="187"/>
                    <w:gridCol w:w="809"/>
                    <w:gridCol w:w="187"/>
                    <w:gridCol w:w="876"/>
                    <w:gridCol w:w="95"/>
                    <w:gridCol w:w="92"/>
                    <w:gridCol w:w="974"/>
                    <w:gridCol w:w="919"/>
                    <w:gridCol w:w="974"/>
                  </w:tblGrid>
                  <w:tr>
                    <w:trPr>
                      <w:trHeight w:val="386" w:hRule="exact"/>
                    </w:trPr>
                    <w:tc>
                      <w:tcPr>
                        <w:tcW w:w="428" w:type="dxa"/>
                        <w:vMerge w:val="restart"/>
                        <w:tcBorders>
                          <w:top w:val="single" w:sz="4" w:space="0" w:color="000000"/>
                          <w:left w:val="single" w:sz="4" w:space="0" w:color="000000"/>
                          <w:right w:val="single" w:sz="4" w:space="0" w:color="000000"/>
                        </w:tcBorders>
                        <w:shd w:val="clear" w:color="auto" w:fill="D4D4D4"/>
                      </w:tcPr>
                      <w:p>
                        <w:pPr/>
                      </w:p>
                    </w:tc>
                    <w:tc>
                      <w:tcPr>
                        <w:tcW w:w="9256" w:type="dxa"/>
                        <w:gridSpan w:val="1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r>
                  <w:tr>
                    <w:trPr>
                      <w:trHeight w:val="430" w:hRule="exact"/>
                    </w:trPr>
                    <w:tc>
                      <w:tcPr>
                        <w:tcW w:w="428" w:type="dxa"/>
                        <w:vMerge/>
                        <w:tcBorders>
                          <w:left w:val="single" w:sz="4" w:space="0" w:color="000000"/>
                          <w:right w:val="single" w:sz="4" w:space="0" w:color="000000"/>
                        </w:tcBorders>
                        <w:shd w:val="clear" w:color="auto" w:fill="D4D4D4"/>
                      </w:tcPr>
                      <w:p>
                        <w:pPr/>
                      </w:p>
                    </w:tc>
                    <w:tc>
                      <w:tcPr>
                        <w:tcW w:w="7362" w:type="dxa"/>
                        <w:gridSpan w:val="15"/>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41"/>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919" w:type="dxa"/>
                        <w:vMerge w:val="restart"/>
                        <w:tcBorders>
                          <w:top w:val="single" w:sz="4" w:space="0" w:color="000000"/>
                          <w:left w:val="single" w:sz="4" w:space="0" w:color="000000"/>
                          <w:right w:val="single" w:sz="4" w:space="0" w:color="000000"/>
                        </w:tcBorders>
                        <w:shd w:val="clear" w:color="auto" w:fill="D4D4D4"/>
                      </w:tcPr>
                      <w:p>
                        <w:pPr/>
                      </w:p>
                    </w:tc>
                    <w:tc>
                      <w:tcPr>
                        <w:tcW w:w="974" w:type="dxa"/>
                        <w:vMerge w:val="restart"/>
                        <w:tcBorders>
                          <w:top w:val="single" w:sz="4" w:space="0" w:color="000000"/>
                          <w:left w:val="single" w:sz="4" w:space="0" w:color="000000"/>
                          <w:right w:val="single" w:sz="4" w:space="0" w:color="000000"/>
                        </w:tcBorders>
                        <w:shd w:val="clear" w:color="auto" w:fill="D4D4D4"/>
                      </w:tcPr>
                      <w:p>
                        <w:pPr/>
                      </w:p>
                    </w:tc>
                  </w:tr>
                  <w:tr>
                    <w:trPr>
                      <w:trHeight w:val="276" w:hRule="exact"/>
                    </w:trPr>
                    <w:tc>
                      <w:tcPr>
                        <w:tcW w:w="428" w:type="dxa"/>
                        <w:vMerge/>
                        <w:tcBorders>
                          <w:left w:val="single" w:sz="4" w:space="0" w:color="000000"/>
                          <w:bottom w:val="nil" w:sz="6" w:space="0" w:color="auto"/>
                          <w:right w:val="single" w:sz="4" w:space="0" w:color="000000"/>
                        </w:tcBorders>
                        <w:shd w:val="clear" w:color="auto" w:fill="D4D4D4"/>
                      </w:tcPr>
                      <w:p>
                        <w:pPr/>
                      </w:p>
                    </w:tc>
                    <w:tc>
                      <w:tcPr>
                        <w:tcW w:w="985" w:type="dxa"/>
                        <w:vMerge w:val="restart"/>
                        <w:tcBorders>
                          <w:top w:val="single" w:sz="4" w:space="0" w:color="FFFFFF"/>
                          <w:left w:val="single" w:sz="4" w:space="0" w:color="000000"/>
                          <w:right w:val="single" w:sz="4" w:space="0" w:color="000000"/>
                        </w:tcBorders>
                        <w:shd w:val="clear" w:color="auto" w:fill="D4D4D4"/>
                      </w:tcPr>
                      <w:p>
                        <w:pPr/>
                      </w:p>
                    </w:tc>
                    <w:tc>
                      <w:tcPr>
                        <w:tcW w:w="559" w:type="dxa"/>
                        <w:gridSpan w:val="4"/>
                        <w:vMerge w:val="restart"/>
                        <w:tcBorders>
                          <w:top w:val="single" w:sz="4" w:space="0" w:color="FFFFFF"/>
                          <w:left w:val="single" w:sz="4" w:space="0" w:color="000000"/>
                          <w:right w:val="single" w:sz="4" w:space="0" w:color="000000"/>
                        </w:tcBorders>
                        <w:shd w:val="clear" w:color="auto" w:fill="D4D4D4"/>
                      </w:tcPr>
                      <w:p>
                        <w:pPr>
                          <w:pStyle w:val="TableParagraph"/>
                          <w:spacing w:line="232" w:lineRule="exact" w:before="25"/>
                          <w:ind w:left="96" w:right="91"/>
                          <w:jc w:val="both"/>
                          <w:rPr>
                            <w:rFonts w:ascii="宋体" w:hAnsi="宋体" w:cs="宋体" w:eastAsia="宋体" w:hint="default"/>
                            <w:sz w:val="18"/>
                            <w:szCs w:val="18"/>
                          </w:rPr>
                        </w:pPr>
                        <w:r>
                          <w:rPr>
                            <w:rFonts w:ascii="宋体" w:hAnsi="宋体" w:cs="宋体" w:eastAsia="宋体" w:hint="default"/>
                            <w:sz w:val="18"/>
                            <w:szCs w:val="18"/>
                          </w:rPr>
                          <w:t>其他 权益 工具</w:t>
                        </w:r>
                      </w:p>
                    </w:tc>
                    <w:tc>
                      <w:tcPr>
                        <w:tcW w:w="974" w:type="dxa"/>
                        <w:vMerge w:val="restart"/>
                        <w:tcBorders>
                          <w:top w:val="single" w:sz="4" w:space="0" w:color="FFFFFF"/>
                          <w:left w:val="single" w:sz="4" w:space="0" w:color="000000"/>
                          <w:right w:val="single" w:sz="4" w:space="0" w:color="000000"/>
                        </w:tcBorders>
                        <w:shd w:val="clear" w:color="auto" w:fill="D4D4D4"/>
                      </w:tcPr>
                      <w:p>
                        <w:pPr/>
                      </w:p>
                    </w:tc>
                    <w:tc>
                      <w:tcPr>
                        <w:tcW w:w="876" w:type="dxa"/>
                        <w:vMerge w:val="restart"/>
                        <w:tcBorders>
                          <w:top w:val="single" w:sz="4" w:space="0" w:color="FFFFFF"/>
                          <w:left w:val="single" w:sz="4" w:space="0" w:color="000000"/>
                          <w:right w:val="single" w:sz="4" w:space="0" w:color="000000"/>
                        </w:tcBorders>
                        <w:shd w:val="clear" w:color="auto" w:fill="D4D4D4"/>
                      </w:tcPr>
                      <w:p>
                        <w:pPr/>
                      </w:p>
                    </w:tc>
                    <w:tc>
                      <w:tcPr>
                        <w:tcW w:w="746" w:type="dxa"/>
                        <w:vMerge w:val="restart"/>
                        <w:tcBorders>
                          <w:top w:val="single" w:sz="4" w:space="0" w:color="FFFFFF"/>
                          <w:left w:val="single" w:sz="4" w:space="0" w:color="000000"/>
                          <w:right w:val="single" w:sz="4" w:space="0" w:color="000000"/>
                        </w:tcBorders>
                        <w:shd w:val="clear" w:color="auto" w:fill="D4D4D4"/>
                      </w:tcPr>
                      <w:p>
                        <w:pPr/>
                      </w:p>
                    </w:tc>
                    <w:tc>
                      <w:tcPr>
                        <w:tcW w:w="187"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3"/>
                            <w:szCs w:val="23"/>
                          </w:rPr>
                        </w:pPr>
                      </w:p>
                      <w:p>
                        <w:pPr>
                          <w:pStyle w:val="TableParagraph"/>
                          <w:spacing w:line="237" w:lineRule="auto"/>
                          <w:ind w:left="23" w:right="-27"/>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809" w:type="dxa"/>
                        <w:vMerge w:val="restart"/>
                        <w:tcBorders>
                          <w:top w:val="single" w:sz="4" w:space="0" w:color="FFFFFF"/>
                          <w:left w:val="single" w:sz="4" w:space="0" w:color="000000"/>
                          <w:right w:val="single" w:sz="4" w:space="0" w:color="000000"/>
                        </w:tcBorders>
                        <w:shd w:val="clear" w:color="auto" w:fill="D4D4D4"/>
                      </w:tcPr>
                      <w:p>
                        <w:pPr/>
                      </w:p>
                    </w:tc>
                    <w:tc>
                      <w:tcPr>
                        <w:tcW w:w="187" w:type="dxa"/>
                        <w:vMerge w:val="restart"/>
                        <w:tcBorders>
                          <w:top w:val="single" w:sz="4" w:space="0" w:color="FFFFFF"/>
                          <w:left w:val="single" w:sz="4" w:space="0" w:color="000000"/>
                          <w:right w:val="single" w:sz="4" w:space="0" w:color="000000"/>
                        </w:tcBorders>
                        <w:shd w:val="clear" w:color="auto" w:fill="D4D4D4"/>
                      </w:tcPr>
                      <w:p>
                        <w:pPr>
                          <w:pStyle w:val="TableParagraph"/>
                          <w:spacing w:line="237" w:lineRule="auto" w:before="80"/>
                          <w:ind w:left="23" w:right="-27"/>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876" w:type="dxa"/>
                        <w:vMerge w:val="restart"/>
                        <w:tcBorders>
                          <w:top w:val="single" w:sz="4" w:space="0" w:color="FFFFFF"/>
                          <w:left w:val="single" w:sz="4" w:space="0" w:color="000000"/>
                          <w:right w:val="single" w:sz="4" w:space="0" w:color="000000"/>
                        </w:tcBorders>
                        <w:shd w:val="clear" w:color="auto" w:fill="D4D4D4"/>
                      </w:tcPr>
                      <w:p>
                        <w:pPr/>
                      </w:p>
                    </w:tc>
                    <w:tc>
                      <w:tcPr>
                        <w:tcW w:w="187" w:type="dxa"/>
                        <w:gridSpan w:val="2"/>
                        <w:vMerge w:val="restart"/>
                        <w:tcBorders>
                          <w:top w:val="single" w:sz="4" w:space="0" w:color="FFFFFF"/>
                          <w:left w:val="single" w:sz="4" w:space="0" w:color="000000"/>
                          <w:right w:val="single" w:sz="4" w:space="0" w:color="000000"/>
                        </w:tcBorders>
                        <w:shd w:val="clear" w:color="auto" w:fill="D4D4D4"/>
                      </w:tcPr>
                      <w:p>
                        <w:pPr/>
                      </w:p>
                    </w:tc>
                    <w:tc>
                      <w:tcPr>
                        <w:tcW w:w="974" w:type="dxa"/>
                        <w:vMerge w:val="restart"/>
                        <w:tcBorders>
                          <w:top w:val="single" w:sz="4" w:space="0" w:color="FFFFFF"/>
                          <w:left w:val="single" w:sz="4" w:space="0" w:color="000000"/>
                          <w:right w:val="single" w:sz="4" w:space="0" w:color="000000"/>
                        </w:tcBorders>
                        <w:shd w:val="clear" w:color="auto" w:fill="D4D4D4"/>
                      </w:tcPr>
                      <w:p>
                        <w:pPr/>
                      </w:p>
                    </w:tc>
                    <w:tc>
                      <w:tcPr>
                        <w:tcW w:w="919" w:type="dxa"/>
                        <w:vMerge/>
                        <w:tcBorders>
                          <w:left w:val="single" w:sz="4" w:space="0" w:color="000000"/>
                          <w:bottom w:val="nil" w:sz="6" w:space="0" w:color="auto"/>
                          <w:right w:val="single" w:sz="4" w:space="0" w:color="000000"/>
                        </w:tcBorders>
                        <w:shd w:val="clear" w:color="auto" w:fill="D4D4D4"/>
                      </w:tcPr>
                      <w:p>
                        <w:pPr/>
                      </w:p>
                    </w:tc>
                    <w:tc>
                      <w:tcPr>
                        <w:tcW w:w="974" w:type="dxa"/>
                        <w:vMerge/>
                        <w:tcBorders>
                          <w:left w:val="single" w:sz="4" w:space="0" w:color="000000"/>
                          <w:bottom w:val="nil" w:sz="6" w:space="0" w:color="auto"/>
                          <w:right w:val="single" w:sz="4" w:space="0" w:color="000000"/>
                        </w:tcBorders>
                        <w:shd w:val="clear" w:color="auto" w:fill="D4D4D4"/>
                      </w:tcPr>
                      <w:p>
                        <w:pPr/>
                      </w:p>
                    </w:tc>
                  </w:tr>
                  <w:tr>
                    <w:trPr>
                      <w:trHeight w:val="230" w:hRule="exact"/>
                    </w:trPr>
                    <w:tc>
                      <w:tcPr>
                        <w:tcW w:w="42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
                          <w:ind w:left="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85" w:type="dxa"/>
                        <w:vMerge/>
                        <w:tcBorders>
                          <w:left w:val="single" w:sz="4" w:space="0" w:color="000000"/>
                          <w:right w:val="single" w:sz="4" w:space="0" w:color="000000"/>
                        </w:tcBorders>
                        <w:shd w:val="clear" w:color="auto" w:fill="D4D4D4"/>
                      </w:tcPr>
                      <w:p>
                        <w:pPr/>
                      </w:p>
                    </w:tc>
                    <w:tc>
                      <w:tcPr>
                        <w:tcW w:w="559" w:type="dxa"/>
                        <w:gridSpan w:val="4"/>
                        <w:vMerge/>
                        <w:tcBorders>
                          <w:left w:val="single" w:sz="4" w:space="0" w:color="000000"/>
                          <w:right w:val="single" w:sz="4" w:space="0" w:color="000000"/>
                        </w:tcBorders>
                        <w:shd w:val="clear" w:color="auto" w:fill="D4D4D4"/>
                      </w:tcPr>
                      <w:p>
                        <w:pPr/>
                      </w:p>
                    </w:tc>
                    <w:tc>
                      <w:tcPr>
                        <w:tcW w:w="974" w:type="dxa"/>
                        <w:vMerge/>
                        <w:tcBorders>
                          <w:left w:val="single" w:sz="4" w:space="0" w:color="000000"/>
                          <w:right w:val="single" w:sz="4" w:space="0" w:color="000000"/>
                        </w:tcBorders>
                        <w:shd w:val="clear" w:color="auto" w:fill="D4D4D4"/>
                      </w:tcPr>
                      <w:p>
                        <w:pPr/>
                      </w:p>
                    </w:tc>
                    <w:tc>
                      <w:tcPr>
                        <w:tcW w:w="876" w:type="dxa"/>
                        <w:vMerge/>
                        <w:tcBorders>
                          <w:left w:val="single" w:sz="4" w:space="0" w:color="000000"/>
                          <w:right w:val="single" w:sz="4" w:space="0" w:color="000000"/>
                        </w:tcBorders>
                        <w:shd w:val="clear" w:color="auto" w:fill="D4D4D4"/>
                      </w:tcPr>
                      <w:p>
                        <w:pPr/>
                      </w:p>
                    </w:tc>
                    <w:tc>
                      <w:tcPr>
                        <w:tcW w:w="746" w:type="dxa"/>
                        <w:vMerge/>
                        <w:tcBorders>
                          <w:left w:val="single" w:sz="4" w:space="0" w:color="000000"/>
                          <w:bottom w:val="nil" w:sz="6" w:space="0" w:color="auto"/>
                          <w:right w:val="single" w:sz="4" w:space="0" w:color="000000"/>
                        </w:tcBorders>
                        <w:shd w:val="clear" w:color="auto" w:fill="D4D4D4"/>
                      </w:tcPr>
                      <w:p>
                        <w:pPr/>
                      </w:p>
                    </w:tc>
                    <w:tc>
                      <w:tcPr>
                        <w:tcW w:w="187" w:type="dxa"/>
                        <w:vMerge/>
                        <w:tcBorders>
                          <w:left w:val="single" w:sz="4" w:space="0" w:color="000000"/>
                          <w:right w:val="single" w:sz="4" w:space="0" w:color="000000"/>
                        </w:tcBorders>
                        <w:shd w:val="clear" w:color="auto" w:fill="D4D4D4"/>
                      </w:tcPr>
                      <w:p>
                        <w:pPr/>
                      </w:p>
                    </w:tc>
                    <w:tc>
                      <w:tcPr>
                        <w:tcW w:w="809" w:type="dxa"/>
                        <w:vMerge/>
                        <w:tcBorders>
                          <w:left w:val="single" w:sz="4" w:space="0" w:color="000000"/>
                          <w:right w:val="single" w:sz="4" w:space="0" w:color="000000"/>
                        </w:tcBorders>
                        <w:shd w:val="clear" w:color="auto" w:fill="D4D4D4"/>
                      </w:tcPr>
                      <w:p>
                        <w:pPr/>
                      </w:p>
                    </w:tc>
                    <w:tc>
                      <w:tcPr>
                        <w:tcW w:w="187" w:type="dxa"/>
                        <w:vMerge/>
                        <w:tcBorders>
                          <w:left w:val="single" w:sz="4" w:space="0" w:color="000000"/>
                          <w:right w:val="single" w:sz="4" w:space="0" w:color="000000"/>
                        </w:tcBorders>
                        <w:shd w:val="clear" w:color="auto" w:fill="D4D4D4"/>
                      </w:tcPr>
                      <w:p>
                        <w:pPr/>
                      </w:p>
                    </w:tc>
                    <w:tc>
                      <w:tcPr>
                        <w:tcW w:w="876" w:type="dxa"/>
                        <w:vMerge/>
                        <w:tcBorders>
                          <w:left w:val="single" w:sz="4" w:space="0" w:color="000000"/>
                          <w:bottom w:val="nil" w:sz="6" w:space="0" w:color="auto"/>
                          <w:right w:val="single" w:sz="4" w:space="0" w:color="000000"/>
                        </w:tcBorders>
                        <w:shd w:val="clear" w:color="auto" w:fill="D4D4D4"/>
                      </w:tcPr>
                      <w:p>
                        <w:pPr/>
                      </w:p>
                    </w:tc>
                    <w:tc>
                      <w:tcPr>
                        <w:tcW w:w="187" w:type="dxa"/>
                        <w:gridSpan w:val="2"/>
                        <w:vMerge/>
                        <w:tcBorders>
                          <w:left w:val="single" w:sz="4" w:space="0" w:color="000000"/>
                          <w:bottom w:val="nil" w:sz="6" w:space="0" w:color="auto"/>
                          <w:right w:val="single" w:sz="4" w:space="0" w:color="000000"/>
                        </w:tcBorders>
                        <w:shd w:val="clear" w:color="auto" w:fill="D4D4D4"/>
                      </w:tcPr>
                      <w:p>
                        <w:pPr/>
                      </w:p>
                    </w:tc>
                    <w:tc>
                      <w:tcPr>
                        <w:tcW w:w="974" w:type="dxa"/>
                        <w:vMerge/>
                        <w:tcBorders>
                          <w:left w:val="single" w:sz="4" w:space="0" w:color="000000"/>
                          <w:right w:val="single" w:sz="4" w:space="0" w:color="000000"/>
                        </w:tcBorders>
                        <w:shd w:val="clear" w:color="auto" w:fill="D4D4D4"/>
                      </w:tcPr>
                      <w:p>
                        <w:pPr/>
                      </w:p>
                    </w:tc>
                    <w:tc>
                      <w:tcPr>
                        <w:tcW w:w="919" w:type="dxa"/>
                        <w:vMerge w:val="restart"/>
                        <w:tcBorders>
                          <w:top w:val="nil" w:sz="6" w:space="0" w:color="auto"/>
                          <w:left w:val="single" w:sz="4" w:space="0" w:color="000000"/>
                          <w:right w:val="single" w:sz="4" w:space="0" w:color="000000"/>
                        </w:tcBorders>
                        <w:shd w:val="clear" w:color="auto" w:fill="D4D4D4"/>
                      </w:tcPr>
                      <w:p>
                        <w:pPr>
                          <w:pStyle w:val="TableParagraph"/>
                          <w:spacing w:line="232" w:lineRule="exact" w:before="105"/>
                          <w:ind w:left="275" w:right="9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974" w:type="dxa"/>
                        <w:vMerge w:val="restart"/>
                        <w:tcBorders>
                          <w:top w:val="nil" w:sz="6" w:space="0" w:color="auto"/>
                          <w:left w:val="single" w:sz="4" w:space="0" w:color="000000"/>
                          <w:right w:val="single" w:sz="4" w:space="0" w:color="000000"/>
                        </w:tcBorders>
                        <w:shd w:val="clear" w:color="auto" w:fill="D4D4D4"/>
                      </w:tcPr>
                      <w:p>
                        <w:pPr>
                          <w:pStyle w:val="TableParagraph"/>
                          <w:spacing w:line="232" w:lineRule="exact" w:before="105"/>
                          <w:ind w:left="302" w:right="31" w:hanging="272"/>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118" w:hRule="exact"/>
                    </w:trPr>
                    <w:tc>
                      <w:tcPr>
                        <w:tcW w:w="428" w:type="dxa"/>
                        <w:vMerge/>
                        <w:tcBorders>
                          <w:left w:val="single" w:sz="4" w:space="0" w:color="000000"/>
                          <w:bottom w:val="nil" w:sz="6" w:space="0" w:color="auto"/>
                          <w:right w:val="single" w:sz="4" w:space="0" w:color="000000"/>
                        </w:tcBorders>
                        <w:shd w:val="clear" w:color="auto" w:fill="D4D4D4"/>
                      </w:tcPr>
                      <w:p>
                        <w:pPr/>
                      </w:p>
                    </w:tc>
                    <w:tc>
                      <w:tcPr>
                        <w:tcW w:w="985" w:type="dxa"/>
                        <w:vMerge/>
                        <w:tcBorders>
                          <w:left w:val="single" w:sz="4" w:space="0" w:color="000000"/>
                          <w:bottom w:val="nil" w:sz="6" w:space="0" w:color="auto"/>
                          <w:right w:val="single" w:sz="4" w:space="0" w:color="000000"/>
                        </w:tcBorders>
                        <w:shd w:val="clear" w:color="auto" w:fill="D4D4D4"/>
                      </w:tcPr>
                      <w:p>
                        <w:pPr/>
                      </w:p>
                    </w:tc>
                    <w:tc>
                      <w:tcPr>
                        <w:tcW w:w="559" w:type="dxa"/>
                        <w:gridSpan w:val="4"/>
                        <w:vMerge/>
                        <w:tcBorders>
                          <w:left w:val="single" w:sz="4" w:space="0" w:color="000000"/>
                          <w:right w:val="single" w:sz="4" w:space="0" w:color="000000"/>
                        </w:tcBorders>
                        <w:shd w:val="clear" w:color="auto" w:fill="D4D4D4"/>
                      </w:tcPr>
                      <w:p>
                        <w:pPr/>
                      </w:p>
                    </w:tc>
                    <w:tc>
                      <w:tcPr>
                        <w:tcW w:w="974" w:type="dxa"/>
                        <w:vMerge/>
                        <w:tcBorders>
                          <w:left w:val="single" w:sz="4" w:space="0" w:color="000000"/>
                          <w:bottom w:val="nil" w:sz="6" w:space="0" w:color="auto"/>
                          <w:right w:val="single" w:sz="4" w:space="0" w:color="000000"/>
                        </w:tcBorders>
                        <w:shd w:val="clear" w:color="auto" w:fill="D4D4D4"/>
                      </w:tcPr>
                      <w:p>
                        <w:pPr/>
                      </w:p>
                    </w:tc>
                    <w:tc>
                      <w:tcPr>
                        <w:tcW w:w="876" w:type="dxa"/>
                        <w:vMerge/>
                        <w:tcBorders>
                          <w:left w:val="single" w:sz="4" w:space="0" w:color="000000"/>
                          <w:bottom w:val="nil" w:sz="6" w:space="0" w:color="auto"/>
                          <w:right w:val="single" w:sz="4" w:space="0" w:color="000000"/>
                        </w:tcBorders>
                        <w:shd w:val="clear" w:color="auto" w:fill="D4D4D4"/>
                      </w:tcPr>
                      <w:p>
                        <w:pPr/>
                      </w:p>
                    </w:tc>
                    <w:tc>
                      <w:tcPr>
                        <w:tcW w:w="74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98" w:right="9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187" w:type="dxa"/>
                        <w:vMerge/>
                        <w:tcBorders>
                          <w:left w:val="single" w:sz="4" w:space="0" w:color="000000"/>
                          <w:right w:val="single" w:sz="4" w:space="0" w:color="000000"/>
                        </w:tcBorders>
                        <w:shd w:val="clear" w:color="auto" w:fill="D4D4D4"/>
                      </w:tcPr>
                      <w:p>
                        <w:pPr/>
                      </w:p>
                    </w:tc>
                    <w:tc>
                      <w:tcPr>
                        <w:tcW w:w="809" w:type="dxa"/>
                        <w:vMerge/>
                        <w:tcBorders>
                          <w:left w:val="single" w:sz="4" w:space="0" w:color="000000"/>
                          <w:bottom w:val="nil" w:sz="6" w:space="0" w:color="auto"/>
                          <w:right w:val="single" w:sz="4" w:space="0" w:color="000000"/>
                        </w:tcBorders>
                        <w:shd w:val="clear" w:color="auto" w:fill="D4D4D4"/>
                      </w:tcPr>
                      <w:p>
                        <w:pPr/>
                      </w:p>
                    </w:tc>
                    <w:tc>
                      <w:tcPr>
                        <w:tcW w:w="187" w:type="dxa"/>
                        <w:vMerge/>
                        <w:tcBorders>
                          <w:left w:val="single" w:sz="4" w:space="0" w:color="000000"/>
                          <w:right w:val="single" w:sz="4" w:space="0" w:color="000000"/>
                        </w:tcBorders>
                        <w:shd w:val="clear" w:color="auto" w:fill="D4D4D4"/>
                      </w:tcPr>
                      <w:p>
                        <w:pPr/>
                      </w:p>
                    </w:tc>
                    <w:tc>
                      <w:tcPr>
                        <w:tcW w:w="87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343" w:right="71"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95" w:type="dxa"/>
                        <w:vMerge w:val="restart"/>
                        <w:tcBorders>
                          <w:top w:val="nil" w:sz="6" w:space="0" w:color="auto"/>
                          <w:left w:val="single" w:sz="4" w:space="0" w:color="000000"/>
                          <w:right w:val="nil" w:sz="6" w:space="0" w:color="auto"/>
                        </w:tcBorders>
                        <w:shd w:val="clear" w:color="auto" w:fill="D4D4D4"/>
                      </w:tcPr>
                      <w:p>
                        <w:pPr/>
                      </w:p>
                    </w:tc>
                    <w:tc>
                      <w:tcPr>
                        <w:tcW w:w="92" w:type="dxa"/>
                        <w:vMerge w:val="restart"/>
                        <w:tcBorders>
                          <w:top w:val="nil" w:sz="6" w:space="0" w:color="auto"/>
                          <w:left w:val="nil" w:sz="6" w:space="0" w:color="auto"/>
                          <w:right w:val="single" w:sz="4" w:space="0" w:color="000000"/>
                        </w:tcBorders>
                        <w:shd w:val="clear" w:color="auto" w:fill="D4D4D4"/>
                      </w:tcPr>
                      <w:p>
                        <w:pPr/>
                      </w:p>
                    </w:tc>
                    <w:tc>
                      <w:tcPr>
                        <w:tcW w:w="974" w:type="dxa"/>
                        <w:vMerge/>
                        <w:tcBorders>
                          <w:left w:val="single" w:sz="4" w:space="0" w:color="000000"/>
                          <w:bottom w:val="nil" w:sz="6" w:space="0" w:color="auto"/>
                          <w:right w:val="single" w:sz="4" w:space="0" w:color="000000"/>
                        </w:tcBorders>
                        <w:shd w:val="clear" w:color="auto" w:fill="D4D4D4"/>
                      </w:tcPr>
                      <w:p>
                        <w:pPr/>
                      </w:p>
                    </w:tc>
                    <w:tc>
                      <w:tcPr>
                        <w:tcW w:w="919" w:type="dxa"/>
                        <w:vMerge/>
                        <w:tcBorders>
                          <w:left w:val="single" w:sz="4" w:space="0" w:color="000000"/>
                          <w:right w:val="single" w:sz="4" w:space="0" w:color="000000"/>
                        </w:tcBorders>
                        <w:shd w:val="clear" w:color="auto" w:fill="D4D4D4"/>
                      </w:tcPr>
                      <w:p>
                        <w:pPr/>
                      </w:p>
                    </w:tc>
                    <w:tc>
                      <w:tcPr>
                        <w:tcW w:w="974" w:type="dxa"/>
                        <w:vMerge/>
                        <w:tcBorders>
                          <w:left w:val="single" w:sz="4" w:space="0" w:color="000000"/>
                          <w:right w:val="single" w:sz="4" w:space="0" w:color="000000"/>
                        </w:tcBorders>
                        <w:shd w:val="clear" w:color="auto" w:fill="D4D4D4"/>
                      </w:tcPr>
                      <w:p>
                        <w:pPr/>
                      </w:p>
                    </w:tc>
                  </w:tr>
                  <w:tr>
                    <w:trPr>
                      <w:trHeight w:val="185" w:hRule="exact"/>
                    </w:trPr>
                    <w:tc>
                      <w:tcPr>
                        <w:tcW w:w="428" w:type="dxa"/>
                        <w:vMerge w:val="restart"/>
                        <w:tcBorders>
                          <w:top w:val="nil" w:sz="6" w:space="0" w:color="auto"/>
                          <w:left w:val="single" w:sz="4" w:space="0" w:color="000000"/>
                          <w:right w:val="single" w:sz="4" w:space="0" w:color="000000"/>
                        </w:tcBorders>
                        <w:shd w:val="clear" w:color="auto" w:fill="D4D4D4"/>
                      </w:tcPr>
                      <w:p>
                        <w:pPr/>
                      </w:p>
                    </w:tc>
                    <w:tc>
                      <w:tcPr>
                        <w:tcW w:w="98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31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59" w:type="dxa"/>
                        <w:gridSpan w:val="4"/>
                        <w:vMerge/>
                        <w:tcBorders>
                          <w:left w:val="single" w:sz="4" w:space="0" w:color="000000"/>
                          <w:bottom w:val="single" w:sz="4" w:space="0" w:color="000000"/>
                          <w:right w:val="single" w:sz="4" w:space="0" w:color="000000"/>
                        </w:tcBorders>
                        <w:shd w:val="clear" w:color="auto" w:fill="D4D4D4"/>
                      </w:tcPr>
                      <w:p>
                        <w:pPr/>
                      </w:p>
                    </w:tc>
                    <w:tc>
                      <w:tcPr>
                        <w:tcW w:w="97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1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7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0"/>
                            <w:sz w:val="18"/>
                            <w:szCs w:val="18"/>
                          </w:rPr>
                          <w:t>：</w:t>
                        </w:r>
                        <w:r>
                          <w:rPr>
                            <w:rFonts w:ascii="宋体" w:hAnsi="宋体" w:cs="宋体" w:eastAsia="宋体" w:hint="default"/>
                            <w:sz w:val="18"/>
                            <w:szCs w:val="18"/>
                          </w:rPr>
                          <w:t>库存股</w:t>
                        </w:r>
                      </w:p>
                    </w:tc>
                    <w:tc>
                      <w:tcPr>
                        <w:tcW w:w="746" w:type="dxa"/>
                        <w:vMerge/>
                        <w:tcBorders>
                          <w:left w:val="single" w:sz="4" w:space="0" w:color="000000"/>
                          <w:right w:val="single" w:sz="4" w:space="0" w:color="000000"/>
                        </w:tcBorders>
                        <w:shd w:val="clear" w:color="auto" w:fill="D4D4D4"/>
                      </w:tcPr>
                      <w:p>
                        <w:pPr/>
                      </w:p>
                    </w:tc>
                    <w:tc>
                      <w:tcPr>
                        <w:tcW w:w="187" w:type="dxa"/>
                        <w:vMerge/>
                        <w:tcBorders>
                          <w:left w:val="single" w:sz="4" w:space="0" w:color="000000"/>
                          <w:right w:val="single" w:sz="4" w:space="0" w:color="000000"/>
                        </w:tcBorders>
                        <w:shd w:val="clear" w:color="auto" w:fill="D4D4D4"/>
                      </w:tcPr>
                      <w:p>
                        <w:pPr/>
                      </w:p>
                    </w:tc>
                    <w:tc>
                      <w:tcPr>
                        <w:tcW w:w="80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4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7" w:type="dxa"/>
                        <w:vMerge/>
                        <w:tcBorders>
                          <w:left w:val="single" w:sz="4" w:space="0" w:color="000000"/>
                          <w:right w:val="single" w:sz="4" w:space="0" w:color="000000"/>
                        </w:tcBorders>
                        <w:shd w:val="clear" w:color="auto" w:fill="D4D4D4"/>
                      </w:tcPr>
                      <w:p>
                        <w:pPr/>
                      </w:p>
                    </w:tc>
                    <w:tc>
                      <w:tcPr>
                        <w:tcW w:w="876" w:type="dxa"/>
                        <w:vMerge/>
                        <w:tcBorders>
                          <w:left w:val="single" w:sz="4" w:space="0" w:color="000000"/>
                          <w:right w:val="single" w:sz="4" w:space="0" w:color="000000"/>
                        </w:tcBorders>
                        <w:shd w:val="clear" w:color="auto" w:fill="D4D4D4"/>
                      </w:tcPr>
                      <w:p>
                        <w:pPr/>
                      </w:p>
                    </w:tc>
                    <w:tc>
                      <w:tcPr>
                        <w:tcW w:w="95" w:type="dxa"/>
                        <w:vMerge/>
                        <w:tcBorders>
                          <w:left w:val="single" w:sz="4" w:space="0" w:color="000000"/>
                          <w:right w:val="nil" w:sz="6" w:space="0" w:color="auto"/>
                        </w:tcBorders>
                        <w:shd w:val="clear" w:color="auto" w:fill="D4D4D4"/>
                      </w:tcPr>
                      <w:p>
                        <w:pPr/>
                      </w:p>
                    </w:tc>
                    <w:tc>
                      <w:tcPr>
                        <w:tcW w:w="92" w:type="dxa"/>
                        <w:vMerge/>
                        <w:tcBorders>
                          <w:left w:val="nil" w:sz="6" w:space="0" w:color="auto"/>
                          <w:right w:val="single" w:sz="4" w:space="0" w:color="000000"/>
                        </w:tcBorders>
                        <w:shd w:val="clear" w:color="auto" w:fill="D4D4D4"/>
                      </w:tcPr>
                      <w:p>
                        <w:pPr/>
                      </w:p>
                    </w:tc>
                    <w:tc>
                      <w:tcPr>
                        <w:tcW w:w="97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19" w:type="dxa"/>
                        <w:vMerge/>
                        <w:tcBorders>
                          <w:left w:val="single" w:sz="4" w:space="0" w:color="000000"/>
                          <w:right w:val="single" w:sz="4" w:space="0" w:color="000000"/>
                        </w:tcBorders>
                        <w:shd w:val="clear" w:color="auto" w:fill="D4D4D4"/>
                      </w:tcPr>
                      <w:p>
                        <w:pPr/>
                      </w:p>
                    </w:tc>
                    <w:tc>
                      <w:tcPr>
                        <w:tcW w:w="974" w:type="dxa"/>
                        <w:vMerge/>
                        <w:tcBorders>
                          <w:left w:val="single" w:sz="4" w:space="0" w:color="000000"/>
                          <w:right w:val="single" w:sz="4" w:space="0" w:color="000000"/>
                        </w:tcBorders>
                        <w:shd w:val="clear" w:color="auto" w:fill="D4D4D4"/>
                      </w:tcPr>
                      <w:p>
                        <w:pPr/>
                      </w:p>
                    </w:tc>
                  </w:tr>
                  <w:tr>
                    <w:trPr>
                      <w:trHeight w:val="154" w:hRule="exact"/>
                    </w:trPr>
                    <w:tc>
                      <w:tcPr>
                        <w:tcW w:w="428" w:type="dxa"/>
                        <w:vMerge/>
                        <w:tcBorders>
                          <w:left w:val="single" w:sz="4" w:space="0" w:color="000000"/>
                          <w:right w:val="single" w:sz="4" w:space="0" w:color="000000"/>
                        </w:tcBorders>
                        <w:shd w:val="clear" w:color="auto" w:fill="D4D4D4"/>
                      </w:tcPr>
                      <w:p>
                        <w:pPr/>
                      </w:p>
                    </w:tc>
                    <w:tc>
                      <w:tcPr>
                        <w:tcW w:w="985" w:type="dxa"/>
                        <w:vMerge/>
                        <w:tcBorders>
                          <w:left w:val="single" w:sz="4" w:space="0" w:color="000000"/>
                          <w:bottom w:val="nil" w:sz="6" w:space="0" w:color="auto"/>
                          <w:right w:val="single" w:sz="4" w:space="0" w:color="000000"/>
                        </w:tcBorders>
                        <w:shd w:val="clear" w:color="auto" w:fill="D4D4D4"/>
                      </w:tcPr>
                      <w:p>
                        <w:pPr/>
                      </w:p>
                    </w:tc>
                    <w:tc>
                      <w:tcPr>
                        <w:tcW w:w="187" w:type="dxa"/>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71"/>
                          <w:ind w:left="24" w:right="-2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187" w:type="dxa"/>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71"/>
                          <w:ind w:left="24" w:right="-2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94" w:type="dxa"/>
                        <w:vMerge w:val="restart"/>
                        <w:tcBorders>
                          <w:top w:val="single" w:sz="4" w:space="0" w:color="000000"/>
                          <w:left w:val="single" w:sz="4" w:space="0" w:color="000000"/>
                          <w:right w:val="nil" w:sz="6" w:space="0" w:color="auto"/>
                        </w:tcBorders>
                        <w:shd w:val="clear" w:color="auto" w:fill="D4D4D4"/>
                      </w:tcPr>
                      <w:p>
                        <w:pPr/>
                      </w:p>
                    </w:tc>
                    <w:tc>
                      <w:tcPr>
                        <w:tcW w:w="91" w:type="dxa"/>
                        <w:vMerge w:val="restart"/>
                        <w:tcBorders>
                          <w:top w:val="single" w:sz="4" w:space="0" w:color="000000"/>
                          <w:left w:val="nil" w:sz="6" w:space="0" w:color="auto"/>
                          <w:right w:val="single" w:sz="4" w:space="0" w:color="000000"/>
                        </w:tcBorders>
                        <w:shd w:val="clear" w:color="auto" w:fill="D4D4D4"/>
                      </w:tcPr>
                      <w:p>
                        <w:pPr/>
                      </w:p>
                    </w:tc>
                    <w:tc>
                      <w:tcPr>
                        <w:tcW w:w="974" w:type="dxa"/>
                        <w:vMerge/>
                        <w:tcBorders>
                          <w:left w:val="single" w:sz="4" w:space="0" w:color="000000"/>
                          <w:bottom w:val="nil" w:sz="6" w:space="0" w:color="auto"/>
                          <w:right w:val="single" w:sz="4" w:space="0" w:color="000000"/>
                        </w:tcBorders>
                        <w:shd w:val="clear" w:color="auto" w:fill="D4D4D4"/>
                      </w:tcPr>
                      <w:p>
                        <w:pPr/>
                      </w:p>
                    </w:tc>
                    <w:tc>
                      <w:tcPr>
                        <w:tcW w:w="876" w:type="dxa"/>
                        <w:vMerge/>
                        <w:tcBorders>
                          <w:left w:val="single" w:sz="4" w:space="0" w:color="000000"/>
                          <w:bottom w:val="nil" w:sz="6" w:space="0" w:color="auto"/>
                          <w:right w:val="single" w:sz="4" w:space="0" w:color="000000"/>
                        </w:tcBorders>
                        <w:shd w:val="clear" w:color="auto" w:fill="D4D4D4"/>
                      </w:tcPr>
                      <w:p>
                        <w:pPr/>
                      </w:p>
                    </w:tc>
                    <w:tc>
                      <w:tcPr>
                        <w:tcW w:w="746" w:type="dxa"/>
                        <w:vMerge/>
                        <w:tcBorders>
                          <w:left w:val="single" w:sz="4" w:space="0" w:color="000000"/>
                          <w:right w:val="single" w:sz="4" w:space="0" w:color="000000"/>
                        </w:tcBorders>
                        <w:shd w:val="clear" w:color="auto" w:fill="D4D4D4"/>
                      </w:tcPr>
                      <w:p>
                        <w:pPr/>
                      </w:p>
                    </w:tc>
                    <w:tc>
                      <w:tcPr>
                        <w:tcW w:w="187" w:type="dxa"/>
                        <w:vMerge/>
                        <w:tcBorders>
                          <w:left w:val="single" w:sz="4" w:space="0" w:color="000000"/>
                          <w:right w:val="single" w:sz="4" w:space="0" w:color="000000"/>
                        </w:tcBorders>
                        <w:shd w:val="clear" w:color="auto" w:fill="D4D4D4"/>
                      </w:tcPr>
                      <w:p>
                        <w:pPr/>
                      </w:p>
                    </w:tc>
                    <w:tc>
                      <w:tcPr>
                        <w:tcW w:w="809" w:type="dxa"/>
                        <w:vMerge/>
                        <w:tcBorders>
                          <w:left w:val="single" w:sz="4" w:space="0" w:color="000000"/>
                          <w:bottom w:val="nil" w:sz="6" w:space="0" w:color="auto"/>
                          <w:right w:val="single" w:sz="4" w:space="0" w:color="000000"/>
                        </w:tcBorders>
                        <w:shd w:val="clear" w:color="auto" w:fill="D4D4D4"/>
                      </w:tcPr>
                      <w:p>
                        <w:pPr/>
                      </w:p>
                    </w:tc>
                    <w:tc>
                      <w:tcPr>
                        <w:tcW w:w="187" w:type="dxa"/>
                        <w:vMerge/>
                        <w:tcBorders>
                          <w:left w:val="single" w:sz="4" w:space="0" w:color="000000"/>
                          <w:right w:val="single" w:sz="4" w:space="0" w:color="000000"/>
                        </w:tcBorders>
                        <w:shd w:val="clear" w:color="auto" w:fill="D4D4D4"/>
                      </w:tcPr>
                      <w:p>
                        <w:pPr/>
                      </w:p>
                    </w:tc>
                    <w:tc>
                      <w:tcPr>
                        <w:tcW w:w="876" w:type="dxa"/>
                        <w:vMerge/>
                        <w:tcBorders>
                          <w:left w:val="single" w:sz="4" w:space="0" w:color="000000"/>
                          <w:right w:val="single" w:sz="4" w:space="0" w:color="000000"/>
                        </w:tcBorders>
                        <w:shd w:val="clear" w:color="auto" w:fill="D4D4D4"/>
                      </w:tcPr>
                      <w:p>
                        <w:pPr/>
                      </w:p>
                    </w:tc>
                    <w:tc>
                      <w:tcPr>
                        <w:tcW w:w="95" w:type="dxa"/>
                        <w:vMerge/>
                        <w:tcBorders>
                          <w:left w:val="single" w:sz="4" w:space="0" w:color="000000"/>
                          <w:right w:val="nil" w:sz="6" w:space="0" w:color="auto"/>
                        </w:tcBorders>
                        <w:shd w:val="clear" w:color="auto" w:fill="D4D4D4"/>
                      </w:tcPr>
                      <w:p>
                        <w:pPr/>
                      </w:p>
                    </w:tc>
                    <w:tc>
                      <w:tcPr>
                        <w:tcW w:w="92" w:type="dxa"/>
                        <w:vMerge/>
                        <w:tcBorders>
                          <w:left w:val="nil" w:sz="6" w:space="0" w:color="auto"/>
                          <w:right w:val="single" w:sz="4" w:space="0" w:color="000000"/>
                        </w:tcBorders>
                        <w:shd w:val="clear" w:color="auto" w:fill="D4D4D4"/>
                      </w:tcPr>
                      <w:p>
                        <w:pPr/>
                      </w:p>
                    </w:tc>
                    <w:tc>
                      <w:tcPr>
                        <w:tcW w:w="974" w:type="dxa"/>
                        <w:vMerge/>
                        <w:tcBorders>
                          <w:left w:val="single" w:sz="4" w:space="0" w:color="000000"/>
                          <w:bottom w:val="nil" w:sz="6" w:space="0" w:color="auto"/>
                          <w:right w:val="single" w:sz="4" w:space="0" w:color="000000"/>
                        </w:tcBorders>
                        <w:shd w:val="clear" w:color="auto" w:fill="D4D4D4"/>
                      </w:tcPr>
                      <w:p>
                        <w:pPr/>
                      </w:p>
                    </w:tc>
                    <w:tc>
                      <w:tcPr>
                        <w:tcW w:w="919" w:type="dxa"/>
                        <w:vMerge/>
                        <w:tcBorders>
                          <w:left w:val="single" w:sz="4" w:space="0" w:color="000000"/>
                          <w:bottom w:val="nil" w:sz="6" w:space="0" w:color="auto"/>
                          <w:right w:val="single" w:sz="4" w:space="0" w:color="000000"/>
                        </w:tcBorders>
                        <w:shd w:val="clear" w:color="auto" w:fill="D4D4D4"/>
                      </w:tcPr>
                      <w:p>
                        <w:pPr/>
                      </w:p>
                    </w:tc>
                    <w:tc>
                      <w:tcPr>
                        <w:tcW w:w="974" w:type="dxa"/>
                        <w:vMerge/>
                        <w:tcBorders>
                          <w:left w:val="single" w:sz="4" w:space="0" w:color="000000"/>
                          <w:bottom w:val="nil" w:sz="6" w:space="0" w:color="auto"/>
                          <w:right w:val="single" w:sz="4" w:space="0" w:color="000000"/>
                        </w:tcBorders>
                        <w:shd w:val="clear" w:color="auto" w:fill="D4D4D4"/>
                      </w:tcPr>
                      <w:p>
                        <w:pPr/>
                      </w:p>
                    </w:tc>
                  </w:tr>
                  <w:tr>
                    <w:trPr>
                      <w:trHeight w:val="122" w:hRule="exact"/>
                    </w:trPr>
                    <w:tc>
                      <w:tcPr>
                        <w:tcW w:w="428" w:type="dxa"/>
                        <w:vMerge/>
                        <w:tcBorders>
                          <w:left w:val="single" w:sz="4" w:space="0" w:color="000000"/>
                          <w:right w:val="single" w:sz="4" w:space="0" w:color="000000"/>
                        </w:tcBorders>
                        <w:shd w:val="clear" w:color="auto" w:fill="D4D4D4"/>
                      </w:tcPr>
                      <w:p>
                        <w:pPr/>
                      </w:p>
                    </w:tc>
                    <w:tc>
                      <w:tcPr>
                        <w:tcW w:w="985" w:type="dxa"/>
                        <w:vMerge w:val="restart"/>
                        <w:tcBorders>
                          <w:top w:val="nil" w:sz="6" w:space="0" w:color="auto"/>
                          <w:left w:val="single" w:sz="4" w:space="0" w:color="000000"/>
                          <w:right w:val="single" w:sz="4" w:space="0" w:color="000000"/>
                        </w:tcBorders>
                        <w:shd w:val="clear" w:color="auto" w:fill="D4D4D4"/>
                      </w:tcPr>
                      <w:p>
                        <w:pPr/>
                      </w:p>
                    </w:tc>
                    <w:tc>
                      <w:tcPr>
                        <w:tcW w:w="187" w:type="dxa"/>
                        <w:vMerge/>
                        <w:tcBorders>
                          <w:left w:val="single" w:sz="4" w:space="0" w:color="000000"/>
                          <w:right w:val="single" w:sz="4" w:space="0" w:color="000000"/>
                        </w:tcBorders>
                        <w:shd w:val="clear" w:color="auto" w:fill="D4D4D4"/>
                      </w:tcPr>
                      <w:p>
                        <w:pPr/>
                      </w:p>
                    </w:tc>
                    <w:tc>
                      <w:tcPr>
                        <w:tcW w:w="187" w:type="dxa"/>
                        <w:vMerge/>
                        <w:tcBorders>
                          <w:left w:val="single" w:sz="4" w:space="0" w:color="000000"/>
                          <w:right w:val="single" w:sz="4" w:space="0" w:color="000000"/>
                        </w:tcBorders>
                        <w:shd w:val="clear" w:color="auto" w:fill="D4D4D4"/>
                      </w:tcPr>
                      <w:p>
                        <w:pPr/>
                      </w:p>
                    </w:tc>
                    <w:tc>
                      <w:tcPr>
                        <w:tcW w:w="94" w:type="dxa"/>
                        <w:vMerge/>
                        <w:tcBorders>
                          <w:left w:val="single" w:sz="4" w:space="0" w:color="000000"/>
                          <w:right w:val="nil" w:sz="6" w:space="0" w:color="auto"/>
                        </w:tcBorders>
                        <w:shd w:val="clear" w:color="auto" w:fill="D4D4D4"/>
                      </w:tcPr>
                      <w:p>
                        <w:pPr/>
                      </w:p>
                    </w:tc>
                    <w:tc>
                      <w:tcPr>
                        <w:tcW w:w="91" w:type="dxa"/>
                        <w:vMerge/>
                        <w:tcBorders>
                          <w:left w:val="nil" w:sz="6" w:space="0" w:color="auto"/>
                          <w:right w:val="single" w:sz="4" w:space="0" w:color="000000"/>
                        </w:tcBorders>
                        <w:shd w:val="clear" w:color="auto" w:fill="D4D4D4"/>
                      </w:tcPr>
                      <w:p>
                        <w:pPr/>
                      </w:p>
                    </w:tc>
                    <w:tc>
                      <w:tcPr>
                        <w:tcW w:w="974" w:type="dxa"/>
                        <w:vMerge w:val="restart"/>
                        <w:tcBorders>
                          <w:top w:val="nil" w:sz="6" w:space="0" w:color="auto"/>
                          <w:left w:val="single" w:sz="4" w:space="0" w:color="000000"/>
                          <w:right w:val="single" w:sz="4" w:space="0" w:color="000000"/>
                        </w:tcBorders>
                        <w:shd w:val="clear" w:color="auto" w:fill="D4D4D4"/>
                      </w:tcPr>
                      <w:p>
                        <w:pPr/>
                      </w:p>
                    </w:tc>
                    <w:tc>
                      <w:tcPr>
                        <w:tcW w:w="876" w:type="dxa"/>
                        <w:vMerge w:val="restart"/>
                        <w:tcBorders>
                          <w:top w:val="nil" w:sz="6" w:space="0" w:color="auto"/>
                          <w:left w:val="single" w:sz="4" w:space="0" w:color="000000"/>
                          <w:right w:val="single" w:sz="4" w:space="0" w:color="000000"/>
                        </w:tcBorders>
                        <w:shd w:val="clear" w:color="auto" w:fill="D4D4D4"/>
                      </w:tcPr>
                      <w:p>
                        <w:pPr/>
                      </w:p>
                    </w:tc>
                    <w:tc>
                      <w:tcPr>
                        <w:tcW w:w="746" w:type="dxa"/>
                        <w:vMerge/>
                        <w:tcBorders>
                          <w:left w:val="single" w:sz="4" w:space="0" w:color="000000"/>
                          <w:bottom w:val="nil" w:sz="6" w:space="0" w:color="auto"/>
                          <w:right w:val="single" w:sz="4" w:space="0" w:color="000000"/>
                        </w:tcBorders>
                        <w:shd w:val="clear" w:color="auto" w:fill="D4D4D4"/>
                      </w:tcPr>
                      <w:p>
                        <w:pPr/>
                      </w:p>
                    </w:tc>
                    <w:tc>
                      <w:tcPr>
                        <w:tcW w:w="187" w:type="dxa"/>
                        <w:vMerge/>
                        <w:tcBorders>
                          <w:left w:val="single" w:sz="4" w:space="0" w:color="000000"/>
                          <w:right w:val="single" w:sz="4" w:space="0" w:color="000000"/>
                        </w:tcBorders>
                        <w:shd w:val="clear" w:color="auto" w:fill="D4D4D4"/>
                      </w:tcPr>
                      <w:p>
                        <w:pPr/>
                      </w:p>
                    </w:tc>
                    <w:tc>
                      <w:tcPr>
                        <w:tcW w:w="809" w:type="dxa"/>
                        <w:vMerge w:val="restart"/>
                        <w:tcBorders>
                          <w:top w:val="nil" w:sz="6" w:space="0" w:color="auto"/>
                          <w:left w:val="single" w:sz="4" w:space="0" w:color="000000"/>
                          <w:right w:val="single" w:sz="4" w:space="0" w:color="000000"/>
                        </w:tcBorders>
                        <w:shd w:val="clear" w:color="auto" w:fill="D4D4D4"/>
                      </w:tcPr>
                      <w:p>
                        <w:pPr/>
                      </w:p>
                    </w:tc>
                    <w:tc>
                      <w:tcPr>
                        <w:tcW w:w="187" w:type="dxa"/>
                        <w:vMerge/>
                        <w:tcBorders>
                          <w:left w:val="single" w:sz="4" w:space="0" w:color="000000"/>
                          <w:right w:val="single" w:sz="4" w:space="0" w:color="000000"/>
                        </w:tcBorders>
                        <w:shd w:val="clear" w:color="auto" w:fill="D4D4D4"/>
                      </w:tcPr>
                      <w:p>
                        <w:pPr/>
                      </w:p>
                    </w:tc>
                    <w:tc>
                      <w:tcPr>
                        <w:tcW w:w="876" w:type="dxa"/>
                        <w:vMerge/>
                        <w:tcBorders>
                          <w:left w:val="single" w:sz="4" w:space="0" w:color="000000"/>
                          <w:bottom w:val="nil" w:sz="6" w:space="0" w:color="auto"/>
                          <w:right w:val="single" w:sz="4" w:space="0" w:color="000000"/>
                        </w:tcBorders>
                        <w:shd w:val="clear" w:color="auto" w:fill="D4D4D4"/>
                      </w:tcPr>
                      <w:p>
                        <w:pPr/>
                      </w:p>
                    </w:tc>
                    <w:tc>
                      <w:tcPr>
                        <w:tcW w:w="95" w:type="dxa"/>
                        <w:vMerge/>
                        <w:tcBorders>
                          <w:left w:val="single" w:sz="4" w:space="0" w:color="000000"/>
                          <w:bottom w:val="nil" w:sz="6" w:space="0" w:color="auto"/>
                          <w:right w:val="nil" w:sz="6" w:space="0" w:color="auto"/>
                        </w:tcBorders>
                        <w:shd w:val="clear" w:color="auto" w:fill="D4D4D4"/>
                      </w:tcPr>
                      <w:p>
                        <w:pPr/>
                      </w:p>
                    </w:tc>
                    <w:tc>
                      <w:tcPr>
                        <w:tcW w:w="92" w:type="dxa"/>
                        <w:vMerge/>
                        <w:tcBorders>
                          <w:left w:val="nil" w:sz="6" w:space="0" w:color="auto"/>
                          <w:bottom w:val="nil" w:sz="6" w:space="0" w:color="auto"/>
                          <w:right w:val="single" w:sz="4" w:space="0" w:color="000000"/>
                        </w:tcBorders>
                        <w:shd w:val="clear" w:color="auto" w:fill="D4D4D4"/>
                      </w:tcPr>
                      <w:p>
                        <w:pPr/>
                      </w:p>
                    </w:tc>
                    <w:tc>
                      <w:tcPr>
                        <w:tcW w:w="974" w:type="dxa"/>
                        <w:vMerge w:val="restart"/>
                        <w:tcBorders>
                          <w:top w:val="nil" w:sz="6" w:space="0" w:color="auto"/>
                          <w:left w:val="single" w:sz="4" w:space="0" w:color="000000"/>
                          <w:right w:val="single" w:sz="4" w:space="0" w:color="000000"/>
                        </w:tcBorders>
                        <w:shd w:val="clear" w:color="auto" w:fill="D4D4D4"/>
                      </w:tcPr>
                      <w:p>
                        <w:pPr/>
                      </w:p>
                    </w:tc>
                    <w:tc>
                      <w:tcPr>
                        <w:tcW w:w="919" w:type="dxa"/>
                        <w:vMerge w:val="restart"/>
                        <w:tcBorders>
                          <w:top w:val="nil" w:sz="6" w:space="0" w:color="auto"/>
                          <w:left w:val="single" w:sz="4" w:space="0" w:color="000000"/>
                          <w:right w:val="single" w:sz="4" w:space="0" w:color="000000"/>
                        </w:tcBorders>
                        <w:shd w:val="clear" w:color="auto" w:fill="D4D4D4"/>
                      </w:tcPr>
                      <w:p>
                        <w:pPr/>
                      </w:p>
                    </w:tc>
                    <w:tc>
                      <w:tcPr>
                        <w:tcW w:w="974" w:type="dxa"/>
                        <w:vMerge w:val="restart"/>
                        <w:tcBorders>
                          <w:top w:val="nil" w:sz="6" w:space="0" w:color="auto"/>
                          <w:left w:val="single" w:sz="4" w:space="0" w:color="000000"/>
                          <w:right w:val="single" w:sz="4" w:space="0" w:color="000000"/>
                        </w:tcBorders>
                        <w:shd w:val="clear" w:color="auto" w:fill="D4D4D4"/>
                      </w:tcPr>
                      <w:p>
                        <w:pPr/>
                      </w:p>
                    </w:tc>
                  </w:tr>
                  <w:tr>
                    <w:trPr>
                      <w:trHeight w:val="233" w:hRule="exact"/>
                    </w:trPr>
                    <w:tc>
                      <w:tcPr>
                        <w:tcW w:w="428" w:type="dxa"/>
                        <w:vMerge/>
                        <w:tcBorders>
                          <w:left w:val="single" w:sz="4" w:space="0" w:color="000000"/>
                          <w:right w:val="single" w:sz="4" w:space="0" w:color="000000"/>
                        </w:tcBorders>
                        <w:shd w:val="clear" w:color="auto" w:fill="D4D4D4"/>
                      </w:tcPr>
                      <w:p>
                        <w:pPr/>
                      </w:p>
                    </w:tc>
                    <w:tc>
                      <w:tcPr>
                        <w:tcW w:w="985" w:type="dxa"/>
                        <w:vMerge/>
                        <w:tcBorders>
                          <w:left w:val="single" w:sz="4" w:space="0" w:color="000000"/>
                          <w:right w:val="single" w:sz="4" w:space="0" w:color="000000"/>
                        </w:tcBorders>
                        <w:shd w:val="clear" w:color="auto" w:fill="D4D4D4"/>
                      </w:tcPr>
                      <w:p>
                        <w:pPr/>
                      </w:p>
                    </w:tc>
                    <w:tc>
                      <w:tcPr>
                        <w:tcW w:w="187" w:type="dxa"/>
                        <w:vMerge/>
                        <w:tcBorders>
                          <w:left w:val="single" w:sz="4" w:space="0" w:color="000000"/>
                          <w:right w:val="single" w:sz="4" w:space="0" w:color="000000"/>
                        </w:tcBorders>
                        <w:shd w:val="clear" w:color="auto" w:fill="D4D4D4"/>
                      </w:tcPr>
                      <w:p>
                        <w:pPr/>
                      </w:p>
                    </w:tc>
                    <w:tc>
                      <w:tcPr>
                        <w:tcW w:w="187" w:type="dxa"/>
                        <w:vMerge/>
                        <w:tcBorders>
                          <w:left w:val="single" w:sz="4" w:space="0" w:color="000000"/>
                          <w:right w:val="single" w:sz="4" w:space="0" w:color="000000"/>
                        </w:tcBorders>
                        <w:shd w:val="clear" w:color="auto" w:fill="D4D4D4"/>
                      </w:tcPr>
                      <w:p>
                        <w:pPr/>
                      </w:p>
                    </w:tc>
                    <w:tc>
                      <w:tcPr>
                        <w:tcW w:w="94" w:type="dxa"/>
                        <w:vMerge/>
                        <w:tcBorders>
                          <w:left w:val="single" w:sz="4" w:space="0" w:color="000000"/>
                          <w:right w:val="nil" w:sz="6" w:space="0" w:color="auto"/>
                        </w:tcBorders>
                        <w:shd w:val="clear" w:color="auto" w:fill="D4D4D4"/>
                      </w:tcPr>
                      <w:p>
                        <w:pPr/>
                      </w:p>
                    </w:tc>
                    <w:tc>
                      <w:tcPr>
                        <w:tcW w:w="91" w:type="dxa"/>
                        <w:vMerge/>
                        <w:tcBorders>
                          <w:left w:val="nil" w:sz="6" w:space="0" w:color="auto"/>
                          <w:right w:val="single" w:sz="4" w:space="0" w:color="000000"/>
                        </w:tcBorders>
                        <w:shd w:val="clear" w:color="auto" w:fill="D4D4D4"/>
                      </w:tcPr>
                      <w:p>
                        <w:pPr/>
                      </w:p>
                    </w:tc>
                    <w:tc>
                      <w:tcPr>
                        <w:tcW w:w="974" w:type="dxa"/>
                        <w:vMerge/>
                        <w:tcBorders>
                          <w:left w:val="single" w:sz="4" w:space="0" w:color="000000"/>
                          <w:right w:val="single" w:sz="4" w:space="0" w:color="000000"/>
                        </w:tcBorders>
                        <w:shd w:val="clear" w:color="auto" w:fill="D4D4D4"/>
                      </w:tcPr>
                      <w:p>
                        <w:pPr/>
                      </w:p>
                    </w:tc>
                    <w:tc>
                      <w:tcPr>
                        <w:tcW w:w="876" w:type="dxa"/>
                        <w:vMerge/>
                        <w:tcBorders>
                          <w:left w:val="single" w:sz="4" w:space="0" w:color="000000"/>
                          <w:right w:val="single" w:sz="4" w:space="0" w:color="000000"/>
                        </w:tcBorders>
                        <w:shd w:val="clear" w:color="auto" w:fill="D4D4D4"/>
                      </w:tcPr>
                      <w:p>
                        <w:pPr/>
                      </w:p>
                    </w:tc>
                    <w:tc>
                      <w:tcPr>
                        <w:tcW w:w="746" w:type="dxa"/>
                        <w:vMerge w:val="restart"/>
                        <w:tcBorders>
                          <w:top w:val="nil" w:sz="6" w:space="0" w:color="auto"/>
                          <w:left w:val="single" w:sz="4" w:space="0" w:color="000000"/>
                          <w:right w:val="single" w:sz="4" w:space="0" w:color="000000"/>
                        </w:tcBorders>
                        <w:shd w:val="clear" w:color="auto" w:fill="D4D4D4"/>
                      </w:tcPr>
                      <w:p>
                        <w:pPr/>
                      </w:p>
                    </w:tc>
                    <w:tc>
                      <w:tcPr>
                        <w:tcW w:w="187" w:type="dxa"/>
                        <w:vMerge/>
                        <w:tcBorders>
                          <w:left w:val="single" w:sz="4" w:space="0" w:color="000000"/>
                          <w:bottom w:val="nil" w:sz="6" w:space="0" w:color="auto"/>
                          <w:right w:val="single" w:sz="4" w:space="0" w:color="000000"/>
                        </w:tcBorders>
                        <w:shd w:val="clear" w:color="auto" w:fill="D4D4D4"/>
                      </w:tcPr>
                      <w:p>
                        <w:pPr/>
                      </w:p>
                    </w:tc>
                    <w:tc>
                      <w:tcPr>
                        <w:tcW w:w="809" w:type="dxa"/>
                        <w:vMerge/>
                        <w:tcBorders>
                          <w:left w:val="single" w:sz="4" w:space="0" w:color="000000"/>
                          <w:right w:val="single" w:sz="4" w:space="0" w:color="000000"/>
                        </w:tcBorders>
                        <w:shd w:val="clear" w:color="auto" w:fill="D4D4D4"/>
                      </w:tcPr>
                      <w:p>
                        <w:pPr/>
                      </w:p>
                    </w:tc>
                    <w:tc>
                      <w:tcPr>
                        <w:tcW w:w="187" w:type="dxa"/>
                        <w:vMerge/>
                        <w:tcBorders>
                          <w:left w:val="single" w:sz="4" w:space="0" w:color="000000"/>
                          <w:right w:val="single" w:sz="4" w:space="0" w:color="000000"/>
                        </w:tcBorders>
                        <w:shd w:val="clear" w:color="auto" w:fill="D4D4D4"/>
                      </w:tcPr>
                      <w:p>
                        <w:pPr/>
                      </w:p>
                    </w:tc>
                    <w:tc>
                      <w:tcPr>
                        <w:tcW w:w="876" w:type="dxa"/>
                        <w:vMerge w:val="restart"/>
                        <w:tcBorders>
                          <w:top w:val="nil" w:sz="6" w:space="0" w:color="auto"/>
                          <w:left w:val="single" w:sz="4" w:space="0" w:color="000000"/>
                          <w:right w:val="single" w:sz="4" w:space="0" w:color="000000"/>
                        </w:tcBorders>
                        <w:shd w:val="clear" w:color="auto" w:fill="D4D4D4"/>
                      </w:tcPr>
                      <w:p>
                        <w:pPr/>
                      </w:p>
                    </w:tc>
                    <w:tc>
                      <w:tcPr>
                        <w:tcW w:w="187" w:type="dxa"/>
                        <w:gridSpan w:val="2"/>
                        <w:vMerge w:val="restart"/>
                        <w:tcBorders>
                          <w:top w:val="nil" w:sz="6" w:space="0" w:color="auto"/>
                          <w:left w:val="single" w:sz="4" w:space="0" w:color="000000"/>
                          <w:right w:val="single" w:sz="4" w:space="0" w:color="000000"/>
                        </w:tcBorders>
                        <w:shd w:val="clear" w:color="auto" w:fill="D4D4D4"/>
                      </w:tcPr>
                      <w:p>
                        <w:pPr/>
                      </w:p>
                    </w:tc>
                    <w:tc>
                      <w:tcPr>
                        <w:tcW w:w="974" w:type="dxa"/>
                        <w:vMerge/>
                        <w:tcBorders>
                          <w:left w:val="single" w:sz="4" w:space="0" w:color="000000"/>
                          <w:right w:val="single" w:sz="4" w:space="0" w:color="000000"/>
                        </w:tcBorders>
                        <w:shd w:val="clear" w:color="auto" w:fill="D4D4D4"/>
                      </w:tcPr>
                      <w:p>
                        <w:pPr/>
                      </w:p>
                    </w:tc>
                    <w:tc>
                      <w:tcPr>
                        <w:tcW w:w="919" w:type="dxa"/>
                        <w:vMerge/>
                        <w:tcBorders>
                          <w:left w:val="single" w:sz="4" w:space="0" w:color="000000"/>
                          <w:right w:val="single" w:sz="4" w:space="0" w:color="000000"/>
                        </w:tcBorders>
                        <w:shd w:val="clear" w:color="auto" w:fill="D4D4D4"/>
                      </w:tcPr>
                      <w:p>
                        <w:pPr/>
                      </w:p>
                    </w:tc>
                    <w:tc>
                      <w:tcPr>
                        <w:tcW w:w="974" w:type="dxa"/>
                        <w:vMerge/>
                        <w:tcBorders>
                          <w:left w:val="single" w:sz="4" w:space="0" w:color="000000"/>
                          <w:right w:val="single" w:sz="4" w:space="0" w:color="000000"/>
                        </w:tcBorders>
                        <w:shd w:val="clear" w:color="auto" w:fill="D4D4D4"/>
                      </w:tcPr>
                      <w:p>
                        <w:pPr/>
                      </w:p>
                    </w:tc>
                  </w:tr>
                  <w:tr>
                    <w:trPr>
                      <w:trHeight w:val="275" w:hRule="exact"/>
                    </w:trPr>
                    <w:tc>
                      <w:tcPr>
                        <w:tcW w:w="428" w:type="dxa"/>
                        <w:vMerge/>
                        <w:tcBorders>
                          <w:left w:val="single" w:sz="4" w:space="0" w:color="000000"/>
                          <w:bottom w:val="single" w:sz="4" w:space="0" w:color="000000"/>
                          <w:right w:val="single" w:sz="4" w:space="0" w:color="000000"/>
                        </w:tcBorders>
                        <w:shd w:val="clear" w:color="auto" w:fill="D4D4D4"/>
                      </w:tcPr>
                      <w:p>
                        <w:pPr/>
                      </w:p>
                    </w:tc>
                    <w:tc>
                      <w:tcPr>
                        <w:tcW w:w="985" w:type="dxa"/>
                        <w:vMerge/>
                        <w:tcBorders>
                          <w:left w:val="single" w:sz="4" w:space="0" w:color="000000"/>
                          <w:bottom w:val="single" w:sz="4" w:space="0" w:color="000000"/>
                          <w:right w:val="single" w:sz="4" w:space="0" w:color="000000"/>
                        </w:tcBorders>
                        <w:shd w:val="clear" w:color="auto" w:fill="D4D4D4"/>
                      </w:tcPr>
                      <w:p>
                        <w:pPr/>
                      </w:p>
                    </w:tc>
                    <w:tc>
                      <w:tcPr>
                        <w:tcW w:w="187" w:type="dxa"/>
                        <w:vMerge/>
                        <w:tcBorders>
                          <w:left w:val="single" w:sz="4" w:space="0" w:color="000000"/>
                          <w:bottom w:val="single" w:sz="4" w:space="0" w:color="000000"/>
                          <w:right w:val="single" w:sz="4" w:space="0" w:color="000000"/>
                        </w:tcBorders>
                        <w:shd w:val="clear" w:color="auto" w:fill="D4D4D4"/>
                      </w:tcPr>
                      <w:p>
                        <w:pPr/>
                      </w:p>
                    </w:tc>
                    <w:tc>
                      <w:tcPr>
                        <w:tcW w:w="187" w:type="dxa"/>
                        <w:vMerge/>
                        <w:tcBorders>
                          <w:left w:val="single" w:sz="4" w:space="0" w:color="000000"/>
                          <w:bottom w:val="single" w:sz="4" w:space="0" w:color="000000"/>
                          <w:right w:val="single" w:sz="4" w:space="0" w:color="000000"/>
                        </w:tcBorders>
                        <w:shd w:val="clear" w:color="auto" w:fill="D4D4D4"/>
                      </w:tcPr>
                      <w:p>
                        <w:pPr/>
                      </w:p>
                    </w:tc>
                    <w:tc>
                      <w:tcPr>
                        <w:tcW w:w="94" w:type="dxa"/>
                        <w:vMerge/>
                        <w:tcBorders>
                          <w:left w:val="single" w:sz="4" w:space="0" w:color="000000"/>
                          <w:bottom w:val="single" w:sz="4" w:space="0" w:color="000000"/>
                          <w:right w:val="nil" w:sz="6" w:space="0" w:color="auto"/>
                        </w:tcBorders>
                        <w:shd w:val="clear" w:color="auto" w:fill="D4D4D4"/>
                      </w:tcPr>
                      <w:p>
                        <w:pPr/>
                      </w:p>
                    </w:tc>
                    <w:tc>
                      <w:tcPr>
                        <w:tcW w:w="91" w:type="dxa"/>
                        <w:vMerge/>
                        <w:tcBorders>
                          <w:left w:val="nil" w:sz="6" w:space="0" w:color="auto"/>
                          <w:bottom w:val="single" w:sz="4" w:space="0" w:color="000000"/>
                          <w:right w:val="single" w:sz="4" w:space="0" w:color="000000"/>
                        </w:tcBorders>
                        <w:shd w:val="clear" w:color="auto" w:fill="D4D4D4"/>
                      </w:tcPr>
                      <w:p>
                        <w:pPr/>
                      </w:p>
                    </w:tc>
                    <w:tc>
                      <w:tcPr>
                        <w:tcW w:w="974" w:type="dxa"/>
                        <w:vMerge/>
                        <w:tcBorders>
                          <w:left w:val="single" w:sz="4" w:space="0" w:color="000000"/>
                          <w:bottom w:val="single" w:sz="4" w:space="0" w:color="000000"/>
                          <w:right w:val="single" w:sz="4" w:space="0" w:color="000000"/>
                        </w:tcBorders>
                        <w:shd w:val="clear" w:color="auto" w:fill="D4D4D4"/>
                      </w:tcPr>
                      <w:p>
                        <w:pPr/>
                      </w:p>
                    </w:tc>
                    <w:tc>
                      <w:tcPr>
                        <w:tcW w:w="876" w:type="dxa"/>
                        <w:vMerge/>
                        <w:tcBorders>
                          <w:left w:val="single" w:sz="4" w:space="0" w:color="000000"/>
                          <w:bottom w:val="single" w:sz="4" w:space="0" w:color="000000"/>
                          <w:right w:val="single" w:sz="4" w:space="0" w:color="000000"/>
                        </w:tcBorders>
                        <w:shd w:val="clear" w:color="auto" w:fill="D4D4D4"/>
                      </w:tcPr>
                      <w:p>
                        <w:pPr/>
                      </w:p>
                    </w:tc>
                    <w:tc>
                      <w:tcPr>
                        <w:tcW w:w="746" w:type="dxa"/>
                        <w:vMerge/>
                        <w:tcBorders>
                          <w:left w:val="single" w:sz="4" w:space="0" w:color="000000"/>
                          <w:bottom w:val="single" w:sz="4" w:space="0" w:color="000000"/>
                          <w:right w:val="single" w:sz="4" w:space="0" w:color="000000"/>
                        </w:tcBorders>
                        <w:shd w:val="clear" w:color="auto" w:fill="D4D4D4"/>
                      </w:tcPr>
                      <w:p>
                        <w:pPr/>
                      </w:p>
                    </w:tc>
                    <w:tc>
                      <w:tcPr>
                        <w:tcW w:w="187" w:type="dxa"/>
                        <w:tcBorders>
                          <w:top w:val="nil" w:sz="6" w:space="0" w:color="auto"/>
                          <w:left w:val="single" w:sz="4" w:space="0" w:color="000000"/>
                          <w:bottom w:val="single" w:sz="4" w:space="0" w:color="000000"/>
                          <w:right w:val="single" w:sz="4" w:space="0" w:color="000000"/>
                        </w:tcBorders>
                        <w:shd w:val="clear" w:color="auto" w:fill="D4D4D4"/>
                      </w:tcPr>
                      <w:p>
                        <w:pPr/>
                      </w:p>
                    </w:tc>
                    <w:tc>
                      <w:tcPr>
                        <w:tcW w:w="809" w:type="dxa"/>
                        <w:vMerge/>
                        <w:tcBorders>
                          <w:left w:val="single" w:sz="4" w:space="0" w:color="000000"/>
                          <w:bottom w:val="single" w:sz="4" w:space="0" w:color="000000"/>
                          <w:right w:val="single" w:sz="4" w:space="0" w:color="000000"/>
                        </w:tcBorders>
                        <w:shd w:val="clear" w:color="auto" w:fill="D4D4D4"/>
                      </w:tcPr>
                      <w:p>
                        <w:pPr/>
                      </w:p>
                    </w:tc>
                    <w:tc>
                      <w:tcPr>
                        <w:tcW w:w="187" w:type="dxa"/>
                        <w:vMerge/>
                        <w:tcBorders>
                          <w:left w:val="single" w:sz="4" w:space="0" w:color="000000"/>
                          <w:bottom w:val="single" w:sz="4" w:space="0" w:color="000000"/>
                          <w:right w:val="single" w:sz="4" w:space="0" w:color="000000"/>
                        </w:tcBorders>
                        <w:shd w:val="clear" w:color="auto" w:fill="D4D4D4"/>
                      </w:tcPr>
                      <w:p>
                        <w:pPr/>
                      </w:p>
                    </w:tc>
                    <w:tc>
                      <w:tcPr>
                        <w:tcW w:w="876" w:type="dxa"/>
                        <w:vMerge/>
                        <w:tcBorders>
                          <w:left w:val="single" w:sz="4" w:space="0" w:color="000000"/>
                          <w:bottom w:val="single" w:sz="4" w:space="0" w:color="000000"/>
                          <w:right w:val="single" w:sz="4" w:space="0" w:color="000000"/>
                        </w:tcBorders>
                        <w:shd w:val="clear" w:color="auto" w:fill="D4D4D4"/>
                      </w:tcPr>
                      <w:p>
                        <w:pPr/>
                      </w:p>
                    </w:tc>
                    <w:tc>
                      <w:tcPr>
                        <w:tcW w:w="187" w:type="dxa"/>
                        <w:gridSpan w:val="2"/>
                        <w:vMerge/>
                        <w:tcBorders>
                          <w:left w:val="single" w:sz="4" w:space="0" w:color="000000"/>
                          <w:bottom w:val="single" w:sz="4" w:space="0" w:color="000000"/>
                          <w:right w:val="single" w:sz="4" w:space="0" w:color="000000"/>
                        </w:tcBorders>
                        <w:shd w:val="clear" w:color="auto" w:fill="D4D4D4"/>
                      </w:tcPr>
                      <w:p>
                        <w:pPr/>
                      </w:p>
                    </w:tc>
                    <w:tc>
                      <w:tcPr>
                        <w:tcW w:w="974" w:type="dxa"/>
                        <w:vMerge/>
                        <w:tcBorders>
                          <w:left w:val="single" w:sz="4" w:space="0" w:color="000000"/>
                          <w:bottom w:val="single" w:sz="4" w:space="0" w:color="000000"/>
                          <w:right w:val="single" w:sz="4" w:space="0" w:color="000000"/>
                        </w:tcBorders>
                        <w:shd w:val="clear" w:color="auto" w:fill="D4D4D4"/>
                      </w:tcPr>
                      <w:p>
                        <w:pPr/>
                      </w:p>
                    </w:tc>
                    <w:tc>
                      <w:tcPr>
                        <w:tcW w:w="919" w:type="dxa"/>
                        <w:vMerge/>
                        <w:tcBorders>
                          <w:left w:val="single" w:sz="4" w:space="0" w:color="000000"/>
                          <w:bottom w:val="single" w:sz="4" w:space="0" w:color="000000"/>
                          <w:right w:val="single" w:sz="4" w:space="0" w:color="000000"/>
                        </w:tcBorders>
                        <w:shd w:val="clear" w:color="auto" w:fill="D4D4D4"/>
                      </w:tcPr>
                      <w:p>
                        <w:pPr/>
                      </w:p>
                    </w:tc>
                    <w:tc>
                      <w:tcPr>
                        <w:tcW w:w="974" w:type="dxa"/>
                        <w:vMerge/>
                        <w:tcBorders>
                          <w:left w:val="single" w:sz="4" w:space="0" w:color="000000"/>
                          <w:bottom w:val="single" w:sz="4" w:space="0" w:color="000000"/>
                          <w:right w:val="single" w:sz="4" w:space="0" w:color="000000"/>
                        </w:tcBorders>
                        <w:shd w:val="clear" w:color="auto" w:fill="D4D4D4"/>
                      </w:tcPr>
                      <w:p>
                        <w:pPr/>
                      </w:p>
                    </w:tc>
                  </w:tr>
                  <w:tr>
                    <w:trPr>
                      <w:trHeight w:val="1129" w:hRule="exact"/>
                    </w:trPr>
                    <w:tc>
                      <w:tcPr>
                        <w:tcW w:w="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86"/>
                          <w:ind w:left="28" w:right="29"/>
                          <w:jc w:val="both"/>
                          <w:rPr>
                            <w:rFonts w:ascii="宋体" w:hAnsi="宋体" w:cs="宋体" w:eastAsia="宋体" w:hint="default"/>
                            <w:sz w:val="18"/>
                            <w:szCs w:val="18"/>
                          </w:rPr>
                        </w:pPr>
                        <w:r>
                          <w:rPr>
                            <w:rFonts w:ascii="宋体" w:hAnsi="宋体" w:cs="宋体" w:eastAsia="宋体" w:hint="default"/>
                            <w:sz w:val="18"/>
                            <w:szCs w:val="18"/>
                          </w:rPr>
                          <w:t>一、 上年 期末 余额</w:t>
                        </w:r>
                      </w:p>
                    </w:tc>
                    <w:tc>
                      <w:tcPr>
                        <w:tcW w:w="98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33"/>
                          <w:ind w:left="86" w:right="0"/>
                          <w:jc w:val="left"/>
                          <w:rPr>
                            <w:rFonts w:ascii="Times New Roman" w:hAnsi="Times New Roman" w:cs="Times New Roman" w:eastAsia="Times New Roman" w:hint="default"/>
                            <w:sz w:val="18"/>
                            <w:szCs w:val="18"/>
                          </w:rPr>
                        </w:pPr>
                        <w:r>
                          <w:rPr>
                            <w:rFonts w:ascii="Times New Roman"/>
                            <w:sz w:val="18"/>
                          </w:rPr>
                          <w:t>1,172,196,1</w:t>
                        </w:r>
                      </w:p>
                      <w:p>
                        <w:pPr>
                          <w:pStyle w:val="TableParagraph"/>
                          <w:spacing w:line="207" w:lineRule="exact"/>
                          <w:ind w:left="535" w:right="0"/>
                          <w:jc w:val="left"/>
                          <w:rPr>
                            <w:rFonts w:ascii="Times New Roman" w:hAnsi="Times New Roman" w:cs="Times New Roman" w:eastAsia="Times New Roman" w:hint="default"/>
                            <w:sz w:val="18"/>
                            <w:szCs w:val="18"/>
                          </w:rPr>
                        </w:pPr>
                        <w:r>
                          <w:rPr>
                            <w:rFonts w:ascii="Times New Roman"/>
                            <w:sz w:val="18"/>
                          </w:rPr>
                          <w:t>95.00</w:t>
                        </w: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gridSpan w:val="2"/>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33"/>
                          <w:ind w:left="88" w:right="0"/>
                          <w:jc w:val="left"/>
                          <w:rPr>
                            <w:rFonts w:ascii="Times New Roman" w:hAnsi="Times New Roman" w:cs="Times New Roman" w:eastAsia="Times New Roman" w:hint="default"/>
                            <w:sz w:val="18"/>
                            <w:szCs w:val="18"/>
                          </w:rPr>
                        </w:pPr>
                        <w:r>
                          <w:rPr>
                            <w:rFonts w:ascii="Times New Roman"/>
                            <w:sz w:val="18"/>
                          </w:rPr>
                          <w:t>3,373,631,9</w:t>
                        </w:r>
                      </w:p>
                      <w:p>
                        <w:pPr>
                          <w:pStyle w:val="TableParagraph"/>
                          <w:spacing w:line="207" w:lineRule="exact"/>
                          <w:ind w:left="537" w:right="0"/>
                          <w:jc w:val="left"/>
                          <w:rPr>
                            <w:rFonts w:ascii="Times New Roman" w:hAnsi="Times New Roman" w:cs="Times New Roman" w:eastAsia="Times New Roman" w:hint="default"/>
                            <w:sz w:val="18"/>
                            <w:szCs w:val="18"/>
                          </w:rPr>
                        </w:pPr>
                        <w:r>
                          <w:rPr>
                            <w:rFonts w:ascii="Times New Roman"/>
                            <w:sz w:val="18"/>
                          </w:rPr>
                          <w:t>33.49</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33"/>
                          <w:ind w:left="33" w:right="0"/>
                          <w:jc w:val="left"/>
                          <w:rPr>
                            <w:rFonts w:ascii="Times New Roman" w:hAnsi="Times New Roman" w:cs="Times New Roman" w:eastAsia="Times New Roman" w:hint="default"/>
                            <w:sz w:val="18"/>
                            <w:szCs w:val="18"/>
                          </w:rPr>
                        </w:pPr>
                        <w:r>
                          <w:rPr>
                            <w:rFonts w:ascii="Times New Roman"/>
                            <w:sz w:val="18"/>
                          </w:rPr>
                          <w:t>240,127,35</w:t>
                        </w:r>
                      </w:p>
                      <w:p>
                        <w:pPr>
                          <w:pStyle w:val="TableParagraph"/>
                          <w:spacing w:line="207" w:lineRule="exact"/>
                          <w:ind w:left="530" w:right="0"/>
                          <w:jc w:val="left"/>
                          <w:rPr>
                            <w:rFonts w:ascii="Times New Roman" w:hAnsi="Times New Roman" w:cs="Times New Roman" w:eastAsia="Times New Roman" w:hint="default"/>
                            <w:sz w:val="18"/>
                            <w:szCs w:val="18"/>
                          </w:rPr>
                        </w:pPr>
                        <w:r>
                          <w:rPr>
                            <w:rFonts w:ascii="Times New Roman"/>
                            <w:sz w:val="18"/>
                          </w:rPr>
                          <w:t>2.00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33"/>
                          <w:ind w:right="18"/>
                          <w:jc w:val="right"/>
                          <w:rPr>
                            <w:rFonts w:ascii="Times New Roman" w:hAnsi="Times New Roman" w:cs="Times New Roman" w:eastAsia="Times New Roman" w:hint="default"/>
                            <w:sz w:val="18"/>
                            <w:szCs w:val="18"/>
                          </w:rPr>
                        </w:pPr>
                        <w:r>
                          <w:rPr>
                            <w:rFonts w:ascii="Times New Roman"/>
                            <w:sz w:val="18"/>
                          </w:rPr>
                          <w:t>943,065.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30</w:t>
                        </w: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33"/>
                          <w:ind w:left="57" w:right="0"/>
                          <w:jc w:val="left"/>
                          <w:rPr>
                            <w:rFonts w:ascii="Times New Roman" w:hAnsi="Times New Roman" w:cs="Times New Roman" w:eastAsia="Times New Roman" w:hint="default"/>
                            <w:sz w:val="18"/>
                            <w:szCs w:val="18"/>
                          </w:rPr>
                        </w:pPr>
                        <w:r>
                          <w:rPr>
                            <w:rFonts w:ascii="Times New Roman"/>
                            <w:sz w:val="18"/>
                          </w:rPr>
                          <w:t>39,498,35</w:t>
                        </w:r>
                      </w:p>
                      <w:p>
                        <w:pPr>
                          <w:pStyle w:val="TableParagraph"/>
                          <w:spacing w:line="207" w:lineRule="exact"/>
                          <w:ind w:left="463" w:right="0"/>
                          <w:jc w:val="left"/>
                          <w:rPr>
                            <w:rFonts w:ascii="Times New Roman" w:hAnsi="Times New Roman" w:cs="Times New Roman" w:eastAsia="Times New Roman" w:hint="default"/>
                            <w:sz w:val="18"/>
                            <w:szCs w:val="18"/>
                          </w:rPr>
                        </w:pPr>
                        <w:r>
                          <w:rPr>
                            <w:rFonts w:ascii="Times New Roman"/>
                            <w:sz w:val="18"/>
                          </w:rPr>
                          <w:t>4.35</w:t>
                        </w:r>
                      </w:p>
                    </w:tc>
                    <w:tc>
                      <w:tcPr>
                        <w:tcW w:w="187" w:type="dxa"/>
                        <w:tcBorders>
                          <w:top w:val="single" w:sz="32" w:space="0" w:color="D4D4D4"/>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33"/>
                          <w:ind w:left="33" w:right="0"/>
                          <w:jc w:val="left"/>
                          <w:rPr>
                            <w:rFonts w:ascii="Times New Roman" w:hAnsi="Times New Roman" w:cs="Times New Roman" w:eastAsia="Times New Roman" w:hint="default"/>
                            <w:sz w:val="18"/>
                            <w:szCs w:val="18"/>
                          </w:rPr>
                        </w:pPr>
                        <w:r>
                          <w:rPr>
                            <w:rFonts w:ascii="Times New Roman"/>
                            <w:sz w:val="18"/>
                          </w:rPr>
                          <w:t>893,758,97</w:t>
                        </w:r>
                      </w:p>
                      <w:p>
                        <w:pPr>
                          <w:pStyle w:val="TableParagraph"/>
                          <w:spacing w:line="207" w:lineRule="exact"/>
                          <w:ind w:left="530" w:right="0"/>
                          <w:jc w:val="left"/>
                          <w:rPr>
                            <w:rFonts w:ascii="Times New Roman" w:hAnsi="Times New Roman" w:cs="Times New Roman" w:eastAsia="Times New Roman" w:hint="default"/>
                            <w:sz w:val="18"/>
                            <w:szCs w:val="18"/>
                          </w:rPr>
                        </w:pPr>
                        <w:r>
                          <w:rPr>
                            <w:rFonts w:ascii="Times New Roman"/>
                            <w:sz w:val="18"/>
                          </w:rPr>
                          <w:t>2.99</w:t>
                        </w:r>
                      </w:p>
                    </w:tc>
                    <w:tc>
                      <w:tcPr>
                        <w:tcW w:w="187" w:type="dxa"/>
                        <w:gridSpan w:val="2"/>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33"/>
                          <w:ind w:left="86" w:right="0"/>
                          <w:jc w:val="left"/>
                          <w:rPr>
                            <w:rFonts w:ascii="Times New Roman" w:hAnsi="Times New Roman" w:cs="Times New Roman" w:eastAsia="Times New Roman" w:hint="default"/>
                            <w:sz w:val="18"/>
                            <w:szCs w:val="18"/>
                          </w:rPr>
                        </w:pPr>
                        <w:r>
                          <w:rPr>
                            <w:rFonts w:ascii="Times New Roman"/>
                            <w:sz w:val="18"/>
                          </w:rPr>
                          <w:t>5,239,901,1</w:t>
                        </w:r>
                      </w:p>
                      <w:p>
                        <w:pPr>
                          <w:pStyle w:val="TableParagraph"/>
                          <w:spacing w:line="207" w:lineRule="exact"/>
                          <w:ind w:left="535" w:right="0"/>
                          <w:jc w:val="left"/>
                          <w:rPr>
                            <w:rFonts w:ascii="Times New Roman" w:hAnsi="Times New Roman" w:cs="Times New Roman" w:eastAsia="Times New Roman" w:hint="default"/>
                            <w:sz w:val="18"/>
                            <w:szCs w:val="18"/>
                          </w:rPr>
                        </w:pPr>
                        <w:r>
                          <w:rPr>
                            <w:rFonts w:ascii="Times New Roman"/>
                            <w:sz w:val="18"/>
                          </w:rPr>
                          <w:t>69.13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33"/>
                          <w:ind w:left="76" w:right="0"/>
                          <w:jc w:val="left"/>
                          <w:rPr>
                            <w:rFonts w:ascii="Times New Roman" w:hAnsi="Times New Roman" w:cs="Times New Roman" w:eastAsia="Times New Roman" w:hint="default"/>
                            <w:sz w:val="18"/>
                            <w:szCs w:val="18"/>
                          </w:rPr>
                        </w:pPr>
                        <w:r>
                          <w:rPr>
                            <w:rFonts w:ascii="Times New Roman"/>
                            <w:sz w:val="18"/>
                          </w:rPr>
                          <w:t>255,382,78</w:t>
                        </w:r>
                      </w:p>
                      <w:p>
                        <w:pPr>
                          <w:pStyle w:val="TableParagraph"/>
                          <w:spacing w:line="207" w:lineRule="exact"/>
                          <w:ind w:left="573" w:right="0"/>
                          <w:jc w:val="left"/>
                          <w:rPr>
                            <w:rFonts w:ascii="Times New Roman" w:hAnsi="Times New Roman" w:cs="Times New Roman" w:eastAsia="Times New Roman" w:hint="default"/>
                            <w:sz w:val="18"/>
                            <w:szCs w:val="18"/>
                          </w:rPr>
                        </w:pPr>
                        <w:r>
                          <w:rPr>
                            <w:rFonts w:ascii="Times New Roman"/>
                            <w:sz w:val="18"/>
                          </w:rPr>
                          <w:t>2.27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33"/>
                          <w:ind w:left="86" w:right="0"/>
                          <w:jc w:val="left"/>
                          <w:rPr>
                            <w:rFonts w:ascii="Times New Roman" w:hAnsi="Times New Roman" w:cs="Times New Roman" w:eastAsia="Times New Roman" w:hint="default"/>
                            <w:sz w:val="18"/>
                            <w:szCs w:val="18"/>
                          </w:rPr>
                        </w:pPr>
                        <w:r>
                          <w:rPr>
                            <w:rFonts w:ascii="Times New Roman"/>
                            <w:sz w:val="18"/>
                          </w:rPr>
                          <w:t>5,495,283,9</w:t>
                        </w:r>
                      </w:p>
                      <w:p>
                        <w:pPr>
                          <w:pStyle w:val="TableParagraph"/>
                          <w:spacing w:line="207" w:lineRule="exact"/>
                          <w:ind w:left="535" w:right="0"/>
                          <w:jc w:val="left"/>
                          <w:rPr>
                            <w:rFonts w:ascii="Times New Roman" w:hAnsi="Times New Roman" w:cs="Times New Roman" w:eastAsia="Times New Roman" w:hint="default"/>
                            <w:sz w:val="18"/>
                            <w:szCs w:val="18"/>
                          </w:rPr>
                        </w:pPr>
                        <w:r>
                          <w:rPr>
                            <w:rFonts w:ascii="Times New Roman"/>
                            <w:sz w:val="18"/>
                          </w:rPr>
                          <w:t>51.40</w:t>
                        </w:r>
                      </w:p>
                    </w:tc>
                  </w:tr>
                  <w:tr>
                    <w:trPr>
                      <w:trHeight w:val="1320" w:hRule="exact"/>
                    </w:trPr>
                    <w:tc>
                      <w:tcPr>
                        <w:tcW w:w="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21"/>
                            <w:szCs w:val="21"/>
                          </w:rPr>
                        </w:pPr>
                      </w:p>
                      <w:p>
                        <w:pPr>
                          <w:pStyle w:val="TableParagraph"/>
                          <w:spacing w:line="237" w:lineRule="auto"/>
                          <w:ind w:left="28" w:right="29"/>
                          <w:jc w:val="both"/>
                          <w:rPr>
                            <w:rFonts w:ascii="宋体" w:hAnsi="宋体" w:cs="宋体" w:eastAsia="宋体" w:hint="default"/>
                            <w:sz w:val="18"/>
                            <w:szCs w:val="18"/>
                          </w:rPr>
                        </w:pPr>
                        <w:r>
                          <w:rPr>
                            <w:rFonts w:ascii="宋体" w:hAnsi="宋体" w:cs="宋体" w:eastAsia="宋体" w:hint="default"/>
                            <w:sz w:val="18"/>
                            <w:szCs w:val="18"/>
                          </w:rPr>
                          <w:t>加： 会计 政策 变更</w:t>
                        </w:r>
                      </w:p>
                    </w:tc>
                    <w:tc>
                      <w:tcPr>
                        <w:tcW w:w="985" w:type="dxa"/>
                        <w:tcBorders>
                          <w:top w:val="single" w:sz="4" w:space="0" w:color="000000"/>
                          <w:left w:val="single" w:sz="12"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gridSpan w:val="2"/>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gridSpan w:val="2"/>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23"/>
                            <w:szCs w:val="23"/>
                          </w:rPr>
                        </w:pPr>
                      </w:p>
                      <w:p>
                        <w:pPr>
                          <w:pStyle w:val="TableParagraph"/>
                          <w:spacing w:line="232" w:lineRule="exact"/>
                          <w:ind w:left="28" w:right="29"/>
                          <w:jc w:val="both"/>
                          <w:rPr>
                            <w:rFonts w:ascii="宋体" w:hAnsi="宋体" w:cs="宋体" w:eastAsia="宋体" w:hint="default"/>
                            <w:sz w:val="18"/>
                            <w:szCs w:val="18"/>
                          </w:rPr>
                        </w:pPr>
                        <w:r>
                          <w:rPr>
                            <w:rFonts w:ascii="宋体" w:hAnsi="宋体" w:cs="宋体" w:eastAsia="宋体" w:hint="default"/>
                            <w:sz w:val="18"/>
                            <w:szCs w:val="18"/>
                          </w:rPr>
                          <w:t>前期 差错 更正</w:t>
                        </w:r>
                      </w:p>
                    </w:tc>
                    <w:tc>
                      <w:tcPr>
                        <w:tcW w:w="985" w:type="dxa"/>
                        <w:tcBorders>
                          <w:top w:val="single" w:sz="4" w:space="0" w:color="000000"/>
                          <w:left w:val="single" w:sz="12"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gridSpan w:val="2"/>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gridSpan w:val="2"/>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1553" w:hRule="exact"/>
                    </w:trPr>
                    <w:tc>
                      <w:tcPr>
                        <w:tcW w:w="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21"/>
                            <w:szCs w:val="21"/>
                          </w:rPr>
                        </w:pPr>
                      </w:p>
                      <w:p>
                        <w:pPr>
                          <w:pStyle w:val="TableParagraph"/>
                          <w:spacing w:line="237" w:lineRule="auto"/>
                          <w:ind w:left="28" w:right="29"/>
                          <w:jc w:val="both"/>
                          <w:rPr>
                            <w:rFonts w:ascii="宋体" w:hAnsi="宋体" w:cs="宋体" w:eastAsia="宋体" w:hint="default"/>
                            <w:sz w:val="18"/>
                            <w:szCs w:val="18"/>
                          </w:rPr>
                        </w:pPr>
                        <w:r>
                          <w:rPr>
                            <w:rFonts w:ascii="宋体" w:hAnsi="宋体" w:cs="宋体" w:eastAsia="宋体" w:hint="default"/>
                            <w:sz w:val="18"/>
                            <w:szCs w:val="18"/>
                          </w:rPr>
                          <w:t>同一 控制 下企 业合 并</w:t>
                        </w:r>
                      </w:p>
                    </w:tc>
                    <w:tc>
                      <w:tcPr>
                        <w:tcW w:w="985" w:type="dxa"/>
                        <w:tcBorders>
                          <w:top w:val="single" w:sz="4" w:space="0" w:color="000000"/>
                          <w:left w:val="single" w:sz="12"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gridSpan w:val="2"/>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gridSpan w:val="2"/>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5" w:type="dxa"/>
                        <w:tcBorders>
                          <w:top w:val="single" w:sz="4" w:space="0" w:color="000000"/>
                          <w:left w:val="single" w:sz="12" w:space="0" w:color="D4D4D4"/>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gridSpan w:val="2"/>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gridSpan w:val="2"/>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1087" w:hRule="exact"/>
                    </w:trPr>
                    <w:tc>
                      <w:tcPr>
                        <w:tcW w:w="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44"/>
                          <w:ind w:left="28" w:right="29"/>
                          <w:jc w:val="both"/>
                          <w:rPr>
                            <w:rFonts w:ascii="宋体" w:hAnsi="宋体" w:cs="宋体" w:eastAsia="宋体" w:hint="default"/>
                            <w:sz w:val="18"/>
                            <w:szCs w:val="18"/>
                          </w:rPr>
                        </w:pPr>
                        <w:r>
                          <w:rPr>
                            <w:rFonts w:ascii="宋体" w:hAnsi="宋体" w:cs="宋体" w:eastAsia="宋体" w:hint="default"/>
                            <w:sz w:val="18"/>
                            <w:szCs w:val="18"/>
                          </w:rPr>
                          <w:t>二、 本年 期初 余额</w:t>
                        </w:r>
                      </w:p>
                    </w:tc>
                    <w:tc>
                      <w:tcPr>
                        <w:tcW w:w="98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1,172,196,1</w:t>
                        </w:r>
                      </w:p>
                      <w:p>
                        <w:pPr>
                          <w:pStyle w:val="TableParagraph"/>
                          <w:spacing w:line="240" w:lineRule="auto" w:before="2"/>
                          <w:ind w:left="535" w:right="0"/>
                          <w:jc w:val="left"/>
                          <w:rPr>
                            <w:rFonts w:ascii="Times New Roman" w:hAnsi="Times New Roman" w:cs="Times New Roman" w:eastAsia="Times New Roman" w:hint="default"/>
                            <w:sz w:val="18"/>
                            <w:szCs w:val="18"/>
                          </w:rPr>
                        </w:pPr>
                        <w:r>
                          <w:rPr>
                            <w:rFonts w:ascii="Times New Roman"/>
                            <w:sz w:val="18"/>
                          </w:rPr>
                          <w:t>95.00</w:t>
                        </w: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gridSpan w:val="2"/>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3,373,631,9</w:t>
                        </w:r>
                      </w:p>
                      <w:p>
                        <w:pPr>
                          <w:pStyle w:val="TableParagraph"/>
                          <w:spacing w:line="240" w:lineRule="auto" w:before="2"/>
                          <w:ind w:left="537" w:right="0"/>
                          <w:jc w:val="left"/>
                          <w:rPr>
                            <w:rFonts w:ascii="Times New Roman" w:hAnsi="Times New Roman" w:cs="Times New Roman" w:eastAsia="Times New Roman" w:hint="default"/>
                            <w:sz w:val="18"/>
                            <w:szCs w:val="18"/>
                          </w:rPr>
                        </w:pPr>
                        <w:r>
                          <w:rPr>
                            <w:rFonts w:ascii="Times New Roman"/>
                            <w:sz w:val="18"/>
                          </w:rPr>
                          <w:t>33.49</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240,127,35</w:t>
                        </w:r>
                      </w:p>
                      <w:p>
                        <w:pPr>
                          <w:pStyle w:val="TableParagraph"/>
                          <w:spacing w:line="240" w:lineRule="auto" w:before="2"/>
                          <w:ind w:left="530" w:right="0"/>
                          <w:jc w:val="left"/>
                          <w:rPr>
                            <w:rFonts w:ascii="Times New Roman" w:hAnsi="Times New Roman" w:cs="Times New Roman" w:eastAsia="Times New Roman" w:hint="default"/>
                            <w:sz w:val="18"/>
                            <w:szCs w:val="18"/>
                          </w:rPr>
                        </w:pPr>
                        <w:r>
                          <w:rPr>
                            <w:rFonts w:ascii="Times New Roman"/>
                            <w:sz w:val="18"/>
                          </w:rPr>
                          <w:t>2.00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943,065.</w:t>
                        </w:r>
                      </w:p>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30</w:t>
                        </w: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39,498,35</w:t>
                        </w:r>
                      </w:p>
                      <w:p>
                        <w:pPr>
                          <w:pStyle w:val="TableParagraph"/>
                          <w:spacing w:line="240" w:lineRule="auto" w:before="2"/>
                          <w:ind w:left="463" w:right="0"/>
                          <w:jc w:val="left"/>
                          <w:rPr>
                            <w:rFonts w:ascii="Times New Roman" w:hAnsi="Times New Roman" w:cs="Times New Roman" w:eastAsia="Times New Roman" w:hint="default"/>
                            <w:sz w:val="18"/>
                            <w:szCs w:val="18"/>
                          </w:rPr>
                        </w:pPr>
                        <w:r>
                          <w:rPr>
                            <w:rFonts w:ascii="Times New Roman"/>
                            <w:sz w:val="18"/>
                          </w:rPr>
                          <w:t>4.35</w:t>
                        </w: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893,758,97</w:t>
                        </w:r>
                      </w:p>
                      <w:p>
                        <w:pPr>
                          <w:pStyle w:val="TableParagraph"/>
                          <w:spacing w:line="240" w:lineRule="auto" w:before="2"/>
                          <w:ind w:left="530" w:right="0"/>
                          <w:jc w:val="left"/>
                          <w:rPr>
                            <w:rFonts w:ascii="Times New Roman" w:hAnsi="Times New Roman" w:cs="Times New Roman" w:eastAsia="Times New Roman" w:hint="default"/>
                            <w:sz w:val="18"/>
                            <w:szCs w:val="18"/>
                          </w:rPr>
                        </w:pPr>
                        <w:r>
                          <w:rPr>
                            <w:rFonts w:ascii="Times New Roman"/>
                            <w:sz w:val="18"/>
                          </w:rPr>
                          <w:t>2.99</w:t>
                        </w:r>
                      </w:p>
                    </w:tc>
                    <w:tc>
                      <w:tcPr>
                        <w:tcW w:w="187" w:type="dxa"/>
                        <w:gridSpan w:val="2"/>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5,239,901,1</w:t>
                        </w:r>
                      </w:p>
                      <w:p>
                        <w:pPr>
                          <w:pStyle w:val="TableParagraph"/>
                          <w:spacing w:line="240" w:lineRule="auto" w:before="2"/>
                          <w:ind w:left="535" w:right="0"/>
                          <w:jc w:val="left"/>
                          <w:rPr>
                            <w:rFonts w:ascii="Times New Roman" w:hAnsi="Times New Roman" w:cs="Times New Roman" w:eastAsia="Times New Roman" w:hint="default"/>
                            <w:sz w:val="18"/>
                            <w:szCs w:val="18"/>
                          </w:rPr>
                        </w:pPr>
                        <w:r>
                          <w:rPr>
                            <w:rFonts w:ascii="Times New Roman"/>
                            <w:sz w:val="18"/>
                          </w:rPr>
                          <w:t>69.13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255,382,78</w:t>
                        </w:r>
                      </w:p>
                      <w:p>
                        <w:pPr>
                          <w:pStyle w:val="TableParagraph"/>
                          <w:spacing w:line="240" w:lineRule="auto" w:before="2"/>
                          <w:ind w:left="573" w:right="0"/>
                          <w:jc w:val="left"/>
                          <w:rPr>
                            <w:rFonts w:ascii="Times New Roman" w:hAnsi="Times New Roman" w:cs="Times New Roman" w:eastAsia="Times New Roman" w:hint="default"/>
                            <w:sz w:val="18"/>
                            <w:szCs w:val="18"/>
                          </w:rPr>
                        </w:pPr>
                        <w:r>
                          <w:rPr>
                            <w:rFonts w:ascii="Times New Roman"/>
                            <w:sz w:val="18"/>
                          </w:rPr>
                          <w:t>2.27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5,495,283,9</w:t>
                        </w:r>
                      </w:p>
                      <w:p>
                        <w:pPr>
                          <w:pStyle w:val="TableParagraph"/>
                          <w:spacing w:line="240" w:lineRule="auto" w:before="2"/>
                          <w:ind w:left="535" w:right="0"/>
                          <w:jc w:val="left"/>
                          <w:rPr>
                            <w:rFonts w:ascii="Times New Roman" w:hAnsi="Times New Roman" w:cs="Times New Roman" w:eastAsia="Times New Roman" w:hint="default"/>
                            <w:sz w:val="18"/>
                            <w:szCs w:val="18"/>
                          </w:rPr>
                        </w:pPr>
                        <w:r>
                          <w:rPr>
                            <w:rFonts w:ascii="Times New Roman"/>
                            <w:sz w:val="18"/>
                          </w:rPr>
                          <w:t>51.40</w:t>
                        </w:r>
                      </w:p>
                    </w:tc>
                  </w:tr>
                  <w:tr>
                    <w:trPr>
                      <w:trHeight w:val="569" w:hRule="exact"/>
                    </w:trPr>
                    <w:tc>
                      <w:tcPr>
                        <w:tcW w:w="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8" w:right="29"/>
                          <w:jc w:val="left"/>
                          <w:rPr>
                            <w:rFonts w:ascii="宋体" w:hAnsi="宋体" w:cs="宋体" w:eastAsia="宋体" w:hint="default"/>
                            <w:sz w:val="18"/>
                            <w:szCs w:val="18"/>
                          </w:rPr>
                        </w:pPr>
                        <w:r>
                          <w:rPr>
                            <w:rFonts w:ascii="宋体" w:hAnsi="宋体" w:cs="宋体" w:eastAsia="宋体" w:hint="default"/>
                            <w:sz w:val="18"/>
                            <w:szCs w:val="18"/>
                          </w:rPr>
                          <w:t>三、 本期</w:t>
                        </w:r>
                      </w:p>
                    </w:tc>
                    <w:tc>
                      <w:tcPr>
                        <w:tcW w:w="98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576,465,918</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.00</w:t>
                        </w: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gridSpan w:val="2"/>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71" w:right="0"/>
                          <w:jc w:val="left"/>
                          <w:rPr>
                            <w:rFonts w:ascii="Times New Roman" w:hAnsi="Times New Roman" w:cs="Times New Roman" w:eastAsia="Times New Roman" w:hint="default"/>
                            <w:sz w:val="18"/>
                            <w:szCs w:val="18"/>
                          </w:rPr>
                        </w:pPr>
                        <w:r>
                          <w:rPr>
                            <w:rFonts w:ascii="Times New Roman"/>
                            <w:sz w:val="18"/>
                          </w:rPr>
                          <w:t>-938,062,86</w:t>
                        </w:r>
                      </w:p>
                      <w:p>
                        <w:pPr>
                          <w:pStyle w:val="TableParagraph"/>
                          <w:spacing w:line="240" w:lineRule="auto" w:before="2"/>
                          <w:ind w:left="628" w:right="0"/>
                          <w:jc w:val="left"/>
                          <w:rPr>
                            <w:rFonts w:ascii="Times New Roman" w:hAnsi="Times New Roman" w:cs="Times New Roman" w:eastAsia="Times New Roman" w:hint="default"/>
                            <w:sz w:val="18"/>
                            <w:szCs w:val="18"/>
                          </w:rPr>
                        </w:pPr>
                        <w:r>
                          <w:rPr>
                            <w:rFonts w:ascii="Times New Roman"/>
                            <w:sz w:val="18"/>
                          </w:rPr>
                          <w:t>2.72</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4" w:right="0"/>
                          <w:jc w:val="left"/>
                          <w:rPr>
                            <w:rFonts w:ascii="Times New Roman" w:hAnsi="Times New Roman" w:cs="Times New Roman" w:eastAsia="Times New Roman" w:hint="default"/>
                            <w:sz w:val="18"/>
                            <w:szCs w:val="18"/>
                          </w:rPr>
                        </w:pPr>
                        <w:r>
                          <w:rPr>
                            <w:rFonts w:ascii="Times New Roman"/>
                            <w:sz w:val="18"/>
                          </w:rPr>
                          <w:t>-45,178,95</w:t>
                        </w:r>
                      </w:p>
                      <w:p>
                        <w:pPr>
                          <w:pStyle w:val="TableParagraph"/>
                          <w:spacing w:line="240" w:lineRule="auto" w:before="2"/>
                          <w:ind w:left="530" w:right="0"/>
                          <w:jc w:val="left"/>
                          <w:rPr>
                            <w:rFonts w:ascii="Times New Roman" w:hAnsi="Times New Roman" w:cs="Times New Roman" w:eastAsia="Times New Roman" w:hint="default"/>
                            <w:sz w:val="18"/>
                            <w:szCs w:val="18"/>
                          </w:rPr>
                        </w:pPr>
                        <w:r>
                          <w:rPr>
                            <w:rFonts w:ascii="Times New Roman"/>
                            <w:sz w:val="18"/>
                          </w:rPr>
                          <w:t>1.63</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81" w:right="0"/>
                          <w:jc w:val="left"/>
                          <w:rPr>
                            <w:rFonts w:ascii="Times New Roman" w:hAnsi="Times New Roman" w:cs="Times New Roman" w:eastAsia="Times New Roman" w:hint="default"/>
                            <w:sz w:val="18"/>
                            <w:szCs w:val="18"/>
                          </w:rPr>
                        </w:pPr>
                        <w:r>
                          <w:rPr>
                            <w:rFonts w:ascii="Times New Roman"/>
                            <w:sz w:val="18"/>
                          </w:rPr>
                          <w:t>2,021,19</w:t>
                        </w:r>
                      </w:p>
                      <w:p>
                        <w:pPr>
                          <w:pStyle w:val="TableParagraph"/>
                          <w:spacing w:line="240" w:lineRule="auto" w:before="2"/>
                          <w:ind w:left="398" w:right="0"/>
                          <w:jc w:val="left"/>
                          <w:rPr>
                            <w:rFonts w:ascii="Times New Roman" w:hAnsi="Times New Roman" w:cs="Times New Roman" w:eastAsia="Times New Roman" w:hint="default"/>
                            <w:sz w:val="18"/>
                            <w:szCs w:val="18"/>
                          </w:rPr>
                        </w:pPr>
                        <w:r>
                          <w:rPr>
                            <w:rFonts w:ascii="Times New Roman"/>
                            <w:sz w:val="18"/>
                          </w:rPr>
                          <w:t>9.74</w:t>
                        </w: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7" w:right="0"/>
                          <w:jc w:val="left"/>
                          <w:rPr>
                            <w:rFonts w:ascii="Times New Roman" w:hAnsi="Times New Roman" w:cs="Times New Roman" w:eastAsia="Times New Roman" w:hint="default"/>
                            <w:sz w:val="18"/>
                            <w:szCs w:val="18"/>
                          </w:rPr>
                        </w:pPr>
                        <w:r>
                          <w:rPr>
                            <w:rFonts w:ascii="Times New Roman"/>
                            <w:sz w:val="18"/>
                          </w:rPr>
                          <w:t>10,675,15</w:t>
                        </w:r>
                      </w:p>
                      <w:p>
                        <w:pPr>
                          <w:pStyle w:val="TableParagraph"/>
                          <w:spacing w:line="240" w:lineRule="auto" w:before="2"/>
                          <w:ind w:left="463" w:right="0"/>
                          <w:jc w:val="left"/>
                          <w:rPr>
                            <w:rFonts w:ascii="Times New Roman" w:hAnsi="Times New Roman" w:cs="Times New Roman" w:eastAsia="Times New Roman" w:hint="default"/>
                            <w:sz w:val="18"/>
                            <w:szCs w:val="18"/>
                          </w:rPr>
                        </w:pPr>
                        <w:r>
                          <w:rPr>
                            <w:rFonts w:ascii="Times New Roman"/>
                            <w:sz w:val="18"/>
                          </w:rPr>
                          <w:t>3.36</w:t>
                        </w: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4" w:right="0"/>
                          <w:jc w:val="left"/>
                          <w:rPr>
                            <w:rFonts w:ascii="Times New Roman" w:hAnsi="Times New Roman" w:cs="Times New Roman" w:eastAsia="Times New Roman" w:hint="default"/>
                            <w:sz w:val="18"/>
                            <w:szCs w:val="18"/>
                          </w:rPr>
                        </w:pPr>
                        <w:r>
                          <w:rPr>
                            <w:rFonts w:ascii="Times New Roman"/>
                            <w:sz w:val="18"/>
                          </w:rPr>
                          <w:t>-48,149,78</w:t>
                        </w:r>
                      </w:p>
                      <w:p>
                        <w:pPr>
                          <w:pStyle w:val="TableParagraph"/>
                          <w:spacing w:line="240" w:lineRule="auto" w:before="2"/>
                          <w:ind w:left="530" w:right="0"/>
                          <w:jc w:val="left"/>
                          <w:rPr>
                            <w:rFonts w:ascii="Times New Roman" w:hAnsi="Times New Roman" w:cs="Times New Roman" w:eastAsia="Times New Roman" w:hint="default"/>
                            <w:sz w:val="18"/>
                            <w:szCs w:val="18"/>
                          </w:rPr>
                        </w:pPr>
                        <w:r>
                          <w:rPr>
                            <w:rFonts w:ascii="Times New Roman"/>
                            <w:sz w:val="18"/>
                          </w:rPr>
                          <w:t>0.51</w:t>
                        </w:r>
                      </w:p>
                    </w:tc>
                    <w:tc>
                      <w:tcPr>
                        <w:tcW w:w="187" w:type="dxa"/>
                        <w:gridSpan w:val="2"/>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9" w:right="0"/>
                          <w:jc w:val="left"/>
                          <w:rPr>
                            <w:rFonts w:ascii="Times New Roman" w:hAnsi="Times New Roman" w:cs="Times New Roman" w:eastAsia="Times New Roman" w:hint="default"/>
                            <w:sz w:val="18"/>
                            <w:szCs w:val="18"/>
                          </w:rPr>
                        </w:pPr>
                        <w:r>
                          <w:rPr>
                            <w:rFonts w:ascii="Times New Roman"/>
                            <w:sz w:val="18"/>
                          </w:rPr>
                          <w:t>-351,871,42</w:t>
                        </w:r>
                      </w:p>
                      <w:p>
                        <w:pPr>
                          <w:pStyle w:val="TableParagraph"/>
                          <w:spacing w:line="240" w:lineRule="auto" w:before="2"/>
                          <w:ind w:left="626" w:right="0"/>
                          <w:jc w:val="left"/>
                          <w:rPr>
                            <w:rFonts w:ascii="Times New Roman" w:hAnsi="Times New Roman" w:cs="Times New Roman" w:eastAsia="Times New Roman" w:hint="default"/>
                            <w:sz w:val="18"/>
                            <w:szCs w:val="18"/>
                          </w:rPr>
                        </w:pPr>
                        <w:r>
                          <w:rPr>
                            <w:rFonts w:ascii="Times New Roman"/>
                            <w:sz w:val="18"/>
                          </w:rPr>
                          <w:t>0.50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7" w:right="0"/>
                          <w:jc w:val="left"/>
                          <w:rPr>
                            <w:rFonts w:ascii="Times New Roman" w:hAnsi="Times New Roman" w:cs="Times New Roman" w:eastAsia="Times New Roman" w:hint="default"/>
                            <w:sz w:val="18"/>
                            <w:szCs w:val="18"/>
                          </w:rPr>
                        </w:pPr>
                        <w:r>
                          <w:rPr>
                            <w:rFonts w:ascii="Times New Roman"/>
                            <w:sz w:val="18"/>
                          </w:rPr>
                          <w:t>-186,682,8</w:t>
                        </w:r>
                      </w:p>
                      <w:p>
                        <w:pPr>
                          <w:pStyle w:val="TableParagraph"/>
                          <w:spacing w:line="240" w:lineRule="auto" w:before="2"/>
                          <w:ind w:left="482" w:right="0"/>
                          <w:jc w:val="left"/>
                          <w:rPr>
                            <w:rFonts w:ascii="Times New Roman" w:hAnsi="Times New Roman" w:cs="Times New Roman" w:eastAsia="Times New Roman" w:hint="default"/>
                            <w:sz w:val="18"/>
                            <w:szCs w:val="18"/>
                          </w:rPr>
                        </w:pPr>
                        <w:r>
                          <w:rPr>
                            <w:rFonts w:ascii="Times New Roman"/>
                            <w:sz w:val="18"/>
                          </w:rPr>
                          <w:t>30.05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9" w:right="0"/>
                          <w:jc w:val="left"/>
                          <w:rPr>
                            <w:rFonts w:ascii="Times New Roman" w:hAnsi="Times New Roman" w:cs="Times New Roman" w:eastAsia="Times New Roman" w:hint="default"/>
                            <w:sz w:val="18"/>
                            <w:szCs w:val="18"/>
                          </w:rPr>
                        </w:pPr>
                        <w:r>
                          <w:rPr>
                            <w:rFonts w:ascii="Times New Roman"/>
                            <w:sz w:val="18"/>
                          </w:rPr>
                          <w:t>-538,554,25</w:t>
                        </w:r>
                      </w:p>
                      <w:p>
                        <w:pPr>
                          <w:pStyle w:val="TableParagraph"/>
                          <w:spacing w:line="240" w:lineRule="auto" w:before="2"/>
                          <w:ind w:left="626" w:right="0"/>
                          <w:jc w:val="left"/>
                          <w:rPr>
                            <w:rFonts w:ascii="Times New Roman" w:hAnsi="Times New Roman" w:cs="Times New Roman" w:eastAsia="Times New Roman" w:hint="default"/>
                            <w:sz w:val="18"/>
                            <w:szCs w:val="18"/>
                          </w:rPr>
                        </w:pPr>
                        <w:r>
                          <w:rPr>
                            <w:rFonts w:ascii="Times New Roman"/>
                            <w:sz w:val="18"/>
                          </w:rPr>
                          <w:t>0.55</w:t>
                        </w:r>
                      </w:p>
                    </w:tc>
                  </w:tr>
                </w:tbl>
                <w:p>
                  <w:pPr/>
                </w:p>
              </w:txbxContent>
            </v:textbox>
            <w10:wrap type="none"/>
          </v:shape>
        </w:pict>
      </w:r>
      <w:r>
        <w:rPr>
          <w:rFonts w:ascii="宋体" w:hAnsi="宋体" w:cs="宋体" w:eastAsia="宋体" w:hint="default"/>
          <w:sz w:val="18"/>
          <w:szCs w:val="18"/>
        </w:rPr>
        <w:t>其 他</w:t>
      </w:r>
    </w:p>
    <w:p>
      <w:pPr>
        <w:spacing w:line="192" w:lineRule="exact" w:before="0"/>
        <w:ind w:left="1952" w:right="1127" w:firstLine="0"/>
        <w:jc w:val="left"/>
        <w:rPr>
          <w:rFonts w:ascii="宋体" w:hAnsi="宋体" w:cs="宋体" w:eastAsia="宋体" w:hint="default"/>
          <w:sz w:val="18"/>
          <w:szCs w:val="18"/>
        </w:rPr>
      </w:pPr>
      <w:r>
        <w:rPr>
          <w:rFonts w:ascii="宋体" w:hAnsi="宋体" w:cs="宋体" w:eastAsia="宋体" w:hint="default"/>
          <w:sz w:val="18"/>
          <w:szCs w:val="18"/>
        </w:rPr>
        <w:t>其</w:t>
      </w:r>
    </w:p>
    <w:p>
      <w:pPr>
        <w:spacing w:before="0"/>
        <w:ind w:left="1952" w:right="1127" w:firstLine="0"/>
        <w:jc w:val="left"/>
        <w:rPr>
          <w:rFonts w:ascii="宋体" w:hAnsi="宋体" w:cs="宋体" w:eastAsia="宋体" w:hint="default"/>
          <w:sz w:val="18"/>
          <w:szCs w:val="18"/>
        </w:rPr>
      </w:pPr>
      <w:r>
        <w:rPr>
          <w:rFonts w:ascii="宋体" w:hAnsi="宋体" w:cs="宋体" w:eastAsia="宋体" w:hint="default"/>
          <w:sz w:val="18"/>
          <w:szCs w:val="18"/>
        </w:rPr>
        <w:t>他</w:t>
      </w:r>
    </w:p>
    <w:p>
      <w:pPr>
        <w:spacing w:line="240" w:lineRule="auto" w:before="8"/>
        <w:rPr>
          <w:rFonts w:ascii="宋体" w:hAnsi="宋体" w:cs="宋体" w:eastAsia="宋体" w:hint="default"/>
          <w:sz w:val="7"/>
          <w:szCs w:val="7"/>
        </w:rPr>
      </w:pPr>
    </w:p>
    <w:p>
      <w:pPr>
        <w:spacing w:line="117" w:lineRule="exact"/>
        <w:ind w:left="1928" w:right="0" w:firstLine="0"/>
        <w:rPr>
          <w:rFonts w:ascii="宋体" w:hAnsi="宋体" w:cs="宋体" w:eastAsia="宋体" w:hint="default"/>
          <w:sz w:val="11"/>
          <w:szCs w:val="11"/>
        </w:rPr>
      </w:pPr>
      <w:r>
        <w:rPr>
          <w:rFonts w:ascii="宋体" w:hAnsi="宋体" w:cs="宋体" w:eastAsia="宋体" w:hint="default"/>
          <w:position w:val="-1"/>
          <w:sz w:val="11"/>
          <w:szCs w:val="11"/>
        </w:rPr>
        <w:pict>
          <v:group style="width:8.9pt;height:5.9pt;mso-position-horizontal-relative:char;mso-position-vertical-relative:line" coordorigin="0,0" coordsize="178,118">
            <v:group style="position:absolute;left:0;top:0;width:178;height:118" coordorigin="0,0" coordsize="178,118">
              <v:shape style="position:absolute;left:0;top:0;width:178;height:118" coordorigin="0,0" coordsize="178,118" path="m0,118l178,118,178,0,0,0,0,118xe" filled="true" fillcolor="#d4d4d4" stroked="false">
                <v:path arrowok="t"/>
                <v:fill type="solid"/>
              </v:shape>
            </v:group>
          </v:group>
        </w:pict>
      </w:r>
      <w:r>
        <w:rPr>
          <w:rFonts w:ascii="宋体" w:hAnsi="宋体" w:cs="宋体" w:eastAsia="宋体" w:hint="default"/>
          <w:position w:val="-1"/>
          <w:sz w:val="11"/>
          <w:szCs w:val="11"/>
        </w:rPr>
      </w:r>
    </w:p>
    <w:p>
      <w:pPr>
        <w:spacing w:after="0" w:line="117" w:lineRule="exact"/>
        <w:rPr>
          <w:rFonts w:ascii="宋体" w:hAnsi="宋体" w:cs="宋体" w:eastAsia="宋体" w:hint="default"/>
          <w:sz w:val="11"/>
          <w:szCs w:val="11"/>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450"/>
        <w:gridCol w:w="974"/>
        <w:gridCol w:w="187"/>
        <w:gridCol w:w="187"/>
        <w:gridCol w:w="185"/>
        <w:gridCol w:w="974"/>
        <w:gridCol w:w="876"/>
        <w:gridCol w:w="746"/>
        <w:gridCol w:w="187"/>
        <w:gridCol w:w="809"/>
        <w:gridCol w:w="187"/>
        <w:gridCol w:w="876"/>
        <w:gridCol w:w="187"/>
        <w:gridCol w:w="974"/>
        <w:gridCol w:w="919"/>
        <w:gridCol w:w="974"/>
      </w:tblGrid>
      <w:tr>
        <w:trPr>
          <w:trHeight w:val="1949"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04" w:lineRule="exact"/>
              <w:ind w:left="39" w:right="0"/>
              <w:jc w:val="both"/>
              <w:rPr>
                <w:rFonts w:ascii="宋体" w:hAnsi="宋体" w:cs="宋体" w:eastAsia="宋体" w:hint="default"/>
                <w:sz w:val="18"/>
                <w:szCs w:val="18"/>
              </w:rPr>
            </w:pPr>
            <w:r>
              <w:rPr>
                <w:rFonts w:ascii="宋体" w:hAnsi="宋体" w:cs="宋体" w:eastAsia="宋体" w:hint="default"/>
                <w:sz w:val="18"/>
                <w:szCs w:val="18"/>
              </w:rPr>
              <w:t>增减</w:t>
            </w:r>
          </w:p>
          <w:p>
            <w:pPr>
              <w:pStyle w:val="TableParagraph"/>
              <w:spacing w:line="240" w:lineRule="auto"/>
              <w:ind w:left="39" w:right="38"/>
              <w:jc w:val="both"/>
              <w:rPr>
                <w:rFonts w:ascii="宋体" w:hAnsi="宋体" w:cs="宋体" w:eastAsia="宋体" w:hint="default"/>
                <w:sz w:val="18"/>
                <w:szCs w:val="18"/>
              </w:rPr>
            </w:pPr>
            <w:r>
              <w:rPr>
                <w:rFonts w:ascii="宋体" w:hAnsi="宋体" w:cs="宋体" w:eastAsia="宋体" w:hint="default"/>
                <w:sz w:val="18"/>
                <w:szCs w:val="18"/>
              </w:rPr>
              <w:t>变动 金额</w:t>
            </w:r>
          </w:p>
          <w:p>
            <w:pPr>
              <w:pStyle w:val="TableParagraph"/>
              <w:spacing w:line="235" w:lineRule="auto" w:before="1"/>
              <w:ind w:left="39" w:right="38"/>
              <w:jc w:val="both"/>
              <w:rPr>
                <w:rFonts w:ascii="宋体" w:hAnsi="宋体" w:cs="宋体" w:eastAsia="宋体" w:hint="default"/>
                <w:sz w:val="18"/>
                <w:szCs w:val="18"/>
              </w:rPr>
            </w:pPr>
            <w:r>
              <w:rPr>
                <w:rFonts w:ascii="宋体" w:hAnsi="宋体" w:cs="宋体" w:eastAsia="宋体" w:hint="default"/>
                <w:sz w:val="18"/>
                <w:szCs w:val="18"/>
              </w:rPr>
              <w:t>（减 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 列）</w:t>
            </w:r>
          </w:p>
        </w:tc>
        <w:tc>
          <w:tcPr>
            <w:tcW w:w="974"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1322"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exact" w:before="41"/>
              <w:ind w:left="39"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before="2"/>
              <w:ind w:left="39" w:right="38"/>
              <w:jc w:val="both"/>
              <w:rPr>
                <w:rFonts w:ascii="宋体" w:hAnsi="宋体" w:cs="宋体" w:eastAsia="宋体" w:hint="default"/>
                <w:sz w:val="18"/>
                <w:szCs w:val="18"/>
              </w:rPr>
            </w:pPr>
            <w:r>
              <w:rPr>
                <w:rFonts w:ascii="宋体" w:hAnsi="宋体" w:cs="宋体" w:eastAsia="宋体" w:hint="default"/>
                <w:sz w:val="18"/>
                <w:szCs w:val="18"/>
              </w:rPr>
              <w:t>）综 合收 益总 额</w:t>
            </w:r>
          </w:p>
        </w:tc>
        <w:tc>
          <w:tcPr>
            <w:tcW w:w="974"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2,021,19</w:t>
            </w:r>
          </w:p>
          <w:p>
            <w:pPr>
              <w:pStyle w:val="TableParagraph"/>
              <w:spacing w:line="240" w:lineRule="auto" w:before="2"/>
              <w:ind w:left="398" w:right="0"/>
              <w:jc w:val="left"/>
              <w:rPr>
                <w:rFonts w:ascii="Times New Roman" w:hAnsi="Times New Roman" w:cs="Times New Roman" w:eastAsia="Times New Roman" w:hint="default"/>
                <w:sz w:val="18"/>
                <w:szCs w:val="18"/>
              </w:rPr>
            </w:pPr>
            <w:r>
              <w:rPr>
                <w:rFonts w:ascii="Times New Roman"/>
                <w:sz w:val="18"/>
              </w:rPr>
              <w:t>9.74</w:t>
            </w: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44,120,618</w:t>
            </w:r>
          </w:p>
          <w:p>
            <w:pPr>
              <w:pStyle w:val="TableParagraph"/>
              <w:spacing w:line="240" w:lineRule="auto" w:before="2"/>
              <w:ind w:right="18"/>
              <w:jc w:val="right"/>
              <w:rPr>
                <w:rFonts w:ascii="Times New Roman" w:hAnsi="Times New Roman" w:cs="Times New Roman" w:eastAsia="Times New Roman" w:hint="default"/>
                <w:sz w:val="18"/>
                <w:szCs w:val="18"/>
              </w:rPr>
            </w:pPr>
            <w:r>
              <w:rPr>
                <w:rFonts w:ascii="Times New Roman"/>
                <w:sz w:val="18"/>
              </w:rPr>
              <w:t>.46</w:t>
            </w: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46,141,818.</w:t>
            </w:r>
          </w:p>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20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26,891,272.</w:t>
            </w:r>
          </w:p>
          <w:p>
            <w:pPr>
              <w:pStyle w:val="TableParagraph"/>
              <w:spacing w:line="240" w:lineRule="auto" w:before="2"/>
              <w:ind w:right="17"/>
              <w:jc w:val="right"/>
              <w:rPr>
                <w:rFonts w:ascii="Times New Roman" w:hAnsi="Times New Roman" w:cs="Times New Roman" w:eastAsia="Times New Roman" w:hint="default"/>
                <w:sz w:val="18"/>
                <w:szCs w:val="18"/>
              </w:rPr>
            </w:pPr>
            <w:r>
              <w:rPr>
                <w:rFonts w:ascii="Times New Roman"/>
                <w:sz w:val="18"/>
              </w:rPr>
              <w:t>04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73,033,090.</w:t>
            </w:r>
          </w:p>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24</w:t>
            </w:r>
          </w:p>
        </w:tc>
      </w:tr>
      <w:tr>
        <w:trPr>
          <w:trHeight w:val="1788"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41"/>
              <w:ind w:left="39" w:right="0"/>
              <w:jc w:val="both"/>
              <w:rPr>
                <w:rFonts w:ascii="宋体" w:hAnsi="宋体" w:cs="宋体" w:eastAsia="宋体" w:hint="default"/>
                <w:sz w:val="18"/>
                <w:szCs w:val="18"/>
              </w:rPr>
            </w:pPr>
            <w:r>
              <w:rPr>
                <w:rFonts w:ascii="宋体" w:hAnsi="宋体" w:cs="宋体" w:eastAsia="宋体" w:hint="default"/>
                <w:sz w:val="18"/>
                <w:szCs w:val="18"/>
              </w:rPr>
              <w:t>（二</w:t>
            </w:r>
          </w:p>
          <w:p>
            <w:pPr>
              <w:pStyle w:val="TableParagraph"/>
              <w:spacing w:line="237" w:lineRule="auto"/>
              <w:ind w:left="39" w:right="38"/>
              <w:jc w:val="both"/>
              <w:rPr>
                <w:rFonts w:ascii="宋体" w:hAnsi="宋体" w:cs="宋体" w:eastAsia="宋体" w:hint="default"/>
                <w:sz w:val="18"/>
                <w:szCs w:val="18"/>
              </w:rPr>
            </w:pPr>
            <w:r>
              <w:rPr>
                <w:rFonts w:ascii="宋体" w:hAnsi="宋体" w:cs="宋体" w:eastAsia="宋体" w:hint="default"/>
                <w:sz w:val="18"/>
                <w:szCs w:val="18"/>
              </w:rPr>
              <w:t>）所 有者 投入 和减 少资 本</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-6,358,022.0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-322,272,44</w:t>
            </w:r>
          </w:p>
          <w:p>
            <w:pPr>
              <w:pStyle w:val="TableParagraph"/>
              <w:spacing w:line="207" w:lineRule="exact"/>
              <w:ind w:left="628" w:right="0"/>
              <w:jc w:val="left"/>
              <w:rPr>
                <w:rFonts w:ascii="Times New Roman" w:hAnsi="Times New Roman" w:cs="Times New Roman" w:eastAsia="Times New Roman" w:hint="default"/>
                <w:sz w:val="18"/>
                <w:szCs w:val="18"/>
              </w:rPr>
            </w:pPr>
            <w:r>
              <w:rPr>
                <w:rFonts w:ascii="Times New Roman"/>
                <w:sz w:val="18"/>
              </w:rPr>
              <w:t>9.18</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07" w:lineRule="exact"/>
              <w:ind w:left="64" w:right="0"/>
              <w:jc w:val="left"/>
              <w:rPr>
                <w:rFonts w:ascii="Times New Roman" w:hAnsi="Times New Roman" w:cs="Times New Roman" w:eastAsia="Times New Roman" w:hint="default"/>
                <w:sz w:val="18"/>
                <w:szCs w:val="18"/>
              </w:rPr>
            </w:pPr>
            <w:r>
              <w:rPr>
                <w:rFonts w:ascii="Times New Roman"/>
                <w:sz w:val="18"/>
              </w:rPr>
              <w:t>-45,178,95</w:t>
            </w:r>
          </w:p>
          <w:p>
            <w:pPr>
              <w:pStyle w:val="TableParagraph"/>
              <w:spacing w:line="207" w:lineRule="exact"/>
              <w:ind w:left="530" w:right="0"/>
              <w:jc w:val="left"/>
              <w:rPr>
                <w:rFonts w:ascii="Times New Roman" w:hAnsi="Times New Roman" w:cs="Times New Roman" w:eastAsia="Times New Roman" w:hint="default"/>
                <w:sz w:val="18"/>
                <w:szCs w:val="18"/>
              </w:rPr>
            </w:pPr>
            <w:r>
              <w:rPr>
                <w:rFonts w:ascii="Times New Roman"/>
                <w:sz w:val="18"/>
              </w:rPr>
              <w:t>1.63</w:t>
            </w: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07" w:lineRule="exact"/>
              <w:ind w:left="69" w:right="0"/>
              <w:jc w:val="left"/>
              <w:rPr>
                <w:rFonts w:ascii="Times New Roman" w:hAnsi="Times New Roman" w:cs="Times New Roman" w:eastAsia="Times New Roman" w:hint="default"/>
                <w:sz w:val="18"/>
                <w:szCs w:val="18"/>
              </w:rPr>
            </w:pPr>
            <w:r>
              <w:rPr>
                <w:rFonts w:ascii="Times New Roman"/>
                <w:sz w:val="18"/>
              </w:rPr>
              <w:t>-283,451,51</w:t>
            </w:r>
          </w:p>
          <w:p>
            <w:pPr>
              <w:pStyle w:val="TableParagraph"/>
              <w:spacing w:line="207" w:lineRule="exact"/>
              <w:ind w:left="626" w:right="0"/>
              <w:jc w:val="left"/>
              <w:rPr>
                <w:rFonts w:ascii="Times New Roman" w:hAnsi="Times New Roman" w:cs="Times New Roman" w:eastAsia="Times New Roman" w:hint="default"/>
                <w:sz w:val="18"/>
                <w:szCs w:val="18"/>
              </w:rPr>
            </w:pPr>
            <w:r>
              <w:rPr>
                <w:rFonts w:ascii="Times New Roman"/>
                <w:sz w:val="18"/>
              </w:rPr>
              <w:t>9.55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4,500,000.0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07" w:lineRule="exact"/>
              <w:ind w:left="69" w:right="0"/>
              <w:jc w:val="left"/>
              <w:rPr>
                <w:rFonts w:ascii="Times New Roman" w:hAnsi="Times New Roman" w:cs="Times New Roman" w:eastAsia="Times New Roman" w:hint="default"/>
                <w:sz w:val="18"/>
                <w:szCs w:val="18"/>
              </w:rPr>
            </w:pPr>
            <w:r>
              <w:rPr>
                <w:rFonts w:ascii="Times New Roman"/>
                <w:sz w:val="18"/>
              </w:rPr>
              <w:t>-278,951,51</w:t>
            </w:r>
          </w:p>
          <w:p>
            <w:pPr>
              <w:pStyle w:val="TableParagraph"/>
              <w:spacing w:line="207" w:lineRule="exact"/>
              <w:ind w:left="626" w:right="0"/>
              <w:jc w:val="left"/>
              <w:rPr>
                <w:rFonts w:ascii="Times New Roman" w:hAnsi="Times New Roman" w:cs="Times New Roman" w:eastAsia="Times New Roman" w:hint="default"/>
                <w:sz w:val="18"/>
                <w:szCs w:val="18"/>
              </w:rPr>
            </w:pPr>
            <w:r>
              <w:rPr>
                <w:rFonts w:ascii="Times New Roman"/>
                <w:sz w:val="18"/>
              </w:rPr>
              <w:t>9.55</w:t>
            </w:r>
          </w:p>
        </w:tc>
      </w:tr>
      <w:tr>
        <w:trPr>
          <w:trHeight w:val="1320"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6"/>
              <w:ind w:left="39" w:right="38" w:hanging="17"/>
              <w:jc w:val="both"/>
              <w:rPr>
                <w:rFonts w:ascii="宋体" w:hAnsi="宋体" w:cs="宋体" w:eastAsia="宋体" w:hint="default"/>
                <w:sz w:val="18"/>
                <w:szCs w:val="18"/>
              </w:rPr>
            </w:pPr>
            <w:r>
              <w:rPr>
                <w:rFonts w:ascii="Times New Roman" w:hAnsi="Times New Roman" w:cs="Times New Roman" w:eastAsia="Times New Roman" w:hint="default"/>
                <w:spacing w:val="-37"/>
                <w:sz w:val="18"/>
                <w:szCs w:val="18"/>
              </w:rPr>
              <w:t>1</w:t>
            </w:r>
            <w:r>
              <w:rPr>
                <w:rFonts w:ascii="宋体" w:hAnsi="宋体" w:cs="宋体" w:eastAsia="宋体" w:hint="default"/>
                <w:spacing w:val="-37"/>
                <w:sz w:val="18"/>
                <w:szCs w:val="18"/>
              </w:rPr>
              <w:t>．所</w:t>
            </w:r>
            <w:r>
              <w:rPr>
                <w:rFonts w:ascii="宋体" w:hAnsi="宋体" w:cs="宋体" w:eastAsia="宋体" w:hint="default"/>
                <w:spacing w:val="-56"/>
                <w:sz w:val="18"/>
                <w:szCs w:val="18"/>
              </w:rPr>
              <w:t> </w:t>
            </w:r>
            <w:r>
              <w:rPr>
                <w:rFonts w:ascii="宋体" w:hAnsi="宋体" w:cs="宋体" w:eastAsia="宋体" w:hint="default"/>
                <w:sz w:val="18"/>
                <w:szCs w:val="18"/>
              </w:rPr>
              <w:t>有者</w:t>
            </w:r>
            <w:r>
              <w:rPr>
                <w:rFonts w:ascii="宋体" w:hAnsi="宋体" w:cs="宋体" w:eastAsia="宋体" w:hint="default"/>
                <w:sz w:val="18"/>
                <w:szCs w:val="18"/>
              </w:rPr>
              <w:t> 投入 的普 通股</w:t>
            </w:r>
          </w:p>
        </w:tc>
        <w:tc>
          <w:tcPr>
            <w:tcW w:w="974"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-195,252,36</w:t>
            </w:r>
          </w:p>
          <w:p>
            <w:pPr>
              <w:pStyle w:val="TableParagraph"/>
              <w:spacing w:line="207" w:lineRule="exact"/>
              <w:ind w:left="628" w:right="0"/>
              <w:jc w:val="left"/>
              <w:rPr>
                <w:rFonts w:ascii="Times New Roman" w:hAnsi="Times New Roman" w:cs="Times New Roman" w:eastAsia="Times New Roman" w:hint="default"/>
                <w:sz w:val="18"/>
                <w:szCs w:val="18"/>
              </w:rPr>
            </w:pPr>
            <w:r>
              <w:rPr>
                <w:rFonts w:ascii="Times New Roman"/>
                <w:sz w:val="18"/>
              </w:rPr>
              <w:t>8.25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07" w:lineRule="exact"/>
              <w:ind w:right="16"/>
              <w:jc w:val="right"/>
              <w:rPr>
                <w:rFonts w:ascii="Times New Roman" w:hAnsi="Times New Roman" w:cs="Times New Roman" w:eastAsia="Times New Roman" w:hint="default"/>
                <w:sz w:val="18"/>
                <w:szCs w:val="18"/>
              </w:rPr>
            </w:pPr>
            <w:r>
              <w:rPr>
                <w:rFonts w:ascii="Times New Roman"/>
                <w:sz w:val="18"/>
              </w:rPr>
              <w:t>12,400,125</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.00</w:t>
            </w: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07" w:lineRule="exact"/>
              <w:ind w:left="69" w:right="0"/>
              <w:jc w:val="left"/>
              <w:rPr>
                <w:rFonts w:ascii="Times New Roman" w:hAnsi="Times New Roman" w:cs="Times New Roman" w:eastAsia="Times New Roman" w:hint="default"/>
                <w:sz w:val="18"/>
                <w:szCs w:val="18"/>
              </w:rPr>
            </w:pPr>
            <w:r>
              <w:rPr>
                <w:rFonts w:ascii="Times New Roman"/>
                <w:sz w:val="18"/>
              </w:rPr>
              <w:t>-207,652,49</w:t>
            </w:r>
          </w:p>
          <w:p>
            <w:pPr>
              <w:pStyle w:val="TableParagraph"/>
              <w:spacing w:line="207" w:lineRule="exact"/>
              <w:ind w:left="626" w:right="0"/>
              <w:jc w:val="left"/>
              <w:rPr>
                <w:rFonts w:ascii="Times New Roman" w:hAnsi="Times New Roman" w:cs="Times New Roman" w:eastAsia="Times New Roman" w:hint="default"/>
                <w:sz w:val="18"/>
                <w:szCs w:val="18"/>
              </w:rPr>
            </w:pPr>
            <w:r>
              <w:rPr>
                <w:rFonts w:ascii="Times New Roman"/>
                <w:sz w:val="18"/>
              </w:rPr>
              <w:t>3.25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4,500,000.0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07" w:lineRule="exact"/>
              <w:ind w:left="69" w:right="0"/>
              <w:jc w:val="left"/>
              <w:rPr>
                <w:rFonts w:ascii="Times New Roman" w:hAnsi="Times New Roman" w:cs="Times New Roman" w:eastAsia="Times New Roman" w:hint="default"/>
                <w:sz w:val="18"/>
                <w:szCs w:val="18"/>
              </w:rPr>
            </w:pPr>
            <w:r>
              <w:rPr>
                <w:rFonts w:ascii="Times New Roman"/>
                <w:sz w:val="18"/>
              </w:rPr>
              <w:t>-203,152,49</w:t>
            </w:r>
          </w:p>
          <w:p>
            <w:pPr>
              <w:pStyle w:val="TableParagraph"/>
              <w:spacing w:line="207" w:lineRule="exact"/>
              <w:ind w:left="626" w:right="0"/>
              <w:jc w:val="left"/>
              <w:rPr>
                <w:rFonts w:ascii="Times New Roman" w:hAnsi="Times New Roman" w:cs="Times New Roman" w:eastAsia="Times New Roman" w:hint="default"/>
                <w:sz w:val="18"/>
                <w:szCs w:val="18"/>
              </w:rPr>
            </w:pPr>
            <w:r>
              <w:rPr>
                <w:rFonts w:ascii="Times New Roman"/>
                <w:sz w:val="18"/>
              </w:rPr>
              <w:t>3.25</w:t>
            </w:r>
          </w:p>
        </w:tc>
      </w:tr>
      <w:tr>
        <w:trPr>
          <w:trHeight w:val="1788"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6"/>
              <w:ind w:left="39" w:right="38" w:hanging="17"/>
              <w:jc w:val="both"/>
              <w:rPr>
                <w:rFonts w:ascii="宋体" w:hAnsi="宋体" w:cs="宋体" w:eastAsia="宋体" w:hint="default"/>
                <w:sz w:val="18"/>
                <w:szCs w:val="18"/>
              </w:rPr>
            </w:pPr>
            <w:r>
              <w:rPr>
                <w:rFonts w:ascii="Times New Roman" w:hAnsi="Times New Roman" w:cs="Times New Roman" w:eastAsia="Times New Roman" w:hint="default"/>
                <w:spacing w:val="-37"/>
                <w:sz w:val="18"/>
                <w:szCs w:val="18"/>
              </w:rPr>
              <w:t>2</w:t>
            </w:r>
            <w:r>
              <w:rPr>
                <w:rFonts w:ascii="宋体" w:hAnsi="宋体" w:cs="宋体" w:eastAsia="宋体" w:hint="default"/>
                <w:spacing w:val="-37"/>
                <w:sz w:val="18"/>
                <w:szCs w:val="18"/>
              </w:rPr>
              <w:t>．其</w:t>
            </w:r>
            <w:r>
              <w:rPr>
                <w:rFonts w:ascii="宋体" w:hAnsi="宋体" w:cs="宋体" w:eastAsia="宋体" w:hint="default"/>
                <w:spacing w:val="-56"/>
                <w:sz w:val="18"/>
                <w:szCs w:val="18"/>
              </w:rPr>
              <w:t> </w:t>
            </w:r>
            <w:r>
              <w:rPr>
                <w:rFonts w:ascii="宋体" w:hAnsi="宋体" w:cs="宋体" w:eastAsia="宋体" w:hint="default"/>
                <w:sz w:val="18"/>
                <w:szCs w:val="18"/>
              </w:rPr>
              <w:t>他权</w:t>
            </w:r>
            <w:r>
              <w:rPr>
                <w:rFonts w:ascii="宋体" w:hAnsi="宋体" w:cs="宋体" w:eastAsia="宋体" w:hint="default"/>
                <w:sz w:val="18"/>
                <w:szCs w:val="18"/>
              </w:rPr>
              <w:t> 益工 具持 有者 投入 资本</w:t>
            </w:r>
          </w:p>
        </w:tc>
        <w:tc>
          <w:tcPr>
            <w:tcW w:w="974"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2023"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8"/>
              <w:ind w:left="39" w:right="38" w:hanging="17"/>
              <w:jc w:val="both"/>
              <w:rPr>
                <w:rFonts w:ascii="宋体" w:hAnsi="宋体" w:cs="宋体" w:eastAsia="宋体" w:hint="default"/>
                <w:sz w:val="18"/>
                <w:szCs w:val="18"/>
              </w:rPr>
            </w:pPr>
            <w:r>
              <w:rPr>
                <w:rFonts w:ascii="Times New Roman" w:hAnsi="Times New Roman" w:cs="Times New Roman" w:eastAsia="Times New Roman" w:hint="default"/>
                <w:spacing w:val="-37"/>
                <w:sz w:val="18"/>
                <w:szCs w:val="18"/>
              </w:rPr>
              <w:t>3</w:t>
            </w:r>
            <w:r>
              <w:rPr>
                <w:rFonts w:ascii="宋体" w:hAnsi="宋体" w:cs="宋体" w:eastAsia="宋体" w:hint="default"/>
                <w:spacing w:val="-37"/>
                <w:sz w:val="18"/>
                <w:szCs w:val="18"/>
              </w:rPr>
              <w:t>．股</w:t>
            </w:r>
            <w:r>
              <w:rPr>
                <w:rFonts w:ascii="宋体" w:hAnsi="宋体" w:cs="宋体" w:eastAsia="宋体" w:hint="default"/>
                <w:spacing w:val="-56"/>
                <w:sz w:val="18"/>
                <w:szCs w:val="18"/>
              </w:rPr>
              <w:t> </w:t>
            </w:r>
            <w:r>
              <w:rPr>
                <w:rFonts w:ascii="宋体" w:hAnsi="宋体" w:cs="宋体" w:eastAsia="宋体" w:hint="default"/>
                <w:sz w:val="18"/>
                <w:szCs w:val="18"/>
              </w:rPr>
              <w:t>份支</w:t>
            </w:r>
            <w:r>
              <w:rPr>
                <w:rFonts w:ascii="宋体" w:hAnsi="宋体" w:cs="宋体" w:eastAsia="宋体" w:hint="default"/>
                <w:sz w:val="18"/>
                <w:szCs w:val="18"/>
              </w:rPr>
              <w:t> 付计 入所 有者 权益 的金 额</w:t>
            </w:r>
          </w:p>
        </w:tc>
        <w:tc>
          <w:tcPr>
            <w:tcW w:w="974"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-72,020,080.</w:t>
            </w:r>
          </w:p>
          <w:p>
            <w:pPr>
              <w:pStyle w:val="TableParagraph"/>
              <w:spacing w:line="240" w:lineRule="auto" w:before="2"/>
              <w:ind w:right="17"/>
              <w:jc w:val="right"/>
              <w:rPr>
                <w:rFonts w:ascii="Times New Roman" w:hAnsi="Times New Roman" w:cs="Times New Roman" w:eastAsia="Times New Roman" w:hint="default"/>
                <w:sz w:val="18"/>
                <w:szCs w:val="18"/>
              </w:rPr>
            </w:pPr>
            <w:r>
              <w:rPr>
                <w:rFonts w:ascii="Times New Roman"/>
                <w:sz w:val="18"/>
              </w:rPr>
              <w:t>93</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-57,579,07</w:t>
            </w:r>
          </w:p>
          <w:p>
            <w:pPr>
              <w:pStyle w:val="TableParagraph"/>
              <w:spacing w:line="240" w:lineRule="auto" w:before="2"/>
              <w:ind w:left="530" w:right="0"/>
              <w:jc w:val="left"/>
              <w:rPr>
                <w:rFonts w:ascii="Times New Roman" w:hAnsi="Times New Roman" w:cs="Times New Roman" w:eastAsia="Times New Roman" w:hint="default"/>
                <w:sz w:val="18"/>
                <w:szCs w:val="18"/>
              </w:rPr>
            </w:pPr>
            <w:r>
              <w:rPr>
                <w:rFonts w:ascii="Times New Roman"/>
                <w:sz w:val="18"/>
              </w:rPr>
              <w:t>6.63</w:t>
            </w: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-14,441,004.</w:t>
            </w:r>
          </w:p>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30</w:t>
            </w: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-14,441,004.</w:t>
            </w:r>
          </w:p>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30</w:t>
            </w:r>
          </w:p>
        </w:tc>
      </w:tr>
      <w:tr>
        <w:trPr>
          <w:trHeight w:val="619"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28" w:right="74" w:hanging="106"/>
              <w:jc w:val="left"/>
              <w:rPr>
                <w:rFonts w:ascii="宋体" w:hAnsi="宋体" w:cs="宋体" w:eastAsia="宋体" w:hint="default"/>
                <w:sz w:val="18"/>
                <w:szCs w:val="18"/>
              </w:rPr>
            </w:pPr>
            <w:r>
              <w:rPr>
                <w:rFonts w:ascii="Times New Roman" w:hAnsi="Times New Roman" w:cs="Times New Roman" w:eastAsia="Times New Roman" w:hint="default"/>
                <w:spacing w:val="-37"/>
                <w:sz w:val="18"/>
                <w:szCs w:val="18"/>
              </w:rPr>
              <w:t>4</w:t>
            </w:r>
            <w:r>
              <w:rPr>
                <w:rFonts w:ascii="宋体" w:hAnsi="宋体" w:cs="宋体" w:eastAsia="宋体" w:hint="default"/>
                <w:spacing w:val="-37"/>
                <w:sz w:val="18"/>
                <w:szCs w:val="18"/>
              </w:rPr>
              <w:t>．其</w:t>
            </w:r>
            <w:r>
              <w:rPr>
                <w:rFonts w:ascii="宋体" w:hAnsi="宋体" w:cs="宋体" w:eastAsia="宋体" w:hint="default"/>
                <w:spacing w:val="-56"/>
                <w:sz w:val="18"/>
                <w:szCs w:val="18"/>
              </w:rPr>
              <w:t> </w:t>
            </w:r>
            <w:r>
              <w:rPr>
                <w:rFonts w:ascii="宋体" w:hAnsi="宋体" w:cs="宋体" w:eastAsia="宋体" w:hint="default"/>
                <w:sz w:val="18"/>
                <w:szCs w:val="18"/>
              </w:rPr>
              <w:t>他</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3"/>
              <w:ind w:right="20"/>
              <w:jc w:val="right"/>
              <w:rPr>
                <w:rFonts w:ascii="Times New Roman" w:hAnsi="Times New Roman" w:cs="Times New Roman" w:eastAsia="Times New Roman" w:hint="default"/>
                <w:sz w:val="18"/>
                <w:szCs w:val="18"/>
              </w:rPr>
            </w:pPr>
            <w:r>
              <w:rPr>
                <w:rFonts w:ascii="Times New Roman"/>
                <w:spacing w:val="-1"/>
                <w:sz w:val="18"/>
              </w:rPr>
              <w:t>-6,358,022.0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3"/>
              <w:ind w:right="17"/>
              <w:jc w:val="right"/>
              <w:rPr>
                <w:rFonts w:ascii="Times New Roman" w:hAnsi="Times New Roman" w:cs="Times New Roman" w:eastAsia="Times New Roman" w:hint="default"/>
                <w:sz w:val="18"/>
                <w:szCs w:val="18"/>
              </w:rPr>
            </w:pPr>
            <w:r>
              <w:rPr>
                <w:rFonts w:ascii="Times New Roman"/>
                <w:spacing w:val="-1"/>
                <w:sz w:val="18"/>
              </w:rPr>
              <w:t>-55,000,000.</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00</w:t>
            </w: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3"/>
              <w:ind w:right="19"/>
              <w:jc w:val="right"/>
              <w:rPr>
                <w:rFonts w:ascii="Times New Roman" w:hAnsi="Times New Roman" w:cs="Times New Roman" w:eastAsia="Times New Roman" w:hint="default"/>
                <w:sz w:val="18"/>
                <w:szCs w:val="18"/>
              </w:rPr>
            </w:pPr>
            <w:r>
              <w:rPr>
                <w:rFonts w:ascii="Times New Roman"/>
                <w:spacing w:val="-1"/>
                <w:sz w:val="18"/>
              </w:rPr>
              <w:t>-61,358,022.</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3"/>
              <w:ind w:right="19"/>
              <w:jc w:val="right"/>
              <w:rPr>
                <w:rFonts w:ascii="Times New Roman" w:hAnsi="Times New Roman" w:cs="Times New Roman" w:eastAsia="Times New Roman" w:hint="default"/>
                <w:sz w:val="18"/>
                <w:szCs w:val="18"/>
              </w:rPr>
            </w:pPr>
            <w:r>
              <w:rPr>
                <w:rFonts w:ascii="Times New Roman"/>
                <w:spacing w:val="-1"/>
                <w:sz w:val="18"/>
              </w:rPr>
              <w:t>-61,358,022.</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00</w:t>
            </w:r>
          </w:p>
        </w:tc>
      </w:tr>
      <w:tr>
        <w:trPr>
          <w:trHeight w:val="1090"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44"/>
              <w:ind w:left="39" w:right="0"/>
              <w:jc w:val="both"/>
              <w:rPr>
                <w:rFonts w:ascii="宋体" w:hAnsi="宋体" w:cs="宋体" w:eastAsia="宋体" w:hint="default"/>
                <w:sz w:val="18"/>
                <w:szCs w:val="18"/>
              </w:rPr>
            </w:pPr>
            <w:r>
              <w:rPr>
                <w:rFonts w:ascii="宋体" w:hAnsi="宋体" w:cs="宋体" w:eastAsia="宋体" w:hint="default"/>
                <w:sz w:val="18"/>
                <w:szCs w:val="18"/>
              </w:rPr>
              <w:t>（三</w:t>
            </w:r>
          </w:p>
          <w:p>
            <w:pPr>
              <w:pStyle w:val="TableParagraph"/>
              <w:spacing w:line="232" w:lineRule="exact" w:before="23"/>
              <w:ind w:left="39" w:right="38"/>
              <w:jc w:val="both"/>
              <w:rPr>
                <w:rFonts w:ascii="宋体" w:hAnsi="宋体" w:cs="宋体" w:eastAsia="宋体" w:hint="default"/>
                <w:sz w:val="18"/>
                <w:szCs w:val="18"/>
              </w:rPr>
            </w:pPr>
            <w:r>
              <w:rPr>
                <w:rFonts w:ascii="宋体" w:hAnsi="宋体" w:cs="宋体" w:eastAsia="宋体" w:hint="default"/>
                <w:sz w:val="18"/>
                <w:szCs w:val="18"/>
              </w:rPr>
              <w:t>）利 润分 配</w:t>
            </w:r>
          </w:p>
        </w:tc>
        <w:tc>
          <w:tcPr>
            <w:tcW w:w="974"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7" w:lineRule="exact" w:before="121"/>
              <w:ind w:left="57" w:right="0"/>
              <w:jc w:val="left"/>
              <w:rPr>
                <w:rFonts w:ascii="Times New Roman" w:hAnsi="Times New Roman" w:cs="Times New Roman" w:eastAsia="Times New Roman" w:hint="default"/>
                <w:sz w:val="18"/>
                <w:szCs w:val="18"/>
              </w:rPr>
            </w:pPr>
            <w:r>
              <w:rPr>
                <w:rFonts w:ascii="Times New Roman"/>
                <w:sz w:val="18"/>
              </w:rPr>
              <w:t>10,675,15</w:t>
            </w:r>
          </w:p>
          <w:p>
            <w:pPr>
              <w:pStyle w:val="TableParagraph"/>
              <w:spacing w:line="207" w:lineRule="exact"/>
              <w:ind w:left="463" w:right="0"/>
              <w:jc w:val="left"/>
              <w:rPr>
                <w:rFonts w:ascii="Times New Roman" w:hAnsi="Times New Roman" w:cs="Times New Roman" w:eastAsia="Times New Roman" w:hint="default"/>
                <w:sz w:val="18"/>
                <w:szCs w:val="18"/>
              </w:rPr>
            </w:pPr>
            <w:r>
              <w:rPr>
                <w:rFonts w:ascii="Times New Roman"/>
                <w:sz w:val="18"/>
              </w:rPr>
              <w:t>3.36</w:t>
            </w: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7" w:lineRule="exact" w:before="121"/>
              <w:ind w:left="64" w:right="0"/>
              <w:jc w:val="left"/>
              <w:rPr>
                <w:rFonts w:ascii="Times New Roman" w:hAnsi="Times New Roman" w:cs="Times New Roman" w:eastAsia="Times New Roman" w:hint="default"/>
                <w:sz w:val="18"/>
                <w:szCs w:val="18"/>
              </w:rPr>
            </w:pPr>
            <w:r>
              <w:rPr>
                <w:rFonts w:ascii="Times New Roman"/>
                <w:sz w:val="18"/>
              </w:rPr>
              <w:t>-92,270,39</w:t>
            </w:r>
          </w:p>
          <w:p>
            <w:pPr>
              <w:pStyle w:val="TableParagraph"/>
              <w:spacing w:line="207" w:lineRule="exact"/>
              <w:ind w:left="530" w:right="0"/>
              <w:jc w:val="left"/>
              <w:rPr>
                <w:rFonts w:ascii="Times New Roman" w:hAnsi="Times New Roman" w:cs="Times New Roman" w:eastAsia="Times New Roman" w:hint="default"/>
                <w:sz w:val="18"/>
                <w:szCs w:val="18"/>
              </w:rPr>
            </w:pPr>
            <w:r>
              <w:rPr>
                <w:rFonts w:ascii="Times New Roman"/>
                <w:sz w:val="18"/>
              </w:rPr>
              <w:t>8.97</w:t>
            </w: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7" w:lineRule="exact" w:before="121"/>
              <w:ind w:right="19"/>
              <w:jc w:val="right"/>
              <w:rPr>
                <w:rFonts w:ascii="Times New Roman" w:hAnsi="Times New Roman" w:cs="Times New Roman" w:eastAsia="Times New Roman" w:hint="default"/>
                <w:sz w:val="18"/>
                <w:szCs w:val="18"/>
              </w:rPr>
            </w:pPr>
            <w:r>
              <w:rPr>
                <w:rFonts w:ascii="Times New Roman"/>
                <w:spacing w:val="-1"/>
                <w:sz w:val="18"/>
              </w:rPr>
              <w:t>-81,595,245.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61</w:t>
            </w: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7" w:lineRule="exact" w:before="121"/>
              <w:ind w:right="19"/>
              <w:jc w:val="right"/>
              <w:rPr>
                <w:rFonts w:ascii="Times New Roman" w:hAnsi="Times New Roman" w:cs="Times New Roman" w:eastAsia="Times New Roman" w:hint="default"/>
                <w:sz w:val="18"/>
                <w:szCs w:val="18"/>
              </w:rPr>
            </w:pPr>
            <w:r>
              <w:rPr>
                <w:rFonts w:ascii="Times New Roman"/>
                <w:spacing w:val="-1"/>
                <w:sz w:val="18"/>
              </w:rPr>
              <w:t>-81,595,245.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61</w:t>
            </w:r>
          </w:p>
        </w:tc>
      </w:tr>
      <w:tr>
        <w:trPr>
          <w:trHeight w:val="1087"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auto" w:before="48"/>
              <w:ind w:left="39" w:right="38" w:hanging="17"/>
              <w:jc w:val="both"/>
              <w:rPr>
                <w:rFonts w:ascii="宋体" w:hAnsi="宋体" w:cs="宋体" w:eastAsia="宋体" w:hint="default"/>
                <w:sz w:val="18"/>
                <w:szCs w:val="18"/>
              </w:rPr>
            </w:pPr>
            <w:r>
              <w:rPr>
                <w:rFonts w:ascii="Times New Roman" w:hAnsi="Times New Roman" w:cs="Times New Roman" w:eastAsia="Times New Roman" w:hint="default"/>
                <w:spacing w:val="-37"/>
                <w:sz w:val="18"/>
                <w:szCs w:val="18"/>
              </w:rPr>
              <w:t>1</w:t>
            </w:r>
            <w:r>
              <w:rPr>
                <w:rFonts w:ascii="宋体" w:hAnsi="宋体" w:cs="宋体" w:eastAsia="宋体" w:hint="default"/>
                <w:spacing w:val="-37"/>
                <w:sz w:val="18"/>
                <w:szCs w:val="18"/>
              </w:rPr>
              <w:t>．提</w:t>
            </w:r>
            <w:r>
              <w:rPr>
                <w:rFonts w:ascii="宋体" w:hAnsi="宋体" w:cs="宋体" w:eastAsia="宋体" w:hint="default"/>
                <w:spacing w:val="-56"/>
                <w:sz w:val="18"/>
                <w:szCs w:val="18"/>
              </w:rPr>
              <w:t> </w:t>
            </w:r>
            <w:r>
              <w:rPr>
                <w:rFonts w:ascii="宋体" w:hAnsi="宋体" w:cs="宋体" w:eastAsia="宋体" w:hint="default"/>
                <w:sz w:val="18"/>
                <w:szCs w:val="18"/>
              </w:rPr>
              <w:t>取盈</w:t>
            </w:r>
            <w:r>
              <w:rPr>
                <w:rFonts w:ascii="宋体" w:hAnsi="宋体" w:cs="宋体" w:eastAsia="宋体" w:hint="default"/>
                <w:sz w:val="18"/>
                <w:szCs w:val="18"/>
              </w:rPr>
              <w:t> 余公 积</w:t>
            </w:r>
          </w:p>
        </w:tc>
        <w:tc>
          <w:tcPr>
            <w:tcW w:w="974"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7" w:lineRule="exact" w:before="119"/>
              <w:ind w:left="57" w:right="0"/>
              <w:jc w:val="left"/>
              <w:rPr>
                <w:rFonts w:ascii="Times New Roman" w:hAnsi="Times New Roman" w:cs="Times New Roman" w:eastAsia="Times New Roman" w:hint="default"/>
                <w:sz w:val="18"/>
                <w:szCs w:val="18"/>
              </w:rPr>
            </w:pPr>
            <w:r>
              <w:rPr>
                <w:rFonts w:ascii="Times New Roman"/>
                <w:sz w:val="18"/>
              </w:rPr>
              <w:t>10,675,15</w:t>
            </w:r>
          </w:p>
          <w:p>
            <w:pPr>
              <w:pStyle w:val="TableParagraph"/>
              <w:spacing w:line="207" w:lineRule="exact"/>
              <w:ind w:left="463" w:right="0"/>
              <w:jc w:val="left"/>
              <w:rPr>
                <w:rFonts w:ascii="Times New Roman" w:hAnsi="Times New Roman" w:cs="Times New Roman" w:eastAsia="Times New Roman" w:hint="default"/>
                <w:sz w:val="18"/>
                <w:szCs w:val="18"/>
              </w:rPr>
            </w:pPr>
            <w:r>
              <w:rPr>
                <w:rFonts w:ascii="Times New Roman"/>
                <w:sz w:val="18"/>
              </w:rPr>
              <w:t>3.36</w:t>
            </w: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7" w:lineRule="exact" w:before="119"/>
              <w:ind w:left="64" w:right="0"/>
              <w:jc w:val="left"/>
              <w:rPr>
                <w:rFonts w:ascii="Times New Roman" w:hAnsi="Times New Roman" w:cs="Times New Roman" w:eastAsia="Times New Roman" w:hint="default"/>
                <w:sz w:val="18"/>
                <w:szCs w:val="18"/>
              </w:rPr>
            </w:pPr>
            <w:r>
              <w:rPr>
                <w:rFonts w:ascii="Times New Roman"/>
                <w:sz w:val="18"/>
              </w:rPr>
              <w:t>-10,675,15</w:t>
            </w:r>
          </w:p>
          <w:p>
            <w:pPr>
              <w:pStyle w:val="TableParagraph"/>
              <w:spacing w:line="207" w:lineRule="exact"/>
              <w:ind w:left="530" w:right="0"/>
              <w:jc w:val="left"/>
              <w:rPr>
                <w:rFonts w:ascii="Times New Roman" w:hAnsi="Times New Roman" w:cs="Times New Roman" w:eastAsia="Times New Roman" w:hint="default"/>
                <w:sz w:val="18"/>
                <w:szCs w:val="18"/>
              </w:rPr>
            </w:pPr>
            <w:r>
              <w:rPr>
                <w:rFonts w:ascii="Times New Roman"/>
                <w:sz w:val="18"/>
              </w:rPr>
              <w:t>3.36</w:t>
            </w: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782"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39" w:right="38" w:hanging="17"/>
              <w:jc w:val="both"/>
              <w:rPr>
                <w:rFonts w:ascii="宋体" w:hAnsi="宋体" w:cs="宋体" w:eastAsia="宋体" w:hint="default"/>
                <w:sz w:val="18"/>
                <w:szCs w:val="18"/>
              </w:rPr>
            </w:pPr>
            <w:r>
              <w:rPr>
                <w:rFonts w:ascii="Times New Roman" w:hAnsi="Times New Roman" w:cs="Times New Roman" w:eastAsia="Times New Roman" w:hint="default"/>
                <w:spacing w:val="-37"/>
                <w:sz w:val="18"/>
                <w:szCs w:val="18"/>
              </w:rPr>
              <w:t>2</w:t>
            </w:r>
            <w:r>
              <w:rPr>
                <w:rFonts w:ascii="宋体" w:hAnsi="宋体" w:cs="宋体" w:eastAsia="宋体" w:hint="default"/>
                <w:spacing w:val="-37"/>
                <w:sz w:val="18"/>
                <w:szCs w:val="18"/>
              </w:rPr>
              <w:t>．提</w:t>
            </w:r>
            <w:r>
              <w:rPr>
                <w:rFonts w:ascii="宋体" w:hAnsi="宋体" w:cs="宋体" w:eastAsia="宋体" w:hint="default"/>
                <w:spacing w:val="-56"/>
                <w:sz w:val="18"/>
                <w:szCs w:val="18"/>
              </w:rPr>
              <w:t> </w:t>
            </w:r>
            <w:r>
              <w:rPr>
                <w:rFonts w:ascii="宋体" w:hAnsi="宋体" w:cs="宋体" w:eastAsia="宋体" w:hint="default"/>
                <w:sz w:val="18"/>
                <w:szCs w:val="18"/>
              </w:rPr>
              <w:t>取一</w:t>
            </w:r>
            <w:r>
              <w:rPr>
                <w:rFonts w:ascii="宋体" w:hAnsi="宋体" w:cs="宋体" w:eastAsia="宋体" w:hint="default"/>
                <w:sz w:val="18"/>
                <w:szCs w:val="18"/>
              </w:rPr>
              <w:t> 般风</w:t>
            </w:r>
          </w:p>
        </w:tc>
        <w:tc>
          <w:tcPr>
            <w:tcW w:w="974"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450"/>
        <w:gridCol w:w="974"/>
        <w:gridCol w:w="187"/>
        <w:gridCol w:w="187"/>
        <w:gridCol w:w="185"/>
        <w:gridCol w:w="974"/>
        <w:gridCol w:w="876"/>
        <w:gridCol w:w="746"/>
        <w:gridCol w:w="187"/>
        <w:gridCol w:w="809"/>
        <w:gridCol w:w="187"/>
        <w:gridCol w:w="876"/>
        <w:gridCol w:w="187"/>
        <w:gridCol w:w="974"/>
        <w:gridCol w:w="919"/>
        <w:gridCol w:w="974"/>
      </w:tblGrid>
      <w:tr>
        <w:trPr>
          <w:trHeight w:val="550"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04" w:lineRule="exact"/>
              <w:ind w:left="128" w:right="0" w:hanging="89"/>
              <w:jc w:val="left"/>
              <w:rPr>
                <w:rFonts w:ascii="宋体" w:hAnsi="宋体" w:cs="宋体" w:eastAsia="宋体" w:hint="default"/>
                <w:sz w:val="18"/>
                <w:szCs w:val="18"/>
              </w:rPr>
            </w:pPr>
            <w:r>
              <w:rPr>
                <w:rFonts w:ascii="宋体" w:hAnsi="宋体" w:cs="宋体" w:eastAsia="宋体" w:hint="default"/>
                <w:sz w:val="18"/>
                <w:szCs w:val="18"/>
              </w:rPr>
              <w:t>险准</w:t>
            </w:r>
          </w:p>
          <w:p>
            <w:pPr>
              <w:pStyle w:val="TableParagraph"/>
              <w:spacing w:line="234" w:lineRule="exact"/>
              <w:ind w:left="128" w:right="0"/>
              <w:jc w:val="left"/>
              <w:rPr>
                <w:rFonts w:ascii="宋体" w:hAnsi="宋体" w:cs="宋体" w:eastAsia="宋体" w:hint="default"/>
                <w:sz w:val="18"/>
                <w:szCs w:val="18"/>
              </w:rPr>
            </w:pPr>
            <w:r>
              <w:rPr>
                <w:rFonts w:ascii="宋体" w:hAnsi="宋体" w:cs="宋体" w:eastAsia="宋体" w:hint="default"/>
                <w:sz w:val="18"/>
                <w:szCs w:val="18"/>
              </w:rPr>
              <w:t>备</w:t>
            </w:r>
          </w:p>
        </w:tc>
        <w:tc>
          <w:tcPr>
            <w:tcW w:w="974"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2021"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39" w:right="38" w:hanging="17"/>
              <w:jc w:val="both"/>
              <w:rPr>
                <w:rFonts w:ascii="宋体" w:hAnsi="宋体" w:cs="宋体" w:eastAsia="宋体" w:hint="default"/>
                <w:sz w:val="18"/>
                <w:szCs w:val="18"/>
              </w:rPr>
            </w:pPr>
            <w:r>
              <w:rPr>
                <w:rFonts w:ascii="Times New Roman" w:hAnsi="Times New Roman" w:cs="Times New Roman" w:eastAsia="Times New Roman" w:hint="default"/>
                <w:spacing w:val="-37"/>
                <w:sz w:val="18"/>
                <w:szCs w:val="18"/>
              </w:rPr>
              <w:t>3</w:t>
            </w:r>
            <w:r>
              <w:rPr>
                <w:rFonts w:ascii="宋体" w:hAnsi="宋体" w:cs="宋体" w:eastAsia="宋体" w:hint="default"/>
                <w:spacing w:val="-37"/>
                <w:sz w:val="18"/>
                <w:szCs w:val="18"/>
              </w:rPr>
              <w:t>．对</w:t>
            </w:r>
            <w:r>
              <w:rPr>
                <w:rFonts w:ascii="宋体" w:hAnsi="宋体" w:cs="宋体" w:eastAsia="宋体" w:hint="default"/>
                <w:spacing w:val="-56"/>
                <w:sz w:val="18"/>
                <w:szCs w:val="18"/>
              </w:rPr>
              <w:t> </w:t>
            </w:r>
            <w:r>
              <w:rPr>
                <w:rFonts w:ascii="宋体" w:hAnsi="宋体" w:cs="宋体" w:eastAsia="宋体" w:hint="default"/>
                <w:sz w:val="18"/>
                <w:szCs w:val="18"/>
              </w:rPr>
              <w:t>所有</w:t>
            </w:r>
            <w:r>
              <w:rPr>
                <w:rFonts w:ascii="宋体" w:hAnsi="宋体" w:cs="宋体" w:eastAsia="宋体" w:hint="default"/>
                <w:sz w:val="18"/>
                <w:szCs w:val="18"/>
              </w:rPr>
              <w:t> 者</w:t>
            </w:r>
          </w:p>
          <w:p>
            <w:pPr>
              <w:pStyle w:val="TableParagraph"/>
              <w:spacing w:line="232" w:lineRule="exact" w:before="3"/>
              <w:ind w:left="39" w:right="38"/>
              <w:jc w:val="center"/>
              <w:rPr>
                <w:rFonts w:ascii="宋体" w:hAnsi="宋体" w:cs="宋体" w:eastAsia="宋体" w:hint="default"/>
                <w:sz w:val="18"/>
                <w:szCs w:val="18"/>
              </w:rPr>
            </w:pPr>
            <w:r>
              <w:rPr>
                <w:rFonts w:ascii="宋体" w:hAnsi="宋体" w:cs="宋体" w:eastAsia="宋体" w:hint="default"/>
                <w:sz w:val="18"/>
                <w:szCs w:val="18"/>
              </w:rPr>
              <w:t>（或 股 东） 的分</w:t>
            </w:r>
          </w:p>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sz w:val="18"/>
                <w:szCs w:val="18"/>
              </w:rPr>
              <w:t>配</w:t>
            </w:r>
          </w:p>
        </w:tc>
        <w:tc>
          <w:tcPr>
            <w:tcW w:w="974"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07" w:lineRule="exact"/>
              <w:ind w:left="64" w:right="0"/>
              <w:jc w:val="left"/>
              <w:rPr>
                <w:rFonts w:ascii="Times New Roman" w:hAnsi="Times New Roman" w:cs="Times New Roman" w:eastAsia="Times New Roman" w:hint="default"/>
                <w:sz w:val="18"/>
                <w:szCs w:val="18"/>
              </w:rPr>
            </w:pPr>
            <w:r>
              <w:rPr>
                <w:rFonts w:ascii="Times New Roman"/>
                <w:sz w:val="18"/>
              </w:rPr>
              <w:t>-81,595,24</w:t>
            </w:r>
          </w:p>
          <w:p>
            <w:pPr>
              <w:pStyle w:val="TableParagraph"/>
              <w:spacing w:line="207" w:lineRule="exact"/>
              <w:ind w:left="530" w:right="0"/>
              <w:jc w:val="left"/>
              <w:rPr>
                <w:rFonts w:ascii="Times New Roman" w:hAnsi="Times New Roman" w:cs="Times New Roman" w:eastAsia="Times New Roman" w:hint="default"/>
                <w:sz w:val="18"/>
                <w:szCs w:val="18"/>
              </w:rPr>
            </w:pPr>
            <w:r>
              <w:rPr>
                <w:rFonts w:ascii="Times New Roman"/>
                <w:sz w:val="18"/>
              </w:rPr>
              <w:t>5.61</w:t>
            </w: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-81,595,245.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61</w:t>
            </w: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-81,595,245.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61</w:t>
            </w:r>
          </w:p>
        </w:tc>
      </w:tr>
      <w:tr>
        <w:trPr>
          <w:trHeight w:val="622"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28" w:right="74" w:hanging="106"/>
              <w:jc w:val="left"/>
              <w:rPr>
                <w:rFonts w:ascii="宋体" w:hAnsi="宋体" w:cs="宋体" w:eastAsia="宋体" w:hint="default"/>
                <w:sz w:val="18"/>
                <w:szCs w:val="18"/>
              </w:rPr>
            </w:pPr>
            <w:r>
              <w:rPr>
                <w:rFonts w:ascii="Times New Roman" w:hAnsi="Times New Roman" w:cs="Times New Roman" w:eastAsia="Times New Roman" w:hint="default"/>
                <w:spacing w:val="-37"/>
                <w:sz w:val="18"/>
                <w:szCs w:val="18"/>
              </w:rPr>
              <w:t>4</w:t>
            </w:r>
            <w:r>
              <w:rPr>
                <w:rFonts w:ascii="宋体" w:hAnsi="宋体" w:cs="宋体" w:eastAsia="宋体" w:hint="default"/>
                <w:spacing w:val="-37"/>
                <w:sz w:val="18"/>
                <w:szCs w:val="18"/>
              </w:rPr>
              <w:t>．其</w:t>
            </w:r>
            <w:r>
              <w:rPr>
                <w:rFonts w:ascii="宋体" w:hAnsi="宋体" w:cs="宋体" w:eastAsia="宋体" w:hint="default"/>
                <w:spacing w:val="-56"/>
                <w:sz w:val="18"/>
                <w:szCs w:val="18"/>
              </w:rPr>
              <w:t> </w:t>
            </w:r>
            <w:r>
              <w:rPr>
                <w:rFonts w:ascii="宋体" w:hAnsi="宋体" w:cs="宋体" w:eastAsia="宋体" w:hint="default"/>
                <w:sz w:val="18"/>
                <w:szCs w:val="18"/>
              </w:rPr>
              <w:t>他</w:t>
            </w:r>
          </w:p>
        </w:tc>
        <w:tc>
          <w:tcPr>
            <w:tcW w:w="974"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1553"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41"/>
              <w:ind w:left="39" w:right="0"/>
              <w:jc w:val="both"/>
              <w:rPr>
                <w:rFonts w:ascii="宋体" w:hAnsi="宋体" w:cs="宋体" w:eastAsia="宋体" w:hint="default"/>
                <w:sz w:val="18"/>
                <w:szCs w:val="18"/>
              </w:rPr>
            </w:pPr>
            <w:r>
              <w:rPr>
                <w:rFonts w:ascii="宋体" w:hAnsi="宋体" w:cs="宋体" w:eastAsia="宋体" w:hint="default"/>
                <w:sz w:val="18"/>
                <w:szCs w:val="18"/>
              </w:rPr>
              <w:t>（四</w:t>
            </w:r>
          </w:p>
          <w:p>
            <w:pPr>
              <w:pStyle w:val="TableParagraph"/>
              <w:spacing w:line="237" w:lineRule="auto"/>
              <w:ind w:left="39" w:right="38"/>
              <w:jc w:val="both"/>
              <w:rPr>
                <w:rFonts w:ascii="宋体" w:hAnsi="宋体" w:cs="宋体" w:eastAsia="宋体" w:hint="default"/>
                <w:sz w:val="18"/>
                <w:szCs w:val="18"/>
              </w:rPr>
            </w:pPr>
            <w:r>
              <w:rPr>
                <w:rFonts w:ascii="宋体" w:hAnsi="宋体" w:cs="宋体" w:eastAsia="宋体" w:hint="default"/>
                <w:sz w:val="18"/>
                <w:szCs w:val="18"/>
              </w:rPr>
              <w:t>）所 有者 权益 内部 结转</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582,823,940</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.00</w:t>
            </w: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-582,823,94</w:t>
            </w:r>
          </w:p>
          <w:p>
            <w:pPr>
              <w:pStyle w:val="TableParagraph"/>
              <w:spacing w:line="240" w:lineRule="auto" w:before="2"/>
              <w:ind w:left="628" w:right="0"/>
              <w:jc w:val="left"/>
              <w:rPr>
                <w:rFonts w:ascii="Times New Roman" w:hAnsi="Times New Roman" w:cs="Times New Roman" w:eastAsia="Times New Roman" w:hint="default"/>
                <w:sz w:val="18"/>
                <w:szCs w:val="18"/>
              </w:rPr>
            </w:pPr>
            <w:r>
              <w:rPr>
                <w:rFonts w:ascii="Times New Roman"/>
                <w:sz w:val="18"/>
              </w:rPr>
              <w:t>0.00</w:t>
            </w: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2023"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8"/>
              <w:ind w:left="39" w:right="38" w:hanging="17"/>
              <w:jc w:val="both"/>
              <w:rPr>
                <w:rFonts w:ascii="宋体" w:hAnsi="宋体" w:cs="宋体" w:eastAsia="宋体" w:hint="default"/>
                <w:sz w:val="18"/>
                <w:szCs w:val="18"/>
              </w:rPr>
            </w:pPr>
            <w:r>
              <w:rPr>
                <w:rFonts w:ascii="Times New Roman" w:hAnsi="Times New Roman" w:cs="Times New Roman" w:eastAsia="Times New Roman" w:hint="default"/>
                <w:spacing w:val="-37"/>
                <w:sz w:val="18"/>
                <w:szCs w:val="18"/>
              </w:rPr>
              <w:t>1</w:t>
            </w:r>
            <w:r>
              <w:rPr>
                <w:rFonts w:ascii="宋体" w:hAnsi="宋体" w:cs="宋体" w:eastAsia="宋体" w:hint="default"/>
                <w:spacing w:val="-37"/>
                <w:sz w:val="18"/>
                <w:szCs w:val="18"/>
              </w:rPr>
              <w:t>．资</w:t>
            </w:r>
            <w:r>
              <w:rPr>
                <w:rFonts w:ascii="宋体" w:hAnsi="宋体" w:cs="宋体" w:eastAsia="宋体" w:hint="default"/>
                <w:spacing w:val="-56"/>
                <w:sz w:val="18"/>
                <w:szCs w:val="18"/>
              </w:rPr>
              <w:t> </w:t>
            </w:r>
            <w:r>
              <w:rPr>
                <w:rFonts w:ascii="宋体" w:hAnsi="宋体" w:cs="宋体" w:eastAsia="宋体" w:hint="default"/>
                <w:sz w:val="18"/>
                <w:szCs w:val="18"/>
              </w:rPr>
              <w:t>本公</w:t>
            </w:r>
            <w:r>
              <w:rPr>
                <w:rFonts w:ascii="宋体" w:hAnsi="宋体" w:cs="宋体" w:eastAsia="宋体" w:hint="default"/>
                <w:sz w:val="18"/>
                <w:szCs w:val="18"/>
              </w:rPr>
              <w:t> 积转 增资 本</w:t>
            </w:r>
          </w:p>
          <w:p>
            <w:pPr>
              <w:pStyle w:val="TableParagraph"/>
              <w:spacing w:line="232" w:lineRule="exact" w:before="22"/>
              <w:ind w:left="39" w:right="38"/>
              <w:jc w:val="center"/>
              <w:rPr>
                <w:rFonts w:ascii="宋体" w:hAnsi="宋体" w:cs="宋体" w:eastAsia="宋体" w:hint="default"/>
                <w:sz w:val="18"/>
                <w:szCs w:val="18"/>
              </w:rPr>
            </w:pPr>
            <w:r>
              <w:rPr>
                <w:rFonts w:ascii="宋体" w:hAnsi="宋体" w:cs="宋体" w:eastAsia="宋体" w:hint="default"/>
                <w:sz w:val="18"/>
                <w:szCs w:val="18"/>
              </w:rPr>
              <w:t>（或 股 本）</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582,823,940</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.00</w:t>
            </w: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-582,823,94</w:t>
            </w:r>
          </w:p>
          <w:p>
            <w:pPr>
              <w:pStyle w:val="TableParagraph"/>
              <w:spacing w:line="240" w:lineRule="auto" w:before="2"/>
              <w:ind w:left="628" w:right="0"/>
              <w:jc w:val="left"/>
              <w:rPr>
                <w:rFonts w:ascii="Times New Roman" w:hAnsi="Times New Roman" w:cs="Times New Roman" w:eastAsia="Times New Roman" w:hint="default"/>
                <w:sz w:val="18"/>
                <w:szCs w:val="18"/>
              </w:rPr>
            </w:pPr>
            <w:r>
              <w:rPr>
                <w:rFonts w:ascii="Times New Roman"/>
                <w:sz w:val="18"/>
              </w:rPr>
              <w:t>0.00</w:t>
            </w: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2021"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6"/>
              <w:ind w:left="39" w:right="38" w:hanging="17"/>
              <w:jc w:val="both"/>
              <w:rPr>
                <w:rFonts w:ascii="宋体" w:hAnsi="宋体" w:cs="宋体" w:eastAsia="宋体" w:hint="default"/>
                <w:sz w:val="18"/>
                <w:szCs w:val="18"/>
              </w:rPr>
            </w:pPr>
            <w:r>
              <w:rPr>
                <w:rFonts w:ascii="Times New Roman" w:hAnsi="Times New Roman" w:cs="Times New Roman" w:eastAsia="Times New Roman" w:hint="default"/>
                <w:spacing w:val="-37"/>
                <w:sz w:val="18"/>
                <w:szCs w:val="18"/>
              </w:rPr>
              <w:t>2</w:t>
            </w:r>
            <w:r>
              <w:rPr>
                <w:rFonts w:ascii="宋体" w:hAnsi="宋体" w:cs="宋体" w:eastAsia="宋体" w:hint="default"/>
                <w:spacing w:val="-37"/>
                <w:sz w:val="18"/>
                <w:szCs w:val="18"/>
              </w:rPr>
              <w:t>．盈</w:t>
            </w:r>
            <w:r>
              <w:rPr>
                <w:rFonts w:ascii="宋体" w:hAnsi="宋体" w:cs="宋体" w:eastAsia="宋体" w:hint="default"/>
                <w:spacing w:val="-56"/>
                <w:sz w:val="18"/>
                <w:szCs w:val="18"/>
              </w:rPr>
              <w:t> </w:t>
            </w:r>
            <w:r>
              <w:rPr>
                <w:rFonts w:ascii="宋体" w:hAnsi="宋体" w:cs="宋体" w:eastAsia="宋体" w:hint="default"/>
                <w:sz w:val="18"/>
                <w:szCs w:val="18"/>
              </w:rPr>
              <w:t>余公</w:t>
            </w:r>
            <w:r>
              <w:rPr>
                <w:rFonts w:ascii="宋体" w:hAnsi="宋体" w:cs="宋体" w:eastAsia="宋体" w:hint="default"/>
                <w:sz w:val="18"/>
                <w:szCs w:val="18"/>
              </w:rPr>
              <w:t> 积转 增资 本</w:t>
            </w:r>
          </w:p>
          <w:p>
            <w:pPr>
              <w:pStyle w:val="TableParagraph"/>
              <w:spacing w:line="237" w:lineRule="auto"/>
              <w:ind w:left="39" w:right="38"/>
              <w:jc w:val="center"/>
              <w:rPr>
                <w:rFonts w:ascii="宋体" w:hAnsi="宋体" w:cs="宋体" w:eastAsia="宋体" w:hint="default"/>
                <w:sz w:val="18"/>
                <w:szCs w:val="18"/>
              </w:rPr>
            </w:pPr>
            <w:r>
              <w:rPr>
                <w:rFonts w:ascii="宋体" w:hAnsi="宋体" w:cs="宋体" w:eastAsia="宋体" w:hint="default"/>
                <w:sz w:val="18"/>
                <w:szCs w:val="18"/>
              </w:rPr>
              <w:t>（或 股 本）</w:t>
            </w:r>
          </w:p>
        </w:tc>
        <w:tc>
          <w:tcPr>
            <w:tcW w:w="974"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1322"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6"/>
              <w:ind w:left="39" w:right="38" w:hanging="17"/>
              <w:jc w:val="both"/>
              <w:rPr>
                <w:rFonts w:ascii="宋体" w:hAnsi="宋体" w:cs="宋体" w:eastAsia="宋体" w:hint="default"/>
                <w:sz w:val="18"/>
                <w:szCs w:val="18"/>
              </w:rPr>
            </w:pPr>
            <w:r>
              <w:rPr>
                <w:rFonts w:ascii="Times New Roman" w:hAnsi="Times New Roman" w:cs="Times New Roman" w:eastAsia="Times New Roman" w:hint="default"/>
                <w:spacing w:val="-37"/>
                <w:sz w:val="18"/>
                <w:szCs w:val="18"/>
              </w:rPr>
              <w:t>3</w:t>
            </w:r>
            <w:r>
              <w:rPr>
                <w:rFonts w:ascii="宋体" w:hAnsi="宋体" w:cs="宋体" w:eastAsia="宋体" w:hint="default"/>
                <w:spacing w:val="-37"/>
                <w:sz w:val="18"/>
                <w:szCs w:val="18"/>
              </w:rPr>
              <w:t>．盈</w:t>
            </w:r>
            <w:r>
              <w:rPr>
                <w:rFonts w:ascii="宋体" w:hAnsi="宋体" w:cs="宋体" w:eastAsia="宋体" w:hint="default"/>
                <w:spacing w:val="-56"/>
                <w:sz w:val="18"/>
                <w:szCs w:val="18"/>
              </w:rPr>
              <w:t> </w:t>
            </w:r>
            <w:r>
              <w:rPr>
                <w:rFonts w:ascii="宋体" w:hAnsi="宋体" w:cs="宋体" w:eastAsia="宋体" w:hint="default"/>
                <w:sz w:val="18"/>
                <w:szCs w:val="18"/>
              </w:rPr>
              <w:t>余公</w:t>
            </w:r>
            <w:r>
              <w:rPr>
                <w:rFonts w:ascii="宋体" w:hAnsi="宋体" w:cs="宋体" w:eastAsia="宋体" w:hint="default"/>
                <w:sz w:val="18"/>
                <w:szCs w:val="18"/>
              </w:rPr>
              <w:t> 积弥 补亏 损</w:t>
            </w:r>
          </w:p>
        </w:tc>
        <w:tc>
          <w:tcPr>
            <w:tcW w:w="974"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2021"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6"/>
              <w:ind w:left="39" w:right="38" w:hanging="17"/>
              <w:jc w:val="both"/>
              <w:rPr>
                <w:rFonts w:ascii="宋体" w:hAnsi="宋体" w:cs="宋体" w:eastAsia="宋体" w:hint="default"/>
                <w:sz w:val="18"/>
                <w:szCs w:val="18"/>
              </w:rPr>
            </w:pPr>
            <w:r>
              <w:rPr>
                <w:rFonts w:ascii="Times New Roman" w:hAnsi="Times New Roman" w:cs="Times New Roman" w:eastAsia="Times New Roman" w:hint="default"/>
                <w:spacing w:val="-37"/>
                <w:sz w:val="18"/>
                <w:szCs w:val="18"/>
              </w:rPr>
              <w:t>4</w:t>
            </w:r>
            <w:r>
              <w:rPr>
                <w:rFonts w:ascii="宋体" w:hAnsi="宋体" w:cs="宋体" w:eastAsia="宋体" w:hint="default"/>
                <w:spacing w:val="-37"/>
                <w:sz w:val="18"/>
                <w:szCs w:val="18"/>
              </w:rPr>
              <w:t>．设</w:t>
            </w:r>
            <w:r>
              <w:rPr>
                <w:rFonts w:ascii="宋体" w:hAnsi="宋体" w:cs="宋体" w:eastAsia="宋体" w:hint="default"/>
                <w:spacing w:val="-56"/>
                <w:sz w:val="18"/>
                <w:szCs w:val="18"/>
              </w:rPr>
              <w:t> </w:t>
            </w:r>
            <w:r>
              <w:rPr>
                <w:rFonts w:ascii="宋体" w:hAnsi="宋体" w:cs="宋体" w:eastAsia="宋体" w:hint="default"/>
                <w:sz w:val="18"/>
                <w:szCs w:val="18"/>
              </w:rPr>
              <w:t>定受</w:t>
            </w:r>
            <w:r>
              <w:rPr>
                <w:rFonts w:ascii="宋体" w:hAnsi="宋体" w:cs="宋体" w:eastAsia="宋体" w:hint="default"/>
                <w:sz w:val="18"/>
                <w:szCs w:val="18"/>
              </w:rPr>
              <w:t> 益计 划变 动额 结转 留存 收益</w:t>
            </w:r>
          </w:p>
        </w:tc>
        <w:tc>
          <w:tcPr>
            <w:tcW w:w="974"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1788"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6"/>
              <w:ind w:left="39" w:right="38" w:hanging="17"/>
              <w:jc w:val="both"/>
              <w:rPr>
                <w:rFonts w:ascii="宋体" w:hAnsi="宋体" w:cs="宋体" w:eastAsia="宋体" w:hint="default"/>
                <w:sz w:val="18"/>
                <w:szCs w:val="18"/>
              </w:rPr>
            </w:pPr>
            <w:r>
              <w:rPr>
                <w:rFonts w:ascii="Times New Roman" w:hAnsi="Times New Roman" w:cs="Times New Roman" w:eastAsia="Times New Roman" w:hint="default"/>
                <w:spacing w:val="-37"/>
                <w:sz w:val="18"/>
                <w:szCs w:val="18"/>
              </w:rPr>
              <w:t>5</w:t>
            </w:r>
            <w:r>
              <w:rPr>
                <w:rFonts w:ascii="宋体" w:hAnsi="宋体" w:cs="宋体" w:eastAsia="宋体" w:hint="default"/>
                <w:spacing w:val="-37"/>
                <w:sz w:val="18"/>
                <w:szCs w:val="18"/>
              </w:rPr>
              <w:t>．其</w:t>
            </w:r>
            <w:r>
              <w:rPr>
                <w:rFonts w:ascii="宋体" w:hAnsi="宋体" w:cs="宋体" w:eastAsia="宋体" w:hint="default"/>
                <w:spacing w:val="-56"/>
                <w:sz w:val="18"/>
                <w:szCs w:val="18"/>
              </w:rPr>
              <w:t> </w:t>
            </w:r>
            <w:r>
              <w:rPr>
                <w:rFonts w:ascii="宋体" w:hAnsi="宋体" w:cs="宋体" w:eastAsia="宋体" w:hint="default"/>
                <w:sz w:val="18"/>
                <w:szCs w:val="18"/>
              </w:rPr>
              <w:t>他综</w:t>
            </w:r>
            <w:r>
              <w:rPr>
                <w:rFonts w:ascii="宋体" w:hAnsi="宋体" w:cs="宋体" w:eastAsia="宋体" w:hint="default"/>
                <w:sz w:val="18"/>
                <w:szCs w:val="18"/>
              </w:rPr>
              <w:t> 合收 益结 转留 存收 益</w:t>
            </w:r>
          </w:p>
        </w:tc>
        <w:tc>
          <w:tcPr>
            <w:tcW w:w="974"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450"/>
        <w:gridCol w:w="974"/>
        <w:gridCol w:w="187"/>
        <w:gridCol w:w="187"/>
        <w:gridCol w:w="185"/>
        <w:gridCol w:w="974"/>
        <w:gridCol w:w="876"/>
        <w:gridCol w:w="746"/>
        <w:gridCol w:w="187"/>
        <w:gridCol w:w="809"/>
        <w:gridCol w:w="187"/>
        <w:gridCol w:w="876"/>
        <w:gridCol w:w="187"/>
        <w:gridCol w:w="974"/>
        <w:gridCol w:w="919"/>
        <w:gridCol w:w="974"/>
      </w:tblGrid>
      <w:tr>
        <w:trPr>
          <w:trHeight w:val="622"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28" w:right="74" w:hanging="106"/>
              <w:jc w:val="left"/>
              <w:rPr>
                <w:rFonts w:ascii="宋体" w:hAnsi="宋体" w:cs="宋体" w:eastAsia="宋体" w:hint="default"/>
                <w:sz w:val="18"/>
                <w:szCs w:val="18"/>
              </w:rPr>
            </w:pPr>
            <w:r>
              <w:rPr>
                <w:rFonts w:ascii="Times New Roman" w:hAnsi="Times New Roman" w:cs="Times New Roman" w:eastAsia="Times New Roman" w:hint="default"/>
                <w:spacing w:val="-37"/>
                <w:sz w:val="18"/>
                <w:szCs w:val="18"/>
              </w:rPr>
              <w:t>6</w:t>
            </w:r>
            <w:r>
              <w:rPr>
                <w:rFonts w:ascii="宋体" w:hAnsi="宋体" w:cs="宋体" w:eastAsia="宋体" w:hint="default"/>
                <w:spacing w:val="-37"/>
                <w:sz w:val="18"/>
                <w:szCs w:val="18"/>
              </w:rPr>
              <w:t>．其</w:t>
            </w:r>
            <w:r>
              <w:rPr>
                <w:rFonts w:ascii="宋体" w:hAnsi="宋体" w:cs="宋体" w:eastAsia="宋体" w:hint="default"/>
                <w:spacing w:val="-56"/>
                <w:sz w:val="18"/>
                <w:szCs w:val="18"/>
              </w:rPr>
              <w:t> </w:t>
            </w:r>
            <w:r>
              <w:rPr>
                <w:rFonts w:ascii="宋体" w:hAnsi="宋体" w:cs="宋体" w:eastAsia="宋体" w:hint="default"/>
                <w:sz w:val="18"/>
                <w:szCs w:val="18"/>
              </w:rPr>
              <w:t>他</w:t>
            </w:r>
          </w:p>
        </w:tc>
        <w:tc>
          <w:tcPr>
            <w:tcW w:w="974"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1087"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41"/>
              <w:ind w:left="39" w:right="0"/>
              <w:jc w:val="both"/>
              <w:rPr>
                <w:rFonts w:ascii="宋体" w:hAnsi="宋体" w:cs="宋体" w:eastAsia="宋体" w:hint="default"/>
                <w:sz w:val="18"/>
                <w:szCs w:val="18"/>
              </w:rPr>
            </w:pPr>
            <w:r>
              <w:rPr>
                <w:rFonts w:ascii="宋体" w:hAnsi="宋体" w:cs="宋体" w:eastAsia="宋体" w:hint="default"/>
                <w:sz w:val="18"/>
                <w:szCs w:val="18"/>
              </w:rPr>
              <w:t>（五</w:t>
            </w:r>
          </w:p>
          <w:p>
            <w:pPr>
              <w:pStyle w:val="TableParagraph"/>
              <w:spacing w:line="237" w:lineRule="auto"/>
              <w:ind w:left="39" w:right="38"/>
              <w:jc w:val="both"/>
              <w:rPr>
                <w:rFonts w:ascii="宋体" w:hAnsi="宋体" w:cs="宋体" w:eastAsia="宋体" w:hint="default"/>
                <w:sz w:val="18"/>
                <w:szCs w:val="18"/>
              </w:rPr>
            </w:pPr>
            <w:r>
              <w:rPr>
                <w:rFonts w:ascii="宋体" w:hAnsi="宋体" w:cs="宋体" w:eastAsia="宋体" w:hint="default"/>
                <w:sz w:val="18"/>
                <w:szCs w:val="18"/>
              </w:rPr>
              <w:t>）专 项储 备</w:t>
            </w:r>
          </w:p>
        </w:tc>
        <w:tc>
          <w:tcPr>
            <w:tcW w:w="974"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854"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auto" w:before="48"/>
              <w:ind w:left="39" w:right="38" w:hanging="17"/>
              <w:jc w:val="both"/>
              <w:rPr>
                <w:rFonts w:ascii="宋体" w:hAnsi="宋体" w:cs="宋体" w:eastAsia="宋体" w:hint="default"/>
                <w:sz w:val="18"/>
                <w:szCs w:val="18"/>
              </w:rPr>
            </w:pPr>
            <w:r>
              <w:rPr>
                <w:rFonts w:ascii="Times New Roman" w:hAnsi="Times New Roman" w:cs="Times New Roman" w:eastAsia="Times New Roman" w:hint="default"/>
                <w:spacing w:val="-37"/>
                <w:sz w:val="18"/>
                <w:szCs w:val="18"/>
              </w:rPr>
              <w:t>1</w:t>
            </w:r>
            <w:r>
              <w:rPr>
                <w:rFonts w:ascii="宋体" w:hAnsi="宋体" w:cs="宋体" w:eastAsia="宋体" w:hint="default"/>
                <w:spacing w:val="-37"/>
                <w:sz w:val="18"/>
                <w:szCs w:val="18"/>
              </w:rPr>
              <w:t>．本</w:t>
            </w:r>
            <w:r>
              <w:rPr>
                <w:rFonts w:ascii="宋体" w:hAnsi="宋体" w:cs="宋体" w:eastAsia="宋体" w:hint="default"/>
                <w:spacing w:val="-56"/>
                <w:sz w:val="18"/>
                <w:szCs w:val="18"/>
              </w:rPr>
              <w:t> </w:t>
            </w:r>
            <w:r>
              <w:rPr>
                <w:rFonts w:ascii="宋体" w:hAnsi="宋体" w:cs="宋体" w:eastAsia="宋体" w:hint="default"/>
                <w:sz w:val="18"/>
                <w:szCs w:val="18"/>
              </w:rPr>
              <w:t>期提</w:t>
            </w:r>
            <w:r>
              <w:rPr>
                <w:rFonts w:ascii="宋体" w:hAnsi="宋体" w:cs="宋体" w:eastAsia="宋体" w:hint="default"/>
                <w:sz w:val="18"/>
                <w:szCs w:val="18"/>
              </w:rPr>
              <w:t> 取</w:t>
            </w:r>
          </w:p>
        </w:tc>
        <w:tc>
          <w:tcPr>
            <w:tcW w:w="974"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854"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auto" w:before="48"/>
              <w:ind w:left="39" w:right="38" w:hanging="17"/>
              <w:jc w:val="both"/>
              <w:rPr>
                <w:rFonts w:ascii="宋体" w:hAnsi="宋体" w:cs="宋体" w:eastAsia="宋体" w:hint="default"/>
                <w:sz w:val="18"/>
                <w:szCs w:val="18"/>
              </w:rPr>
            </w:pPr>
            <w:r>
              <w:rPr>
                <w:rFonts w:ascii="Times New Roman" w:hAnsi="Times New Roman" w:cs="Times New Roman" w:eastAsia="Times New Roman" w:hint="default"/>
                <w:spacing w:val="-37"/>
                <w:sz w:val="18"/>
                <w:szCs w:val="18"/>
              </w:rPr>
              <w:t>2</w:t>
            </w:r>
            <w:r>
              <w:rPr>
                <w:rFonts w:ascii="宋体" w:hAnsi="宋体" w:cs="宋体" w:eastAsia="宋体" w:hint="default"/>
                <w:spacing w:val="-37"/>
                <w:sz w:val="18"/>
                <w:szCs w:val="18"/>
              </w:rPr>
              <w:t>．本</w:t>
            </w:r>
            <w:r>
              <w:rPr>
                <w:rFonts w:ascii="宋体" w:hAnsi="宋体" w:cs="宋体" w:eastAsia="宋体" w:hint="default"/>
                <w:spacing w:val="-56"/>
                <w:sz w:val="18"/>
                <w:szCs w:val="18"/>
              </w:rPr>
              <w:t> </w:t>
            </w:r>
            <w:r>
              <w:rPr>
                <w:rFonts w:ascii="宋体" w:hAnsi="宋体" w:cs="宋体" w:eastAsia="宋体" w:hint="default"/>
                <w:sz w:val="18"/>
                <w:szCs w:val="18"/>
              </w:rPr>
              <w:t>期使</w:t>
            </w:r>
            <w:r>
              <w:rPr>
                <w:rFonts w:ascii="宋体" w:hAnsi="宋体" w:cs="宋体" w:eastAsia="宋体" w:hint="default"/>
                <w:sz w:val="18"/>
                <w:szCs w:val="18"/>
              </w:rPr>
              <w:t> 用</w:t>
            </w:r>
          </w:p>
        </w:tc>
        <w:tc>
          <w:tcPr>
            <w:tcW w:w="974"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854"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41"/>
              <w:ind w:left="39" w:right="0"/>
              <w:jc w:val="left"/>
              <w:rPr>
                <w:rFonts w:ascii="宋体" w:hAnsi="宋体" w:cs="宋体" w:eastAsia="宋体" w:hint="default"/>
                <w:sz w:val="18"/>
                <w:szCs w:val="18"/>
              </w:rPr>
            </w:pPr>
            <w:r>
              <w:rPr>
                <w:rFonts w:ascii="宋体" w:hAnsi="宋体" w:cs="宋体" w:eastAsia="宋体" w:hint="default"/>
                <w:sz w:val="18"/>
                <w:szCs w:val="18"/>
              </w:rPr>
              <w:t>（六</w:t>
            </w:r>
          </w:p>
          <w:p>
            <w:pPr>
              <w:pStyle w:val="TableParagraph"/>
              <w:spacing w:line="240" w:lineRule="auto"/>
              <w:ind w:left="128" w:right="38" w:hanging="89"/>
              <w:jc w:val="left"/>
              <w:rPr>
                <w:rFonts w:ascii="宋体" w:hAnsi="宋体" w:cs="宋体" w:eastAsia="宋体" w:hint="default"/>
                <w:sz w:val="18"/>
                <w:szCs w:val="18"/>
              </w:rPr>
            </w:pPr>
            <w:r>
              <w:rPr>
                <w:rFonts w:ascii="宋体" w:hAnsi="宋体" w:cs="宋体" w:eastAsia="宋体" w:hint="default"/>
                <w:sz w:val="18"/>
                <w:szCs w:val="18"/>
              </w:rPr>
              <w:t>）其 他</w:t>
            </w:r>
          </w:p>
        </w:tc>
        <w:tc>
          <w:tcPr>
            <w:tcW w:w="974"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pacing w:val="-1"/>
                <w:sz w:val="18"/>
              </w:rPr>
              <w:t>-32,966,473.</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54</w:t>
            </w:r>
          </w:p>
        </w:tc>
        <w:tc>
          <w:tcPr>
            <w:tcW w:w="87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-32,966,473.</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54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07" w:lineRule="exact"/>
              <w:ind w:left="107" w:right="0"/>
              <w:jc w:val="left"/>
              <w:rPr>
                <w:rFonts w:ascii="Times New Roman" w:hAnsi="Times New Roman" w:cs="Times New Roman" w:eastAsia="Times New Roman" w:hint="default"/>
                <w:sz w:val="18"/>
                <w:szCs w:val="18"/>
              </w:rPr>
            </w:pPr>
            <w:r>
              <w:rPr>
                <w:rFonts w:ascii="Times New Roman"/>
                <w:sz w:val="18"/>
              </w:rPr>
              <w:t>-218,074,1</w:t>
            </w:r>
          </w:p>
          <w:p>
            <w:pPr>
              <w:pStyle w:val="TableParagraph"/>
              <w:spacing w:line="207" w:lineRule="exact"/>
              <w:ind w:left="482" w:right="0"/>
              <w:jc w:val="left"/>
              <w:rPr>
                <w:rFonts w:ascii="Times New Roman" w:hAnsi="Times New Roman" w:cs="Times New Roman" w:eastAsia="Times New Roman" w:hint="default"/>
                <w:sz w:val="18"/>
                <w:szCs w:val="18"/>
              </w:rPr>
            </w:pPr>
            <w:r>
              <w:rPr>
                <w:rFonts w:ascii="Times New Roman"/>
                <w:sz w:val="18"/>
              </w:rPr>
              <w:t>02.09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07" w:lineRule="exact"/>
              <w:ind w:left="69" w:right="0"/>
              <w:jc w:val="left"/>
              <w:rPr>
                <w:rFonts w:ascii="Times New Roman" w:hAnsi="Times New Roman" w:cs="Times New Roman" w:eastAsia="Times New Roman" w:hint="default"/>
                <w:sz w:val="18"/>
                <w:szCs w:val="18"/>
              </w:rPr>
            </w:pPr>
            <w:r>
              <w:rPr>
                <w:rFonts w:ascii="Times New Roman"/>
                <w:sz w:val="18"/>
              </w:rPr>
              <w:t>-251,040,57</w:t>
            </w:r>
          </w:p>
          <w:p>
            <w:pPr>
              <w:pStyle w:val="TableParagraph"/>
              <w:spacing w:line="207" w:lineRule="exact"/>
              <w:ind w:left="626" w:right="0"/>
              <w:jc w:val="left"/>
              <w:rPr>
                <w:rFonts w:ascii="Times New Roman" w:hAnsi="Times New Roman" w:cs="Times New Roman" w:eastAsia="Times New Roman" w:hint="default"/>
                <w:sz w:val="18"/>
                <w:szCs w:val="18"/>
              </w:rPr>
            </w:pPr>
            <w:r>
              <w:rPr>
                <w:rFonts w:ascii="Times New Roman"/>
                <w:sz w:val="18"/>
              </w:rPr>
              <w:t>5.63</w:t>
            </w:r>
          </w:p>
        </w:tc>
      </w:tr>
      <w:tr>
        <w:trPr>
          <w:trHeight w:val="1087" w:hRule="exact"/>
        </w:trPr>
        <w:tc>
          <w:tcPr>
            <w:tcW w:w="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44"/>
              <w:ind w:left="39" w:right="38"/>
              <w:jc w:val="both"/>
              <w:rPr>
                <w:rFonts w:ascii="宋体" w:hAnsi="宋体" w:cs="宋体" w:eastAsia="宋体" w:hint="default"/>
                <w:sz w:val="18"/>
                <w:szCs w:val="18"/>
              </w:rPr>
            </w:pPr>
            <w:r>
              <w:rPr>
                <w:rFonts w:ascii="宋体" w:hAnsi="宋体" w:cs="宋体" w:eastAsia="宋体" w:hint="default"/>
                <w:sz w:val="18"/>
                <w:szCs w:val="18"/>
              </w:rPr>
              <w:t>四、 本期 期末 余额</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93" w:right="0"/>
              <w:jc w:val="left"/>
              <w:rPr>
                <w:rFonts w:ascii="Times New Roman" w:hAnsi="Times New Roman" w:cs="Times New Roman" w:eastAsia="Times New Roman" w:hint="default"/>
                <w:sz w:val="18"/>
                <w:szCs w:val="18"/>
              </w:rPr>
            </w:pPr>
            <w:r>
              <w:rPr>
                <w:rFonts w:ascii="Times New Roman"/>
                <w:sz w:val="18"/>
              </w:rPr>
              <w:t>1,748,662,1</w:t>
            </w:r>
          </w:p>
          <w:p>
            <w:pPr>
              <w:pStyle w:val="TableParagraph"/>
              <w:spacing w:line="240" w:lineRule="auto" w:before="2"/>
              <w:ind w:left="535" w:right="0"/>
              <w:jc w:val="left"/>
              <w:rPr>
                <w:rFonts w:ascii="Times New Roman" w:hAnsi="Times New Roman" w:cs="Times New Roman" w:eastAsia="Times New Roman" w:hint="default"/>
                <w:sz w:val="18"/>
                <w:szCs w:val="18"/>
              </w:rPr>
            </w:pPr>
            <w:r>
              <w:rPr>
                <w:rFonts w:ascii="Times New Roman"/>
                <w:sz w:val="18"/>
              </w:rPr>
              <w:t>13.00</w:t>
            </w:r>
          </w:p>
        </w:tc>
        <w:tc>
          <w:tcPr>
            <w:tcW w:w="187" w:type="dxa"/>
            <w:tcBorders>
              <w:top w:val="single" w:sz="4" w:space="0" w:color="000000"/>
              <w:left w:val="single" w:sz="4" w:space="0" w:color="000000"/>
              <w:bottom w:val="single" w:sz="4" w:space="0" w:color="000000"/>
              <w:right w:val="single" w:sz="4" w:space="0" w:color="000000"/>
            </w:tcBorders>
          </w:tcPr>
          <w:p>
            <w:pPr/>
          </w:p>
        </w:tc>
        <w:tc>
          <w:tcPr>
            <w:tcW w:w="187" w:type="dxa"/>
            <w:tcBorders>
              <w:top w:val="single" w:sz="4" w:space="0" w:color="000000"/>
              <w:left w:val="single" w:sz="4" w:space="0" w:color="000000"/>
              <w:bottom w:val="single" w:sz="4" w:space="0" w:color="000000"/>
              <w:right w:val="single" w:sz="4" w:space="0" w:color="000000"/>
            </w:tcBorders>
          </w:tcPr>
          <w:p>
            <w:pPr/>
          </w:p>
        </w:tc>
        <w:tc>
          <w:tcPr>
            <w:tcW w:w="18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88" w:right="0"/>
              <w:jc w:val="left"/>
              <w:rPr>
                <w:rFonts w:ascii="Times New Roman" w:hAnsi="Times New Roman" w:cs="Times New Roman" w:eastAsia="Times New Roman" w:hint="default"/>
                <w:sz w:val="18"/>
                <w:szCs w:val="18"/>
              </w:rPr>
            </w:pPr>
            <w:r>
              <w:rPr>
                <w:rFonts w:ascii="Times New Roman"/>
                <w:sz w:val="18"/>
              </w:rPr>
              <w:t>2,435,569,0</w:t>
            </w:r>
          </w:p>
          <w:p>
            <w:pPr>
              <w:pStyle w:val="TableParagraph"/>
              <w:spacing w:line="240" w:lineRule="auto" w:before="2"/>
              <w:ind w:left="537" w:right="0"/>
              <w:jc w:val="left"/>
              <w:rPr>
                <w:rFonts w:ascii="Times New Roman" w:hAnsi="Times New Roman" w:cs="Times New Roman" w:eastAsia="Times New Roman" w:hint="default"/>
                <w:sz w:val="18"/>
                <w:szCs w:val="18"/>
              </w:rPr>
            </w:pPr>
            <w:r>
              <w:rPr>
                <w:rFonts w:ascii="Times New Roman"/>
                <w:sz w:val="18"/>
              </w:rPr>
              <w:t>70.77</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33" w:right="0"/>
              <w:jc w:val="left"/>
              <w:rPr>
                <w:rFonts w:ascii="Times New Roman" w:hAnsi="Times New Roman" w:cs="Times New Roman" w:eastAsia="Times New Roman" w:hint="default"/>
                <w:sz w:val="18"/>
                <w:szCs w:val="18"/>
              </w:rPr>
            </w:pPr>
            <w:r>
              <w:rPr>
                <w:rFonts w:ascii="Times New Roman"/>
                <w:sz w:val="18"/>
              </w:rPr>
              <w:t>194,948,40</w:t>
            </w:r>
          </w:p>
          <w:p>
            <w:pPr>
              <w:pStyle w:val="TableParagraph"/>
              <w:spacing w:line="240" w:lineRule="auto" w:before="2"/>
              <w:ind w:left="530" w:right="0"/>
              <w:jc w:val="left"/>
              <w:rPr>
                <w:rFonts w:ascii="Times New Roman" w:hAnsi="Times New Roman" w:cs="Times New Roman" w:eastAsia="Times New Roman" w:hint="default"/>
                <w:sz w:val="18"/>
                <w:szCs w:val="18"/>
              </w:rPr>
            </w:pPr>
            <w:r>
              <w:rPr>
                <w:rFonts w:ascii="Times New Roman"/>
                <w:sz w:val="18"/>
              </w:rPr>
              <w:t>0.37</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81" w:right="0"/>
              <w:jc w:val="left"/>
              <w:rPr>
                <w:rFonts w:ascii="Times New Roman" w:hAnsi="Times New Roman" w:cs="Times New Roman" w:eastAsia="Times New Roman" w:hint="default"/>
                <w:sz w:val="18"/>
                <w:szCs w:val="18"/>
              </w:rPr>
            </w:pPr>
            <w:r>
              <w:rPr>
                <w:rFonts w:ascii="Times New Roman"/>
                <w:sz w:val="18"/>
              </w:rPr>
              <w:t>2,964,26</w:t>
            </w:r>
          </w:p>
          <w:p>
            <w:pPr>
              <w:pStyle w:val="TableParagraph"/>
              <w:spacing w:line="240" w:lineRule="auto" w:before="2"/>
              <w:ind w:left="398" w:right="0"/>
              <w:jc w:val="left"/>
              <w:rPr>
                <w:rFonts w:ascii="Times New Roman" w:hAnsi="Times New Roman" w:cs="Times New Roman" w:eastAsia="Times New Roman" w:hint="default"/>
                <w:sz w:val="18"/>
                <w:szCs w:val="18"/>
              </w:rPr>
            </w:pPr>
            <w:r>
              <w:rPr>
                <w:rFonts w:ascii="Times New Roman"/>
                <w:sz w:val="18"/>
              </w:rPr>
              <w:t>5.04</w:t>
            </w:r>
          </w:p>
        </w:tc>
        <w:tc>
          <w:tcPr>
            <w:tcW w:w="1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57" w:right="0"/>
              <w:jc w:val="left"/>
              <w:rPr>
                <w:rFonts w:ascii="Times New Roman" w:hAnsi="Times New Roman" w:cs="Times New Roman" w:eastAsia="Times New Roman" w:hint="default"/>
                <w:sz w:val="18"/>
                <w:szCs w:val="18"/>
              </w:rPr>
            </w:pPr>
            <w:r>
              <w:rPr>
                <w:rFonts w:ascii="Times New Roman"/>
                <w:sz w:val="18"/>
              </w:rPr>
              <w:t>50,173,50</w:t>
            </w:r>
          </w:p>
          <w:p>
            <w:pPr>
              <w:pStyle w:val="TableParagraph"/>
              <w:spacing w:line="240" w:lineRule="auto" w:before="2"/>
              <w:ind w:left="463" w:right="0"/>
              <w:jc w:val="left"/>
              <w:rPr>
                <w:rFonts w:ascii="Times New Roman" w:hAnsi="Times New Roman" w:cs="Times New Roman" w:eastAsia="Times New Roman" w:hint="default"/>
                <w:sz w:val="18"/>
                <w:szCs w:val="18"/>
              </w:rPr>
            </w:pPr>
            <w:r>
              <w:rPr>
                <w:rFonts w:ascii="Times New Roman"/>
                <w:sz w:val="18"/>
              </w:rPr>
              <w:t>7.71</w:t>
            </w:r>
          </w:p>
        </w:tc>
        <w:tc>
          <w:tcPr>
            <w:tcW w:w="1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33" w:right="0"/>
              <w:jc w:val="left"/>
              <w:rPr>
                <w:rFonts w:ascii="Times New Roman" w:hAnsi="Times New Roman" w:cs="Times New Roman" w:eastAsia="Times New Roman" w:hint="default"/>
                <w:sz w:val="18"/>
                <w:szCs w:val="18"/>
              </w:rPr>
            </w:pPr>
            <w:r>
              <w:rPr>
                <w:rFonts w:ascii="Times New Roman"/>
                <w:sz w:val="18"/>
              </w:rPr>
              <w:t>845,609,19</w:t>
            </w:r>
          </w:p>
          <w:p>
            <w:pPr>
              <w:pStyle w:val="TableParagraph"/>
              <w:spacing w:line="240" w:lineRule="auto" w:before="2"/>
              <w:ind w:left="530" w:right="0"/>
              <w:jc w:val="left"/>
              <w:rPr>
                <w:rFonts w:ascii="Times New Roman" w:hAnsi="Times New Roman" w:cs="Times New Roman" w:eastAsia="Times New Roman" w:hint="default"/>
                <w:sz w:val="18"/>
                <w:szCs w:val="18"/>
              </w:rPr>
            </w:pPr>
            <w:r>
              <w:rPr>
                <w:rFonts w:ascii="Times New Roman"/>
                <w:sz w:val="18"/>
              </w:rPr>
              <w:t>2.48</w:t>
            </w:r>
          </w:p>
        </w:tc>
        <w:tc>
          <w:tcPr>
            <w:tcW w:w="18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86" w:right="0"/>
              <w:jc w:val="left"/>
              <w:rPr>
                <w:rFonts w:ascii="Times New Roman" w:hAnsi="Times New Roman" w:cs="Times New Roman" w:eastAsia="Times New Roman" w:hint="default"/>
                <w:sz w:val="18"/>
                <w:szCs w:val="18"/>
              </w:rPr>
            </w:pPr>
            <w:r>
              <w:rPr>
                <w:rFonts w:ascii="Times New Roman"/>
                <w:sz w:val="18"/>
              </w:rPr>
              <w:t>4,888,029,7</w:t>
            </w:r>
          </w:p>
          <w:p>
            <w:pPr>
              <w:pStyle w:val="TableParagraph"/>
              <w:spacing w:line="240" w:lineRule="auto" w:before="2"/>
              <w:ind w:left="535" w:right="0"/>
              <w:jc w:val="left"/>
              <w:rPr>
                <w:rFonts w:ascii="Times New Roman" w:hAnsi="Times New Roman" w:cs="Times New Roman" w:eastAsia="Times New Roman" w:hint="default"/>
                <w:sz w:val="18"/>
                <w:szCs w:val="18"/>
              </w:rPr>
            </w:pPr>
            <w:r>
              <w:rPr>
                <w:rFonts w:ascii="Times New Roman"/>
                <w:sz w:val="18"/>
              </w:rPr>
              <w:t>48.63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7"/>
              <w:jc w:val="right"/>
              <w:rPr>
                <w:rFonts w:ascii="Times New Roman" w:hAnsi="Times New Roman" w:cs="Times New Roman" w:eastAsia="Times New Roman" w:hint="default"/>
                <w:sz w:val="18"/>
                <w:szCs w:val="18"/>
              </w:rPr>
            </w:pPr>
            <w:r>
              <w:rPr>
                <w:rFonts w:ascii="Times New Roman"/>
                <w:spacing w:val="-1"/>
                <w:sz w:val="18"/>
              </w:rPr>
              <w:t>68,699,952.</w:t>
            </w:r>
          </w:p>
          <w:p>
            <w:pPr>
              <w:pStyle w:val="TableParagraph"/>
              <w:spacing w:line="240" w:lineRule="auto" w:before="2"/>
              <w:ind w:right="17"/>
              <w:jc w:val="right"/>
              <w:rPr>
                <w:rFonts w:ascii="Times New Roman" w:hAnsi="Times New Roman" w:cs="Times New Roman" w:eastAsia="Times New Roman" w:hint="default"/>
                <w:sz w:val="18"/>
                <w:szCs w:val="18"/>
              </w:rPr>
            </w:pPr>
            <w:r>
              <w:rPr>
                <w:rFonts w:ascii="Times New Roman"/>
                <w:sz w:val="18"/>
              </w:rPr>
              <w:t>22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86" w:right="0"/>
              <w:jc w:val="left"/>
              <w:rPr>
                <w:rFonts w:ascii="Times New Roman" w:hAnsi="Times New Roman" w:cs="Times New Roman" w:eastAsia="Times New Roman" w:hint="default"/>
                <w:sz w:val="18"/>
                <w:szCs w:val="18"/>
              </w:rPr>
            </w:pPr>
            <w:r>
              <w:rPr>
                <w:rFonts w:ascii="Times New Roman"/>
                <w:sz w:val="18"/>
              </w:rPr>
              <w:t>4,956,729,7</w:t>
            </w:r>
          </w:p>
          <w:p>
            <w:pPr>
              <w:pStyle w:val="TableParagraph"/>
              <w:spacing w:line="240" w:lineRule="auto" w:before="2"/>
              <w:ind w:left="535" w:right="0"/>
              <w:jc w:val="left"/>
              <w:rPr>
                <w:rFonts w:ascii="Times New Roman" w:hAnsi="Times New Roman" w:cs="Times New Roman" w:eastAsia="Times New Roman" w:hint="default"/>
                <w:sz w:val="18"/>
                <w:szCs w:val="18"/>
              </w:rPr>
            </w:pPr>
            <w:r>
              <w:rPr>
                <w:rFonts w:ascii="Times New Roman"/>
                <w:sz w:val="18"/>
              </w:rPr>
              <w:t>00.85</w:t>
            </w:r>
          </w:p>
        </w:tc>
      </w:tr>
    </w:tbl>
    <w:p>
      <w:pPr>
        <w:spacing w:line="240" w:lineRule="auto" w:before="11"/>
        <w:rPr>
          <w:rFonts w:ascii="Times New Roman" w:hAnsi="Times New Roman" w:cs="Times New Roman" w:eastAsia="Times New Roman" w:hint="default"/>
          <w:sz w:val="19"/>
          <w:szCs w:val="19"/>
        </w:rPr>
      </w:pPr>
    </w:p>
    <w:p>
      <w:pPr>
        <w:spacing w:line="472" w:lineRule="auto" w:before="36"/>
        <w:ind w:left="572" w:right="8132" w:hanging="420"/>
        <w:jc w:val="left"/>
        <w:rPr>
          <w:rFonts w:ascii="宋体" w:hAnsi="宋体" w:cs="宋体" w:eastAsia="宋体" w:hint="default"/>
          <w:sz w:val="21"/>
          <w:szCs w:val="21"/>
        </w:rPr>
      </w:pPr>
      <w:bookmarkStart w:name="8、母公司所有者权益变动表" w:id="275"/>
      <w:bookmarkEnd w:id="275"/>
      <w:r>
        <w:rPr/>
      </w:r>
      <w:r>
        <w:rPr>
          <w:rFonts w:ascii="Times New Roman" w:hAnsi="Times New Roman" w:cs="Times New Roman" w:eastAsia="Times New Roman" w:hint="default"/>
          <w:b/>
          <w:bCs/>
          <w:spacing w:val="-1"/>
          <w:sz w:val="21"/>
          <w:szCs w:val="21"/>
        </w:rPr>
        <w:t>8</w:t>
      </w: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本期金额</w:t>
      </w:r>
    </w:p>
    <w:p>
      <w:pPr>
        <w:pStyle w:val="BodyText"/>
        <w:spacing w:line="240" w:lineRule="auto" w:before="30"/>
        <w:ind w:left="0" w:right="1132"/>
        <w:jc w:val="right"/>
      </w:pPr>
      <w:r>
        <w:rPr>
          <w:spacing w:val="-1"/>
        </w:rPr>
        <w:t>单位：元</w:t>
      </w:r>
    </w:p>
    <w:p>
      <w:pPr>
        <w:spacing w:line="240" w:lineRule="auto" w:before="9"/>
        <w:rPr>
          <w:rFonts w:ascii="宋体" w:hAnsi="宋体" w:cs="宋体" w:eastAsia="宋体" w:hint="default"/>
          <w:sz w:val="20"/>
          <w:szCs w:val="20"/>
        </w:rPr>
      </w:pPr>
    </w:p>
    <w:tbl>
      <w:tblPr>
        <w:tblW w:w="0" w:type="auto"/>
        <w:jc w:val="left"/>
        <w:tblInd w:w="131" w:type="dxa"/>
        <w:tblLayout w:type="fixed"/>
        <w:tblCellMar>
          <w:top w:w="0" w:type="dxa"/>
          <w:left w:w="0" w:type="dxa"/>
          <w:bottom w:w="0" w:type="dxa"/>
          <w:right w:w="0" w:type="dxa"/>
        </w:tblCellMar>
        <w:tblLook w:val="01E0"/>
      </w:tblPr>
      <w:tblGrid>
        <w:gridCol w:w="536"/>
        <w:gridCol w:w="1237"/>
        <w:gridCol w:w="223"/>
        <w:gridCol w:w="223"/>
        <w:gridCol w:w="221"/>
        <w:gridCol w:w="1226"/>
        <w:gridCol w:w="1157"/>
        <w:gridCol w:w="1070"/>
        <w:gridCol w:w="223"/>
        <w:gridCol w:w="1018"/>
        <w:gridCol w:w="1099"/>
        <w:gridCol w:w="223"/>
        <w:gridCol w:w="1226"/>
      </w:tblGrid>
      <w:tr>
        <w:trPr>
          <w:trHeight w:val="388" w:hRule="exact"/>
        </w:trPr>
        <w:tc>
          <w:tcPr>
            <w:tcW w:w="536" w:type="dxa"/>
            <w:vMerge w:val="restart"/>
            <w:tcBorders>
              <w:top w:val="single" w:sz="4" w:space="0" w:color="000000"/>
              <w:left w:val="single" w:sz="4" w:space="0" w:color="000000"/>
              <w:right w:val="single" w:sz="4" w:space="0" w:color="000000"/>
            </w:tcBorders>
            <w:shd w:val="clear" w:color="auto" w:fill="D4D4D4"/>
          </w:tcPr>
          <w:p>
            <w:pPr/>
          </w:p>
        </w:tc>
        <w:tc>
          <w:tcPr>
            <w:tcW w:w="9148"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8" w:hRule="exact"/>
        </w:trPr>
        <w:tc>
          <w:tcPr>
            <w:tcW w:w="536" w:type="dxa"/>
            <w:vMerge/>
            <w:tcBorders>
              <w:left w:val="single" w:sz="4" w:space="0" w:color="000000"/>
              <w:right w:val="single" w:sz="4" w:space="0" w:color="000000"/>
            </w:tcBorders>
            <w:shd w:val="clear" w:color="auto" w:fill="D4D4D4"/>
          </w:tcPr>
          <w:p>
            <w:pPr/>
          </w:p>
        </w:tc>
        <w:tc>
          <w:tcPr>
            <w:tcW w:w="1237" w:type="dxa"/>
            <w:vMerge w:val="restart"/>
            <w:tcBorders>
              <w:top w:val="single" w:sz="4" w:space="0" w:color="000000"/>
              <w:left w:val="single" w:sz="4" w:space="0" w:color="000000"/>
              <w:right w:val="single" w:sz="4" w:space="0" w:color="000000"/>
            </w:tcBorders>
            <w:shd w:val="clear" w:color="auto" w:fill="D4D4D4"/>
          </w:tcPr>
          <w:p>
            <w:pPr/>
          </w:p>
        </w:tc>
        <w:tc>
          <w:tcPr>
            <w:tcW w:w="66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67"/>
              <w:ind w:left="59" w:right="55"/>
              <w:jc w:val="left"/>
              <w:rPr>
                <w:rFonts w:ascii="宋体" w:hAnsi="宋体" w:cs="宋体" w:eastAsia="宋体" w:hint="default"/>
                <w:sz w:val="18"/>
                <w:szCs w:val="18"/>
              </w:rPr>
            </w:pPr>
            <w:r>
              <w:rPr>
                <w:rFonts w:ascii="宋体" w:hAnsi="宋体" w:cs="宋体" w:eastAsia="宋体" w:hint="default"/>
                <w:sz w:val="18"/>
                <w:szCs w:val="18"/>
              </w:rPr>
              <w:t>其他权 益工具</w:t>
            </w:r>
          </w:p>
        </w:tc>
        <w:tc>
          <w:tcPr>
            <w:tcW w:w="1226" w:type="dxa"/>
            <w:vMerge w:val="restart"/>
            <w:tcBorders>
              <w:top w:val="single" w:sz="4" w:space="0" w:color="000000"/>
              <w:left w:val="single" w:sz="4" w:space="0" w:color="000000"/>
              <w:right w:val="single" w:sz="4" w:space="0" w:color="000000"/>
            </w:tcBorders>
            <w:shd w:val="clear" w:color="auto" w:fill="D4D4D4"/>
          </w:tcPr>
          <w:p>
            <w:pPr/>
          </w:p>
        </w:tc>
        <w:tc>
          <w:tcPr>
            <w:tcW w:w="1157" w:type="dxa"/>
            <w:vMerge w:val="restart"/>
            <w:tcBorders>
              <w:top w:val="single" w:sz="4" w:space="0" w:color="000000"/>
              <w:left w:val="single" w:sz="4" w:space="0" w:color="000000"/>
              <w:right w:val="single" w:sz="4" w:space="0" w:color="000000"/>
            </w:tcBorders>
            <w:shd w:val="clear" w:color="auto" w:fill="D4D4D4"/>
          </w:tcPr>
          <w:p>
            <w:pPr/>
          </w:p>
        </w:tc>
        <w:tc>
          <w:tcPr>
            <w:tcW w:w="1070" w:type="dxa"/>
            <w:vMerge w:val="restart"/>
            <w:tcBorders>
              <w:top w:val="single" w:sz="4" w:space="0" w:color="000000"/>
              <w:left w:val="single" w:sz="4" w:space="0" w:color="000000"/>
              <w:right w:val="single" w:sz="4" w:space="0" w:color="000000"/>
            </w:tcBorders>
            <w:shd w:val="clear" w:color="auto" w:fill="D4D4D4"/>
          </w:tcPr>
          <w:p>
            <w:pPr/>
          </w:p>
        </w:tc>
        <w:tc>
          <w:tcPr>
            <w:tcW w:w="223" w:type="dxa"/>
            <w:tcBorders>
              <w:top w:val="single" w:sz="4" w:space="0" w:color="000000"/>
              <w:left w:val="single" w:sz="4" w:space="0" w:color="000000"/>
              <w:bottom w:val="nil" w:sz="6" w:space="0" w:color="auto"/>
              <w:right w:val="single" w:sz="4" w:space="0" w:color="000000"/>
            </w:tcBorders>
            <w:shd w:val="clear" w:color="auto" w:fill="D4D4D4"/>
          </w:tcPr>
          <w:p>
            <w:pPr/>
          </w:p>
        </w:tc>
        <w:tc>
          <w:tcPr>
            <w:tcW w:w="1018" w:type="dxa"/>
            <w:vMerge w:val="restart"/>
            <w:tcBorders>
              <w:top w:val="single" w:sz="4" w:space="0" w:color="000000"/>
              <w:left w:val="single" w:sz="4" w:space="0" w:color="000000"/>
              <w:right w:val="single" w:sz="4" w:space="0" w:color="000000"/>
            </w:tcBorders>
            <w:shd w:val="clear" w:color="auto" w:fill="D4D4D4"/>
          </w:tcPr>
          <w:p>
            <w:pPr/>
          </w:p>
        </w:tc>
        <w:tc>
          <w:tcPr>
            <w:tcW w:w="1099" w:type="dxa"/>
            <w:vMerge w:val="restart"/>
            <w:tcBorders>
              <w:top w:val="single" w:sz="4" w:space="0" w:color="000000"/>
              <w:left w:val="single" w:sz="4" w:space="0" w:color="000000"/>
              <w:right w:val="single" w:sz="4" w:space="0" w:color="000000"/>
            </w:tcBorders>
            <w:shd w:val="clear" w:color="auto" w:fill="D4D4D4"/>
          </w:tcPr>
          <w:p>
            <w:pPr/>
          </w:p>
        </w:tc>
        <w:tc>
          <w:tcPr>
            <w:tcW w:w="223" w:type="dxa"/>
            <w:vMerge w:val="restart"/>
            <w:tcBorders>
              <w:top w:val="single" w:sz="4" w:space="0" w:color="000000"/>
              <w:left w:val="single" w:sz="4" w:space="0" w:color="000000"/>
              <w:right w:val="single" w:sz="4" w:space="0" w:color="000000"/>
            </w:tcBorders>
            <w:shd w:val="clear" w:color="auto" w:fill="D4D4D4"/>
          </w:tcPr>
          <w:p>
            <w:pPr/>
          </w:p>
        </w:tc>
        <w:tc>
          <w:tcPr>
            <w:tcW w:w="1226" w:type="dxa"/>
            <w:vMerge w:val="restart"/>
            <w:tcBorders>
              <w:top w:val="single" w:sz="4" w:space="0" w:color="000000"/>
              <w:left w:val="single" w:sz="4" w:space="0" w:color="000000"/>
              <w:right w:val="single" w:sz="4" w:space="0" w:color="000000"/>
            </w:tcBorders>
            <w:shd w:val="clear" w:color="auto" w:fill="D4D4D4"/>
          </w:tcPr>
          <w:p>
            <w:pPr/>
          </w:p>
        </w:tc>
      </w:tr>
      <w:tr>
        <w:trPr>
          <w:trHeight w:val="196" w:hRule="exact"/>
        </w:trPr>
        <w:tc>
          <w:tcPr>
            <w:tcW w:w="536" w:type="dxa"/>
            <w:vMerge/>
            <w:tcBorders>
              <w:left w:val="single" w:sz="4" w:space="0" w:color="000000"/>
              <w:bottom w:val="nil" w:sz="6" w:space="0" w:color="auto"/>
              <w:right w:val="single" w:sz="4" w:space="0" w:color="000000"/>
            </w:tcBorders>
            <w:shd w:val="clear" w:color="auto" w:fill="D4D4D4"/>
          </w:tcPr>
          <w:p>
            <w:pPr/>
          </w:p>
        </w:tc>
        <w:tc>
          <w:tcPr>
            <w:tcW w:w="1237" w:type="dxa"/>
            <w:vMerge/>
            <w:tcBorders>
              <w:left w:val="single" w:sz="4" w:space="0" w:color="000000"/>
              <w:right w:val="single" w:sz="4" w:space="0" w:color="000000"/>
            </w:tcBorders>
            <w:shd w:val="clear" w:color="auto" w:fill="D4D4D4"/>
          </w:tcPr>
          <w:p>
            <w:pPr/>
          </w:p>
        </w:tc>
        <w:tc>
          <w:tcPr>
            <w:tcW w:w="667" w:type="dxa"/>
            <w:gridSpan w:val="3"/>
            <w:vMerge/>
            <w:tcBorders>
              <w:left w:val="single" w:sz="4" w:space="0" w:color="000000"/>
              <w:right w:val="single" w:sz="4" w:space="0" w:color="000000"/>
            </w:tcBorders>
            <w:shd w:val="clear" w:color="auto" w:fill="D4D4D4"/>
          </w:tcPr>
          <w:p>
            <w:pPr/>
          </w:p>
        </w:tc>
        <w:tc>
          <w:tcPr>
            <w:tcW w:w="1226" w:type="dxa"/>
            <w:vMerge/>
            <w:tcBorders>
              <w:left w:val="single" w:sz="4" w:space="0" w:color="000000"/>
              <w:right w:val="single" w:sz="4" w:space="0" w:color="000000"/>
            </w:tcBorders>
            <w:shd w:val="clear" w:color="auto" w:fill="D4D4D4"/>
          </w:tcPr>
          <w:p>
            <w:pPr/>
          </w:p>
        </w:tc>
        <w:tc>
          <w:tcPr>
            <w:tcW w:w="1157" w:type="dxa"/>
            <w:vMerge/>
            <w:tcBorders>
              <w:left w:val="single" w:sz="4" w:space="0" w:color="000000"/>
              <w:right w:val="single" w:sz="4" w:space="0" w:color="000000"/>
            </w:tcBorders>
            <w:shd w:val="clear" w:color="auto" w:fill="D4D4D4"/>
          </w:tcPr>
          <w:p>
            <w:pPr/>
          </w:p>
        </w:tc>
        <w:tc>
          <w:tcPr>
            <w:tcW w:w="1070" w:type="dxa"/>
            <w:vMerge/>
            <w:tcBorders>
              <w:left w:val="single" w:sz="4" w:space="0" w:color="000000"/>
              <w:bottom w:val="nil" w:sz="6" w:space="0" w:color="auto"/>
              <w:right w:val="single" w:sz="4" w:space="0" w:color="000000"/>
            </w:tcBorders>
            <w:shd w:val="clear" w:color="auto" w:fill="D4D4D4"/>
          </w:tcPr>
          <w:p>
            <w:pPr/>
          </w:p>
        </w:tc>
        <w:tc>
          <w:tcPr>
            <w:tcW w:w="223" w:type="dxa"/>
            <w:vMerge w:val="restart"/>
            <w:tcBorders>
              <w:top w:val="nil" w:sz="6" w:space="0" w:color="auto"/>
              <w:left w:val="single" w:sz="4" w:space="0" w:color="000000"/>
              <w:right w:val="single" w:sz="4" w:space="0" w:color="000000"/>
            </w:tcBorders>
            <w:shd w:val="clear" w:color="auto" w:fill="D4D4D4"/>
          </w:tcPr>
          <w:p>
            <w:pPr>
              <w:pStyle w:val="TableParagraph"/>
              <w:spacing w:line="237" w:lineRule="auto" w:before="44"/>
              <w:ind w:left="23" w:right="7"/>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18" w:type="dxa"/>
            <w:vMerge/>
            <w:tcBorders>
              <w:left w:val="single" w:sz="4" w:space="0" w:color="000000"/>
              <w:right w:val="single" w:sz="4" w:space="0" w:color="000000"/>
            </w:tcBorders>
            <w:shd w:val="clear" w:color="auto" w:fill="D4D4D4"/>
          </w:tcPr>
          <w:p>
            <w:pPr/>
          </w:p>
        </w:tc>
        <w:tc>
          <w:tcPr>
            <w:tcW w:w="1099" w:type="dxa"/>
            <w:vMerge/>
            <w:tcBorders>
              <w:left w:val="single" w:sz="4" w:space="0" w:color="000000"/>
              <w:right w:val="single" w:sz="4" w:space="0" w:color="000000"/>
            </w:tcBorders>
            <w:shd w:val="clear" w:color="auto" w:fill="D4D4D4"/>
          </w:tcPr>
          <w:p>
            <w:pPr/>
          </w:p>
        </w:tc>
        <w:tc>
          <w:tcPr>
            <w:tcW w:w="223" w:type="dxa"/>
            <w:vMerge/>
            <w:tcBorders>
              <w:left w:val="single" w:sz="4" w:space="0" w:color="000000"/>
              <w:bottom w:val="nil" w:sz="6" w:space="0" w:color="auto"/>
              <w:right w:val="single" w:sz="4" w:space="0" w:color="000000"/>
            </w:tcBorders>
            <w:shd w:val="clear" w:color="auto" w:fill="D4D4D4"/>
          </w:tcPr>
          <w:p>
            <w:pPr/>
          </w:p>
        </w:tc>
        <w:tc>
          <w:tcPr>
            <w:tcW w:w="1226" w:type="dxa"/>
            <w:vMerge/>
            <w:tcBorders>
              <w:left w:val="single" w:sz="4" w:space="0" w:color="000000"/>
              <w:bottom w:val="nil" w:sz="6" w:space="0" w:color="auto"/>
              <w:right w:val="single" w:sz="4" w:space="0" w:color="000000"/>
            </w:tcBorders>
            <w:shd w:val="clear" w:color="auto" w:fill="D4D4D4"/>
          </w:tcPr>
          <w:p>
            <w:pPr/>
          </w:p>
        </w:tc>
      </w:tr>
      <w:tr>
        <w:trPr>
          <w:trHeight w:val="135" w:hRule="exact"/>
        </w:trPr>
        <w:tc>
          <w:tcPr>
            <w:tcW w:w="53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
              <w:ind w:left="8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37" w:type="dxa"/>
            <w:vMerge/>
            <w:tcBorders>
              <w:left w:val="single" w:sz="4" w:space="0" w:color="000000"/>
              <w:bottom w:val="nil" w:sz="6" w:space="0" w:color="auto"/>
              <w:right w:val="single" w:sz="4" w:space="0" w:color="000000"/>
            </w:tcBorders>
            <w:shd w:val="clear" w:color="auto" w:fill="D4D4D4"/>
          </w:tcPr>
          <w:p>
            <w:pPr/>
          </w:p>
        </w:tc>
        <w:tc>
          <w:tcPr>
            <w:tcW w:w="667" w:type="dxa"/>
            <w:gridSpan w:val="3"/>
            <w:vMerge/>
            <w:tcBorders>
              <w:left w:val="single" w:sz="4" w:space="0" w:color="000000"/>
              <w:bottom w:val="single" w:sz="4" w:space="0" w:color="000000"/>
              <w:right w:val="single" w:sz="4" w:space="0" w:color="000000"/>
            </w:tcBorders>
            <w:shd w:val="clear" w:color="auto" w:fill="D4D4D4"/>
          </w:tcPr>
          <w:p>
            <w:pPr/>
          </w:p>
        </w:tc>
        <w:tc>
          <w:tcPr>
            <w:tcW w:w="1226" w:type="dxa"/>
            <w:vMerge/>
            <w:tcBorders>
              <w:left w:val="single" w:sz="4" w:space="0" w:color="000000"/>
              <w:bottom w:val="nil" w:sz="6" w:space="0" w:color="auto"/>
              <w:right w:val="single" w:sz="4" w:space="0" w:color="000000"/>
            </w:tcBorders>
            <w:shd w:val="clear" w:color="auto" w:fill="D4D4D4"/>
          </w:tcPr>
          <w:p>
            <w:pPr/>
          </w:p>
        </w:tc>
        <w:tc>
          <w:tcPr>
            <w:tcW w:w="1157" w:type="dxa"/>
            <w:vMerge/>
            <w:tcBorders>
              <w:left w:val="single" w:sz="4" w:space="0" w:color="000000"/>
              <w:bottom w:val="nil" w:sz="6" w:space="0" w:color="auto"/>
              <w:right w:val="single" w:sz="4" w:space="0" w:color="000000"/>
            </w:tcBorders>
            <w:shd w:val="clear" w:color="auto" w:fill="D4D4D4"/>
          </w:tcPr>
          <w:p>
            <w:pPr/>
          </w:p>
        </w:tc>
        <w:tc>
          <w:tcPr>
            <w:tcW w:w="1070" w:type="dxa"/>
            <w:vMerge w:val="restart"/>
            <w:tcBorders>
              <w:top w:val="nil" w:sz="6" w:space="0" w:color="auto"/>
              <w:left w:val="single" w:sz="4" w:space="0" w:color="000000"/>
              <w:right w:val="single" w:sz="4" w:space="0" w:color="000000"/>
            </w:tcBorders>
            <w:shd w:val="clear" w:color="auto" w:fill="D4D4D4"/>
          </w:tcPr>
          <w:p>
            <w:pPr>
              <w:pStyle w:val="TableParagraph"/>
              <w:spacing w:line="232" w:lineRule="exact" w:before="86"/>
              <w:ind w:left="441" w:right="7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223" w:type="dxa"/>
            <w:vMerge/>
            <w:tcBorders>
              <w:left w:val="single" w:sz="4" w:space="0" w:color="000000"/>
              <w:right w:val="single" w:sz="4" w:space="0" w:color="000000"/>
            </w:tcBorders>
            <w:shd w:val="clear" w:color="auto" w:fill="D4D4D4"/>
          </w:tcPr>
          <w:p>
            <w:pPr/>
          </w:p>
        </w:tc>
        <w:tc>
          <w:tcPr>
            <w:tcW w:w="1018" w:type="dxa"/>
            <w:vMerge/>
            <w:tcBorders>
              <w:left w:val="single" w:sz="4" w:space="0" w:color="000000"/>
              <w:bottom w:val="nil" w:sz="6" w:space="0" w:color="auto"/>
              <w:right w:val="single" w:sz="4" w:space="0" w:color="000000"/>
            </w:tcBorders>
            <w:shd w:val="clear" w:color="auto" w:fill="D4D4D4"/>
          </w:tcPr>
          <w:p>
            <w:pPr/>
          </w:p>
        </w:tc>
        <w:tc>
          <w:tcPr>
            <w:tcW w:w="1099" w:type="dxa"/>
            <w:vMerge/>
            <w:tcBorders>
              <w:left w:val="single" w:sz="4" w:space="0" w:color="000000"/>
              <w:bottom w:val="nil" w:sz="6" w:space="0" w:color="auto"/>
              <w:right w:val="single" w:sz="4" w:space="0" w:color="000000"/>
            </w:tcBorders>
            <w:shd w:val="clear" w:color="auto" w:fill="D4D4D4"/>
          </w:tcPr>
          <w:p>
            <w:pPr/>
          </w:p>
        </w:tc>
        <w:tc>
          <w:tcPr>
            <w:tcW w:w="223" w:type="dxa"/>
            <w:vMerge w:val="restart"/>
            <w:tcBorders>
              <w:top w:val="nil" w:sz="6" w:space="0" w:color="auto"/>
              <w:left w:val="single" w:sz="4" w:space="0" w:color="000000"/>
              <w:right w:val="single" w:sz="4" w:space="0" w:color="000000"/>
            </w:tcBorders>
            <w:shd w:val="clear" w:color="auto" w:fill="D4D4D4"/>
          </w:tcPr>
          <w:p>
            <w:pPr>
              <w:pStyle w:val="TableParagraph"/>
              <w:spacing w:line="232" w:lineRule="exact" w:before="86"/>
              <w:ind w:left="23" w:right="7"/>
              <w:jc w:val="left"/>
              <w:rPr>
                <w:rFonts w:ascii="宋体" w:hAnsi="宋体" w:cs="宋体" w:eastAsia="宋体" w:hint="default"/>
                <w:sz w:val="18"/>
                <w:szCs w:val="18"/>
              </w:rPr>
            </w:pPr>
            <w:r>
              <w:rPr>
                <w:rFonts w:ascii="宋体" w:hAnsi="宋体" w:cs="宋体" w:eastAsia="宋体" w:hint="default"/>
                <w:sz w:val="18"/>
                <w:szCs w:val="18"/>
              </w:rPr>
              <w:t>其 他</w:t>
            </w:r>
          </w:p>
        </w:tc>
        <w:tc>
          <w:tcPr>
            <w:tcW w:w="1226" w:type="dxa"/>
            <w:vMerge w:val="restart"/>
            <w:tcBorders>
              <w:top w:val="nil" w:sz="6" w:space="0" w:color="auto"/>
              <w:left w:val="single" w:sz="4" w:space="0" w:color="000000"/>
              <w:right w:val="single" w:sz="4" w:space="0" w:color="000000"/>
            </w:tcBorders>
            <w:shd w:val="clear" w:color="auto" w:fill="D4D4D4"/>
          </w:tcPr>
          <w:p>
            <w:pPr>
              <w:pStyle w:val="TableParagraph"/>
              <w:spacing w:line="232" w:lineRule="exact" w:before="86"/>
              <w:ind w:left="518" w:right="67"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51" w:hRule="exact"/>
        </w:trPr>
        <w:tc>
          <w:tcPr>
            <w:tcW w:w="536" w:type="dxa"/>
            <w:vMerge/>
            <w:tcBorders>
              <w:left w:val="single" w:sz="4" w:space="0" w:color="000000"/>
              <w:bottom w:val="nil" w:sz="6" w:space="0" w:color="auto"/>
              <w:right w:val="single" w:sz="4" w:space="0" w:color="000000"/>
            </w:tcBorders>
            <w:shd w:val="clear" w:color="auto" w:fill="D4D4D4"/>
          </w:tcPr>
          <w:p>
            <w:pPr/>
          </w:p>
        </w:tc>
        <w:tc>
          <w:tcPr>
            <w:tcW w:w="123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13"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23" w:type="dxa"/>
            <w:vMerge w:val="restart"/>
            <w:tcBorders>
              <w:top w:val="single" w:sz="4" w:space="0" w:color="000000"/>
              <w:left w:val="single" w:sz="4" w:space="0" w:color="000000"/>
              <w:right w:val="single" w:sz="4" w:space="0" w:color="000000"/>
            </w:tcBorders>
            <w:shd w:val="clear" w:color="auto" w:fill="D4D4D4"/>
          </w:tcPr>
          <w:p>
            <w:pPr>
              <w:pStyle w:val="TableParagraph"/>
              <w:spacing w:line="237" w:lineRule="auto" w:before="116"/>
              <w:ind w:left="23" w:right="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23" w:type="dxa"/>
            <w:vMerge w:val="restart"/>
            <w:tcBorders>
              <w:top w:val="single" w:sz="4" w:space="0" w:color="000000"/>
              <w:left w:val="single" w:sz="4" w:space="0" w:color="000000"/>
              <w:right w:val="single" w:sz="4" w:space="0" w:color="000000"/>
            </w:tcBorders>
            <w:shd w:val="clear" w:color="auto" w:fill="D4D4D4"/>
          </w:tcPr>
          <w:p>
            <w:pPr>
              <w:pStyle w:val="TableParagraph"/>
              <w:spacing w:line="237" w:lineRule="auto" w:before="116"/>
              <w:ind w:left="24" w:right="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2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9"/>
                <w:szCs w:val="19"/>
              </w:rPr>
            </w:pPr>
          </w:p>
          <w:p>
            <w:pPr>
              <w:pStyle w:val="TableParagraph"/>
              <w:spacing w:line="232" w:lineRule="exact"/>
              <w:ind w:left="23" w:right="5"/>
              <w:jc w:val="left"/>
              <w:rPr>
                <w:rFonts w:ascii="宋体" w:hAnsi="宋体" w:cs="宋体" w:eastAsia="宋体" w:hint="default"/>
                <w:sz w:val="18"/>
                <w:szCs w:val="18"/>
              </w:rPr>
            </w:pPr>
            <w:r>
              <w:rPr>
                <w:rFonts w:ascii="宋体" w:hAnsi="宋体" w:cs="宋体" w:eastAsia="宋体" w:hint="default"/>
                <w:sz w:val="18"/>
                <w:szCs w:val="18"/>
              </w:rPr>
              <w:t>其 他</w:t>
            </w:r>
          </w:p>
        </w:tc>
        <w:tc>
          <w:tcPr>
            <w:tcW w:w="122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24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70" w:type="dxa"/>
            <w:vMerge/>
            <w:tcBorders>
              <w:left w:val="single" w:sz="4" w:space="0" w:color="000000"/>
              <w:right w:val="single" w:sz="4" w:space="0" w:color="000000"/>
            </w:tcBorders>
            <w:shd w:val="clear" w:color="auto" w:fill="D4D4D4"/>
          </w:tcPr>
          <w:p>
            <w:pPr/>
          </w:p>
        </w:tc>
        <w:tc>
          <w:tcPr>
            <w:tcW w:w="223" w:type="dxa"/>
            <w:vMerge/>
            <w:tcBorders>
              <w:left w:val="single" w:sz="4" w:space="0" w:color="000000"/>
              <w:right w:val="single" w:sz="4" w:space="0" w:color="000000"/>
            </w:tcBorders>
            <w:shd w:val="clear" w:color="auto" w:fill="D4D4D4"/>
          </w:tcPr>
          <w:p>
            <w:pPr/>
          </w:p>
        </w:tc>
        <w:tc>
          <w:tcPr>
            <w:tcW w:w="101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9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3" w:type="dxa"/>
            <w:vMerge/>
            <w:tcBorders>
              <w:left w:val="single" w:sz="4" w:space="0" w:color="000000"/>
              <w:right w:val="single" w:sz="4" w:space="0" w:color="000000"/>
            </w:tcBorders>
            <w:shd w:val="clear" w:color="auto" w:fill="D4D4D4"/>
          </w:tcPr>
          <w:p>
            <w:pPr/>
          </w:p>
        </w:tc>
        <w:tc>
          <w:tcPr>
            <w:tcW w:w="1226" w:type="dxa"/>
            <w:vMerge/>
            <w:tcBorders>
              <w:left w:val="single" w:sz="4" w:space="0" w:color="000000"/>
              <w:right w:val="single" w:sz="4" w:space="0" w:color="000000"/>
            </w:tcBorders>
            <w:shd w:val="clear" w:color="auto" w:fill="D4D4D4"/>
          </w:tcPr>
          <w:p>
            <w:pPr/>
          </w:p>
        </w:tc>
      </w:tr>
      <w:tr>
        <w:trPr>
          <w:trHeight w:val="192" w:hRule="exact"/>
        </w:trPr>
        <w:tc>
          <w:tcPr>
            <w:tcW w:w="536" w:type="dxa"/>
            <w:vMerge w:val="restart"/>
            <w:tcBorders>
              <w:top w:val="nil" w:sz="6" w:space="0" w:color="auto"/>
              <w:left w:val="single" w:sz="4" w:space="0" w:color="000000"/>
              <w:right w:val="single" w:sz="4" w:space="0" w:color="000000"/>
            </w:tcBorders>
            <w:shd w:val="clear" w:color="auto" w:fill="D4D4D4"/>
          </w:tcPr>
          <w:p>
            <w:pPr/>
          </w:p>
        </w:tc>
        <w:tc>
          <w:tcPr>
            <w:tcW w:w="1237" w:type="dxa"/>
            <w:vMerge/>
            <w:tcBorders>
              <w:left w:val="single" w:sz="4" w:space="0" w:color="000000"/>
              <w:bottom w:val="nil" w:sz="6" w:space="0" w:color="auto"/>
              <w:right w:val="single" w:sz="4" w:space="0" w:color="000000"/>
            </w:tcBorders>
            <w:shd w:val="clear" w:color="auto" w:fill="D4D4D4"/>
          </w:tcPr>
          <w:p>
            <w:pPr/>
          </w:p>
        </w:tc>
        <w:tc>
          <w:tcPr>
            <w:tcW w:w="223" w:type="dxa"/>
            <w:vMerge/>
            <w:tcBorders>
              <w:left w:val="single" w:sz="4" w:space="0" w:color="000000"/>
              <w:right w:val="single" w:sz="4" w:space="0" w:color="000000"/>
            </w:tcBorders>
            <w:shd w:val="clear" w:color="auto" w:fill="D4D4D4"/>
          </w:tcPr>
          <w:p>
            <w:pPr/>
          </w:p>
        </w:tc>
        <w:tc>
          <w:tcPr>
            <w:tcW w:w="223" w:type="dxa"/>
            <w:vMerge/>
            <w:tcBorders>
              <w:left w:val="single" w:sz="4" w:space="0" w:color="000000"/>
              <w:right w:val="single" w:sz="4" w:space="0" w:color="000000"/>
            </w:tcBorders>
            <w:shd w:val="clear" w:color="auto" w:fill="D4D4D4"/>
          </w:tcPr>
          <w:p>
            <w:pPr/>
          </w:p>
        </w:tc>
        <w:tc>
          <w:tcPr>
            <w:tcW w:w="221" w:type="dxa"/>
            <w:vMerge/>
            <w:tcBorders>
              <w:left w:val="single" w:sz="4" w:space="0" w:color="000000"/>
              <w:right w:val="single" w:sz="4" w:space="0" w:color="000000"/>
            </w:tcBorders>
            <w:shd w:val="clear" w:color="auto" w:fill="D4D4D4"/>
          </w:tcPr>
          <w:p>
            <w:pPr/>
          </w:p>
        </w:tc>
        <w:tc>
          <w:tcPr>
            <w:tcW w:w="1226" w:type="dxa"/>
            <w:vMerge/>
            <w:tcBorders>
              <w:left w:val="single" w:sz="4" w:space="0" w:color="000000"/>
              <w:bottom w:val="nil" w:sz="6" w:space="0" w:color="auto"/>
              <w:right w:val="single" w:sz="4" w:space="0" w:color="000000"/>
            </w:tcBorders>
            <w:shd w:val="clear" w:color="auto" w:fill="D4D4D4"/>
          </w:tcPr>
          <w:p>
            <w:pPr/>
          </w:p>
        </w:tc>
        <w:tc>
          <w:tcPr>
            <w:tcW w:w="1157" w:type="dxa"/>
            <w:vMerge/>
            <w:tcBorders>
              <w:left w:val="single" w:sz="4" w:space="0" w:color="000000"/>
              <w:bottom w:val="nil" w:sz="6" w:space="0" w:color="auto"/>
              <w:right w:val="single" w:sz="4" w:space="0" w:color="000000"/>
            </w:tcBorders>
            <w:shd w:val="clear" w:color="auto" w:fill="D4D4D4"/>
          </w:tcPr>
          <w:p>
            <w:pPr/>
          </w:p>
        </w:tc>
        <w:tc>
          <w:tcPr>
            <w:tcW w:w="1070" w:type="dxa"/>
            <w:vMerge/>
            <w:tcBorders>
              <w:left w:val="single" w:sz="4" w:space="0" w:color="000000"/>
              <w:right w:val="single" w:sz="4" w:space="0" w:color="000000"/>
            </w:tcBorders>
            <w:shd w:val="clear" w:color="auto" w:fill="D4D4D4"/>
          </w:tcPr>
          <w:p>
            <w:pPr/>
          </w:p>
        </w:tc>
        <w:tc>
          <w:tcPr>
            <w:tcW w:w="223" w:type="dxa"/>
            <w:vMerge/>
            <w:tcBorders>
              <w:left w:val="single" w:sz="4" w:space="0" w:color="000000"/>
              <w:right w:val="single" w:sz="4" w:space="0" w:color="000000"/>
            </w:tcBorders>
            <w:shd w:val="clear" w:color="auto" w:fill="D4D4D4"/>
          </w:tcPr>
          <w:p>
            <w:pPr/>
          </w:p>
        </w:tc>
        <w:tc>
          <w:tcPr>
            <w:tcW w:w="1018" w:type="dxa"/>
            <w:vMerge/>
            <w:tcBorders>
              <w:left w:val="single" w:sz="4" w:space="0" w:color="000000"/>
              <w:bottom w:val="nil" w:sz="6" w:space="0" w:color="auto"/>
              <w:right w:val="single" w:sz="4" w:space="0" w:color="000000"/>
            </w:tcBorders>
            <w:shd w:val="clear" w:color="auto" w:fill="D4D4D4"/>
          </w:tcPr>
          <w:p>
            <w:pPr/>
          </w:p>
        </w:tc>
        <w:tc>
          <w:tcPr>
            <w:tcW w:w="1099" w:type="dxa"/>
            <w:vMerge/>
            <w:tcBorders>
              <w:left w:val="single" w:sz="4" w:space="0" w:color="000000"/>
              <w:bottom w:val="nil" w:sz="6" w:space="0" w:color="auto"/>
              <w:right w:val="single" w:sz="4" w:space="0" w:color="000000"/>
            </w:tcBorders>
            <w:shd w:val="clear" w:color="auto" w:fill="D4D4D4"/>
          </w:tcPr>
          <w:p>
            <w:pPr/>
          </w:p>
        </w:tc>
        <w:tc>
          <w:tcPr>
            <w:tcW w:w="223" w:type="dxa"/>
            <w:vMerge/>
            <w:tcBorders>
              <w:left w:val="single" w:sz="4" w:space="0" w:color="000000"/>
              <w:right w:val="single" w:sz="4" w:space="0" w:color="000000"/>
            </w:tcBorders>
            <w:shd w:val="clear" w:color="auto" w:fill="D4D4D4"/>
          </w:tcPr>
          <w:p>
            <w:pPr/>
          </w:p>
        </w:tc>
        <w:tc>
          <w:tcPr>
            <w:tcW w:w="1226" w:type="dxa"/>
            <w:vMerge/>
            <w:tcBorders>
              <w:left w:val="single" w:sz="4" w:space="0" w:color="000000"/>
              <w:right w:val="single" w:sz="4" w:space="0" w:color="000000"/>
            </w:tcBorders>
            <w:shd w:val="clear" w:color="auto" w:fill="D4D4D4"/>
          </w:tcPr>
          <w:p>
            <w:pPr/>
          </w:p>
        </w:tc>
      </w:tr>
      <w:tr>
        <w:trPr>
          <w:trHeight w:val="118" w:hRule="exact"/>
        </w:trPr>
        <w:tc>
          <w:tcPr>
            <w:tcW w:w="536" w:type="dxa"/>
            <w:vMerge/>
            <w:tcBorders>
              <w:left w:val="single" w:sz="4" w:space="0" w:color="000000"/>
              <w:right w:val="single" w:sz="4" w:space="0" w:color="000000"/>
            </w:tcBorders>
            <w:shd w:val="clear" w:color="auto" w:fill="D4D4D4"/>
          </w:tcPr>
          <w:p>
            <w:pPr/>
          </w:p>
        </w:tc>
        <w:tc>
          <w:tcPr>
            <w:tcW w:w="1237" w:type="dxa"/>
            <w:vMerge w:val="restart"/>
            <w:tcBorders>
              <w:top w:val="nil" w:sz="6" w:space="0" w:color="auto"/>
              <w:left w:val="single" w:sz="4" w:space="0" w:color="000000"/>
              <w:right w:val="single" w:sz="4" w:space="0" w:color="000000"/>
            </w:tcBorders>
            <w:shd w:val="clear" w:color="auto" w:fill="D4D4D4"/>
          </w:tcPr>
          <w:p>
            <w:pPr/>
          </w:p>
        </w:tc>
        <w:tc>
          <w:tcPr>
            <w:tcW w:w="223" w:type="dxa"/>
            <w:vMerge/>
            <w:tcBorders>
              <w:left w:val="single" w:sz="4" w:space="0" w:color="000000"/>
              <w:right w:val="single" w:sz="4" w:space="0" w:color="000000"/>
            </w:tcBorders>
            <w:shd w:val="clear" w:color="auto" w:fill="D4D4D4"/>
          </w:tcPr>
          <w:p>
            <w:pPr/>
          </w:p>
        </w:tc>
        <w:tc>
          <w:tcPr>
            <w:tcW w:w="223" w:type="dxa"/>
            <w:vMerge/>
            <w:tcBorders>
              <w:left w:val="single" w:sz="4" w:space="0" w:color="000000"/>
              <w:right w:val="single" w:sz="4" w:space="0" w:color="000000"/>
            </w:tcBorders>
            <w:shd w:val="clear" w:color="auto" w:fill="D4D4D4"/>
          </w:tcPr>
          <w:p>
            <w:pPr/>
          </w:p>
        </w:tc>
        <w:tc>
          <w:tcPr>
            <w:tcW w:w="221" w:type="dxa"/>
            <w:vMerge/>
            <w:tcBorders>
              <w:left w:val="single" w:sz="4" w:space="0" w:color="000000"/>
              <w:right w:val="single" w:sz="4" w:space="0" w:color="000000"/>
            </w:tcBorders>
            <w:shd w:val="clear" w:color="auto" w:fill="D4D4D4"/>
          </w:tcPr>
          <w:p>
            <w:pPr/>
          </w:p>
        </w:tc>
        <w:tc>
          <w:tcPr>
            <w:tcW w:w="1226" w:type="dxa"/>
            <w:vMerge w:val="restart"/>
            <w:tcBorders>
              <w:top w:val="nil" w:sz="6" w:space="0" w:color="auto"/>
              <w:left w:val="single" w:sz="4" w:space="0" w:color="000000"/>
              <w:right w:val="single" w:sz="4" w:space="0" w:color="000000"/>
            </w:tcBorders>
            <w:shd w:val="clear" w:color="auto" w:fill="D4D4D4"/>
          </w:tcPr>
          <w:p>
            <w:pPr/>
          </w:p>
        </w:tc>
        <w:tc>
          <w:tcPr>
            <w:tcW w:w="1157" w:type="dxa"/>
            <w:vMerge w:val="restart"/>
            <w:tcBorders>
              <w:top w:val="nil" w:sz="6" w:space="0" w:color="auto"/>
              <w:left w:val="single" w:sz="4" w:space="0" w:color="000000"/>
              <w:right w:val="single" w:sz="4" w:space="0" w:color="000000"/>
            </w:tcBorders>
            <w:shd w:val="clear" w:color="auto" w:fill="D4D4D4"/>
          </w:tcPr>
          <w:p>
            <w:pPr/>
          </w:p>
        </w:tc>
        <w:tc>
          <w:tcPr>
            <w:tcW w:w="1070" w:type="dxa"/>
            <w:vMerge/>
            <w:tcBorders>
              <w:left w:val="single" w:sz="4" w:space="0" w:color="000000"/>
              <w:bottom w:val="nil" w:sz="6" w:space="0" w:color="auto"/>
              <w:right w:val="single" w:sz="4" w:space="0" w:color="000000"/>
            </w:tcBorders>
            <w:shd w:val="clear" w:color="auto" w:fill="D4D4D4"/>
          </w:tcPr>
          <w:p>
            <w:pPr/>
          </w:p>
        </w:tc>
        <w:tc>
          <w:tcPr>
            <w:tcW w:w="223" w:type="dxa"/>
            <w:vMerge/>
            <w:tcBorders>
              <w:left w:val="single" w:sz="4" w:space="0" w:color="000000"/>
              <w:right w:val="single" w:sz="4" w:space="0" w:color="000000"/>
            </w:tcBorders>
            <w:shd w:val="clear" w:color="auto" w:fill="D4D4D4"/>
          </w:tcPr>
          <w:p>
            <w:pPr/>
          </w:p>
        </w:tc>
        <w:tc>
          <w:tcPr>
            <w:tcW w:w="1018" w:type="dxa"/>
            <w:vMerge w:val="restart"/>
            <w:tcBorders>
              <w:top w:val="nil" w:sz="6" w:space="0" w:color="auto"/>
              <w:left w:val="single" w:sz="4" w:space="0" w:color="000000"/>
              <w:right w:val="single" w:sz="4" w:space="0" w:color="000000"/>
            </w:tcBorders>
            <w:shd w:val="clear" w:color="auto" w:fill="D4D4D4"/>
          </w:tcPr>
          <w:p>
            <w:pPr/>
          </w:p>
        </w:tc>
        <w:tc>
          <w:tcPr>
            <w:tcW w:w="1099" w:type="dxa"/>
            <w:vMerge w:val="restart"/>
            <w:tcBorders>
              <w:top w:val="nil" w:sz="6" w:space="0" w:color="auto"/>
              <w:left w:val="single" w:sz="4" w:space="0" w:color="000000"/>
              <w:right w:val="single" w:sz="4" w:space="0" w:color="000000"/>
            </w:tcBorders>
            <w:shd w:val="clear" w:color="auto" w:fill="D4D4D4"/>
          </w:tcPr>
          <w:p>
            <w:pPr/>
          </w:p>
        </w:tc>
        <w:tc>
          <w:tcPr>
            <w:tcW w:w="223" w:type="dxa"/>
            <w:vMerge/>
            <w:tcBorders>
              <w:left w:val="single" w:sz="4" w:space="0" w:color="000000"/>
              <w:bottom w:val="nil" w:sz="6" w:space="0" w:color="auto"/>
              <w:right w:val="single" w:sz="4" w:space="0" w:color="000000"/>
            </w:tcBorders>
            <w:shd w:val="clear" w:color="auto" w:fill="D4D4D4"/>
          </w:tcPr>
          <w:p>
            <w:pPr/>
          </w:p>
        </w:tc>
        <w:tc>
          <w:tcPr>
            <w:tcW w:w="1226" w:type="dxa"/>
            <w:vMerge/>
            <w:tcBorders>
              <w:left w:val="single" w:sz="4" w:space="0" w:color="000000"/>
              <w:bottom w:val="nil" w:sz="6" w:space="0" w:color="auto"/>
              <w:right w:val="single" w:sz="4" w:space="0" w:color="000000"/>
            </w:tcBorders>
            <w:shd w:val="clear" w:color="auto" w:fill="D4D4D4"/>
          </w:tcPr>
          <w:p>
            <w:pPr/>
          </w:p>
        </w:tc>
      </w:tr>
      <w:tr>
        <w:trPr>
          <w:trHeight w:val="233" w:hRule="exact"/>
        </w:trPr>
        <w:tc>
          <w:tcPr>
            <w:tcW w:w="536" w:type="dxa"/>
            <w:vMerge/>
            <w:tcBorders>
              <w:left w:val="single" w:sz="4" w:space="0" w:color="000000"/>
              <w:right w:val="single" w:sz="4" w:space="0" w:color="000000"/>
            </w:tcBorders>
            <w:shd w:val="clear" w:color="auto" w:fill="D4D4D4"/>
          </w:tcPr>
          <w:p>
            <w:pPr/>
          </w:p>
        </w:tc>
        <w:tc>
          <w:tcPr>
            <w:tcW w:w="1237" w:type="dxa"/>
            <w:vMerge/>
            <w:tcBorders>
              <w:left w:val="single" w:sz="4" w:space="0" w:color="000000"/>
              <w:right w:val="single" w:sz="4" w:space="0" w:color="000000"/>
            </w:tcBorders>
            <w:shd w:val="clear" w:color="auto" w:fill="D4D4D4"/>
          </w:tcPr>
          <w:p>
            <w:pPr/>
          </w:p>
        </w:tc>
        <w:tc>
          <w:tcPr>
            <w:tcW w:w="223" w:type="dxa"/>
            <w:vMerge/>
            <w:tcBorders>
              <w:left w:val="single" w:sz="4" w:space="0" w:color="000000"/>
              <w:right w:val="single" w:sz="4" w:space="0" w:color="000000"/>
            </w:tcBorders>
            <w:shd w:val="clear" w:color="auto" w:fill="D4D4D4"/>
          </w:tcPr>
          <w:p>
            <w:pPr/>
          </w:p>
        </w:tc>
        <w:tc>
          <w:tcPr>
            <w:tcW w:w="223" w:type="dxa"/>
            <w:vMerge/>
            <w:tcBorders>
              <w:left w:val="single" w:sz="4" w:space="0" w:color="000000"/>
              <w:right w:val="single" w:sz="4" w:space="0" w:color="000000"/>
            </w:tcBorders>
            <w:shd w:val="clear" w:color="auto" w:fill="D4D4D4"/>
          </w:tcPr>
          <w:p>
            <w:pPr/>
          </w:p>
        </w:tc>
        <w:tc>
          <w:tcPr>
            <w:tcW w:w="221" w:type="dxa"/>
            <w:vMerge/>
            <w:tcBorders>
              <w:left w:val="single" w:sz="4" w:space="0" w:color="000000"/>
              <w:right w:val="single" w:sz="4" w:space="0" w:color="000000"/>
            </w:tcBorders>
            <w:shd w:val="clear" w:color="auto" w:fill="D4D4D4"/>
          </w:tcPr>
          <w:p>
            <w:pPr/>
          </w:p>
        </w:tc>
        <w:tc>
          <w:tcPr>
            <w:tcW w:w="1226" w:type="dxa"/>
            <w:vMerge/>
            <w:tcBorders>
              <w:left w:val="single" w:sz="4" w:space="0" w:color="000000"/>
              <w:right w:val="single" w:sz="4" w:space="0" w:color="000000"/>
            </w:tcBorders>
            <w:shd w:val="clear" w:color="auto" w:fill="D4D4D4"/>
          </w:tcPr>
          <w:p>
            <w:pPr/>
          </w:p>
        </w:tc>
        <w:tc>
          <w:tcPr>
            <w:tcW w:w="1157" w:type="dxa"/>
            <w:vMerge/>
            <w:tcBorders>
              <w:left w:val="single" w:sz="4" w:space="0" w:color="000000"/>
              <w:right w:val="single" w:sz="4" w:space="0" w:color="000000"/>
            </w:tcBorders>
            <w:shd w:val="clear" w:color="auto" w:fill="D4D4D4"/>
          </w:tcPr>
          <w:p>
            <w:pPr/>
          </w:p>
        </w:tc>
        <w:tc>
          <w:tcPr>
            <w:tcW w:w="1070" w:type="dxa"/>
            <w:vMerge w:val="restart"/>
            <w:tcBorders>
              <w:top w:val="nil" w:sz="6" w:space="0" w:color="auto"/>
              <w:left w:val="single" w:sz="4" w:space="0" w:color="000000"/>
              <w:right w:val="single" w:sz="4" w:space="0" w:color="000000"/>
            </w:tcBorders>
            <w:shd w:val="clear" w:color="auto" w:fill="D4D4D4"/>
          </w:tcPr>
          <w:p>
            <w:pPr/>
          </w:p>
        </w:tc>
        <w:tc>
          <w:tcPr>
            <w:tcW w:w="223" w:type="dxa"/>
            <w:vMerge/>
            <w:tcBorders>
              <w:left w:val="single" w:sz="4" w:space="0" w:color="000000"/>
              <w:bottom w:val="nil" w:sz="6" w:space="0" w:color="auto"/>
              <w:right w:val="single" w:sz="4" w:space="0" w:color="000000"/>
            </w:tcBorders>
            <w:shd w:val="clear" w:color="auto" w:fill="D4D4D4"/>
          </w:tcPr>
          <w:p>
            <w:pPr/>
          </w:p>
        </w:tc>
        <w:tc>
          <w:tcPr>
            <w:tcW w:w="1018" w:type="dxa"/>
            <w:vMerge/>
            <w:tcBorders>
              <w:left w:val="single" w:sz="4" w:space="0" w:color="000000"/>
              <w:right w:val="single" w:sz="4" w:space="0" w:color="000000"/>
            </w:tcBorders>
            <w:shd w:val="clear" w:color="auto" w:fill="D4D4D4"/>
          </w:tcPr>
          <w:p>
            <w:pPr/>
          </w:p>
        </w:tc>
        <w:tc>
          <w:tcPr>
            <w:tcW w:w="1099" w:type="dxa"/>
            <w:vMerge/>
            <w:tcBorders>
              <w:left w:val="single" w:sz="4" w:space="0" w:color="000000"/>
              <w:right w:val="single" w:sz="4" w:space="0" w:color="000000"/>
            </w:tcBorders>
            <w:shd w:val="clear" w:color="auto" w:fill="D4D4D4"/>
          </w:tcPr>
          <w:p>
            <w:pPr/>
          </w:p>
        </w:tc>
        <w:tc>
          <w:tcPr>
            <w:tcW w:w="223" w:type="dxa"/>
            <w:vMerge w:val="restart"/>
            <w:tcBorders>
              <w:top w:val="nil" w:sz="6" w:space="0" w:color="auto"/>
              <w:left w:val="single" w:sz="4" w:space="0" w:color="000000"/>
              <w:right w:val="single" w:sz="4" w:space="0" w:color="000000"/>
            </w:tcBorders>
            <w:shd w:val="clear" w:color="auto" w:fill="D4D4D4"/>
          </w:tcPr>
          <w:p>
            <w:pPr/>
          </w:p>
        </w:tc>
        <w:tc>
          <w:tcPr>
            <w:tcW w:w="1226" w:type="dxa"/>
            <w:vMerge w:val="restart"/>
            <w:tcBorders>
              <w:top w:val="nil" w:sz="6" w:space="0" w:color="auto"/>
              <w:left w:val="single" w:sz="4" w:space="0" w:color="000000"/>
              <w:right w:val="single" w:sz="4" w:space="0" w:color="000000"/>
            </w:tcBorders>
            <w:shd w:val="clear" w:color="auto" w:fill="D4D4D4"/>
          </w:tcPr>
          <w:p>
            <w:pPr/>
          </w:p>
        </w:tc>
      </w:tr>
      <w:tr>
        <w:trPr>
          <w:trHeight w:val="199" w:hRule="exact"/>
        </w:trPr>
        <w:tc>
          <w:tcPr>
            <w:tcW w:w="536" w:type="dxa"/>
            <w:vMerge/>
            <w:tcBorders>
              <w:left w:val="single" w:sz="4" w:space="0" w:color="000000"/>
              <w:bottom w:val="single" w:sz="4" w:space="0" w:color="000000"/>
              <w:right w:val="single" w:sz="4" w:space="0" w:color="000000"/>
            </w:tcBorders>
            <w:shd w:val="clear" w:color="auto" w:fill="D4D4D4"/>
          </w:tcPr>
          <w:p>
            <w:pPr/>
          </w:p>
        </w:tc>
        <w:tc>
          <w:tcPr>
            <w:tcW w:w="1237" w:type="dxa"/>
            <w:vMerge/>
            <w:tcBorders>
              <w:left w:val="single" w:sz="4" w:space="0" w:color="000000"/>
              <w:bottom w:val="single" w:sz="4" w:space="0" w:color="000000"/>
              <w:right w:val="single" w:sz="4" w:space="0" w:color="000000"/>
            </w:tcBorders>
            <w:shd w:val="clear" w:color="auto" w:fill="D4D4D4"/>
          </w:tcPr>
          <w:p>
            <w:pPr/>
          </w:p>
        </w:tc>
        <w:tc>
          <w:tcPr>
            <w:tcW w:w="223" w:type="dxa"/>
            <w:vMerge/>
            <w:tcBorders>
              <w:left w:val="single" w:sz="4" w:space="0" w:color="000000"/>
              <w:bottom w:val="single" w:sz="4" w:space="0" w:color="000000"/>
              <w:right w:val="single" w:sz="4" w:space="0" w:color="000000"/>
            </w:tcBorders>
            <w:shd w:val="clear" w:color="auto" w:fill="D4D4D4"/>
          </w:tcPr>
          <w:p>
            <w:pPr/>
          </w:p>
        </w:tc>
        <w:tc>
          <w:tcPr>
            <w:tcW w:w="223" w:type="dxa"/>
            <w:vMerge/>
            <w:tcBorders>
              <w:left w:val="single" w:sz="4" w:space="0" w:color="000000"/>
              <w:bottom w:val="single" w:sz="4" w:space="0" w:color="000000"/>
              <w:right w:val="single" w:sz="4" w:space="0" w:color="000000"/>
            </w:tcBorders>
            <w:shd w:val="clear" w:color="auto" w:fill="D4D4D4"/>
          </w:tcPr>
          <w:p>
            <w:pPr/>
          </w:p>
        </w:tc>
        <w:tc>
          <w:tcPr>
            <w:tcW w:w="221" w:type="dxa"/>
            <w:vMerge/>
            <w:tcBorders>
              <w:left w:val="single" w:sz="4" w:space="0" w:color="000000"/>
              <w:bottom w:val="single" w:sz="4" w:space="0" w:color="000000"/>
              <w:right w:val="single" w:sz="4" w:space="0" w:color="000000"/>
            </w:tcBorders>
            <w:shd w:val="clear" w:color="auto" w:fill="D4D4D4"/>
          </w:tcPr>
          <w:p>
            <w:pPr/>
          </w:p>
        </w:tc>
        <w:tc>
          <w:tcPr>
            <w:tcW w:w="1226" w:type="dxa"/>
            <w:vMerge/>
            <w:tcBorders>
              <w:left w:val="single" w:sz="4" w:space="0" w:color="000000"/>
              <w:bottom w:val="single" w:sz="4" w:space="0" w:color="000000"/>
              <w:right w:val="single" w:sz="4" w:space="0" w:color="000000"/>
            </w:tcBorders>
            <w:shd w:val="clear" w:color="auto" w:fill="D4D4D4"/>
          </w:tcPr>
          <w:p>
            <w:pPr/>
          </w:p>
        </w:tc>
        <w:tc>
          <w:tcPr>
            <w:tcW w:w="1157" w:type="dxa"/>
            <w:vMerge/>
            <w:tcBorders>
              <w:left w:val="single" w:sz="4" w:space="0" w:color="000000"/>
              <w:bottom w:val="single" w:sz="4" w:space="0" w:color="000000"/>
              <w:right w:val="single" w:sz="4" w:space="0" w:color="000000"/>
            </w:tcBorders>
            <w:shd w:val="clear" w:color="auto" w:fill="D4D4D4"/>
          </w:tcPr>
          <w:p>
            <w:pPr/>
          </w:p>
        </w:tc>
        <w:tc>
          <w:tcPr>
            <w:tcW w:w="1070" w:type="dxa"/>
            <w:vMerge/>
            <w:tcBorders>
              <w:left w:val="single" w:sz="4" w:space="0" w:color="000000"/>
              <w:bottom w:val="single" w:sz="4" w:space="0" w:color="000000"/>
              <w:right w:val="single" w:sz="4" w:space="0" w:color="000000"/>
            </w:tcBorders>
            <w:shd w:val="clear" w:color="auto" w:fill="D4D4D4"/>
          </w:tcPr>
          <w:p>
            <w:pPr/>
          </w:p>
        </w:tc>
        <w:tc>
          <w:tcPr>
            <w:tcW w:w="223" w:type="dxa"/>
            <w:tcBorders>
              <w:top w:val="nil" w:sz="6" w:space="0" w:color="auto"/>
              <w:left w:val="single" w:sz="4" w:space="0" w:color="000000"/>
              <w:bottom w:val="single" w:sz="4" w:space="0" w:color="000000"/>
              <w:right w:val="single" w:sz="4" w:space="0" w:color="000000"/>
            </w:tcBorders>
            <w:shd w:val="clear" w:color="auto" w:fill="D4D4D4"/>
          </w:tcPr>
          <w:p>
            <w:pPr/>
          </w:p>
        </w:tc>
        <w:tc>
          <w:tcPr>
            <w:tcW w:w="1018" w:type="dxa"/>
            <w:vMerge/>
            <w:tcBorders>
              <w:left w:val="single" w:sz="4" w:space="0" w:color="000000"/>
              <w:bottom w:val="single" w:sz="4" w:space="0" w:color="000000"/>
              <w:right w:val="single" w:sz="4" w:space="0" w:color="000000"/>
            </w:tcBorders>
            <w:shd w:val="clear" w:color="auto" w:fill="D4D4D4"/>
          </w:tcPr>
          <w:p>
            <w:pPr/>
          </w:p>
        </w:tc>
        <w:tc>
          <w:tcPr>
            <w:tcW w:w="1099" w:type="dxa"/>
            <w:vMerge/>
            <w:tcBorders>
              <w:left w:val="single" w:sz="4" w:space="0" w:color="000000"/>
              <w:bottom w:val="single" w:sz="4" w:space="0" w:color="000000"/>
              <w:right w:val="single" w:sz="4" w:space="0" w:color="000000"/>
            </w:tcBorders>
            <w:shd w:val="clear" w:color="auto" w:fill="D4D4D4"/>
          </w:tcPr>
          <w:p>
            <w:pPr/>
          </w:p>
        </w:tc>
        <w:tc>
          <w:tcPr>
            <w:tcW w:w="223" w:type="dxa"/>
            <w:vMerge/>
            <w:tcBorders>
              <w:left w:val="single" w:sz="4" w:space="0" w:color="000000"/>
              <w:bottom w:val="single" w:sz="4" w:space="0" w:color="000000"/>
              <w:right w:val="single" w:sz="4" w:space="0" w:color="000000"/>
            </w:tcBorders>
            <w:shd w:val="clear" w:color="auto" w:fill="D4D4D4"/>
          </w:tcPr>
          <w:p>
            <w:pPr/>
          </w:p>
        </w:tc>
        <w:tc>
          <w:tcPr>
            <w:tcW w:w="1226" w:type="dxa"/>
            <w:vMerge/>
            <w:tcBorders>
              <w:left w:val="single" w:sz="4" w:space="0" w:color="000000"/>
              <w:bottom w:val="single" w:sz="4" w:space="0" w:color="000000"/>
              <w:right w:val="single" w:sz="4" w:space="0" w:color="000000"/>
            </w:tcBorders>
            <w:shd w:val="clear" w:color="auto" w:fill="D4D4D4"/>
          </w:tcPr>
          <w:p>
            <w:pPr/>
          </w:p>
        </w:tc>
      </w:tr>
      <w:tr>
        <w:trPr>
          <w:trHeight w:val="1087" w:hRule="exact"/>
        </w:trPr>
        <w:tc>
          <w:tcPr>
            <w:tcW w:w="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44"/>
              <w:ind w:left="81" w:right="49" w:hanging="70"/>
              <w:jc w:val="both"/>
              <w:rPr>
                <w:rFonts w:ascii="宋体" w:hAnsi="宋体" w:cs="宋体" w:eastAsia="宋体" w:hint="default"/>
                <w:sz w:val="18"/>
                <w:szCs w:val="18"/>
              </w:rPr>
            </w:pPr>
            <w:r>
              <w:rPr>
                <w:rFonts w:ascii="宋体" w:hAnsi="宋体" w:cs="宋体" w:eastAsia="宋体" w:hint="default"/>
                <w:spacing w:val="-26"/>
                <w:sz w:val="18"/>
                <w:szCs w:val="18"/>
              </w:rPr>
              <w:t>一、上</w:t>
            </w:r>
            <w:r>
              <w:rPr>
                <w:rFonts w:ascii="宋体" w:hAnsi="宋体" w:cs="宋体" w:eastAsia="宋体" w:hint="default"/>
                <w:spacing w:val="-39"/>
                <w:sz w:val="18"/>
                <w:szCs w:val="18"/>
              </w:rPr>
              <w:t> </w:t>
            </w:r>
            <w:r>
              <w:rPr>
                <w:rFonts w:ascii="宋体" w:hAnsi="宋体" w:cs="宋体" w:eastAsia="宋体" w:hint="default"/>
                <w:sz w:val="18"/>
                <w:szCs w:val="18"/>
              </w:rPr>
              <w:t>年期</w:t>
            </w:r>
            <w:r>
              <w:rPr>
                <w:rFonts w:ascii="宋体" w:hAnsi="宋体" w:cs="宋体" w:eastAsia="宋体" w:hint="default"/>
                <w:sz w:val="18"/>
                <w:szCs w:val="18"/>
              </w:rPr>
              <w:t> 末余 额</w:t>
            </w:r>
          </w:p>
        </w:tc>
        <w:tc>
          <w:tcPr>
            <w:tcW w:w="123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1,748,662,113.0</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0</w:t>
            </w: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7" w:space="0" w:color="D4D4D4"/>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2,463,851,905.</w:t>
            </w:r>
            <w:r>
              <w:rPr>
                <w:rFonts w:ascii="Times New Roman"/>
                <w:sz w:val="18"/>
              </w:rPr>
            </w:r>
          </w:p>
          <w:p>
            <w:pPr>
              <w:pStyle w:val="TableParagraph"/>
              <w:spacing w:line="240" w:lineRule="auto" w:before="2"/>
              <w:ind w:right="17"/>
              <w:jc w:val="right"/>
              <w:rPr>
                <w:rFonts w:ascii="Times New Roman" w:hAnsi="Times New Roman" w:cs="Times New Roman" w:eastAsia="Times New Roman" w:hint="default"/>
                <w:sz w:val="18"/>
                <w:szCs w:val="18"/>
              </w:rPr>
            </w:pPr>
            <w:r>
              <w:rPr>
                <w:rFonts w:ascii="Times New Roman"/>
                <w:sz w:val="18"/>
              </w:rPr>
              <w:t>08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194,948,400.3</w:t>
            </w:r>
          </w:p>
          <w:p>
            <w:pPr>
              <w:pStyle w:val="TableParagraph"/>
              <w:spacing w:line="240" w:lineRule="auto" w:before="2"/>
              <w:ind w:right="23"/>
              <w:jc w:val="right"/>
              <w:rPr>
                <w:rFonts w:ascii="Times New Roman" w:hAnsi="Times New Roman" w:cs="Times New Roman" w:eastAsia="Times New Roman" w:hint="default"/>
                <w:sz w:val="18"/>
                <w:szCs w:val="18"/>
              </w:rPr>
            </w:pPr>
            <w:r>
              <w:rPr>
                <w:rFonts w:ascii="Times New Roman"/>
                <w:sz w:val="18"/>
              </w:rPr>
              <w:t>7</w:t>
            </w: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50,173,507.7</w:t>
            </w:r>
          </w:p>
          <w:p>
            <w:pPr>
              <w:pStyle w:val="TableParagraph"/>
              <w:spacing w:line="240" w:lineRule="auto" w:before="2"/>
              <w:ind w:right="23"/>
              <w:jc w:val="right"/>
              <w:rPr>
                <w:rFonts w:ascii="Times New Roman" w:hAnsi="Times New Roman" w:cs="Times New Roman" w:eastAsia="Times New Roman" w:hint="default"/>
                <w:sz w:val="18"/>
                <w:szCs w:val="18"/>
              </w:rPr>
            </w:pPr>
            <w:r>
              <w:rPr>
                <w:rFonts w:ascii="Times New Roman"/>
                <w:sz w:val="18"/>
              </w:rPr>
              <w:t>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200,619,542.5</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1</w:t>
            </w: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4,268,358,667.</w:t>
            </w:r>
            <w:r>
              <w:rPr>
                <w:rFonts w:ascii="Times New Roman"/>
                <w:sz w:val="18"/>
              </w:rPr>
            </w:r>
          </w:p>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93</w:t>
            </w:r>
          </w:p>
        </w:tc>
      </w:tr>
      <w:tr>
        <w:trPr>
          <w:trHeight w:val="1322" w:hRule="exact"/>
        </w:trPr>
        <w:tc>
          <w:tcPr>
            <w:tcW w:w="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23"/>
                <w:szCs w:val="23"/>
              </w:rPr>
            </w:pPr>
          </w:p>
          <w:p>
            <w:pPr>
              <w:pStyle w:val="TableParagraph"/>
              <w:spacing w:line="232" w:lineRule="exact"/>
              <w:ind w:left="81" w:right="49" w:hanging="70"/>
              <w:jc w:val="both"/>
              <w:rPr>
                <w:rFonts w:ascii="宋体" w:hAnsi="宋体" w:cs="宋体" w:eastAsia="宋体" w:hint="default"/>
                <w:sz w:val="18"/>
                <w:szCs w:val="18"/>
              </w:rPr>
            </w:pPr>
            <w:r>
              <w:rPr>
                <w:rFonts w:ascii="宋体" w:hAnsi="宋体" w:cs="宋体" w:eastAsia="宋体" w:hint="default"/>
                <w:spacing w:val="-26"/>
                <w:sz w:val="18"/>
                <w:szCs w:val="18"/>
              </w:rPr>
              <w:t>加：会</w:t>
            </w:r>
            <w:r>
              <w:rPr>
                <w:rFonts w:ascii="宋体" w:hAnsi="宋体" w:cs="宋体" w:eastAsia="宋体" w:hint="default"/>
                <w:spacing w:val="-39"/>
                <w:sz w:val="18"/>
                <w:szCs w:val="18"/>
              </w:rPr>
              <w:t> </w:t>
            </w:r>
            <w:r>
              <w:rPr>
                <w:rFonts w:ascii="宋体" w:hAnsi="宋体" w:cs="宋体" w:eastAsia="宋体" w:hint="default"/>
                <w:sz w:val="18"/>
                <w:szCs w:val="18"/>
              </w:rPr>
              <w:t>计政</w:t>
            </w:r>
            <w:r>
              <w:rPr>
                <w:rFonts w:ascii="宋体" w:hAnsi="宋体" w:cs="宋体" w:eastAsia="宋体" w:hint="default"/>
                <w:sz w:val="18"/>
                <w:szCs w:val="18"/>
              </w:rPr>
              <w:t> 策变 更</w:t>
            </w:r>
          </w:p>
        </w:tc>
        <w:tc>
          <w:tcPr>
            <w:tcW w:w="1237" w:type="dxa"/>
            <w:tcBorders>
              <w:top w:val="single" w:sz="4" w:space="0" w:color="000000"/>
              <w:left w:val="single" w:sz="12" w:space="0" w:color="D4D4D4"/>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0</w:t>
            </w: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9,905,261.59</w:t>
            </w: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-94,738.41</w:t>
            </w:r>
          </w:p>
        </w:tc>
      </w:tr>
      <w:tr>
        <w:trPr>
          <w:trHeight w:val="1087" w:hRule="exact"/>
        </w:trPr>
        <w:tc>
          <w:tcPr>
            <w:tcW w:w="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21"/>
                <w:szCs w:val="21"/>
              </w:rPr>
            </w:pPr>
          </w:p>
          <w:p>
            <w:pPr>
              <w:pStyle w:val="TableParagraph"/>
              <w:spacing w:line="237" w:lineRule="auto"/>
              <w:ind w:left="81" w:right="83"/>
              <w:jc w:val="both"/>
              <w:rPr>
                <w:rFonts w:ascii="宋体" w:hAnsi="宋体" w:cs="宋体" w:eastAsia="宋体" w:hint="default"/>
                <w:sz w:val="18"/>
                <w:szCs w:val="18"/>
              </w:rPr>
            </w:pPr>
            <w:r>
              <w:rPr>
                <w:rFonts w:ascii="宋体" w:hAnsi="宋体" w:cs="宋体" w:eastAsia="宋体" w:hint="default"/>
                <w:sz w:val="18"/>
                <w:szCs w:val="18"/>
              </w:rPr>
              <w:t>前期 差错 更正</w:t>
            </w:r>
          </w:p>
        </w:tc>
        <w:tc>
          <w:tcPr>
            <w:tcW w:w="1237" w:type="dxa"/>
            <w:tcBorders>
              <w:top w:val="single" w:sz="4" w:space="0" w:color="000000"/>
              <w:left w:val="single" w:sz="12" w:space="0" w:color="D4D4D4"/>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37" w:type="dxa"/>
            <w:tcBorders>
              <w:top w:val="single" w:sz="4" w:space="0" w:color="000000"/>
              <w:left w:val="single" w:sz="12" w:space="0" w:color="D4D4D4"/>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76"/>
              <w:ind w:left="81" w:right="49" w:hanging="70"/>
              <w:jc w:val="left"/>
              <w:rPr>
                <w:rFonts w:ascii="宋体" w:hAnsi="宋体" w:cs="宋体" w:eastAsia="宋体" w:hint="default"/>
                <w:sz w:val="18"/>
                <w:szCs w:val="18"/>
              </w:rPr>
            </w:pPr>
            <w:r>
              <w:rPr>
                <w:rFonts w:ascii="宋体" w:hAnsi="宋体" w:cs="宋体" w:eastAsia="宋体" w:hint="default"/>
                <w:spacing w:val="-26"/>
                <w:sz w:val="18"/>
                <w:szCs w:val="18"/>
              </w:rPr>
              <w:t>二、本</w:t>
            </w:r>
            <w:r>
              <w:rPr>
                <w:rFonts w:ascii="宋体" w:hAnsi="宋体" w:cs="宋体" w:eastAsia="宋体" w:hint="default"/>
                <w:spacing w:val="-39"/>
                <w:sz w:val="18"/>
                <w:szCs w:val="18"/>
              </w:rPr>
              <w:t> </w:t>
            </w:r>
            <w:r>
              <w:rPr>
                <w:rFonts w:ascii="宋体" w:hAnsi="宋体" w:cs="宋体" w:eastAsia="宋体" w:hint="default"/>
                <w:sz w:val="18"/>
                <w:szCs w:val="18"/>
              </w:rPr>
              <w:t>年期</w:t>
            </w:r>
          </w:p>
        </w:tc>
        <w:tc>
          <w:tcPr>
            <w:tcW w:w="1237" w:type="dxa"/>
            <w:tcBorders>
              <w:top w:val="single" w:sz="4" w:space="0" w:color="000000"/>
              <w:left w:val="single" w:sz="12" w:space="0" w:color="D4D4D4"/>
              <w:bottom w:val="single" w:sz="4" w:space="0" w:color="000000"/>
              <w:right w:val="single" w:sz="4" w:space="0" w:color="000000"/>
            </w:tcBorders>
          </w:tcPr>
          <w:p>
            <w:pPr>
              <w:pStyle w:val="TableParagraph"/>
              <w:spacing w:line="207" w:lineRule="exact" w:before="67"/>
              <w:ind w:right="18"/>
              <w:jc w:val="right"/>
              <w:rPr>
                <w:rFonts w:ascii="Times New Roman" w:hAnsi="Times New Roman" w:cs="Times New Roman" w:eastAsia="Times New Roman" w:hint="default"/>
                <w:sz w:val="18"/>
                <w:szCs w:val="18"/>
              </w:rPr>
            </w:pPr>
            <w:r>
              <w:rPr>
                <w:rFonts w:ascii="Times New Roman"/>
                <w:spacing w:val="-1"/>
                <w:sz w:val="18"/>
              </w:rPr>
              <w:t>1,748,662,113.0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right="16"/>
              <w:jc w:val="right"/>
              <w:rPr>
                <w:rFonts w:ascii="Times New Roman" w:hAnsi="Times New Roman" w:cs="Times New Roman" w:eastAsia="Times New Roman" w:hint="default"/>
                <w:sz w:val="18"/>
                <w:szCs w:val="18"/>
              </w:rPr>
            </w:pPr>
            <w:r>
              <w:rPr>
                <w:rFonts w:ascii="Times New Roman"/>
                <w:spacing w:val="-1"/>
                <w:sz w:val="18"/>
              </w:rPr>
              <w:t>2,463,851,905.</w:t>
            </w:r>
            <w:r>
              <w:rPr>
                <w:rFonts w:ascii="Times New Roman"/>
                <w:sz w:val="18"/>
              </w:rPr>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08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right="20"/>
              <w:jc w:val="right"/>
              <w:rPr>
                <w:rFonts w:ascii="Times New Roman" w:hAnsi="Times New Roman" w:cs="Times New Roman" w:eastAsia="Times New Roman" w:hint="default"/>
                <w:sz w:val="18"/>
                <w:szCs w:val="18"/>
              </w:rPr>
            </w:pPr>
            <w:r>
              <w:rPr>
                <w:rFonts w:ascii="Times New Roman"/>
                <w:spacing w:val="-1"/>
                <w:sz w:val="18"/>
              </w:rPr>
              <w:t>194,948,400.3</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right="18"/>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right="20"/>
              <w:jc w:val="right"/>
              <w:rPr>
                <w:rFonts w:ascii="Times New Roman" w:hAnsi="Times New Roman" w:cs="Times New Roman" w:eastAsia="Times New Roman" w:hint="default"/>
                <w:sz w:val="18"/>
                <w:szCs w:val="18"/>
              </w:rPr>
            </w:pPr>
            <w:r>
              <w:rPr>
                <w:rFonts w:ascii="Times New Roman"/>
                <w:spacing w:val="-1"/>
                <w:sz w:val="18"/>
              </w:rPr>
              <w:t>50,173,507.7</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right="18"/>
              <w:jc w:val="right"/>
              <w:rPr>
                <w:rFonts w:ascii="Times New Roman" w:hAnsi="Times New Roman" w:cs="Times New Roman" w:eastAsia="Times New Roman" w:hint="default"/>
                <w:sz w:val="18"/>
                <w:szCs w:val="18"/>
              </w:rPr>
            </w:pPr>
            <w:r>
              <w:rPr>
                <w:rFonts w:ascii="Times New Roman"/>
                <w:spacing w:val="-1"/>
                <w:sz w:val="18"/>
              </w:rPr>
              <w:t>210,524,804.1</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right="18"/>
              <w:jc w:val="right"/>
              <w:rPr>
                <w:rFonts w:ascii="Times New Roman" w:hAnsi="Times New Roman" w:cs="Times New Roman" w:eastAsia="Times New Roman" w:hint="default"/>
                <w:sz w:val="18"/>
                <w:szCs w:val="18"/>
              </w:rPr>
            </w:pPr>
            <w:r>
              <w:rPr>
                <w:rFonts w:ascii="Times New Roman"/>
                <w:spacing w:val="-1"/>
                <w:sz w:val="18"/>
              </w:rPr>
              <w:t>4,268,263,929.</w:t>
            </w:r>
            <w:r>
              <w:rPr>
                <w:rFonts w:ascii="Times New Roman"/>
                <w:sz w:val="18"/>
              </w:rPr>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52</w:t>
            </w:r>
          </w:p>
        </w:tc>
      </w:tr>
    </w:tbl>
    <w:p>
      <w:pPr>
        <w:spacing w:after="0" w:line="207" w:lineRule="exact"/>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558"/>
        <w:gridCol w:w="1226"/>
        <w:gridCol w:w="223"/>
        <w:gridCol w:w="223"/>
        <w:gridCol w:w="221"/>
        <w:gridCol w:w="1226"/>
        <w:gridCol w:w="1157"/>
        <w:gridCol w:w="1070"/>
        <w:gridCol w:w="223"/>
        <w:gridCol w:w="1018"/>
        <w:gridCol w:w="1099"/>
        <w:gridCol w:w="223"/>
        <w:gridCol w:w="1226"/>
      </w:tblGrid>
      <w:tr>
        <w:trPr>
          <w:trHeight w:val="550" w:hRule="exact"/>
        </w:trPr>
        <w:tc>
          <w:tcPr>
            <w:tcW w:w="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初余</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2254" w:hRule="exact"/>
        </w:trPr>
        <w:tc>
          <w:tcPr>
            <w:tcW w:w="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6"/>
              <w:ind w:left="22" w:right="21" w:hanging="39"/>
              <w:jc w:val="center"/>
              <w:rPr>
                <w:rFonts w:ascii="宋体" w:hAnsi="宋体" w:cs="宋体" w:eastAsia="宋体" w:hint="default"/>
                <w:sz w:val="18"/>
                <w:szCs w:val="18"/>
              </w:rPr>
            </w:pPr>
            <w:r>
              <w:rPr>
                <w:rFonts w:ascii="宋体" w:hAnsi="宋体" w:cs="宋体" w:eastAsia="宋体" w:hint="default"/>
                <w:spacing w:val="-26"/>
                <w:sz w:val="18"/>
                <w:szCs w:val="18"/>
              </w:rPr>
              <w:t>三、本</w:t>
            </w:r>
            <w:r>
              <w:rPr>
                <w:rFonts w:ascii="宋体" w:hAnsi="宋体" w:cs="宋体" w:eastAsia="宋体" w:hint="default"/>
                <w:spacing w:val="-39"/>
                <w:sz w:val="18"/>
                <w:szCs w:val="18"/>
              </w:rPr>
              <w:t> </w:t>
            </w:r>
            <w:r>
              <w:rPr>
                <w:rFonts w:ascii="宋体" w:hAnsi="宋体" w:cs="宋体" w:eastAsia="宋体" w:hint="default"/>
                <w:sz w:val="18"/>
                <w:szCs w:val="18"/>
              </w:rPr>
              <w:t>期增</w:t>
            </w:r>
            <w:r>
              <w:rPr>
                <w:rFonts w:ascii="宋体" w:hAnsi="宋体" w:cs="宋体" w:eastAsia="宋体" w:hint="default"/>
                <w:sz w:val="18"/>
                <w:szCs w:val="18"/>
              </w:rPr>
              <w:t> 减变 动金 </w:t>
            </w:r>
            <w:r>
              <w:rPr>
                <w:rFonts w:ascii="宋体" w:hAnsi="宋体" w:cs="宋体" w:eastAsia="宋体" w:hint="default"/>
                <w:spacing w:val="-13"/>
                <w:sz w:val="18"/>
                <w:szCs w:val="18"/>
              </w:rPr>
              <w:t>额（减</w:t>
            </w:r>
            <w:r>
              <w:rPr>
                <w:rFonts w:ascii="宋体" w:hAnsi="宋体" w:cs="宋体" w:eastAsia="宋体" w:hint="default"/>
                <w:sz w:val="18"/>
                <w:szCs w:val="18"/>
              </w:rPr>
              <w:t> 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 列）</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-1,527,518.00</w:t>
            </w:r>
            <w:r>
              <w:rPr>
                <w:rFonts w:ascii="Times New Roman"/>
                <w:sz w:val="18"/>
              </w:rPr>
            </w: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-3,412,143.54</w:t>
            </w:r>
            <w:r>
              <w:rPr>
                <w:rFonts w:ascii="Times New Roman"/>
                <w:sz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-104,845,040.3</w:t>
            </w:r>
          </w:p>
          <w:p>
            <w:pPr>
              <w:pStyle w:val="TableParagraph"/>
              <w:spacing w:line="240" w:lineRule="auto" w:before="2"/>
              <w:ind w:right="23"/>
              <w:jc w:val="right"/>
              <w:rPr>
                <w:rFonts w:ascii="Times New Roman" w:hAnsi="Times New Roman" w:cs="Times New Roman" w:eastAsia="Times New Roman" w:hint="default"/>
                <w:sz w:val="18"/>
                <w:szCs w:val="18"/>
              </w:rPr>
            </w:pPr>
            <w:r>
              <w:rPr>
                <w:rFonts w:ascii="Times New Roman"/>
                <w:sz w:val="18"/>
              </w:rPr>
              <w:t>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0</w:t>
            </w: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-57,843,891.2</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5</w:t>
            </w: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52,061,487.58</w:t>
            </w:r>
          </w:p>
        </w:tc>
      </w:tr>
      <w:tr>
        <w:trPr>
          <w:trHeight w:val="1087" w:hRule="exact"/>
        </w:trPr>
        <w:tc>
          <w:tcPr>
            <w:tcW w:w="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44"/>
              <w:ind w:left="92" w:right="-15" w:hanging="70"/>
              <w:jc w:val="left"/>
              <w:rPr>
                <w:rFonts w:ascii="宋体" w:hAnsi="宋体" w:cs="宋体" w:eastAsia="宋体" w:hint="default"/>
                <w:sz w:val="18"/>
                <w:szCs w:val="18"/>
              </w:rPr>
            </w:pPr>
            <w:r>
              <w:rPr>
                <w:rFonts w:ascii="宋体" w:hAnsi="宋体" w:cs="宋体" w:eastAsia="宋体" w:hint="default"/>
                <w:sz w:val="18"/>
                <w:szCs w:val="18"/>
              </w:rPr>
              <w:t>（一） 综合 收益 总额</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1,113,636.07</w:t>
            </w: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7" w:lineRule="exact" w:before="121"/>
              <w:ind w:right="18"/>
              <w:jc w:val="right"/>
              <w:rPr>
                <w:rFonts w:ascii="Times New Roman" w:hAnsi="Times New Roman" w:cs="Times New Roman" w:eastAsia="Times New Roman" w:hint="default"/>
                <w:sz w:val="18"/>
                <w:szCs w:val="18"/>
              </w:rPr>
            </w:pPr>
            <w:r>
              <w:rPr>
                <w:rFonts w:ascii="Times New Roman"/>
                <w:spacing w:val="-1"/>
                <w:sz w:val="18"/>
              </w:rPr>
              <w:t>-48,957,527.3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2</w:t>
            </w: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-47,843,891.25</w:t>
            </w:r>
          </w:p>
        </w:tc>
      </w:tr>
      <w:tr>
        <w:trPr>
          <w:trHeight w:val="1555" w:hRule="exact"/>
        </w:trPr>
        <w:tc>
          <w:tcPr>
            <w:tcW w:w="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46"/>
              <w:ind w:left="92" w:right="-15" w:hanging="70"/>
              <w:jc w:val="left"/>
              <w:rPr>
                <w:rFonts w:ascii="宋体" w:hAnsi="宋体" w:cs="宋体" w:eastAsia="宋体" w:hint="default"/>
                <w:sz w:val="18"/>
                <w:szCs w:val="18"/>
              </w:rPr>
            </w:pPr>
            <w:r>
              <w:rPr>
                <w:rFonts w:ascii="宋体" w:hAnsi="宋体" w:cs="宋体" w:eastAsia="宋体" w:hint="default"/>
                <w:sz w:val="18"/>
                <w:szCs w:val="18"/>
              </w:rPr>
              <w:t>（二） 所有 者投 入和 减少 资本</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-1,527,518.00</w:t>
            </w:r>
            <w:r>
              <w:rPr>
                <w:rFonts w:ascii="Times New Roman"/>
                <w:sz w:val="18"/>
              </w:rPr>
            </w: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-3,412,143.54</w:t>
            </w:r>
            <w:r>
              <w:rPr>
                <w:rFonts w:ascii="Times New Roman"/>
                <w:sz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7" w:lineRule="exact" w:before="147"/>
              <w:ind w:right="20"/>
              <w:jc w:val="right"/>
              <w:rPr>
                <w:rFonts w:ascii="Times New Roman" w:hAnsi="Times New Roman" w:cs="Times New Roman" w:eastAsia="Times New Roman" w:hint="default"/>
                <w:sz w:val="18"/>
                <w:szCs w:val="18"/>
              </w:rPr>
            </w:pPr>
            <w:r>
              <w:rPr>
                <w:rFonts w:ascii="Times New Roman"/>
                <w:spacing w:val="-1"/>
                <w:sz w:val="18"/>
              </w:rPr>
              <w:t>-104,845,040.3</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7</w:t>
            </w: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99,905,378.83</w:t>
            </w:r>
            <w:r>
              <w:rPr>
                <w:rFonts w:ascii="Times New Roman"/>
                <w:sz w:val="18"/>
              </w:rPr>
            </w:r>
          </w:p>
        </w:tc>
      </w:tr>
      <w:tr>
        <w:trPr>
          <w:trHeight w:val="1322" w:hRule="exact"/>
        </w:trPr>
        <w:tc>
          <w:tcPr>
            <w:tcW w:w="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6"/>
              <w:ind w:left="92" w:right="48" w:hanging="4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 有者 投入 的普 通股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8"/>
              <w:jc w:val="right"/>
              <w:rPr>
                <w:rFonts w:ascii="Times New Roman" w:hAnsi="Times New Roman" w:cs="Times New Roman" w:eastAsia="Times New Roman" w:hint="default"/>
                <w:sz w:val="18"/>
                <w:szCs w:val="18"/>
              </w:rPr>
            </w:pPr>
            <w:r>
              <w:rPr>
                <w:rFonts w:ascii="Times New Roman"/>
                <w:spacing w:val="-1"/>
                <w:sz w:val="18"/>
              </w:rPr>
              <w:t>23,931,875.00</w:t>
            </w: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-103,313,351.4</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6" w:right="0"/>
              <w:jc w:val="center"/>
              <w:rPr>
                <w:rFonts w:ascii="Times New Roman" w:hAnsi="Times New Roman" w:cs="Times New Roman" w:eastAsia="Times New Roman" w:hint="default"/>
                <w:sz w:val="18"/>
                <w:szCs w:val="18"/>
              </w:rPr>
            </w:pPr>
            <w:r>
              <w:rPr>
                <w:rFonts w:ascii="Times New Roman"/>
                <w:sz w:val="18"/>
              </w:rPr>
              <w:t>-12,400,125.00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20"/>
              <w:jc w:val="right"/>
              <w:rPr>
                <w:rFonts w:ascii="Times New Roman" w:hAnsi="Times New Roman" w:cs="Times New Roman" w:eastAsia="Times New Roman" w:hint="default"/>
                <w:sz w:val="18"/>
                <w:szCs w:val="18"/>
              </w:rPr>
            </w:pPr>
            <w:r>
              <w:rPr>
                <w:rFonts w:ascii="Times New Roman"/>
                <w:spacing w:val="-1"/>
                <w:sz w:val="18"/>
              </w:rPr>
              <w:t>-66,981,351.48</w:t>
            </w:r>
          </w:p>
        </w:tc>
      </w:tr>
      <w:tr>
        <w:trPr>
          <w:trHeight w:val="1788" w:hRule="exact"/>
        </w:trPr>
        <w:tc>
          <w:tcPr>
            <w:tcW w:w="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6"/>
              <w:ind w:left="92" w:right="48" w:hanging="46"/>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 他权 益工 具持 有者 投入 资本</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2021" w:hRule="exact"/>
        </w:trPr>
        <w:tc>
          <w:tcPr>
            <w:tcW w:w="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6"/>
              <w:ind w:left="92" w:right="48" w:hanging="46"/>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 份支 付计 入所 有者 权益 的金 额</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51,197,335.12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-92,444,915.37</w:t>
            </w: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143,642,250.49</w:t>
            </w:r>
            <w:r>
              <w:rPr>
                <w:rFonts w:ascii="Times New Roman"/>
                <w:sz w:val="18"/>
              </w:rPr>
            </w:r>
          </w:p>
        </w:tc>
      </w:tr>
      <w:tr>
        <w:trPr>
          <w:trHeight w:val="622" w:hRule="exact"/>
        </w:trPr>
        <w:tc>
          <w:tcPr>
            <w:tcW w:w="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6" w:lineRule="exact" w:before="63"/>
              <w:ind w:left="183" w:right="48" w:hanging="13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 他</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-25,459,393.00</w:t>
            </w: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48,703,872.82</w:t>
            </w: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23,244,479.82</w:t>
            </w:r>
          </w:p>
        </w:tc>
      </w:tr>
      <w:tr>
        <w:trPr>
          <w:trHeight w:val="854" w:hRule="exact"/>
        </w:trPr>
        <w:tc>
          <w:tcPr>
            <w:tcW w:w="558" w:type="dxa"/>
            <w:tcBorders>
              <w:top w:val="single" w:sz="4" w:space="0" w:color="000000"/>
              <w:left w:val="single" w:sz="4" w:space="0" w:color="000000"/>
              <w:bottom w:val="single" w:sz="4" w:space="0" w:color="000000"/>
              <w:right w:val="single" w:sz="10" w:space="0" w:color="FFFFFF"/>
            </w:tcBorders>
            <w:shd w:val="clear" w:color="auto" w:fill="D4D4D4"/>
          </w:tcPr>
          <w:p>
            <w:pPr>
              <w:pStyle w:val="TableParagraph"/>
              <w:spacing w:line="232" w:lineRule="exact" w:before="66"/>
              <w:ind w:left="92" w:right="-22" w:hanging="70"/>
              <w:jc w:val="left"/>
              <w:rPr>
                <w:rFonts w:ascii="宋体" w:hAnsi="宋体" w:cs="宋体" w:eastAsia="宋体" w:hint="default"/>
                <w:sz w:val="18"/>
                <w:szCs w:val="18"/>
              </w:rPr>
            </w:pPr>
            <w:r>
              <w:rPr>
                <w:rFonts w:ascii="宋体" w:hAnsi="宋体" w:cs="宋体" w:eastAsia="宋体" w:hint="default"/>
                <w:sz w:val="18"/>
                <w:szCs w:val="18"/>
              </w:rPr>
              <w:t>（三） 利润 分配</w:t>
            </w:r>
          </w:p>
        </w:tc>
        <w:tc>
          <w:tcPr>
            <w:tcW w:w="1226" w:type="dxa"/>
            <w:tcBorders>
              <w:top w:val="single" w:sz="4" w:space="0" w:color="000000"/>
              <w:left w:val="single" w:sz="10" w:space="0" w:color="FFFFFF"/>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1087" w:hRule="exact"/>
        </w:trPr>
        <w:tc>
          <w:tcPr>
            <w:tcW w:w="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auto" w:before="48"/>
              <w:ind w:left="92" w:right="48" w:hanging="4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 取盈 余公 积</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782" w:hRule="exact"/>
        </w:trPr>
        <w:tc>
          <w:tcPr>
            <w:tcW w:w="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auto" w:before="48"/>
              <w:ind w:left="22" w:right="21" w:firstLine="24"/>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 所有 </w:t>
            </w:r>
            <w:r>
              <w:rPr>
                <w:rFonts w:ascii="宋体" w:hAnsi="宋体" w:cs="宋体" w:eastAsia="宋体" w:hint="default"/>
                <w:spacing w:val="-13"/>
                <w:sz w:val="18"/>
                <w:szCs w:val="18"/>
              </w:rPr>
              <w:t>者（或</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558"/>
        <w:gridCol w:w="1226"/>
        <w:gridCol w:w="223"/>
        <w:gridCol w:w="223"/>
        <w:gridCol w:w="221"/>
        <w:gridCol w:w="1226"/>
        <w:gridCol w:w="1157"/>
        <w:gridCol w:w="1070"/>
        <w:gridCol w:w="223"/>
        <w:gridCol w:w="1018"/>
        <w:gridCol w:w="1099"/>
        <w:gridCol w:w="223"/>
        <w:gridCol w:w="1226"/>
      </w:tblGrid>
      <w:tr>
        <w:trPr>
          <w:trHeight w:val="782" w:hRule="exact"/>
        </w:trPr>
        <w:tc>
          <w:tcPr>
            <w:tcW w:w="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04" w:lineRule="exact"/>
              <w:ind w:left="92" w:right="-15" w:hanging="70"/>
              <w:jc w:val="left"/>
              <w:rPr>
                <w:rFonts w:ascii="宋体" w:hAnsi="宋体" w:cs="宋体" w:eastAsia="宋体" w:hint="default"/>
                <w:sz w:val="18"/>
                <w:szCs w:val="18"/>
              </w:rPr>
            </w:pPr>
            <w:r>
              <w:rPr>
                <w:rFonts w:ascii="宋体" w:hAnsi="宋体" w:cs="宋体" w:eastAsia="宋体" w:hint="default"/>
                <w:sz w:val="18"/>
                <w:szCs w:val="18"/>
              </w:rPr>
              <w:t>股东）</w:t>
            </w:r>
          </w:p>
          <w:p>
            <w:pPr>
              <w:pStyle w:val="TableParagraph"/>
              <w:spacing w:line="240" w:lineRule="auto"/>
              <w:ind w:left="183" w:right="95" w:hanging="92"/>
              <w:jc w:val="left"/>
              <w:rPr>
                <w:rFonts w:ascii="宋体" w:hAnsi="宋体" w:cs="宋体" w:eastAsia="宋体" w:hint="default"/>
                <w:sz w:val="18"/>
                <w:szCs w:val="18"/>
              </w:rPr>
            </w:pPr>
            <w:r>
              <w:rPr>
                <w:rFonts w:ascii="宋体" w:hAnsi="宋体" w:cs="宋体" w:eastAsia="宋体" w:hint="default"/>
                <w:sz w:val="18"/>
                <w:szCs w:val="18"/>
              </w:rPr>
              <w:t>的分 配</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83" w:right="48" w:hanging="13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 他</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1553" w:hRule="exact"/>
        </w:trPr>
        <w:tc>
          <w:tcPr>
            <w:tcW w:w="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44"/>
              <w:ind w:left="92" w:right="-15" w:hanging="70"/>
              <w:jc w:val="left"/>
              <w:rPr>
                <w:rFonts w:ascii="宋体" w:hAnsi="宋体" w:cs="宋体" w:eastAsia="宋体" w:hint="default"/>
                <w:sz w:val="18"/>
                <w:szCs w:val="18"/>
              </w:rPr>
            </w:pPr>
            <w:r>
              <w:rPr>
                <w:rFonts w:ascii="宋体" w:hAnsi="宋体" w:cs="宋体" w:eastAsia="宋体" w:hint="default"/>
                <w:sz w:val="18"/>
                <w:szCs w:val="18"/>
              </w:rPr>
              <w:t>（四） 所有 者权 益内 部结 转</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8,886,363.93</w:t>
            </w: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-8,886,363.93</w:t>
            </w:r>
            <w:r>
              <w:rPr>
                <w:rFonts w:ascii="Times New Roman"/>
                <w:sz w:val="18"/>
              </w:rPr>
            </w: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1555" w:hRule="exact"/>
        </w:trPr>
        <w:tc>
          <w:tcPr>
            <w:tcW w:w="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8"/>
              <w:ind w:left="22" w:right="-15" w:firstLine="2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 本公 积转 增资 </w:t>
            </w:r>
            <w:r>
              <w:rPr>
                <w:rFonts w:ascii="宋体" w:hAnsi="宋体" w:cs="宋体" w:eastAsia="宋体" w:hint="default"/>
                <w:spacing w:val="-13"/>
                <w:sz w:val="18"/>
                <w:szCs w:val="18"/>
              </w:rPr>
              <w:t>本（或</w:t>
            </w:r>
            <w:r>
              <w:rPr>
                <w:rFonts w:ascii="宋体" w:hAnsi="宋体" w:cs="宋体" w:eastAsia="宋体" w:hint="default"/>
                <w:sz w:val="18"/>
                <w:szCs w:val="18"/>
              </w:rPr>
              <w:t> 股本）</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1555" w:hRule="exact"/>
        </w:trPr>
        <w:tc>
          <w:tcPr>
            <w:tcW w:w="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6"/>
              <w:ind w:left="22" w:right="-15" w:firstLine="24"/>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 余公 积转 增资 </w:t>
            </w:r>
            <w:r>
              <w:rPr>
                <w:rFonts w:ascii="宋体" w:hAnsi="宋体" w:cs="宋体" w:eastAsia="宋体" w:hint="default"/>
                <w:spacing w:val="-13"/>
                <w:sz w:val="18"/>
                <w:szCs w:val="18"/>
              </w:rPr>
              <w:t>本（或</w:t>
            </w:r>
            <w:r>
              <w:rPr>
                <w:rFonts w:ascii="宋体" w:hAnsi="宋体" w:cs="宋体" w:eastAsia="宋体" w:hint="default"/>
                <w:sz w:val="18"/>
                <w:szCs w:val="18"/>
              </w:rPr>
              <w:t> 股本）</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1320" w:hRule="exact"/>
        </w:trPr>
        <w:tc>
          <w:tcPr>
            <w:tcW w:w="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6"/>
              <w:ind w:left="92" w:right="48" w:hanging="46"/>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 余公 积弥 补亏 损</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2023" w:hRule="exact"/>
        </w:trPr>
        <w:tc>
          <w:tcPr>
            <w:tcW w:w="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8"/>
              <w:ind w:left="92" w:right="48" w:hanging="46"/>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 定受 益计 划变 动额 结转 留存 收益</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1788" w:hRule="exact"/>
        </w:trPr>
        <w:tc>
          <w:tcPr>
            <w:tcW w:w="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6"/>
              <w:ind w:left="92" w:right="48" w:hanging="46"/>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 他综 合收 益结 转留 存收 益</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74" w:right="0"/>
              <w:jc w:val="center"/>
              <w:rPr>
                <w:rFonts w:ascii="Times New Roman" w:hAnsi="Times New Roman" w:cs="Times New Roman" w:eastAsia="Times New Roman" w:hint="default"/>
                <w:sz w:val="18"/>
                <w:szCs w:val="18"/>
              </w:rPr>
            </w:pPr>
            <w:r>
              <w:rPr>
                <w:rFonts w:ascii="Times New Roman"/>
                <w:sz w:val="18"/>
              </w:rPr>
              <w:t>8,886,363.93</w:t>
            </w: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6"/>
              <w:jc w:val="right"/>
              <w:rPr>
                <w:rFonts w:ascii="Times New Roman" w:hAnsi="Times New Roman" w:cs="Times New Roman" w:eastAsia="Times New Roman" w:hint="default"/>
                <w:sz w:val="18"/>
                <w:szCs w:val="18"/>
              </w:rPr>
            </w:pPr>
            <w:r>
              <w:rPr>
                <w:rFonts w:ascii="Times New Roman"/>
                <w:spacing w:val="-1"/>
                <w:sz w:val="18"/>
              </w:rPr>
              <w:t>-8,886,363.93</w:t>
            </w:r>
            <w:r>
              <w:rPr>
                <w:rFonts w:ascii="Times New Roman"/>
                <w:sz w:val="18"/>
              </w:rPr>
            </w: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619" w:hRule="exact"/>
        </w:trPr>
        <w:tc>
          <w:tcPr>
            <w:tcW w:w="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83" w:right="48" w:hanging="137"/>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 他</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854" w:hRule="exact"/>
        </w:trPr>
        <w:tc>
          <w:tcPr>
            <w:tcW w:w="558" w:type="dxa"/>
            <w:tcBorders>
              <w:top w:val="single" w:sz="4" w:space="0" w:color="000000"/>
              <w:left w:val="single" w:sz="4" w:space="0" w:color="000000"/>
              <w:bottom w:val="single" w:sz="4" w:space="0" w:color="000000"/>
              <w:right w:val="single" w:sz="10" w:space="0" w:color="FFFFFF"/>
            </w:tcBorders>
            <w:shd w:val="clear" w:color="auto" w:fill="D4D4D4"/>
          </w:tcPr>
          <w:p>
            <w:pPr>
              <w:pStyle w:val="TableParagraph"/>
              <w:spacing w:line="232" w:lineRule="exact" w:before="69"/>
              <w:ind w:left="92" w:right="-22" w:hanging="70"/>
              <w:jc w:val="left"/>
              <w:rPr>
                <w:rFonts w:ascii="宋体" w:hAnsi="宋体" w:cs="宋体" w:eastAsia="宋体" w:hint="default"/>
                <w:sz w:val="18"/>
                <w:szCs w:val="18"/>
              </w:rPr>
            </w:pPr>
            <w:r>
              <w:rPr>
                <w:rFonts w:ascii="宋体" w:hAnsi="宋体" w:cs="宋体" w:eastAsia="宋体" w:hint="default"/>
                <w:sz w:val="18"/>
                <w:szCs w:val="18"/>
              </w:rPr>
              <w:t>（五） 专项 储备</w:t>
            </w:r>
          </w:p>
        </w:tc>
        <w:tc>
          <w:tcPr>
            <w:tcW w:w="1226" w:type="dxa"/>
            <w:tcBorders>
              <w:top w:val="single" w:sz="4" w:space="0" w:color="000000"/>
              <w:left w:val="single" w:sz="10" w:space="0" w:color="FFFFFF"/>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854" w:hRule="exact"/>
        </w:trPr>
        <w:tc>
          <w:tcPr>
            <w:tcW w:w="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8"/>
              <w:ind w:left="92" w:right="48" w:hanging="4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 期提 取</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left="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0"/>
          <w:pgSz w:w="11910" w:h="16840"/>
          <w:pgMar w:footer="1134" w:header="882"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558"/>
        <w:gridCol w:w="1226"/>
        <w:gridCol w:w="223"/>
        <w:gridCol w:w="223"/>
        <w:gridCol w:w="221"/>
        <w:gridCol w:w="1226"/>
        <w:gridCol w:w="1157"/>
        <w:gridCol w:w="1070"/>
        <w:gridCol w:w="223"/>
        <w:gridCol w:w="1018"/>
        <w:gridCol w:w="1099"/>
        <w:gridCol w:w="223"/>
        <w:gridCol w:w="1226"/>
      </w:tblGrid>
      <w:tr>
        <w:trPr>
          <w:trHeight w:val="550" w:hRule="exact"/>
        </w:trPr>
        <w:tc>
          <w:tcPr>
            <w:tcW w:w="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期使</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用</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619" w:hRule="exact"/>
        </w:trPr>
        <w:tc>
          <w:tcPr>
            <w:tcW w:w="558" w:type="dxa"/>
            <w:tcBorders>
              <w:top w:val="single" w:sz="4" w:space="0" w:color="000000"/>
              <w:left w:val="single" w:sz="4" w:space="0" w:color="000000"/>
              <w:bottom w:val="single" w:sz="4" w:space="0" w:color="000000"/>
              <w:right w:val="single" w:sz="10" w:space="0" w:color="FFFFFF"/>
            </w:tcBorders>
            <w:shd w:val="clear" w:color="auto" w:fill="D4D4D4"/>
          </w:tcPr>
          <w:p>
            <w:pPr>
              <w:pStyle w:val="TableParagraph"/>
              <w:spacing w:line="232" w:lineRule="exact" w:before="66"/>
              <w:ind w:left="92" w:right="-22" w:hanging="70"/>
              <w:jc w:val="left"/>
              <w:rPr>
                <w:rFonts w:ascii="宋体" w:hAnsi="宋体" w:cs="宋体" w:eastAsia="宋体" w:hint="default"/>
                <w:sz w:val="18"/>
                <w:szCs w:val="18"/>
              </w:rPr>
            </w:pPr>
            <w:r>
              <w:rPr>
                <w:rFonts w:ascii="宋体" w:hAnsi="宋体" w:cs="宋体" w:eastAsia="宋体" w:hint="default"/>
                <w:sz w:val="18"/>
                <w:szCs w:val="18"/>
              </w:rPr>
              <w:t>（六） 其他</w:t>
            </w:r>
          </w:p>
        </w:tc>
        <w:tc>
          <w:tcPr>
            <w:tcW w:w="1226" w:type="dxa"/>
            <w:tcBorders>
              <w:top w:val="single" w:sz="4" w:space="0" w:color="000000"/>
              <w:left w:val="single" w:sz="10" w:space="0" w:color="FFFFFF"/>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8"/>
              <w:ind w:left="92" w:right="60" w:hanging="70"/>
              <w:jc w:val="both"/>
              <w:rPr>
                <w:rFonts w:ascii="宋体" w:hAnsi="宋体" w:cs="宋体" w:eastAsia="宋体" w:hint="default"/>
                <w:sz w:val="18"/>
                <w:szCs w:val="18"/>
              </w:rPr>
            </w:pPr>
            <w:r>
              <w:rPr>
                <w:rFonts w:ascii="宋体" w:hAnsi="宋体" w:cs="宋体" w:eastAsia="宋体" w:hint="default"/>
                <w:spacing w:val="-26"/>
                <w:sz w:val="18"/>
                <w:szCs w:val="18"/>
              </w:rPr>
              <w:t>四、本</w:t>
            </w:r>
            <w:r>
              <w:rPr>
                <w:rFonts w:ascii="宋体" w:hAnsi="宋体" w:cs="宋体" w:eastAsia="宋体" w:hint="default"/>
                <w:spacing w:val="-39"/>
                <w:sz w:val="18"/>
                <w:szCs w:val="18"/>
              </w:rPr>
              <w:t> </w:t>
            </w:r>
            <w:r>
              <w:rPr>
                <w:rFonts w:ascii="宋体" w:hAnsi="宋体" w:cs="宋体" w:eastAsia="宋体" w:hint="default"/>
                <w:sz w:val="18"/>
                <w:szCs w:val="18"/>
              </w:rPr>
              <w:t>期期</w:t>
            </w:r>
            <w:r>
              <w:rPr>
                <w:rFonts w:ascii="宋体" w:hAnsi="宋体" w:cs="宋体" w:eastAsia="宋体" w:hint="default"/>
                <w:sz w:val="18"/>
                <w:szCs w:val="18"/>
              </w:rPr>
              <w:t> 末余 额</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7" w:lineRule="exact" w:before="121"/>
              <w:ind w:right="19"/>
              <w:jc w:val="right"/>
              <w:rPr>
                <w:rFonts w:ascii="Times New Roman" w:hAnsi="Times New Roman" w:cs="Times New Roman" w:eastAsia="Times New Roman" w:hint="default"/>
                <w:sz w:val="18"/>
                <w:szCs w:val="18"/>
              </w:rPr>
            </w:pPr>
            <w:r>
              <w:rPr>
                <w:rFonts w:ascii="Times New Roman"/>
                <w:spacing w:val="-1"/>
                <w:sz w:val="18"/>
              </w:rPr>
              <w:t>1,747,134,595.0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223"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7" w:lineRule="exact" w:before="121"/>
              <w:ind w:right="16"/>
              <w:jc w:val="right"/>
              <w:rPr>
                <w:rFonts w:ascii="Times New Roman" w:hAnsi="Times New Roman" w:cs="Times New Roman" w:eastAsia="Times New Roman" w:hint="default"/>
                <w:sz w:val="18"/>
                <w:szCs w:val="18"/>
              </w:rPr>
            </w:pPr>
            <w:r>
              <w:rPr>
                <w:rFonts w:ascii="Times New Roman"/>
                <w:spacing w:val="-1"/>
                <w:sz w:val="18"/>
              </w:rPr>
              <w:t>2,460,439,761.</w:t>
            </w:r>
            <w:r>
              <w:rPr>
                <w:rFonts w:ascii="Times New Roman"/>
                <w:sz w:val="18"/>
              </w:rPr>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54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90,103,360.00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7" w:lineRule="exact" w:before="121"/>
              <w:ind w:right="20"/>
              <w:jc w:val="right"/>
              <w:rPr>
                <w:rFonts w:ascii="Times New Roman" w:hAnsi="Times New Roman" w:cs="Times New Roman" w:eastAsia="Times New Roman" w:hint="default"/>
                <w:sz w:val="18"/>
                <w:szCs w:val="18"/>
              </w:rPr>
            </w:pPr>
            <w:r>
              <w:rPr>
                <w:rFonts w:ascii="Times New Roman"/>
                <w:spacing w:val="-1"/>
                <w:sz w:val="18"/>
              </w:rPr>
              <w:t>50,173,507.7</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7" w:lineRule="exact" w:before="121"/>
              <w:ind w:right="18"/>
              <w:jc w:val="right"/>
              <w:rPr>
                <w:rFonts w:ascii="Times New Roman" w:hAnsi="Times New Roman" w:cs="Times New Roman" w:eastAsia="Times New Roman" w:hint="default"/>
                <w:sz w:val="18"/>
                <w:szCs w:val="18"/>
              </w:rPr>
            </w:pPr>
            <w:r>
              <w:rPr>
                <w:rFonts w:ascii="Times New Roman"/>
                <w:spacing w:val="-1"/>
                <w:sz w:val="18"/>
              </w:rPr>
              <w:t>152,680,912.8</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5</w:t>
            </w:r>
          </w:p>
        </w:tc>
        <w:tc>
          <w:tcPr>
            <w:tcW w:w="22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7" w:lineRule="exact" w:before="121"/>
              <w:ind w:right="18"/>
              <w:jc w:val="right"/>
              <w:rPr>
                <w:rFonts w:ascii="Times New Roman" w:hAnsi="Times New Roman" w:cs="Times New Roman" w:eastAsia="Times New Roman" w:hint="default"/>
                <w:sz w:val="18"/>
                <w:szCs w:val="18"/>
              </w:rPr>
            </w:pPr>
            <w:r>
              <w:rPr>
                <w:rFonts w:ascii="Times New Roman"/>
                <w:spacing w:val="-1"/>
                <w:sz w:val="18"/>
              </w:rPr>
              <w:t>4,320,325,417.</w:t>
            </w:r>
            <w:r>
              <w:rPr>
                <w:rFonts w:ascii="Times New Roman"/>
                <w:sz w:val="18"/>
              </w:rPr>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10</w:t>
            </w:r>
          </w:p>
        </w:tc>
      </w:tr>
    </w:tbl>
    <w:p>
      <w:pPr>
        <w:pStyle w:val="BodyText"/>
        <w:spacing w:line="240" w:lineRule="auto" w:before="64"/>
        <w:ind w:right="1127"/>
        <w:jc w:val="left"/>
      </w:pPr>
      <w:r>
        <w:rPr/>
        <w:t>上期金额</w:t>
      </w:r>
    </w:p>
    <w:p>
      <w:pPr>
        <w:spacing w:line="240" w:lineRule="auto" w:before="12"/>
        <w:rPr>
          <w:rFonts w:ascii="宋体" w:hAnsi="宋体" w:cs="宋体" w:eastAsia="宋体" w:hint="default"/>
          <w:sz w:val="14"/>
          <w:szCs w:val="14"/>
        </w:rPr>
      </w:pPr>
    </w:p>
    <w:p>
      <w:pPr>
        <w:pStyle w:val="BodyText"/>
        <w:spacing w:line="240" w:lineRule="auto" w:before="36"/>
        <w:ind w:left="0" w:right="1133"/>
        <w:jc w:val="right"/>
      </w:pPr>
      <w:r>
        <w:rPr>
          <w:spacing w:val="-2"/>
        </w:rPr>
        <w:t>单位：元</w:t>
      </w:r>
      <w:r>
        <w:rPr/>
      </w:r>
    </w:p>
    <w:p>
      <w:pPr>
        <w:spacing w:line="240" w:lineRule="auto" w:before="9"/>
        <w:rPr>
          <w:rFonts w:ascii="宋体" w:hAnsi="宋体" w:cs="宋体" w:eastAsia="宋体" w:hint="default"/>
          <w:sz w:val="20"/>
          <w:szCs w:val="20"/>
        </w:rPr>
      </w:pPr>
    </w:p>
    <w:tbl>
      <w:tblPr>
        <w:tblW w:w="0" w:type="auto"/>
        <w:jc w:val="left"/>
        <w:tblInd w:w="131" w:type="dxa"/>
        <w:tblLayout w:type="fixed"/>
        <w:tblCellMar>
          <w:top w:w="0" w:type="dxa"/>
          <w:left w:w="0" w:type="dxa"/>
          <w:bottom w:w="0" w:type="dxa"/>
          <w:right w:w="0" w:type="dxa"/>
        </w:tblCellMar>
        <w:tblLook w:val="01E0"/>
      </w:tblPr>
      <w:tblGrid>
        <w:gridCol w:w="798"/>
        <w:gridCol w:w="1326"/>
        <w:gridCol w:w="238"/>
        <w:gridCol w:w="235"/>
        <w:gridCol w:w="235"/>
        <w:gridCol w:w="1318"/>
        <w:gridCol w:w="1181"/>
        <w:gridCol w:w="235"/>
        <w:gridCol w:w="235"/>
        <w:gridCol w:w="1092"/>
        <w:gridCol w:w="1181"/>
        <w:gridCol w:w="293"/>
        <w:gridCol w:w="1318"/>
      </w:tblGrid>
      <w:tr>
        <w:trPr>
          <w:trHeight w:val="384" w:hRule="exact"/>
        </w:trPr>
        <w:tc>
          <w:tcPr>
            <w:tcW w:w="798" w:type="dxa"/>
            <w:vMerge w:val="restart"/>
            <w:tcBorders>
              <w:top w:val="single" w:sz="4" w:space="0" w:color="000000"/>
              <w:left w:val="single" w:sz="4" w:space="0" w:color="000000"/>
              <w:right w:val="single" w:sz="4" w:space="0" w:color="000000"/>
            </w:tcBorders>
            <w:shd w:val="clear" w:color="auto" w:fill="D4D4D4"/>
          </w:tcPr>
          <w:p>
            <w:pPr/>
          </w:p>
        </w:tc>
        <w:tc>
          <w:tcPr>
            <w:tcW w:w="8886"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r>
      <w:tr>
        <w:trPr>
          <w:trHeight w:val="242" w:hRule="exact"/>
        </w:trPr>
        <w:tc>
          <w:tcPr>
            <w:tcW w:w="798" w:type="dxa"/>
            <w:vMerge/>
            <w:tcBorders>
              <w:left w:val="single" w:sz="4" w:space="0" w:color="000000"/>
              <w:right w:val="single" w:sz="4" w:space="0" w:color="000000"/>
            </w:tcBorders>
            <w:shd w:val="clear" w:color="auto" w:fill="D4D4D4"/>
          </w:tcPr>
          <w:p>
            <w:pPr/>
          </w:p>
        </w:tc>
        <w:tc>
          <w:tcPr>
            <w:tcW w:w="1326" w:type="dxa"/>
            <w:vMerge w:val="restart"/>
            <w:tcBorders>
              <w:top w:val="single" w:sz="4" w:space="0" w:color="000000"/>
              <w:left w:val="single" w:sz="4" w:space="0" w:color="000000"/>
              <w:right w:val="single" w:sz="4" w:space="0" w:color="000000"/>
            </w:tcBorders>
            <w:shd w:val="clear" w:color="auto" w:fill="D4D4D4"/>
          </w:tcPr>
          <w:p>
            <w:pPr/>
          </w:p>
        </w:tc>
        <w:tc>
          <w:tcPr>
            <w:tcW w:w="708"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71"/>
              <w:ind w:left="79" w:right="77"/>
              <w:jc w:val="left"/>
              <w:rPr>
                <w:rFonts w:ascii="宋体" w:hAnsi="宋体" w:cs="宋体" w:eastAsia="宋体" w:hint="default"/>
                <w:sz w:val="18"/>
                <w:szCs w:val="18"/>
              </w:rPr>
            </w:pPr>
            <w:r>
              <w:rPr>
                <w:rFonts w:ascii="宋体" w:hAnsi="宋体" w:cs="宋体" w:eastAsia="宋体" w:hint="default"/>
                <w:sz w:val="18"/>
                <w:szCs w:val="18"/>
              </w:rPr>
              <w:t>其他权 益工具</w:t>
            </w:r>
          </w:p>
        </w:tc>
        <w:tc>
          <w:tcPr>
            <w:tcW w:w="1318" w:type="dxa"/>
            <w:vMerge w:val="restart"/>
            <w:tcBorders>
              <w:top w:val="single" w:sz="4" w:space="0" w:color="000000"/>
              <w:left w:val="single" w:sz="4" w:space="0" w:color="000000"/>
              <w:right w:val="single" w:sz="4" w:space="0" w:color="000000"/>
            </w:tcBorders>
            <w:shd w:val="clear" w:color="auto" w:fill="D4D4D4"/>
          </w:tcPr>
          <w:p>
            <w:pPr/>
          </w:p>
        </w:tc>
        <w:tc>
          <w:tcPr>
            <w:tcW w:w="1181" w:type="dxa"/>
            <w:vMerge w:val="restart"/>
            <w:tcBorders>
              <w:top w:val="single" w:sz="4" w:space="0" w:color="000000"/>
              <w:left w:val="single" w:sz="4" w:space="0" w:color="000000"/>
              <w:right w:val="single" w:sz="4" w:space="0" w:color="000000"/>
            </w:tcBorders>
            <w:shd w:val="clear" w:color="auto" w:fill="D4D4D4"/>
          </w:tcPr>
          <w:p>
            <w:pPr/>
          </w:p>
        </w:tc>
        <w:tc>
          <w:tcPr>
            <w:tcW w:w="235" w:type="dxa"/>
            <w:vMerge w:val="restart"/>
            <w:tcBorders>
              <w:top w:val="single" w:sz="4" w:space="0" w:color="000000"/>
              <w:left w:val="single" w:sz="4" w:space="0" w:color="000000"/>
              <w:right w:val="single" w:sz="4" w:space="0" w:color="000000"/>
            </w:tcBorders>
            <w:shd w:val="clear" w:color="auto" w:fill="D4D4D4"/>
          </w:tcPr>
          <w:p>
            <w:pPr>
              <w:pStyle w:val="TableParagraph"/>
              <w:spacing w:line="237" w:lineRule="auto" w:before="48"/>
              <w:ind w:left="23" w:right="19"/>
              <w:jc w:val="both"/>
              <w:rPr>
                <w:rFonts w:ascii="宋体" w:hAnsi="宋体" w:cs="宋体" w:eastAsia="宋体" w:hint="default"/>
                <w:sz w:val="18"/>
                <w:szCs w:val="18"/>
              </w:rPr>
            </w:pPr>
            <w:r>
              <w:rPr>
                <w:rFonts w:ascii="宋体" w:hAnsi="宋体" w:cs="宋体" w:eastAsia="宋体" w:hint="default"/>
                <w:sz w:val="18"/>
                <w:szCs w:val="18"/>
              </w:rPr>
              <w:t>其 他 综 合 收 益</w:t>
            </w:r>
          </w:p>
        </w:tc>
        <w:tc>
          <w:tcPr>
            <w:tcW w:w="235" w:type="dxa"/>
            <w:tcBorders>
              <w:top w:val="single" w:sz="4" w:space="0" w:color="000000"/>
              <w:left w:val="single" w:sz="4" w:space="0" w:color="000000"/>
              <w:bottom w:val="nil" w:sz="6" w:space="0" w:color="auto"/>
              <w:right w:val="single" w:sz="4" w:space="0" w:color="000000"/>
            </w:tcBorders>
            <w:shd w:val="clear" w:color="auto" w:fill="D4D4D4"/>
          </w:tcPr>
          <w:p>
            <w:pPr/>
          </w:p>
        </w:tc>
        <w:tc>
          <w:tcPr>
            <w:tcW w:w="1092" w:type="dxa"/>
            <w:vMerge w:val="restart"/>
            <w:tcBorders>
              <w:top w:val="single" w:sz="4" w:space="0" w:color="000000"/>
              <w:left w:val="single" w:sz="4" w:space="0" w:color="000000"/>
              <w:right w:val="single" w:sz="4" w:space="0" w:color="000000"/>
            </w:tcBorders>
            <w:shd w:val="clear" w:color="auto" w:fill="D4D4D4"/>
          </w:tcPr>
          <w:p>
            <w:pPr/>
          </w:p>
        </w:tc>
        <w:tc>
          <w:tcPr>
            <w:tcW w:w="1181" w:type="dxa"/>
            <w:vMerge w:val="restart"/>
            <w:tcBorders>
              <w:top w:val="single" w:sz="4" w:space="0" w:color="000000"/>
              <w:left w:val="single" w:sz="4" w:space="0" w:color="000000"/>
              <w:right w:val="single" w:sz="4" w:space="0" w:color="000000"/>
            </w:tcBorders>
            <w:shd w:val="clear" w:color="auto" w:fill="D4D4D4"/>
          </w:tcPr>
          <w:p>
            <w:pPr/>
          </w:p>
        </w:tc>
        <w:tc>
          <w:tcPr>
            <w:tcW w:w="293" w:type="dxa"/>
            <w:vMerge w:val="restart"/>
            <w:tcBorders>
              <w:top w:val="single" w:sz="4" w:space="0" w:color="000000"/>
              <w:left w:val="single" w:sz="4" w:space="0" w:color="000000"/>
              <w:right w:val="single" w:sz="4" w:space="0" w:color="000000"/>
            </w:tcBorders>
            <w:shd w:val="clear" w:color="auto" w:fill="D4D4D4"/>
          </w:tcPr>
          <w:p>
            <w:pPr/>
          </w:p>
        </w:tc>
        <w:tc>
          <w:tcPr>
            <w:tcW w:w="1318" w:type="dxa"/>
            <w:vMerge w:val="restart"/>
            <w:tcBorders>
              <w:top w:val="single" w:sz="4" w:space="0" w:color="000000"/>
              <w:left w:val="single" w:sz="4" w:space="0" w:color="000000"/>
              <w:right w:val="single" w:sz="4" w:space="0" w:color="000000"/>
            </w:tcBorders>
            <w:shd w:val="clear" w:color="auto" w:fill="D4D4D4"/>
          </w:tcPr>
          <w:p>
            <w:pPr/>
          </w:p>
        </w:tc>
      </w:tr>
      <w:tr>
        <w:trPr>
          <w:trHeight w:val="194" w:hRule="exact"/>
        </w:trPr>
        <w:tc>
          <w:tcPr>
            <w:tcW w:w="798" w:type="dxa"/>
            <w:vMerge/>
            <w:tcBorders>
              <w:left w:val="single" w:sz="4" w:space="0" w:color="000000"/>
              <w:bottom w:val="nil" w:sz="6" w:space="0" w:color="auto"/>
              <w:right w:val="single" w:sz="4" w:space="0" w:color="000000"/>
            </w:tcBorders>
            <w:shd w:val="clear" w:color="auto" w:fill="D4D4D4"/>
          </w:tcPr>
          <w:p>
            <w:pPr/>
          </w:p>
        </w:tc>
        <w:tc>
          <w:tcPr>
            <w:tcW w:w="1326" w:type="dxa"/>
            <w:vMerge/>
            <w:tcBorders>
              <w:left w:val="single" w:sz="4" w:space="0" w:color="000000"/>
              <w:right w:val="single" w:sz="4" w:space="0" w:color="000000"/>
            </w:tcBorders>
            <w:shd w:val="clear" w:color="auto" w:fill="D4D4D4"/>
          </w:tcPr>
          <w:p>
            <w:pPr/>
          </w:p>
        </w:tc>
        <w:tc>
          <w:tcPr>
            <w:tcW w:w="708" w:type="dxa"/>
            <w:gridSpan w:val="3"/>
            <w:vMerge/>
            <w:tcBorders>
              <w:left w:val="single" w:sz="4" w:space="0" w:color="000000"/>
              <w:right w:val="single" w:sz="4" w:space="0" w:color="000000"/>
            </w:tcBorders>
            <w:shd w:val="clear" w:color="auto" w:fill="D4D4D4"/>
          </w:tcPr>
          <w:p>
            <w:pPr/>
          </w:p>
        </w:tc>
        <w:tc>
          <w:tcPr>
            <w:tcW w:w="1318" w:type="dxa"/>
            <w:vMerge/>
            <w:tcBorders>
              <w:left w:val="single" w:sz="4" w:space="0" w:color="000000"/>
              <w:right w:val="single" w:sz="4" w:space="0" w:color="000000"/>
            </w:tcBorders>
            <w:shd w:val="clear" w:color="auto" w:fill="D4D4D4"/>
          </w:tcPr>
          <w:p>
            <w:pPr/>
          </w:p>
        </w:tc>
        <w:tc>
          <w:tcPr>
            <w:tcW w:w="1181" w:type="dxa"/>
            <w:vMerge/>
            <w:tcBorders>
              <w:left w:val="single" w:sz="4" w:space="0" w:color="000000"/>
              <w:right w:val="single" w:sz="4" w:space="0" w:color="000000"/>
            </w:tcBorders>
            <w:shd w:val="clear" w:color="auto" w:fill="D4D4D4"/>
          </w:tcPr>
          <w:p>
            <w:pPr/>
          </w:p>
        </w:tc>
        <w:tc>
          <w:tcPr>
            <w:tcW w:w="235" w:type="dxa"/>
            <w:vMerge/>
            <w:tcBorders>
              <w:left w:val="single" w:sz="4" w:space="0" w:color="000000"/>
              <w:right w:val="single" w:sz="4" w:space="0" w:color="000000"/>
            </w:tcBorders>
            <w:shd w:val="clear" w:color="auto" w:fill="D4D4D4"/>
          </w:tcPr>
          <w:p>
            <w:pPr/>
          </w:p>
        </w:tc>
        <w:tc>
          <w:tcPr>
            <w:tcW w:w="235" w:type="dxa"/>
            <w:vMerge w:val="restart"/>
            <w:tcBorders>
              <w:top w:val="nil" w:sz="6" w:space="0" w:color="auto"/>
              <w:left w:val="single" w:sz="4" w:space="0" w:color="000000"/>
              <w:right w:val="single" w:sz="4" w:space="0" w:color="000000"/>
            </w:tcBorders>
            <w:shd w:val="clear" w:color="auto" w:fill="D4D4D4"/>
          </w:tcPr>
          <w:p>
            <w:pPr>
              <w:pStyle w:val="TableParagraph"/>
              <w:spacing w:line="237" w:lineRule="auto" w:before="44"/>
              <w:ind w:left="23" w:right="19"/>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2" w:type="dxa"/>
            <w:vMerge/>
            <w:tcBorders>
              <w:left w:val="single" w:sz="4" w:space="0" w:color="000000"/>
              <w:right w:val="single" w:sz="4" w:space="0" w:color="000000"/>
            </w:tcBorders>
            <w:shd w:val="clear" w:color="auto" w:fill="D4D4D4"/>
          </w:tcPr>
          <w:p>
            <w:pPr/>
          </w:p>
        </w:tc>
        <w:tc>
          <w:tcPr>
            <w:tcW w:w="1181" w:type="dxa"/>
            <w:vMerge/>
            <w:tcBorders>
              <w:left w:val="single" w:sz="4" w:space="0" w:color="000000"/>
              <w:right w:val="single" w:sz="4" w:space="0" w:color="000000"/>
            </w:tcBorders>
            <w:shd w:val="clear" w:color="auto" w:fill="D4D4D4"/>
          </w:tcPr>
          <w:p>
            <w:pPr/>
          </w:p>
        </w:tc>
        <w:tc>
          <w:tcPr>
            <w:tcW w:w="293" w:type="dxa"/>
            <w:vMerge/>
            <w:tcBorders>
              <w:left w:val="single" w:sz="4" w:space="0" w:color="000000"/>
              <w:bottom w:val="nil" w:sz="6" w:space="0" w:color="auto"/>
              <w:right w:val="single" w:sz="4" w:space="0" w:color="000000"/>
            </w:tcBorders>
            <w:shd w:val="clear" w:color="auto" w:fill="D4D4D4"/>
          </w:tcPr>
          <w:p>
            <w:pPr/>
          </w:p>
        </w:tc>
        <w:tc>
          <w:tcPr>
            <w:tcW w:w="1318" w:type="dxa"/>
            <w:vMerge/>
            <w:tcBorders>
              <w:left w:val="single" w:sz="4" w:space="0" w:color="000000"/>
              <w:right w:val="single" w:sz="4" w:space="0" w:color="000000"/>
            </w:tcBorders>
            <w:shd w:val="clear" w:color="auto" w:fill="D4D4D4"/>
          </w:tcPr>
          <w:p>
            <w:pPr/>
          </w:p>
        </w:tc>
      </w:tr>
      <w:tr>
        <w:trPr>
          <w:trHeight w:val="156" w:hRule="exact"/>
        </w:trPr>
        <w:tc>
          <w:tcPr>
            <w:tcW w:w="7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
              <w:ind w:left="21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26" w:type="dxa"/>
            <w:vMerge/>
            <w:tcBorders>
              <w:left w:val="single" w:sz="4" w:space="0" w:color="000000"/>
              <w:bottom w:val="nil" w:sz="6" w:space="0" w:color="auto"/>
              <w:right w:val="single" w:sz="4" w:space="0" w:color="000000"/>
            </w:tcBorders>
            <w:shd w:val="clear" w:color="auto" w:fill="D4D4D4"/>
          </w:tcPr>
          <w:p>
            <w:pPr/>
          </w:p>
        </w:tc>
        <w:tc>
          <w:tcPr>
            <w:tcW w:w="708" w:type="dxa"/>
            <w:gridSpan w:val="3"/>
            <w:vMerge/>
            <w:tcBorders>
              <w:left w:val="single" w:sz="4" w:space="0" w:color="000000"/>
              <w:bottom w:val="single" w:sz="4" w:space="0" w:color="000000"/>
              <w:right w:val="single" w:sz="4" w:space="0" w:color="000000"/>
            </w:tcBorders>
            <w:shd w:val="clear" w:color="auto" w:fill="D4D4D4"/>
          </w:tcPr>
          <w:p>
            <w:pPr/>
          </w:p>
        </w:tc>
        <w:tc>
          <w:tcPr>
            <w:tcW w:w="1318" w:type="dxa"/>
            <w:vMerge/>
            <w:tcBorders>
              <w:left w:val="single" w:sz="4" w:space="0" w:color="000000"/>
              <w:bottom w:val="nil" w:sz="6" w:space="0" w:color="auto"/>
              <w:right w:val="single" w:sz="4" w:space="0" w:color="000000"/>
            </w:tcBorders>
            <w:shd w:val="clear" w:color="auto" w:fill="D4D4D4"/>
          </w:tcPr>
          <w:p>
            <w:pPr/>
          </w:p>
        </w:tc>
        <w:tc>
          <w:tcPr>
            <w:tcW w:w="1181" w:type="dxa"/>
            <w:vMerge/>
            <w:tcBorders>
              <w:left w:val="single" w:sz="4" w:space="0" w:color="000000"/>
              <w:bottom w:val="nil" w:sz="6" w:space="0" w:color="auto"/>
              <w:right w:val="single" w:sz="4" w:space="0" w:color="000000"/>
            </w:tcBorders>
            <w:shd w:val="clear" w:color="auto" w:fill="D4D4D4"/>
          </w:tcPr>
          <w:p>
            <w:pPr/>
          </w:p>
        </w:tc>
        <w:tc>
          <w:tcPr>
            <w:tcW w:w="235" w:type="dxa"/>
            <w:vMerge/>
            <w:tcBorders>
              <w:left w:val="single" w:sz="4" w:space="0" w:color="000000"/>
              <w:right w:val="single" w:sz="4" w:space="0" w:color="000000"/>
            </w:tcBorders>
            <w:shd w:val="clear" w:color="auto" w:fill="D4D4D4"/>
          </w:tcPr>
          <w:p>
            <w:pPr/>
          </w:p>
        </w:tc>
        <w:tc>
          <w:tcPr>
            <w:tcW w:w="235" w:type="dxa"/>
            <w:vMerge/>
            <w:tcBorders>
              <w:left w:val="single" w:sz="4" w:space="0" w:color="000000"/>
              <w:right w:val="single" w:sz="4" w:space="0" w:color="000000"/>
            </w:tcBorders>
            <w:shd w:val="clear" w:color="auto" w:fill="D4D4D4"/>
          </w:tcPr>
          <w:p>
            <w:pPr/>
          </w:p>
        </w:tc>
        <w:tc>
          <w:tcPr>
            <w:tcW w:w="1092" w:type="dxa"/>
            <w:vMerge/>
            <w:tcBorders>
              <w:left w:val="single" w:sz="4" w:space="0" w:color="000000"/>
              <w:bottom w:val="nil" w:sz="6" w:space="0" w:color="auto"/>
              <w:right w:val="single" w:sz="4" w:space="0" w:color="000000"/>
            </w:tcBorders>
            <w:shd w:val="clear" w:color="auto" w:fill="D4D4D4"/>
          </w:tcPr>
          <w:p>
            <w:pPr/>
          </w:p>
        </w:tc>
        <w:tc>
          <w:tcPr>
            <w:tcW w:w="1181" w:type="dxa"/>
            <w:vMerge/>
            <w:tcBorders>
              <w:left w:val="single" w:sz="4" w:space="0" w:color="000000"/>
              <w:bottom w:val="nil" w:sz="6" w:space="0" w:color="auto"/>
              <w:right w:val="single" w:sz="4" w:space="0" w:color="000000"/>
            </w:tcBorders>
            <w:shd w:val="clear" w:color="auto" w:fill="D4D4D4"/>
          </w:tcPr>
          <w:p>
            <w:pPr/>
          </w:p>
        </w:tc>
        <w:tc>
          <w:tcPr>
            <w:tcW w:w="29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0"/>
              <w:ind w:left="52" w:right="48"/>
              <w:jc w:val="left"/>
              <w:rPr>
                <w:rFonts w:ascii="宋体" w:hAnsi="宋体" w:cs="宋体" w:eastAsia="宋体" w:hint="default"/>
                <w:sz w:val="18"/>
                <w:szCs w:val="18"/>
              </w:rPr>
            </w:pPr>
            <w:r>
              <w:rPr>
                <w:rFonts w:ascii="宋体" w:hAnsi="宋体" w:cs="宋体" w:eastAsia="宋体" w:hint="default"/>
                <w:sz w:val="18"/>
                <w:szCs w:val="18"/>
              </w:rPr>
              <w:t>其 他</w:t>
            </w:r>
          </w:p>
        </w:tc>
        <w:tc>
          <w:tcPr>
            <w:tcW w:w="1318" w:type="dxa"/>
            <w:vMerge/>
            <w:tcBorders>
              <w:left w:val="single" w:sz="4" w:space="0" w:color="000000"/>
              <w:bottom w:val="nil" w:sz="6" w:space="0" w:color="auto"/>
              <w:right w:val="single" w:sz="4" w:space="0" w:color="000000"/>
            </w:tcBorders>
            <w:shd w:val="clear" w:color="auto" w:fill="D4D4D4"/>
          </w:tcPr>
          <w:p>
            <w:pPr/>
          </w:p>
        </w:tc>
      </w:tr>
      <w:tr>
        <w:trPr>
          <w:trHeight w:val="190" w:hRule="exact"/>
        </w:trPr>
        <w:tc>
          <w:tcPr>
            <w:tcW w:w="798" w:type="dxa"/>
            <w:vMerge/>
            <w:tcBorders>
              <w:left w:val="single" w:sz="4" w:space="0" w:color="000000"/>
              <w:bottom w:val="nil" w:sz="6" w:space="0" w:color="auto"/>
              <w:right w:val="single" w:sz="4" w:space="0" w:color="000000"/>
            </w:tcBorders>
            <w:shd w:val="clear" w:color="auto" w:fill="D4D4D4"/>
          </w:tcPr>
          <w:p>
            <w:pPr/>
          </w:p>
        </w:tc>
        <w:tc>
          <w:tcPr>
            <w:tcW w:w="132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38" w:type="dxa"/>
            <w:vMerge w:val="restart"/>
            <w:tcBorders>
              <w:top w:val="single" w:sz="4" w:space="0" w:color="000000"/>
              <w:left w:val="single" w:sz="4" w:space="0" w:color="000000"/>
              <w:right w:val="single" w:sz="4" w:space="0" w:color="000000"/>
            </w:tcBorders>
            <w:shd w:val="clear" w:color="auto" w:fill="D4D4D4"/>
          </w:tcPr>
          <w:p>
            <w:pPr>
              <w:pStyle w:val="TableParagraph"/>
              <w:spacing w:line="237" w:lineRule="auto" w:before="116"/>
              <w:ind w:left="23" w:right="2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35" w:type="dxa"/>
            <w:vMerge w:val="restart"/>
            <w:tcBorders>
              <w:top w:val="single" w:sz="4" w:space="0" w:color="000000"/>
              <w:left w:val="single" w:sz="4" w:space="0" w:color="000000"/>
              <w:right w:val="single" w:sz="4" w:space="0" w:color="000000"/>
            </w:tcBorders>
            <w:shd w:val="clear" w:color="auto" w:fill="D4D4D4"/>
          </w:tcPr>
          <w:p>
            <w:pPr>
              <w:pStyle w:val="TableParagraph"/>
              <w:spacing w:line="237" w:lineRule="auto" w:before="116"/>
              <w:ind w:left="23" w:right="1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35" w:type="dxa"/>
            <w:tcBorders>
              <w:top w:val="single" w:sz="4" w:space="0" w:color="000000"/>
              <w:left w:val="single" w:sz="4" w:space="0" w:color="000000"/>
              <w:bottom w:val="nil" w:sz="6" w:space="0" w:color="auto"/>
              <w:right w:val="single" w:sz="4" w:space="0" w:color="000000"/>
            </w:tcBorders>
            <w:shd w:val="clear" w:color="auto" w:fill="D4D4D4"/>
          </w:tcPr>
          <w:p>
            <w:pPr/>
          </w:p>
        </w:tc>
        <w:tc>
          <w:tcPr>
            <w:tcW w:w="131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13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35" w:type="dxa"/>
            <w:vMerge/>
            <w:tcBorders>
              <w:left w:val="single" w:sz="4" w:space="0" w:color="000000"/>
              <w:right w:val="single" w:sz="4" w:space="0" w:color="000000"/>
            </w:tcBorders>
            <w:shd w:val="clear" w:color="auto" w:fill="D4D4D4"/>
          </w:tcPr>
          <w:p>
            <w:pPr/>
          </w:p>
        </w:tc>
        <w:tc>
          <w:tcPr>
            <w:tcW w:w="235" w:type="dxa"/>
            <w:vMerge/>
            <w:tcBorders>
              <w:left w:val="single" w:sz="4" w:space="0" w:color="000000"/>
              <w:right w:val="single" w:sz="4" w:space="0" w:color="000000"/>
            </w:tcBorders>
            <w:shd w:val="clear" w:color="auto" w:fill="D4D4D4"/>
          </w:tcPr>
          <w:p>
            <w:pPr/>
          </w:p>
        </w:tc>
        <w:tc>
          <w:tcPr>
            <w:tcW w:w="109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1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93" w:type="dxa"/>
            <w:vMerge/>
            <w:tcBorders>
              <w:left w:val="single" w:sz="4" w:space="0" w:color="000000"/>
              <w:right w:val="single" w:sz="4" w:space="0" w:color="000000"/>
            </w:tcBorders>
            <w:shd w:val="clear" w:color="auto" w:fill="D4D4D4"/>
          </w:tcPr>
          <w:p>
            <w:pPr/>
          </w:p>
        </w:tc>
        <w:tc>
          <w:tcPr>
            <w:tcW w:w="131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87" w:hRule="exact"/>
        </w:trPr>
        <w:tc>
          <w:tcPr>
            <w:tcW w:w="798" w:type="dxa"/>
            <w:vMerge w:val="restart"/>
            <w:tcBorders>
              <w:top w:val="nil" w:sz="6" w:space="0" w:color="auto"/>
              <w:left w:val="single" w:sz="4" w:space="0" w:color="000000"/>
              <w:right w:val="single" w:sz="4" w:space="0" w:color="000000"/>
            </w:tcBorders>
            <w:shd w:val="clear" w:color="auto" w:fill="D4D4D4"/>
          </w:tcPr>
          <w:p>
            <w:pPr/>
          </w:p>
        </w:tc>
        <w:tc>
          <w:tcPr>
            <w:tcW w:w="1326" w:type="dxa"/>
            <w:vMerge/>
            <w:tcBorders>
              <w:left w:val="single" w:sz="4" w:space="0" w:color="000000"/>
              <w:bottom w:val="nil" w:sz="6" w:space="0" w:color="auto"/>
              <w:right w:val="single" w:sz="4" w:space="0" w:color="000000"/>
            </w:tcBorders>
            <w:shd w:val="clear" w:color="auto" w:fill="D4D4D4"/>
          </w:tcPr>
          <w:p>
            <w:pPr/>
          </w:p>
        </w:tc>
        <w:tc>
          <w:tcPr>
            <w:tcW w:w="238" w:type="dxa"/>
            <w:vMerge/>
            <w:tcBorders>
              <w:left w:val="single" w:sz="4" w:space="0" w:color="000000"/>
              <w:right w:val="single" w:sz="4" w:space="0" w:color="000000"/>
            </w:tcBorders>
            <w:shd w:val="clear" w:color="auto" w:fill="D4D4D4"/>
          </w:tcPr>
          <w:p>
            <w:pPr/>
          </w:p>
        </w:tc>
        <w:tc>
          <w:tcPr>
            <w:tcW w:w="235" w:type="dxa"/>
            <w:vMerge/>
            <w:tcBorders>
              <w:left w:val="single" w:sz="4" w:space="0" w:color="000000"/>
              <w:right w:val="single" w:sz="4" w:space="0" w:color="000000"/>
            </w:tcBorders>
            <w:shd w:val="clear" w:color="auto" w:fill="D4D4D4"/>
          </w:tcPr>
          <w:p>
            <w:pPr/>
          </w:p>
        </w:tc>
        <w:tc>
          <w:tcPr>
            <w:tcW w:w="235" w:type="dxa"/>
            <w:vMerge w:val="restart"/>
            <w:tcBorders>
              <w:top w:val="nil" w:sz="6" w:space="0" w:color="auto"/>
              <w:left w:val="single" w:sz="4" w:space="0" w:color="000000"/>
              <w:right w:val="single" w:sz="4" w:space="0" w:color="000000"/>
            </w:tcBorders>
            <w:shd w:val="clear" w:color="auto" w:fill="D4D4D4"/>
          </w:tcPr>
          <w:p>
            <w:pPr>
              <w:pStyle w:val="TableParagraph"/>
              <w:spacing w:line="232" w:lineRule="exact" w:before="71"/>
              <w:ind w:left="24" w:right="19"/>
              <w:jc w:val="left"/>
              <w:rPr>
                <w:rFonts w:ascii="宋体" w:hAnsi="宋体" w:cs="宋体" w:eastAsia="宋体" w:hint="default"/>
                <w:sz w:val="18"/>
                <w:szCs w:val="18"/>
              </w:rPr>
            </w:pPr>
            <w:r>
              <w:rPr>
                <w:rFonts w:ascii="宋体" w:hAnsi="宋体" w:cs="宋体" w:eastAsia="宋体" w:hint="default"/>
                <w:sz w:val="18"/>
                <w:szCs w:val="18"/>
              </w:rPr>
              <w:t>其 他</w:t>
            </w:r>
          </w:p>
        </w:tc>
        <w:tc>
          <w:tcPr>
            <w:tcW w:w="1318" w:type="dxa"/>
            <w:vMerge/>
            <w:tcBorders>
              <w:left w:val="single" w:sz="4" w:space="0" w:color="000000"/>
              <w:bottom w:val="nil" w:sz="6" w:space="0" w:color="auto"/>
              <w:right w:val="single" w:sz="4" w:space="0" w:color="000000"/>
            </w:tcBorders>
            <w:shd w:val="clear" w:color="auto" w:fill="D4D4D4"/>
          </w:tcPr>
          <w:p>
            <w:pPr/>
          </w:p>
        </w:tc>
        <w:tc>
          <w:tcPr>
            <w:tcW w:w="1181" w:type="dxa"/>
            <w:vMerge/>
            <w:tcBorders>
              <w:left w:val="single" w:sz="4" w:space="0" w:color="000000"/>
              <w:bottom w:val="nil" w:sz="6" w:space="0" w:color="auto"/>
              <w:right w:val="single" w:sz="4" w:space="0" w:color="000000"/>
            </w:tcBorders>
            <w:shd w:val="clear" w:color="auto" w:fill="D4D4D4"/>
          </w:tcPr>
          <w:p>
            <w:pPr/>
          </w:p>
        </w:tc>
        <w:tc>
          <w:tcPr>
            <w:tcW w:w="235" w:type="dxa"/>
            <w:vMerge/>
            <w:tcBorders>
              <w:left w:val="single" w:sz="4" w:space="0" w:color="000000"/>
              <w:right w:val="single" w:sz="4" w:space="0" w:color="000000"/>
            </w:tcBorders>
            <w:shd w:val="clear" w:color="auto" w:fill="D4D4D4"/>
          </w:tcPr>
          <w:p>
            <w:pPr/>
          </w:p>
        </w:tc>
        <w:tc>
          <w:tcPr>
            <w:tcW w:w="235" w:type="dxa"/>
            <w:vMerge/>
            <w:tcBorders>
              <w:left w:val="single" w:sz="4" w:space="0" w:color="000000"/>
              <w:right w:val="single" w:sz="4" w:space="0" w:color="000000"/>
            </w:tcBorders>
            <w:shd w:val="clear" w:color="auto" w:fill="D4D4D4"/>
          </w:tcPr>
          <w:p>
            <w:pPr/>
          </w:p>
        </w:tc>
        <w:tc>
          <w:tcPr>
            <w:tcW w:w="1092" w:type="dxa"/>
            <w:vMerge/>
            <w:tcBorders>
              <w:left w:val="single" w:sz="4" w:space="0" w:color="000000"/>
              <w:bottom w:val="nil" w:sz="6" w:space="0" w:color="auto"/>
              <w:right w:val="single" w:sz="4" w:space="0" w:color="000000"/>
            </w:tcBorders>
            <w:shd w:val="clear" w:color="auto" w:fill="D4D4D4"/>
          </w:tcPr>
          <w:p>
            <w:pPr/>
          </w:p>
        </w:tc>
        <w:tc>
          <w:tcPr>
            <w:tcW w:w="1181" w:type="dxa"/>
            <w:vMerge/>
            <w:tcBorders>
              <w:left w:val="single" w:sz="4" w:space="0" w:color="000000"/>
              <w:bottom w:val="nil" w:sz="6" w:space="0" w:color="auto"/>
              <w:right w:val="single" w:sz="4" w:space="0" w:color="000000"/>
            </w:tcBorders>
            <w:shd w:val="clear" w:color="auto" w:fill="D4D4D4"/>
          </w:tcPr>
          <w:p>
            <w:pPr/>
          </w:p>
        </w:tc>
        <w:tc>
          <w:tcPr>
            <w:tcW w:w="293" w:type="dxa"/>
            <w:vMerge/>
            <w:tcBorders>
              <w:left w:val="single" w:sz="4" w:space="0" w:color="000000"/>
              <w:right w:val="single" w:sz="4" w:space="0" w:color="000000"/>
            </w:tcBorders>
            <w:shd w:val="clear" w:color="auto" w:fill="D4D4D4"/>
          </w:tcPr>
          <w:p>
            <w:pPr/>
          </w:p>
        </w:tc>
        <w:tc>
          <w:tcPr>
            <w:tcW w:w="1318" w:type="dxa"/>
            <w:vMerge/>
            <w:tcBorders>
              <w:left w:val="single" w:sz="4" w:space="0" w:color="000000"/>
              <w:bottom w:val="nil" w:sz="6" w:space="0" w:color="auto"/>
              <w:right w:val="single" w:sz="4" w:space="0" w:color="000000"/>
            </w:tcBorders>
            <w:shd w:val="clear" w:color="auto" w:fill="D4D4D4"/>
          </w:tcPr>
          <w:p>
            <w:pPr/>
          </w:p>
        </w:tc>
      </w:tr>
      <w:tr>
        <w:trPr>
          <w:trHeight w:val="118" w:hRule="exact"/>
        </w:trPr>
        <w:tc>
          <w:tcPr>
            <w:tcW w:w="798" w:type="dxa"/>
            <w:vMerge/>
            <w:tcBorders>
              <w:left w:val="single" w:sz="4" w:space="0" w:color="000000"/>
              <w:right w:val="single" w:sz="4" w:space="0" w:color="000000"/>
            </w:tcBorders>
            <w:shd w:val="clear" w:color="auto" w:fill="D4D4D4"/>
          </w:tcPr>
          <w:p>
            <w:pPr/>
          </w:p>
        </w:tc>
        <w:tc>
          <w:tcPr>
            <w:tcW w:w="1326" w:type="dxa"/>
            <w:vMerge w:val="restart"/>
            <w:tcBorders>
              <w:top w:val="nil" w:sz="6" w:space="0" w:color="auto"/>
              <w:left w:val="single" w:sz="4" w:space="0" w:color="000000"/>
              <w:right w:val="single" w:sz="4" w:space="0" w:color="000000"/>
            </w:tcBorders>
            <w:shd w:val="clear" w:color="auto" w:fill="D4D4D4"/>
          </w:tcPr>
          <w:p>
            <w:pPr/>
          </w:p>
        </w:tc>
        <w:tc>
          <w:tcPr>
            <w:tcW w:w="238" w:type="dxa"/>
            <w:vMerge/>
            <w:tcBorders>
              <w:left w:val="single" w:sz="4" w:space="0" w:color="000000"/>
              <w:right w:val="single" w:sz="4" w:space="0" w:color="000000"/>
            </w:tcBorders>
            <w:shd w:val="clear" w:color="auto" w:fill="D4D4D4"/>
          </w:tcPr>
          <w:p>
            <w:pPr/>
          </w:p>
        </w:tc>
        <w:tc>
          <w:tcPr>
            <w:tcW w:w="235" w:type="dxa"/>
            <w:vMerge/>
            <w:tcBorders>
              <w:left w:val="single" w:sz="4" w:space="0" w:color="000000"/>
              <w:right w:val="single" w:sz="4" w:space="0" w:color="000000"/>
            </w:tcBorders>
            <w:shd w:val="clear" w:color="auto" w:fill="D4D4D4"/>
          </w:tcPr>
          <w:p>
            <w:pPr/>
          </w:p>
        </w:tc>
        <w:tc>
          <w:tcPr>
            <w:tcW w:w="235" w:type="dxa"/>
            <w:vMerge/>
            <w:tcBorders>
              <w:left w:val="single" w:sz="4" w:space="0" w:color="000000"/>
              <w:right w:val="single" w:sz="4" w:space="0" w:color="000000"/>
            </w:tcBorders>
            <w:shd w:val="clear" w:color="auto" w:fill="D4D4D4"/>
          </w:tcPr>
          <w:p>
            <w:pPr/>
          </w:p>
        </w:tc>
        <w:tc>
          <w:tcPr>
            <w:tcW w:w="1318" w:type="dxa"/>
            <w:vMerge w:val="restart"/>
            <w:tcBorders>
              <w:top w:val="nil" w:sz="6" w:space="0" w:color="auto"/>
              <w:left w:val="single" w:sz="4" w:space="0" w:color="000000"/>
              <w:right w:val="single" w:sz="4" w:space="0" w:color="000000"/>
            </w:tcBorders>
            <w:shd w:val="clear" w:color="auto" w:fill="D4D4D4"/>
          </w:tcPr>
          <w:p>
            <w:pPr/>
          </w:p>
        </w:tc>
        <w:tc>
          <w:tcPr>
            <w:tcW w:w="1181" w:type="dxa"/>
            <w:vMerge w:val="restart"/>
            <w:tcBorders>
              <w:top w:val="nil" w:sz="6" w:space="0" w:color="auto"/>
              <w:left w:val="single" w:sz="4" w:space="0" w:color="000000"/>
              <w:right w:val="single" w:sz="4" w:space="0" w:color="000000"/>
            </w:tcBorders>
            <w:shd w:val="clear" w:color="auto" w:fill="D4D4D4"/>
          </w:tcPr>
          <w:p>
            <w:pPr/>
          </w:p>
        </w:tc>
        <w:tc>
          <w:tcPr>
            <w:tcW w:w="235" w:type="dxa"/>
            <w:vMerge/>
            <w:tcBorders>
              <w:left w:val="single" w:sz="4" w:space="0" w:color="000000"/>
              <w:right w:val="single" w:sz="4" w:space="0" w:color="000000"/>
            </w:tcBorders>
            <w:shd w:val="clear" w:color="auto" w:fill="D4D4D4"/>
          </w:tcPr>
          <w:p>
            <w:pPr/>
          </w:p>
        </w:tc>
        <w:tc>
          <w:tcPr>
            <w:tcW w:w="235" w:type="dxa"/>
            <w:vMerge/>
            <w:tcBorders>
              <w:left w:val="single" w:sz="4" w:space="0" w:color="000000"/>
              <w:right w:val="single" w:sz="4" w:space="0" w:color="000000"/>
            </w:tcBorders>
            <w:shd w:val="clear" w:color="auto" w:fill="D4D4D4"/>
          </w:tcPr>
          <w:p>
            <w:pPr/>
          </w:p>
        </w:tc>
        <w:tc>
          <w:tcPr>
            <w:tcW w:w="1092" w:type="dxa"/>
            <w:vMerge w:val="restart"/>
            <w:tcBorders>
              <w:top w:val="nil" w:sz="6" w:space="0" w:color="auto"/>
              <w:left w:val="single" w:sz="4" w:space="0" w:color="000000"/>
              <w:right w:val="single" w:sz="4" w:space="0" w:color="000000"/>
            </w:tcBorders>
            <w:shd w:val="clear" w:color="auto" w:fill="D4D4D4"/>
          </w:tcPr>
          <w:p>
            <w:pPr/>
          </w:p>
        </w:tc>
        <w:tc>
          <w:tcPr>
            <w:tcW w:w="1181" w:type="dxa"/>
            <w:vMerge w:val="restart"/>
            <w:tcBorders>
              <w:top w:val="nil" w:sz="6" w:space="0" w:color="auto"/>
              <w:left w:val="single" w:sz="4" w:space="0" w:color="000000"/>
              <w:right w:val="single" w:sz="4" w:space="0" w:color="000000"/>
            </w:tcBorders>
            <w:shd w:val="clear" w:color="auto" w:fill="D4D4D4"/>
          </w:tcPr>
          <w:p>
            <w:pPr/>
          </w:p>
        </w:tc>
        <w:tc>
          <w:tcPr>
            <w:tcW w:w="293" w:type="dxa"/>
            <w:vMerge/>
            <w:tcBorders>
              <w:left w:val="single" w:sz="4" w:space="0" w:color="000000"/>
              <w:bottom w:val="nil" w:sz="6" w:space="0" w:color="auto"/>
              <w:right w:val="single" w:sz="4" w:space="0" w:color="000000"/>
            </w:tcBorders>
            <w:shd w:val="clear" w:color="auto" w:fill="D4D4D4"/>
          </w:tcPr>
          <w:p>
            <w:pPr/>
          </w:p>
        </w:tc>
        <w:tc>
          <w:tcPr>
            <w:tcW w:w="1318" w:type="dxa"/>
            <w:vMerge w:val="restart"/>
            <w:tcBorders>
              <w:top w:val="nil" w:sz="6" w:space="0" w:color="auto"/>
              <w:left w:val="single" w:sz="4" w:space="0" w:color="000000"/>
              <w:right w:val="single" w:sz="4" w:space="0" w:color="000000"/>
            </w:tcBorders>
            <w:shd w:val="clear" w:color="auto" w:fill="D4D4D4"/>
          </w:tcPr>
          <w:p>
            <w:pPr/>
          </w:p>
        </w:tc>
      </w:tr>
      <w:tr>
        <w:trPr>
          <w:trHeight w:val="271" w:hRule="exact"/>
        </w:trPr>
        <w:tc>
          <w:tcPr>
            <w:tcW w:w="798" w:type="dxa"/>
            <w:vMerge/>
            <w:tcBorders>
              <w:left w:val="single" w:sz="4" w:space="0" w:color="000000"/>
              <w:right w:val="single" w:sz="4" w:space="0" w:color="000000"/>
            </w:tcBorders>
            <w:shd w:val="clear" w:color="auto" w:fill="D4D4D4"/>
          </w:tcPr>
          <w:p>
            <w:pPr/>
          </w:p>
        </w:tc>
        <w:tc>
          <w:tcPr>
            <w:tcW w:w="1326" w:type="dxa"/>
            <w:vMerge/>
            <w:tcBorders>
              <w:left w:val="single" w:sz="4" w:space="0" w:color="000000"/>
              <w:right w:val="single" w:sz="4" w:space="0" w:color="000000"/>
            </w:tcBorders>
            <w:shd w:val="clear" w:color="auto" w:fill="D4D4D4"/>
          </w:tcPr>
          <w:p>
            <w:pPr/>
          </w:p>
        </w:tc>
        <w:tc>
          <w:tcPr>
            <w:tcW w:w="238" w:type="dxa"/>
            <w:vMerge/>
            <w:tcBorders>
              <w:left w:val="single" w:sz="4" w:space="0" w:color="000000"/>
              <w:right w:val="single" w:sz="4" w:space="0" w:color="000000"/>
            </w:tcBorders>
            <w:shd w:val="clear" w:color="auto" w:fill="D4D4D4"/>
          </w:tcPr>
          <w:p>
            <w:pPr/>
          </w:p>
        </w:tc>
        <w:tc>
          <w:tcPr>
            <w:tcW w:w="235" w:type="dxa"/>
            <w:vMerge/>
            <w:tcBorders>
              <w:left w:val="single" w:sz="4" w:space="0" w:color="000000"/>
              <w:right w:val="single" w:sz="4" w:space="0" w:color="000000"/>
            </w:tcBorders>
            <w:shd w:val="clear" w:color="auto" w:fill="D4D4D4"/>
          </w:tcPr>
          <w:p>
            <w:pPr/>
          </w:p>
        </w:tc>
        <w:tc>
          <w:tcPr>
            <w:tcW w:w="235" w:type="dxa"/>
            <w:vMerge/>
            <w:tcBorders>
              <w:left w:val="single" w:sz="4" w:space="0" w:color="000000"/>
              <w:bottom w:val="nil" w:sz="6" w:space="0" w:color="auto"/>
              <w:right w:val="single" w:sz="4" w:space="0" w:color="000000"/>
            </w:tcBorders>
            <w:shd w:val="clear" w:color="auto" w:fill="D4D4D4"/>
          </w:tcPr>
          <w:p>
            <w:pPr/>
          </w:p>
        </w:tc>
        <w:tc>
          <w:tcPr>
            <w:tcW w:w="1318" w:type="dxa"/>
            <w:vMerge/>
            <w:tcBorders>
              <w:left w:val="single" w:sz="4" w:space="0" w:color="000000"/>
              <w:right w:val="single" w:sz="4" w:space="0" w:color="000000"/>
            </w:tcBorders>
            <w:shd w:val="clear" w:color="auto" w:fill="D4D4D4"/>
          </w:tcPr>
          <w:p>
            <w:pPr/>
          </w:p>
        </w:tc>
        <w:tc>
          <w:tcPr>
            <w:tcW w:w="1181" w:type="dxa"/>
            <w:vMerge/>
            <w:tcBorders>
              <w:left w:val="single" w:sz="4" w:space="0" w:color="000000"/>
              <w:right w:val="single" w:sz="4" w:space="0" w:color="000000"/>
            </w:tcBorders>
            <w:shd w:val="clear" w:color="auto" w:fill="D4D4D4"/>
          </w:tcPr>
          <w:p>
            <w:pPr/>
          </w:p>
        </w:tc>
        <w:tc>
          <w:tcPr>
            <w:tcW w:w="235" w:type="dxa"/>
            <w:vMerge/>
            <w:tcBorders>
              <w:left w:val="single" w:sz="4" w:space="0" w:color="000000"/>
              <w:right w:val="single" w:sz="4" w:space="0" w:color="000000"/>
            </w:tcBorders>
            <w:shd w:val="clear" w:color="auto" w:fill="D4D4D4"/>
          </w:tcPr>
          <w:p>
            <w:pPr/>
          </w:p>
        </w:tc>
        <w:tc>
          <w:tcPr>
            <w:tcW w:w="235" w:type="dxa"/>
            <w:vMerge/>
            <w:tcBorders>
              <w:left w:val="single" w:sz="4" w:space="0" w:color="000000"/>
              <w:bottom w:val="nil" w:sz="6" w:space="0" w:color="auto"/>
              <w:right w:val="single" w:sz="4" w:space="0" w:color="000000"/>
            </w:tcBorders>
            <w:shd w:val="clear" w:color="auto" w:fill="D4D4D4"/>
          </w:tcPr>
          <w:p>
            <w:pPr/>
          </w:p>
        </w:tc>
        <w:tc>
          <w:tcPr>
            <w:tcW w:w="1092" w:type="dxa"/>
            <w:vMerge/>
            <w:tcBorders>
              <w:left w:val="single" w:sz="4" w:space="0" w:color="000000"/>
              <w:right w:val="single" w:sz="4" w:space="0" w:color="000000"/>
            </w:tcBorders>
            <w:shd w:val="clear" w:color="auto" w:fill="D4D4D4"/>
          </w:tcPr>
          <w:p>
            <w:pPr/>
          </w:p>
        </w:tc>
        <w:tc>
          <w:tcPr>
            <w:tcW w:w="1181" w:type="dxa"/>
            <w:vMerge/>
            <w:tcBorders>
              <w:left w:val="single" w:sz="4" w:space="0" w:color="000000"/>
              <w:right w:val="single" w:sz="4" w:space="0" w:color="000000"/>
            </w:tcBorders>
            <w:shd w:val="clear" w:color="auto" w:fill="D4D4D4"/>
          </w:tcPr>
          <w:p>
            <w:pPr/>
          </w:p>
        </w:tc>
        <w:tc>
          <w:tcPr>
            <w:tcW w:w="293" w:type="dxa"/>
            <w:vMerge w:val="restart"/>
            <w:tcBorders>
              <w:top w:val="nil" w:sz="6" w:space="0" w:color="auto"/>
              <w:left w:val="single" w:sz="4" w:space="0" w:color="000000"/>
              <w:right w:val="single" w:sz="4" w:space="0" w:color="000000"/>
            </w:tcBorders>
            <w:shd w:val="clear" w:color="auto" w:fill="D4D4D4"/>
          </w:tcPr>
          <w:p>
            <w:pPr/>
          </w:p>
        </w:tc>
        <w:tc>
          <w:tcPr>
            <w:tcW w:w="1318" w:type="dxa"/>
            <w:vMerge/>
            <w:tcBorders>
              <w:left w:val="single" w:sz="4" w:space="0" w:color="000000"/>
              <w:right w:val="single" w:sz="4" w:space="0" w:color="000000"/>
            </w:tcBorders>
            <w:shd w:val="clear" w:color="auto" w:fill="D4D4D4"/>
          </w:tcPr>
          <w:p>
            <w:pPr/>
          </w:p>
        </w:tc>
      </w:tr>
      <w:tr>
        <w:trPr>
          <w:trHeight w:val="199" w:hRule="exact"/>
        </w:trPr>
        <w:tc>
          <w:tcPr>
            <w:tcW w:w="798" w:type="dxa"/>
            <w:vMerge/>
            <w:tcBorders>
              <w:left w:val="single" w:sz="4" w:space="0" w:color="000000"/>
              <w:bottom w:val="single" w:sz="4" w:space="0" w:color="000000"/>
              <w:right w:val="single" w:sz="4" w:space="0" w:color="000000"/>
            </w:tcBorders>
            <w:shd w:val="clear" w:color="auto" w:fill="D4D4D4"/>
          </w:tcPr>
          <w:p>
            <w:pPr/>
          </w:p>
        </w:tc>
        <w:tc>
          <w:tcPr>
            <w:tcW w:w="1326" w:type="dxa"/>
            <w:vMerge/>
            <w:tcBorders>
              <w:left w:val="single" w:sz="4" w:space="0" w:color="000000"/>
              <w:bottom w:val="single" w:sz="4" w:space="0" w:color="000000"/>
              <w:right w:val="single" w:sz="4" w:space="0" w:color="000000"/>
            </w:tcBorders>
            <w:shd w:val="clear" w:color="auto" w:fill="D4D4D4"/>
          </w:tcPr>
          <w:p>
            <w:pPr/>
          </w:p>
        </w:tc>
        <w:tc>
          <w:tcPr>
            <w:tcW w:w="238" w:type="dxa"/>
            <w:vMerge/>
            <w:tcBorders>
              <w:left w:val="single" w:sz="4" w:space="0" w:color="000000"/>
              <w:bottom w:val="single" w:sz="4" w:space="0" w:color="000000"/>
              <w:right w:val="single" w:sz="4" w:space="0" w:color="000000"/>
            </w:tcBorders>
            <w:shd w:val="clear" w:color="auto" w:fill="D4D4D4"/>
          </w:tcPr>
          <w:p>
            <w:pPr/>
          </w:p>
        </w:tc>
        <w:tc>
          <w:tcPr>
            <w:tcW w:w="235" w:type="dxa"/>
            <w:vMerge/>
            <w:tcBorders>
              <w:left w:val="single" w:sz="4" w:space="0" w:color="000000"/>
              <w:bottom w:val="single" w:sz="4" w:space="0" w:color="000000"/>
              <w:right w:val="single" w:sz="4" w:space="0" w:color="000000"/>
            </w:tcBorders>
            <w:shd w:val="clear" w:color="auto" w:fill="D4D4D4"/>
          </w:tcPr>
          <w:p>
            <w:pPr/>
          </w:p>
        </w:tc>
        <w:tc>
          <w:tcPr>
            <w:tcW w:w="235" w:type="dxa"/>
            <w:tcBorders>
              <w:top w:val="nil" w:sz="6" w:space="0" w:color="auto"/>
              <w:left w:val="single" w:sz="4" w:space="0" w:color="000000"/>
              <w:bottom w:val="single" w:sz="4" w:space="0" w:color="000000"/>
              <w:right w:val="single" w:sz="4" w:space="0" w:color="000000"/>
            </w:tcBorders>
            <w:shd w:val="clear" w:color="auto" w:fill="D4D4D4"/>
          </w:tcPr>
          <w:p>
            <w:pPr/>
          </w:p>
        </w:tc>
        <w:tc>
          <w:tcPr>
            <w:tcW w:w="1318" w:type="dxa"/>
            <w:vMerge/>
            <w:tcBorders>
              <w:left w:val="single" w:sz="4" w:space="0" w:color="000000"/>
              <w:bottom w:val="single" w:sz="4" w:space="0" w:color="000000"/>
              <w:right w:val="single" w:sz="4" w:space="0" w:color="000000"/>
            </w:tcBorders>
            <w:shd w:val="clear" w:color="auto" w:fill="D4D4D4"/>
          </w:tcPr>
          <w:p>
            <w:pPr/>
          </w:p>
        </w:tc>
        <w:tc>
          <w:tcPr>
            <w:tcW w:w="1181" w:type="dxa"/>
            <w:vMerge/>
            <w:tcBorders>
              <w:left w:val="single" w:sz="4" w:space="0" w:color="000000"/>
              <w:bottom w:val="single" w:sz="4" w:space="0" w:color="000000"/>
              <w:right w:val="single" w:sz="4" w:space="0" w:color="000000"/>
            </w:tcBorders>
            <w:shd w:val="clear" w:color="auto" w:fill="D4D4D4"/>
          </w:tcPr>
          <w:p>
            <w:pPr/>
          </w:p>
        </w:tc>
        <w:tc>
          <w:tcPr>
            <w:tcW w:w="235" w:type="dxa"/>
            <w:vMerge/>
            <w:tcBorders>
              <w:left w:val="single" w:sz="4" w:space="0" w:color="000000"/>
              <w:bottom w:val="single" w:sz="4" w:space="0" w:color="000000"/>
              <w:right w:val="single" w:sz="4" w:space="0" w:color="000000"/>
            </w:tcBorders>
            <w:shd w:val="clear" w:color="auto" w:fill="D4D4D4"/>
          </w:tcPr>
          <w:p>
            <w:pPr/>
          </w:p>
        </w:tc>
        <w:tc>
          <w:tcPr>
            <w:tcW w:w="23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92" w:type="dxa"/>
            <w:vMerge/>
            <w:tcBorders>
              <w:left w:val="single" w:sz="4" w:space="0" w:color="000000"/>
              <w:bottom w:val="single" w:sz="4" w:space="0" w:color="000000"/>
              <w:right w:val="single" w:sz="4" w:space="0" w:color="000000"/>
            </w:tcBorders>
            <w:shd w:val="clear" w:color="auto" w:fill="D4D4D4"/>
          </w:tcPr>
          <w:p>
            <w:pPr/>
          </w:p>
        </w:tc>
        <w:tc>
          <w:tcPr>
            <w:tcW w:w="1181" w:type="dxa"/>
            <w:vMerge/>
            <w:tcBorders>
              <w:left w:val="single" w:sz="4" w:space="0" w:color="000000"/>
              <w:bottom w:val="single" w:sz="4" w:space="0" w:color="000000"/>
              <w:right w:val="single" w:sz="4" w:space="0" w:color="000000"/>
            </w:tcBorders>
            <w:shd w:val="clear" w:color="auto" w:fill="D4D4D4"/>
          </w:tcPr>
          <w:p>
            <w:pPr/>
          </w:p>
        </w:tc>
        <w:tc>
          <w:tcPr>
            <w:tcW w:w="293" w:type="dxa"/>
            <w:vMerge/>
            <w:tcBorders>
              <w:left w:val="single" w:sz="4" w:space="0" w:color="000000"/>
              <w:bottom w:val="single" w:sz="4" w:space="0" w:color="000000"/>
              <w:right w:val="single" w:sz="4" w:space="0" w:color="000000"/>
            </w:tcBorders>
            <w:shd w:val="clear" w:color="auto" w:fill="D4D4D4"/>
          </w:tcPr>
          <w:p>
            <w:pPr/>
          </w:p>
        </w:tc>
        <w:tc>
          <w:tcPr>
            <w:tcW w:w="1318" w:type="dxa"/>
            <w:vMerge/>
            <w:tcBorders>
              <w:left w:val="single" w:sz="4" w:space="0" w:color="000000"/>
              <w:bottom w:val="single" w:sz="4" w:space="0" w:color="000000"/>
              <w:right w:val="single" w:sz="4" w:space="0" w:color="000000"/>
            </w:tcBorders>
            <w:shd w:val="clear" w:color="auto" w:fill="D4D4D4"/>
          </w:tcPr>
          <w:p>
            <w:pPr/>
          </w:p>
        </w:tc>
      </w:tr>
      <w:tr>
        <w:trPr>
          <w:trHeight w:val="622"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8"/>
              <w:ind w:left="33" w:right="32"/>
              <w:jc w:val="left"/>
              <w:rPr>
                <w:rFonts w:ascii="宋体" w:hAnsi="宋体" w:cs="宋体" w:eastAsia="宋体" w:hint="default"/>
                <w:sz w:val="18"/>
                <w:szCs w:val="18"/>
              </w:rPr>
            </w:pPr>
            <w:r>
              <w:rPr>
                <w:rFonts w:ascii="宋体" w:hAnsi="宋体" w:cs="宋体" w:eastAsia="宋体" w:hint="default"/>
                <w:sz w:val="18"/>
                <w:szCs w:val="18"/>
              </w:rPr>
              <w:t>一、上年 期末余额</w:t>
            </w:r>
          </w:p>
        </w:tc>
        <w:tc>
          <w:tcPr>
            <w:tcW w:w="13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1,172,196,195.00</w:t>
            </w:r>
          </w:p>
        </w:tc>
        <w:tc>
          <w:tcPr>
            <w:tcW w:w="238" w:type="dxa"/>
            <w:tcBorders>
              <w:top w:val="single" w:sz="15" w:space="0" w:color="D4D4D4"/>
              <w:left w:val="single" w:sz="4" w:space="0" w:color="000000"/>
              <w:bottom w:val="single" w:sz="4" w:space="0" w:color="000000"/>
              <w:right w:val="single" w:sz="4" w:space="0" w:color="000000"/>
            </w:tcBorders>
          </w:tcPr>
          <w:p>
            <w:pPr/>
          </w:p>
        </w:tc>
        <w:tc>
          <w:tcPr>
            <w:tcW w:w="235" w:type="dxa"/>
            <w:tcBorders>
              <w:top w:val="single" w:sz="15" w:space="0" w:color="D4D4D4"/>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3,331,479,833.80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240,127,352.00</w:t>
            </w:r>
            <w:r>
              <w:rPr>
                <w:rFonts w:ascii="Times New Roman"/>
                <w:sz w:val="18"/>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39,498,354.35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186,138,407.95</w:t>
            </w: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4,489,185,439.10</w:t>
            </w:r>
          </w:p>
        </w:tc>
      </w:tr>
      <w:tr>
        <w:trPr>
          <w:trHeight w:val="854"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3" w:right="32" w:firstLine="360"/>
              <w:jc w:val="left"/>
              <w:rPr>
                <w:rFonts w:ascii="宋体" w:hAnsi="宋体" w:cs="宋体" w:eastAsia="宋体" w:hint="default"/>
                <w:sz w:val="18"/>
                <w:szCs w:val="18"/>
              </w:rPr>
            </w:pPr>
            <w:r>
              <w:rPr>
                <w:rFonts w:ascii="宋体" w:hAnsi="宋体" w:cs="宋体" w:eastAsia="宋体" w:hint="default"/>
                <w:sz w:val="18"/>
                <w:szCs w:val="18"/>
              </w:rPr>
              <w:t>加： 会计政策</w:t>
            </w:r>
          </w:p>
          <w:p>
            <w:pPr>
              <w:pStyle w:val="TableParagraph"/>
              <w:spacing w:line="233" w:lineRule="exact"/>
              <w:ind w:left="213"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326" w:type="dxa"/>
            <w:tcBorders>
              <w:top w:val="single" w:sz="4" w:space="0" w:color="000000"/>
              <w:left w:val="single" w:sz="12" w:space="0" w:color="D4D4D4"/>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854"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23"/>
                <w:szCs w:val="23"/>
              </w:rPr>
            </w:pPr>
          </w:p>
          <w:p>
            <w:pPr>
              <w:pStyle w:val="TableParagraph"/>
              <w:spacing w:line="232" w:lineRule="exact"/>
              <w:ind w:left="213" w:right="32" w:hanging="180"/>
              <w:jc w:val="left"/>
              <w:rPr>
                <w:rFonts w:ascii="宋体" w:hAnsi="宋体" w:cs="宋体" w:eastAsia="宋体" w:hint="default"/>
                <w:sz w:val="18"/>
                <w:szCs w:val="18"/>
              </w:rPr>
            </w:pPr>
            <w:r>
              <w:rPr>
                <w:rFonts w:ascii="宋体" w:hAnsi="宋体" w:cs="宋体" w:eastAsia="宋体" w:hint="default"/>
                <w:sz w:val="18"/>
                <w:szCs w:val="18"/>
              </w:rPr>
              <w:t>前期差错 更正</w:t>
            </w:r>
          </w:p>
        </w:tc>
        <w:tc>
          <w:tcPr>
            <w:tcW w:w="1326" w:type="dxa"/>
            <w:tcBorders>
              <w:top w:val="single" w:sz="4" w:space="0" w:color="000000"/>
              <w:left w:val="single" w:sz="12" w:space="0" w:color="D4D4D4"/>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65" w:right="0"/>
              <w:jc w:val="center"/>
              <w:rPr>
                <w:rFonts w:ascii="Times New Roman" w:hAnsi="Times New Roman" w:cs="Times New Roman" w:eastAsia="Times New Roman" w:hint="default"/>
                <w:sz w:val="18"/>
                <w:szCs w:val="18"/>
              </w:rPr>
            </w:pPr>
            <w:r>
              <w:rPr>
                <w:rFonts w:ascii="Times New Roman"/>
                <w:sz w:val="18"/>
              </w:rPr>
              <w:t>-17,531,539.54</w:t>
            </w: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-17,531,539.54</w:t>
            </w:r>
          </w:p>
        </w:tc>
      </w:tr>
      <w:tr>
        <w:trPr>
          <w:trHeight w:val="622"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6" w:type="dxa"/>
            <w:tcBorders>
              <w:top w:val="single" w:sz="4" w:space="0" w:color="000000"/>
              <w:left w:val="single" w:sz="12" w:space="0" w:color="D4D4D4"/>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619"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33" w:right="32"/>
              <w:jc w:val="left"/>
              <w:rPr>
                <w:rFonts w:ascii="宋体" w:hAnsi="宋体" w:cs="宋体" w:eastAsia="宋体" w:hint="default"/>
                <w:sz w:val="18"/>
                <w:szCs w:val="18"/>
              </w:rPr>
            </w:pPr>
            <w:r>
              <w:rPr>
                <w:rFonts w:ascii="宋体" w:hAnsi="宋体" w:cs="宋体" w:eastAsia="宋体" w:hint="default"/>
                <w:sz w:val="18"/>
                <w:szCs w:val="18"/>
              </w:rPr>
              <w:t>二、本年 期初余额</w:t>
            </w:r>
          </w:p>
        </w:tc>
        <w:tc>
          <w:tcPr>
            <w:tcW w:w="13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1,172,196,195.00</w:t>
            </w: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3,313,948,294.26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240,127,352.00</w:t>
            </w:r>
            <w:r>
              <w:rPr>
                <w:rFonts w:ascii="Times New Roman"/>
                <w:sz w:val="18"/>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39,498,354.35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186,138,407.95</w:t>
            </w: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4,471,653,899.56</w:t>
            </w:r>
          </w:p>
        </w:tc>
      </w:tr>
      <w:tr>
        <w:trPr>
          <w:trHeight w:val="1322"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auto" w:before="48"/>
              <w:ind w:left="33" w:right="32"/>
              <w:jc w:val="both"/>
              <w:rPr>
                <w:rFonts w:ascii="宋体" w:hAnsi="宋体" w:cs="宋体" w:eastAsia="宋体" w:hint="default"/>
                <w:sz w:val="18"/>
                <w:szCs w:val="18"/>
              </w:rPr>
            </w:pPr>
            <w:r>
              <w:rPr>
                <w:rFonts w:ascii="宋体" w:hAnsi="宋体" w:cs="宋体" w:eastAsia="宋体" w:hint="default"/>
                <w:sz w:val="18"/>
                <w:szCs w:val="18"/>
              </w:rPr>
              <w:t>三、本期 增减变动 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13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576,465,918.00</w:t>
            </w:r>
            <w:r>
              <w:rPr>
                <w:rFonts w:ascii="Times New Roman"/>
                <w:sz w:val="18"/>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-850,096,389.18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-45,178,951.63</w:t>
            </w: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10,675,153.36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14,481,134.56</w:t>
            </w: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-203,295,231.63</w:t>
            </w:r>
          </w:p>
        </w:tc>
      </w:tr>
      <w:tr>
        <w:trPr>
          <w:trHeight w:val="854"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44"/>
              <w:ind w:left="33" w:right="32"/>
              <w:jc w:val="center"/>
              <w:rPr>
                <w:rFonts w:ascii="宋体" w:hAnsi="宋体" w:cs="宋体" w:eastAsia="宋体" w:hint="default"/>
                <w:sz w:val="18"/>
                <w:szCs w:val="18"/>
              </w:rPr>
            </w:pPr>
            <w:r>
              <w:rPr>
                <w:rFonts w:ascii="宋体" w:hAnsi="宋体" w:cs="宋体" w:eastAsia="宋体" w:hint="default"/>
                <w:sz w:val="18"/>
                <w:szCs w:val="18"/>
              </w:rPr>
              <w:t>（一）综 合收益总 额</w:t>
            </w:r>
          </w:p>
        </w:tc>
        <w:tc>
          <w:tcPr>
            <w:tcW w:w="1326" w:type="dxa"/>
            <w:tcBorders>
              <w:top w:val="single" w:sz="4" w:space="0" w:color="000000"/>
              <w:left w:val="single" w:sz="12" w:space="0" w:color="D4D4D4"/>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106,751,533.53</w:t>
            </w: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37" w:right="0"/>
              <w:jc w:val="center"/>
              <w:rPr>
                <w:rFonts w:ascii="Times New Roman" w:hAnsi="Times New Roman" w:cs="Times New Roman" w:eastAsia="Times New Roman" w:hint="default"/>
                <w:sz w:val="18"/>
                <w:szCs w:val="18"/>
              </w:rPr>
            </w:pPr>
            <w:r>
              <w:rPr>
                <w:rFonts w:ascii="Times New Roman"/>
                <w:sz w:val="18"/>
              </w:rPr>
              <w:t>106,751,533.53</w:t>
            </w:r>
          </w:p>
        </w:tc>
      </w:tr>
      <w:tr>
        <w:trPr>
          <w:trHeight w:val="1087"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44"/>
              <w:ind w:left="33" w:right="32"/>
              <w:jc w:val="center"/>
              <w:rPr>
                <w:rFonts w:ascii="宋体" w:hAnsi="宋体" w:cs="宋体" w:eastAsia="宋体" w:hint="default"/>
                <w:sz w:val="18"/>
                <w:szCs w:val="18"/>
              </w:rPr>
            </w:pPr>
            <w:r>
              <w:rPr>
                <w:rFonts w:ascii="宋体" w:hAnsi="宋体" w:cs="宋体" w:eastAsia="宋体" w:hint="default"/>
                <w:sz w:val="18"/>
                <w:szCs w:val="18"/>
              </w:rPr>
              <w:t>（二）所 有者投入 和减少资 本</w:t>
            </w:r>
          </w:p>
        </w:tc>
        <w:tc>
          <w:tcPr>
            <w:tcW w:w="13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-6,358,022.00</w:t>
            </w:r>
            <w:r>
              <w:rPr>
                <w:rFonts w:ascii="Times New Roman"/>
                <w:sz w:val="18"/>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-267,272,449.18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-45,178,951.63</w:t>
            </w: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-228,451,519.55</w:t>
            </w:r>
          </w:p>
        </w:tc>
      </w:tr>
      <w:tr>
        <w:trPr>
          <w:trHeight w:val="854"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auto" w:before="48"/>
              <w:ind w:left="11" w:right="8"/>
              <w:jc w:val="center"/>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．所有者</w:t>
            </w:r>
            <w:r>
              <w:rPr>
                <w:rFonts w:ascii="宋体" w:hAnsi="宋体" w:cs="宋体" w:eastAsia="宋体" w:hint="default"/>
                <w:sz w:val="18"/>
                <w:szCs w:val="18"/>
              </w:rPr>
              <w:t> 投入的普 通股</w:t>
            </w:r>
          </w:p>
        </w:tc>
        <w:tc>
          <w:tcPr>
            <w:tcW w:w="1326" w:type="dxa"/>
            <w:tcBorders>
              <w:top w:val="single" w:sz="4" w:space="0" w:color="000000"/>
              <w:left w:val="single" w:sz="12" w:space="0" w:color="D4D4D4"/>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-195,252,368.25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12,400,125.00</w:t>
            </w: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-207,652,493.25</w:t>
            </w:r>
          </w:p>
        </w:tc>
      </w:tr>
      <w:tr>
        <w:trPr>
          <w:trHeight w:val="782"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auto" w:before="48"/>
              <w:ind w:left="33" w:right="8" w:hanging="22"/>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．其他权</w:t>
            </w:r>
            <w:r>
              <w:rPr>
                <w:rFonts w:ascii="宋体" w:hAnsi="宋体" w:cs="宋体" w:eastAsia="宋体" w:hint="default"/>
                <w:sz w:val="18"/>
                <w:szCs w:val="18"/>
              </w:rPr>
              <w:t> 益工具持 有者投入</w:t>
            </w:r>
          </w:p>
        </w:tc>
        <w:tc>
          <w:tcPr>
            <w:tcW w:w="1326" w:type="dxa"/>
            <w:tcBorders>
              <w:top w:val="single" w:sz="4" w:space="0" w:color="000000"/>
              <w:left w:val="single" w:sz="12" w:space="0" w:color="D4D4D4"/>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1"/>
          <w:pgSz w:w="11910" w:h="16840"/>
          <w:pgMar w:footer="1134" w:header="882" w:top="1280" w:bottom="1320" w:left="980" w:right="0"/>
          <w:pgNumType w:start="141"/>
        </w:sectPr>
      </w:pPr>
    </w:p>
    <w:p>
      <w:pPr>
        <w:spacing w:line="240" w:lineRule="auto" w:before="8"/>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820"/>
        <w:gridCol w:w="1315"/>
        <w:gridCol w:w="238"/>
        <w:gridCol w:w="235"/>
        <w:gridCol w:w="235"/>
        <w:gridCol w:w="1318"/>
        <w:gridCol w:w="1181"/>
        <w:gridCol w:w="235"/>
        <w:gridCol w:w="235"/>
        <w:gridCol w:w="1092"/>
        <w:gridCol w:w="1181"/>
        <w:gridCol w:w="293"/>
        <w:gridCol w:w="1318"/>
      </w:tblGrid>
      <w:tr>
        <w:trPr>
          <w:trHeight w:val="314" w:hRule="exact"/>
        </w:trPr>
        <w:tc>
          <w:tcPr>
            <w:tcW w:w="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资本</w:t>
            </w:r>
          </w:p>
        </w:tc>
        <w:tc>
          <w:tcPr>
            <w:tcW w:w="131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9"/>
              <w:ind w:left="44" w:right="19" w:hanging="22"/>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．股份支</w:t>
            </w:r>
            <w:r>
              <w:rPr>
                <w:rFonts w:ascii="宋体" w:hAnsi="宋体" w:cs="宋体" w:eastAsia="宋体" w:hint="default"/>
                <w:sz w:val="18"/>
                <w:szCs w:val="18"/>
              </w:rPr>
              <w:t> 付计入所 有者权益 的金额</w:t>
            </w:r>
          </w:p>
        </w:tc>
        <w:tc>
          <w:tcPr>
            <w:tcW w:w="131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-72,020,080.93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-57,579,076.63</w:t>
            </w: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-14,441,004.30</w:t>
            </w:r>
          </w:p>
        </w:tc>
      </w:tr>
      <w:tr>
        <w:trPr>
          <w:trHeight w:val="386" w:hRule="exact"/>
        </w:trPr>
        <w:tc>
          <w:tcPr>
            <w:tcW w:w="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-6,358,022.00</w:t>
            </w:r>
            <w:r>
              <w:rPr>
                <w:rFonts w:ascii="Times New Roman"/>
                <w:sz w:val="18"/>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-6,358,022.00</w:t>
            </w:r>
            <w:r>
              <w:rPr>
                <w:rFonts w:ascii="Times New Roman"/>
                <w:sz w:val="18"/>
              </w:rPr>
            </w:r>
          </w:p>
        </w:tc>
      </w:tr>
      <w:tr>
        <w:trPr>
          <w:trHeight w:val="622" w:hRule="exact"/>
        </w:trPr>
        <w:tc>
          <w:tcPr>
            <w:tcW w:w="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33" w:right="43" w:hanging="89"/>
              <w:jc w:val="left"/>
              <w:rPr>
                <w:rFonts w:ascii="宋体" w:hAnsi="宋体" w:cs="宋体" w:eastAsia="宋体" w:hint="default"/>
                <w:sz w:val="18"/>
                <w:szCs w:val="18"/>
              </w:rPr>
            </w:pPr>
            <w:r>
              <w:rPr>
                <w:rFonts w:ascii="宋体" w:hAnsi="宋体" w:cs="宋体" w:eastAsia="宋体" w:hint="default"/>
                <w:sz w:val="18"/>
                <w:szCs w:val="18"/>
              </w:rPr>
              <w:t>（三）利 润分配</w:t>
            </w:r>
          </w:p>
        </w:tc>
        <w:tc>
          <w:tcPr>
            <w:tcW w:w="131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10,675,153.36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-92,270,398.97</w:t>
            </w: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-81,595,245.61</w:t>
            </w:r>
          </w:p>
        </w:tc>
      </w:tr>
      <w:tr>
        <w:trPr>
          <w:trHeight w:val="619" w:hRule="exact"/>
        </w:trPr>
        <w:tc>
          <w:tcPr>
            <w:tcW w:w="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33" w:right="19" w:hanging="11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．提取盈</w:t>
            </w:r>
            <w:r>
              <w:rPr>
                <w:rFonts w:ascii="宋体" w:hAnsi="宋体" w:cs="宋体" w:eastAsia="宋体" w:hint="default"/>
                <w:sz w:val="18"/>
                <w:szCs w:val="18"/>
              </w:rPr>
              <w:t> 余公积</w:t>
            </w:r>
          </w:p>
        </w:tc>
        <w:tc>
          <w:tcPr>
            <w:tcW w:w="131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10,675,153.36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-10,675,153.36</w:t>
            </w: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9"/>
              <w:ind w:left="22" w:right="19"/>
              <w:jc w:val="center"/>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．对所有</w:t>
            </w:r>
            <w:r>
              <w:rPr>
                <w:rFonts w:ascii="宋体" w:hAnsi="宋体" w:cs="宋体" w:eastAsia="宋体" w:hint="default"/>
                <w:sz w:val="18"/>
                <w:szCs w:val="18"/>
              </w:rPr>
              <w:t> 者（或股 东）的分 配</w:t>
            </w:r>
          </w:p>
        </w:tc>
        <w:tc>
          <w:tcPr>
            <w:tcW w:w="131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5" w:right="0"/>
              <w:jc w:val="center"/>
              <w:rPr>
                <w:rFonts w:ascii="Times New Roman" w:hAnsi="Times New Roman" w:cs="Times New Roman" w:eastAsia="Times New Roman" w:hint="default"/>
                <w:sz w:val="18"/>
                <w:szCs w:val="18"/>
              </w:rPr>
            </w:pPr>
            <w:r>
              <w:rPr>
                <w:rFonts w:ascii="Times New Roman"/>
                <w:sz w:val="18"/>
              </w:rPr>
              <w:t>-81,595,245.61</w:t>
            </w: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-81,595,245.61</w:t>
            </w:r>
          </w:p>
        </w:tc>
      </w:tr>
      <w:tr>
        <w:trPr>
          <w:trHeight w:val="854" w:hRule="exact"/>
        </w:trPr>
        <w:tc>
          <w:tcPr>
            <w:tcW w:w="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44"/>
              <w:ind w:left="44" w:right="43"/>
              <w:jc w:val="both"/>
              <w:rPr>
                <w:rFonts w:ascii="宋体" w:hAnsi="宋体" w:cs="宋体" w:eastAsia="宋体" w:hint="default"/>
                <w:sz w:val="18"/>
                <w:szCs w:val="18"/>
              </w:rPr>
            </w:pPr>
            <w:r>
              <w:rPr>
                <w:rFonts w:ascii="宋体" w:hAnsi="宋体" w:cs="宋体" w:eastAsia="宋体" w:hint="default"/>
                <w:sz w:val="18"/>
                <w:szCs w:val="18"/>
              </w:rPr>
              <w:t>（四）所 有者权益 内部结转</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6"/>
              <w:jc w:val="right"/>
              <w:rPr>
                <w:rFonts w:ascii="Times New Roman" w:hAnsi="Times New Roman" w:cs="Times New Roman" w:eastAsia="Times New Roman" w:hint="default"/>
                <w:sz w:val="18"/>
                <w:szCs w:val="18"/>
              </w:rPr>
            </w:pPr>
            <w:r>
              <w:rPr>
                <w:rFonts w:ascii="Times New Roman"/>
                <w:spacing w:val="-1"/>
                <w:sz w:val="18"/>
              </w:rPr>
              <w:t>582,823,940.00</w:t>
            </w:r>
            <w:r>
              <w:rPr>
                <w:rFonts w:ascii="Times New Roman"/>
                <w:sz w:val="18"/>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77" w:right="0"/>
              <w:jc w:val="center"/>
              <w:rPr>
                <w:rFonts w:ascii="Times New Roman" w:hAnsi="Times New Roman" w:cs="Times New Roman" w:eastAsia="Times New Roman" w:hint="default"/>
                <w:sz w:val="18"/>
                <w:szCs w:val="18"/>
              </w:rPr>
            </w:pPr>
            <w:r>
              <w:rPr>
                <w:rFonts w:ascii="Times New Roman"/>
                <w:sz w:val="18"/>
              </w:rPr>
              <w:t>-582,823,940.00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087" w:hRule="exact"/>
        </w:trPr>
        <w:tc>
          <w:tcPr>
            <w:tcW w:w="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auto" w:before="48"/>
              <w:ind w:left="22" w:right="19"/>
              <w:jc w:val="center"/>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．资本公</w:t>
            </w:r>
            <w:r>
              <w:rPr>
                <w:rFonts w:ascii="宋体" w:hAnsi="宋体" w:cs="宋体" w:eastAsia="宋体" w:hint="default"/>
                <w:sz w:val="18"/>
                <w:szCs w:val="18"/>
              </w:rPr>
              <w:t> 积转增资 本（或股 本）</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582,823,940.00</w:t>
            </w:r>
            <w:r>
              <w:rPr>
                <w:rFonts w:ascii="Times New Roman"/>
                <w:sz w:val="18"/>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-582,823,940.00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9"/>
              <w:ind w:left="22" w:right="19"/>
              <w:jc w:val="center"/>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．盈余公</w:t>
            </w:r>
            <w:r>
              <w:rPr>
                <w:rFonts w:ascii="宋体" w:hAnsi="宋体" w:cs="宋体" w:eastAsia="宋体" w:hint="default"/>
                <w:sz w:val="18"/>
                <w:szCs w:val="18"/>
              </w:rPr>
              <w:t> 积转增资 本（或股 本）</w:t>
            </w:r>
          </w:p>
        </w:tc>
        <w:tc>
          <w:tcPr>
            <w:tcW w:w="131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854" w:hRule="exact"/>
        </w:trPr>
        <w:tc>
          <w:tcPr>
            <w:tcW w:w="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22" w:right="19"/>
              <w:jc w:val="center"/>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．盈余公</w:t>
            </w:r>
            <w:r>
              <w:rPr>
                <w:rFonts w:ascii="宋体" w:hAnsi="宋体" w:cs="宋体" w:eastAsia="宋体" w:hint="default"/>
                <w:sz w:val="18"/>
                <w:szCs w:val="18"/>
              </w:rPr>
              <w:t> 积弥补亏 损</w:t>
            </w:r>
          </w:p>
        </w:tc>
        <w:tc>
          <w:tcPr>
            <w:tcW w:w="131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087" w:hRule="exact"/>
        </w:trPr>
        <w:tc>
          <w:tcPr>
            <w:tcW w:w="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auto" w:before="48"/>
              <w:ind w:left="44" w:right="19" w:hanging="22"/>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．设定受</w:t>
            </w:r>
            <w:r>
              <w:rPr>
                <w:rFonts w:ascii="宋体" w:hAnsi="宋体" w:cs="宋体" w:eastAsia="宋体" w:hint="default"/>
                <w:sz w:val="18"/>
                <w:szCs w:val="18"/>
              </w:rPr>
              <w:t> 益计划变 动额结转 留存收益</w:t>
            </w:r>
          </w:p>
        </w:tc>
        <w:tc>
          <w:tcPr>
            <w:tcW w:w="131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087" w:hRule="exact"/>
        </w:trPr>
        <w:tc>
          <w:tcPr>
            <w:tcW w:w="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auto" w:before="48"/>
              <w:ind w:left="22" w:right="19"/>
              <w:jc w:val="center"/>
              <w:rPr>
                <w:rFonts w:ascii="宋体" w:hAnsi="宋体" w:cs="宋体" w:eastAsia="宋体" w:hint="default"/>
                <w:sz w:val="18"/>
                <w:szCs w:val="18"/>
              </w:rPr>
            </w:pP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．其他综</w:t>
            </w:r>
            <w:r>
              <w:rPr>
                <w:rFonts w:ascii="宋体" w:hAnsi="宋体" w:cs="宋体" w:eastAsia="宋体" w:hint="default"/>
                <w:sz w:val="18"/>
                <w:szCs w:val="18"/>
              </w:rPr>
              <w:t> 合收益结 转留存收 益</w:t>
            </w:r>
          </w:p>
        </w:tc>
        <w:tc>
          <w:tcPr>
            <w:tcW w:w="131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9"/>
              <w:ind w:left="133" w:right="43" w:hanging="89"/>
              <w:jc w:val="left"/>
              <w:rPr>
                <w:rFonts w:ascii="宋体" w:hAnsi="宋体" w:cs="宋体" w:eastAsia="宋体" w:hint="default"/>
                <w:sz w:val="18"/>
                <w:szCs w:val="18"/>
              </w:rPr>
            </w:pPr>
            <w:r>
              <w:rPr>
                <w:rFonts w:ascii="宋体" w:hAnsi="宋体" w:cs="宋体" w:eastAsia="宋体" w:hint="default"/>
                <w:sz w:val="18"/>
                <w:szCs w:val="18"/>
              </w:rPr>
              <w:t>（五）专 项储备</w:t>
            </w:r>
          </w:p>
        </w:tc>
        <w:tc>
          <w:tcPr>
            <w:tcW w:w="131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6" w:lineRule="exact" w:before="63"/>
              <w:ind w:left="313" w:right="19" w:hanging="29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．本期提</w:t>
            </w:r>
            <w:r>
              <w:rPr>
                <w:rFonts w:ascii="宋体" w:hAnsi="宋体" w:cs="宋体" w:eastAsia="宋体" w:hint="default"/>
                <w:sz w:val="18"/>
                <w:szCs w:val="18"/>
              </w:rPr>
              <w:t> 取</w:t>
            </w:r>
          </w:p>
        </w:tc>
        <w:tc>
          <w:tcPr>
            <w:tcW w:w="131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622" w:hRule="exact"/>
        </w:trPr>
        <w:tc>
          <w:tcPr>
            <w:tcW w:w="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313" w:right="19" w:hanging="29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．本期使</w:t>
            </w:r>
            <w:r>
              <w:rPr>
                <w:rFonts w:ascii="宋体" w:hAnsi="宋体" w:cs="宋体" w:eastAsia="宋体" w:hint="default"/>
                <w:sz w:val="18"/>
                <w:szCs w:val="18"/>
              </w:rPr>
              <w:t> 用</w:t>
            </w:r>
          </w:p>
        </w:tc>
        <w:tc>
          <w:tcPr>
            <w:tcW w:w="131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619" w:hRule="exact"/>
        </w:trPr>
        <w:tc>
          <w:tcPr>
            <w:tcW w:w="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313" w:right="43" w:hanging="269"/>
              <w:jc w:val="left"/>
              <w:rPr>
                <w:rFonts w:ascii="宋体" w:hAnsi="宋体" w:cs="宋体" w:eastAsia="宋体" w:hint="default"/>
                <w:sz w:val="18"/>
                <w:szCs w:val="18"/>
              </w:rPr>
            </w:pPr>
            <w:r>
              <w:rPr>
                <w:rFonts w:ascii="宋体" w:hAnsi="宋体" w:cs="宋体" w:eastAsia="宋体" w:hint="default"/>
                <w:sz w:val="18"/>
                <w:szCs w:val="18"/>
              </w:rPr>
              <w:t>（六）其 他</w:t>
            </w:r>
          </w:p>
        </w:tc>
        <w:tc>
          <w:tcPr>
            <w:tcW w:w="131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四、本期</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Times New Roman" w:hAnsi="Times New Roman" w:cs="Times New Roman" w:eastAsia="Times New Roman" w:hint="default"/>
                <w:sz w:val="18"/>
                <w:szCs w:val="18"/>
              </w:rPr>
            </w:pPr>
            <w:r>
              <w:rPr>
                <w:rFonts w:ascii="Times New Roman"/>
                <w:spacing w:val="-1"/>
                <w:sz w:val="18"/>
              </w:rPr>
              <w:t>1,748,662,113.00</w:t>
            </w: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18"/>
                <w:szCs w:val="18"/>
              </w:rPr>
            </w:pPr>
            <w:r>
              <w:rPr>
                <w:rFonts w:ascii="Times New Roman"/>
                <w:sz w:val="18"/>
              </w:rPr>
              <w:t>2,463,851,905.08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Times New Roman"/>
                <w:sz w:val="18"/>
              </w:rPr>
              <w:t>194,948,400.37</w:t>
            </w: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Times New Roman" w:hAnsi="Times New Roman" w:cs="Times New Roman" w:eastAsia="Times New Roman" w:hint="default"/>
                <w:sz w:val="18"/>
                <w:szCs w:val="18"/>
              </w:rPr>
            </w:pPr>
            <w:r>
              <w:rPr>
                <w:rFonts w:ascii="Times New Roman"/>
                <w:spacing w:val="-1"/>
                <w:sz w:val="18"/>
              </w:rPr>
              <w:t>50,173,507.71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 w:right="0"/>
              <w:jc w:val="center"/>
              <w:rPr>
                <w:rFonts w:ascii="Times New Roman" w:hAnsi="Times New Roman" w:cs="Times New Roman" w:eastAsia="Times New Roman" w:hint="default"/>
                <w:sz w:val="18"/>
                <w:szCs w:val="18"/>
              </w:rPr>
            </w:pPr>
            <w:r>
              <w:rPr>
                <w:rFonts w:ascii="Times New Roman"/>
                <w:sz w:val="18"/>
              </w:rPr>
              <w:t>200,619,542.51</w:t>
            </w: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4,268,358,667.93</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820"/>
        <w:gridCol w:w="1315"/>
        <w:gridCol w:w="238"/>
        <w:gridCol w:w="235"/>
        <w:gridCol w:w="235"/>
        <w:gridCol w:w="1318"/>
        <w:gridCol w:w="1181"/>
        <w:gridCol w:w="235"/>
        <w:gridCol w:w="235"/>
        <w:gridCol w:w="1092"/>
        <w:gridCol w:w="1181"/>
        <w:gridCol w:w="293"/>
        <w:gridCol w:w="1318"/>
      </w:tblGrid>
      <w:tr>
        <w:trPr>
          <w:trHeight w:val="317" w:hRule="exact"/>
        </w:trPr>
        <w:tc>
          <w:tcPr>
            <w:tcW w:w="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1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4" w:top="1280" w:bottom="1320" w:left="980" w:right="0"/>
        </w:sectPr>
      </w:pPr>
    </w:p>
    <w:p>
      <w:pPr>
        <w:pStyle w:val="Heading2"/>
        <w:spacing w:line="240" w:lineRule="auto" w:before="106"/>
        <w:ind w:right="1127"/>
        <w:jc w:val="left"/>
        <w:rPr>
          <w:b w:val="0"/>
          <w:bCs w:val="0"/>
        </w:rPr>
      </w:pPr>
      <w:bookmarkStart w:name="三、公司基本情况" w:id="276"/>
      <w:bookmarkEnd w:id="276"/>
      <w:r>
        <w:rPr>
          <w:b w:val="0"/>
          <w:bCs w:val="0"/>
        </w:rPr>
      </w:r>
      <w:r>
        <w:rPr/>
        <w:t>三、公司基本情况</w:t>
      </w:r>
      <w:r>
        <w:rPr>
          <w:b w:val="0"/>
          <w:bCs w:val="0"/>
        </w:rPr>
      </w:r>
    </w:p>
    <w:p>
      <w:pPr>
        <w:spacing w:line="240" w:lineRule="auto" w:before="3"/>
        <w:rPr>
          <w:rFonts w:ascii="宋体" w:hAnsi="宋体" w:cs="宋体" w:eastAsia="宋体" w:hint="default"/>
          <w:b/>
          <w:bCs/>
          <w:sz w:val="23"/>
          <w:szCs w:val="23"/>
        </w:rPr>
      </w:pPr>
    </w:p>
    <w:p>
      <w:pPr>
        <w:pStyle w:val="BodyText"/>
        <w:spacing w:line="336" w:lineRule="auto"/>
        <w:ind w:left="152" w:right="1128" w:firstLine="420"/>
        <w:jc w:val="both"/>
      </w:pPr>
      <w:r>
        <w:rPr/>
        <w:t>北京旋极信息技术股份有限公司（以下简称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旋极信息</w:t>
      </w:r>
      <w:r>
        <w:rPr>
          <w:rFonts w:ascii="Times New Roman" w:hAnsi="Times New Roman" w:cs="Times New Roman" w:eastAsia="Times New Roman" w:hint="default"/>
        </w:rPr>
        <w:t>”</w:t>
      </w:r>
      <w:r>
        <w:rPr/>
        <w:t>）系于</w:t>
      </w:r>
      <w:r>
        <w:rPr>
          <w:spacing w:val="-3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3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月经原</w:t>
      </w:r>
      <w:r>
        <w:rPr>
          <w:w w:val="100"/>
        </w:rPr>
        <w:t> </w:t>
      </w:r>
      <w:r>
        <w:rPr>
          <w:spacing w:val="-2"/>
        </w:rPr>
        <w:t>北京旋极信息技术有限公司整体变更设立。公司的企业法人营业执照注册号：</w:t>
      </w:r>
      <w:r>
        <w:rPr>
          <w:rFonts w:ascii="Times New Roman" w:hAnsi="Times New Roman" w:cs="Times New Roman" w:eastAsia="Times New Roman" w:hint="default"/>
          <w:spacing w:val="-2"/>
        </w:rPr>
        <w:t>911100006336942335</w:t>
      </w:r>
      <w:r>
        <w:rPr>
          <w:spacing w:val="-2"/>
        </w:rPr>
        <w:t>。</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w w:val="100"/>
        </w:rPr>
        <w:t>年</w:t>
      </w:r>
      <w:r>
        <w:rPr>
          <w:spacing w:val="-52"/>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11"/>
          <w:w w:val="100"/>
        </w:rPr>
        <w:t> </w:t>
      </w:r>
      <w:r>
        <w:rPr>
          <w:spacing w:val="-6"/>
          <w:w w:val="100"/>
        </w:rPr>
        <w:t>月在深圳证券交易所上市，股票代码：</w:t>
      </w:r>
      <w:r>
        <w:rPr>
          <w:rFonts w:ascii="Times New Roman" w:hAnsi="Times New Roman" w:cs="Times New Roman" w:eastAsia="Times New Roman" w:hint="default"/>
          <w:spacing w:val="-6"/>
          <w:w w:val="100"/>
        </w:rPr>
        <w:t>300324</w:t>
      </w:r>
      <w:r>
        <w:rPr>
          <w:spacing w:val="-6"/>
          <w:w w:val="100"/>
        </w:rPr>
        <w:t>。所属行业为软件和信息技术服务业类（</w:t>
      </w:r>
      <w:r>
        <w:rPr>
          <w:rFonts w:ascii="Times New Roman" w:hAnsi="Times New Roman" w:cs="Times New Roman" w:eastAsia="Times New Roman" w:hint="default"/>
          <w:spacing w:val="-6"/>
          <w:w w:val="100"/>
        </w:rPr>
        <w:t>I65</w:t>
      </w:r>
      <w:r>
        <w:rPr>
          <w:spacing w:val="-6"/>
          <w:w w:val="100"/>
        </w:rPr>
        <w:t>）。</w:t>
      </w:r>
      <w:r>
        <w:rPr>
          <w:w w:val="100"/>
        </w:rPr>
      </w:r>
    </w:p>
    <w:p>
      <w:pPr>
        <w:pStyle w:val="BodyText"/>
        <w:spacing w:line="240" w:lineRule="auto" w:before="127"/>
        <w:ind w:right="0"/>
        <w:jc w:val="left"/>
        <w:rPr>
          <w:rFonts w:ascii="Times New Roman" w:hAnsi="Times New Roman" w:cs="Times New Roman" w:eastAsia="Times New Roman" w:hint="default"/>
        </w:rPr>
      </w:pPr>
      <w:r>
        <w:rPr>
          <w:w w:val="100"/>
        </w:rPr>
        <w:t>截至</w:t>
      </w:r>
      <w:r>
        <w:rPr>
          <w:spacing w:val="-60"/>
        </w:rPr>
        <w:t> </w:t>
      </w:r>
      <w:r>
        <w:rPr>
          <w:rFonts w:ascii="Times New Roman" w:hAnsi="Times New Roman" w:cs="Times New Roman" w:eastAsia="Times New Roman" w:hint="default"/>
          <w:w w:val="100"/>
        </w:rPr>
        <w:t>2019</w:t>
      </w:r>
      <w:r>
        <w:rPr>
          <w:rFonts w:ascii="Times New Roman" w:hAnsi="Times New Roman" w:cs="Times New Roman" w:eastAsia="Times New Roman" w:hint="default"/>
          <w:spacing w:val="-12"/>
        </w:rPr>
        <w:t> </w:t>
      </w:r>
      <w:r>
        <w:rPr>
          <w:w w:val="100"/>
        </w:rPr>
        <w:t>年</w:t>
      </w:r>
      <w:r>
        <w:rPr>
          <w:spacing w:val="-62"/>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2"/>
        </w:rPr>
        <w:t> </w:t>
      </w:r>
      <w:r>
        <w:rPr>
          <w:w w:val="100"/>
        </w:rPr>
        <w:t>月</w:t>
      </w:r>
      <w:r>
        <w:rPr>
          <w:spacing w:val="-6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5"/>
        </w:rPr>
        <w:t> </w:t>
      </w:r>
      <w:r>
        <w:rPr>
          <w:w w:val="100"/>
        </w:rPr>
        <w:t>日</w:t>
      </w:r>
      <w:r>
        <w:rPr>
          <w:spacing w:val="-3"/>
          <w:w w:val="100"/>
        </w:rPr>
        <w:t>止</w:t>
      </w:r>
      <w:r>
        <w:rPr>
          <w:spacing w:val="-106"/>
          <w:w w:val="100"/>
        </w:rPr>
        <w:t>，</w:t>
      </w:r>
      <w:r>
        <w:rPr>
          <w:w w:val="100"/>
        </w:rPr>
        <w:t>本</w:t>
      </w:r>
      <w:r>
        <w:rPr>
          <w:spacing w:val="-3"/>
          <w:w w:val="100"/>
        </w:rPr>
        <w:t>公</w:t>
      </w:r>
      <w:r>
        <w:rPr>
          <w:w w:val="100"/>
        </w:rPr>
        <w:t>司</w:t>
      </w:r>
      <w:r>
        <w:rPr>
          <w:spacing w:val="-3"/>
          <w:w w:val="100"/>
        </w:rPr>
        <w:t>累</w:t>
      </w:r>
      <w:r>
        <w:rPr>
          <w:w w:val="100"/>
        </w:rPr>
        <w:t>计</w:t>
      </w:r>
      <w:r>
        <w:rPr>
          <w:spacing w:val="-3"/>
          <w:w w:val="100"/>
        </w:rPr>
        <w:t>发</w:t>
      </w:r>
      <w:r>
        <w:rPr>
          <w:w w:val="100"/>
        </w:rPr>
        <w:t>行</w:t>
      </w:r>
      <w:r>
        <w:rPr>
          <w:spacing w:val="-3"/>
          <w:w w:val="100"/>
        </w:rPr>
        <w:t>股</w:t>
      </w:r>
      <w:r>
        <w:rPr>
          <w:w w:val="100"/>
        </w:rPr>
        <w:t>本</w:t>
      </w:r>
      <w:r>
        <w:rPr>
          <w:spacing w:val="-3"/>
          <w:w w:val="100"/>
        </w:rPr>
        <w:t>总</w:t>
      </w:r>
      <w:r>
        <w:rPr>
          <w:w w:val="100"/>
        </w:rPr>
        <w:t>数</w:t>
      </w:r>
      <w:r>
        <w:rPr>
          <w:spacing w:val="-60"/>
        </w:rPr>
        <w:t> </w:t>
      </w:r>
      <w:r>
        <w:rPr>
          <w:rFonts w:ascii="Times New Roman" w:hAnsi="Times New Roman" w:cs="Times New Roman" w:eastAsia="Times New Roman" w:hint="default"/>
          <w:w w:val="100"/>
        </w:rPr>
        <w:t>1,747</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134,</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95.00</w:t>
      </w:r>
      <w:r>
        <w:rPr>
          <w:rFonts w:ascii="Times New Roman" w:hAnsi="Times New Roman" w:cs="Times New Roman" w:eastAsia="Times New Roman" w:hint="default"/>
          <w:spacing w:val="-15"/>
        </w:rPr>
        <w:t> </w:t>
      </w:r>
      <w:r>
        <w:rPr>
          <w:w w:val="100"/>
        </w:rPr>
        <w:t>股</w:t>
      </w:r>
      <w:r>
        <w:rPr>
          <w:spacing w:val="-108"/>
          <w:w w:val="100"/>
        </w:rPr>
        <w:t>，</w:t>
      </w:r>
      <w:r>
        <w:rPr>
          <w:spacing w:val="-3"/>
          <w:w w:val="100"/>
        </w:rPr>
        <w:t>注</w:t>
      </w:r>
      <w:r>
        <w:rPr>
          <w:w w:val="100"/>
        </w:rPr>
        <w:t>册资</w:t>
      </w:r>
      <w:r>
        <w:rPr>
          <w:spacing w:val="-3"/>
          <w:w w:val="100"/>
        </w:rPr>
        <w:t>本</w:t>
      </w:r>
      <w:r>
        <w:rPr>
          <w:w w:val="100"/>
        </w:rPr>
        <w:t>为</w:t>
      </w:r>
      <w:r>
        <w:rPr>
          <w:spacing w:val="-60"/>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7,1</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4,59</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.00</w:t>
      </w:r>
    </w:p>
    <w:p>
      <w:pPr>
        <w:pStyle w:val="BodyText"/>
        <w:spacing w:line="240" w:lineRule="auto" w:before="117"/>
        <w:ind w:left="152" w:right="0"/>
        <w:jc w:val="left"/>
        <w:rPr>
          <w:rFonts w:ascii="Times New Roman" w:hAnsi="Times New Roman" w:cs="Times New Roman" w:eastAsia="Times New Roman" w:hint="default"/>
        </w:rPr>
      </w:pPr>
      <w:r>
        <w:rPr/>
        <w:t>元，注册地：北京市海淀区丰秀中路</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号院</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号楼</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层至</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层</w:t>
      </w:r>
      <w:r>
        <w:rPr>
          <w:spacing w:val="-44"/>
        </w:rPr>
        <w:t> </w:t>
      </w:r>
      <w:r>
        <w:rPr>
          <w:rFonts w:ascii="Times New Roman" w:hAnsi="Times New Roman" w:cs="Times New Roman" w:eastAsia="Times New Roman" w:hint="default"/>
          <w:spacing w:val="-3"/>
        </w:rPr>
        <w:t>101</w:t>
      </w:r>
      <w:r>
        <w:rPr>
          <w:spacing w:val="-3"/>
        </w:rPr>
        <w:t>，总部地址：北京市海淀区丰秀中路</w:t>
      </w:r>
      <w:r>
        <w:rPr>
          <w:spacing w:val="-49"/>
        </w:rPr>
        <w:t> </w:t>
      </w:r>
      <w:r>
        <w:rPr>
          <w:rFonts w:ascii="Times New Roman" w:hAnsi="Times New Roman" w:cs="Times New Roman" w:eastAsia="Times New Roman" w:hint="default"/>
        </w:rPr>
        <w:t>3</w:t>
      </w:r>
    </w:p>
    <w:p>
      <w:pPr>
        <w:pStyle w:val="BodyText"/>
        <w:spacing w:line="240" w:lineRule="auto" w:before="115"/>
        <w:ind w:left="152" w:right="1127"/>
        <w:jc w:val="left"/>
      </w:pPr>
      <w:r>
        <w:rPr/>
        <w:t>号院</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号楼。</w:t>
      </w:r>
    </w:p>
    <w:p>
      <w:pPr>
        <w:spacing w:line="240" w:lineRule="auto" w:before="11"/>
        <w:rPr>
          <w:rFonts w:ascii="宋体" w:hAnsi="宋体" w:cs="宋体" w:eastAsia="宋体" w:hint="default"/>
          <w:sz w:val="16"/>
          <w:szCs w:val="16"/>
        </w:rPr>
      </w:pPr>
    </w:p>
    <w:p>
      <w:pPr>
        <w:pStyle w:val="BodyText"/>
        <w:spacing w:line="350" w:lineRule="auto"/>
        <w:ind w:left="152" w:right="0" w:firstLine="420"/>
        <w:jc w:val="left"/>
      </w:pPr>
      <w:r>
        <w:rPr>
          <w:spacing w:val="-2"/>
        </w:rPr>
        <w:t>本公司主要经营活动为：技术开发、技术转让、技术咨询、技术服务；销售开发后的产品（未经专项</w:t>
      </w:r>
      <w:r>
        <w:rPr>
          <w:w w:val="100"/>
        </w:rPr>
        <w:t> </w:t>
      </w:r>
      <w:r>
        <w:rPr>
          <w:spacing w:val="-2"/>
          <w:w w:val="100"/>
        </w:rPr>
        <w:t>许可的项目除外）、电子计算机及外部设备、机械电器设备、文化办公设备、通讯设备、化工轻工材料、</w:t>
      </w:r>
      <w:r>
        <w:rPr>
          <w:spacing w:val="-94"/>
          <w:w w:val="100"/>
        </w:rPr>
        <w:t> </w:t>
      </w:r>
      <w:r>
        <w:rPr>
          <w:spacing w:val="-94"/>
          <w:w w:val="100"/>
        </w:rPr>
      </w:r>
      <w:r>
        <w:rPr>
          <w:spacing w:val="-2"/>
        </w:rPr>
        <w:t>建筑材料、安全技术防范产品；承接计算机系统网络工程；自营和代理各类商品及技术的进出口，但国家</w:t>
      </w:r>
      <w:r>
        <w:rPr>
          <w:spacing w:val="-50"/>
        </w:rPr>
        <w:t> </w:t>
      </w:r>
      <w:r>
        <w:rPr>
          <w:spacing w:val="-50"/>
        </w:rPr>
      </w:r>
      <w:r>
        <w:rPr/>
        <w:t>限定公司经营或禁止进出口的商品和技术除外；机动车公共停车场服务；生产 </w:t>
      </w:r>
      <w:r>
        <w:rPr>
          <w:rFonts w:ascii="Times New Roman" w:hAnsi="Times New Roman" w:cs="Times New Roman" w:eastAsia="Times New Roman" w:hint="default"/>
        </w:rPr>
        <w:t>IC</w:t>
      </w:r>
      <w:r>
        <w:rPr>
          <w:rFonts w:ascii="Times New Roman" w:hAnsi="Times New Roman" w:cs="Times New Roman" w:eastAsia="Times New Roman" w:hint="default"/>
          <w:spacing w:val="25"/>
        </w:rPr>
        <w:t> </w:t>
      </w:r>
      <w:r>
        <w:rPr/>
        <w:t>卡读写机具产品；销售</w:t>
      </w:r>
      <w:r>
        <w:rPr>
          <w:w w:val="100"/>
        </w:rPr>
        <w:t> </w:t>
      </w:r>
      <w:r>
        <w:rPr>
          <w:spacing w:val="-2"/>
        </w:rPr>
        <w:t>经国家密码管理局审批并通过指定检测机构产品质量检测的商用密码产品（国家密码管理机构实行定点生</w:t>
      </w:r>
      <w:r>
        <w:rPr>
          <w:spacing w:val="-42"/>
        </w:rPr>
        <w:t> </w:t>
      </w:r>
      <w:r>
        <w:rPr>
          <w:spacing w:val="-42"/>
        </w:rPr>
      </w:r>
      <w:r>
        <w:rPr>
          <w:spacing w:val="-2"/>
          <w:w w:val="100"/>
        </w:rPr>
        <w:t>产销售有效期至</w:t>
      </w:r>
      <w:r>
        <w:rPr>
          <w:spacing w:val="-51"/>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10"/>
          <w:w w:val="100"/>
        </w:rPr>
        <w:t> </w:t>
      </w:r>
      <w:r>
        <w:rPr>
          <w:w w:val="100"/>
        </w:rPr>
        <w:t>年</w:t>
      </w:r>
      <w:r>
        <w:rPr>
          <w:spacing w:val="-51"/>
          <w:w w:val="100"/>
        </w:rPr>
        <w:t> </w:t>
      </w:r>
      <w:r>
        <w:rPr>
          <w:rFonts w:ascii="Times New Roman" w:hAnsi="Times New Roman" w:cs="Times New Roman" w:eastAsia="Times New Roman" w:hint="default"/>
          <w:spacing w:val="-2"/>
          <w:w w:val="100"/>
        </w:rPr>
        <w:t>09</w:t>
      </w:r>
      <w:r>
        <w:rPr>
          <w:rFonts w:ascii="Times New Roman" w:hAnsi="Times New Roman" w:cs="Times New Roman" w:eastAsia="Times New Roman" w:hint="default"/>
          <w:spacing w:val="-8"/>
          <w:w w:val="100"/>
        </w:rPr>
        <w:t> </w:t>
      </w:r>
      <w:r>
        <w:rPr>
          <w:w w:val="100"/>
        </w:rPr>
        <w:t>月</w:t>
      </w:r>
      <w:r>
        <w:rPr>
          <w:spacing w:val="-53"/>
          <w:w w:val="100"/>
        </w:rPr>
        <w:t> </w:t>
      </w:r>
      <w:r>
        <w:rPr>
          <w:rFonts w:ascii="Times New Roman" w:hAnsi="Times New Roman" w:cs="Times New Roman" w:eastAsia="Times New Roman" w:hint="default"/>
          <w:w w:val="100"/>
        </w:rPr>
        <w:t>21</w:t>
      </w:r>
      <w:r>
        <w:rPr>
          <w:rFonts w:ascii="Times New Roman" w:hAnsi="Times New Roman" w:cs="Times New Roman" w:eastAsia="Times New Roman" w:hint="default"/>
          <w:spacing w:val="-10"/>
          <w:w w:val="100"/>
        </w:rPr>
        <w:t> </w:t>
      </w:r>
      <w:r>
        <w:rPr>
          <w:spacing w:val="-14"/>
          <w:w w:val="100"/>
        </w:rPr>
        <w:t>日）。（企业依法自主选择经营项目，开展经营活动；依法须经批准的项目，</w:t>
      </w:r>
      <w:r>
        <w:rPr>
          <w:spacing w:val="-3"/>
          <w:w w:val="100"/>
        </w:rPr>
        <w:t> </w:t>
      </w:r>
      <w:r>
        <w:rPr>
          <w:spacing w:val="-2"/>
          <w:w w:val="100"/>
        </w:rPr>
        <w:t>经相关部门批准后依批准的内容开展经营活动；不得从事本市产业政策禁止和限制类项目的经营活动）。</w:t>
      </w:r>
      <w:r>
        <w:rPr>
          <w:spacing w:val="-94"/>
          <w:w w:val="100"/>
        </w:rPr>
        <w:t> </w:t>
      </w:r>
      <w:r>
        <w:rPr>
          <w:spacing w:val="-94"/>
          <w:w w:val="100"/>
        </w:rPr>
      </w:r>
      <w:r>
        <w:rPr/>
        <w:t>本公司的实际控制人为陈江涛。</w:t>
      </w:r>
    </w:p>
    <w:p>
      <w:pPr>
        <w:pStyle w:val="BodyText"/>
        <w:spacing w:line="336" w:lineRule="auto" w:before="139"/>
        <w:ind w:left="1285" w:right="1127"/>
        <w:jc w:val="left"/>
      </w:pPr>
      <w:r>
        <w:rPr/>
        <w:t>本财务报表业经公司董事会于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w:t>
      </w:r>
      <w:r>
        <w:rPr>
          <w:spacing w:val="-24"/>
        </w:rPr>
        <w:t> </w:t>
      </w:r>
      <w:r>
        <w:rPr/>
        <w:t>批准报出。</w:t>
      </w:r>
      <w:r>
        <w:rPr>
          <w:spacing w:val="-103"/>
        </w:rPr>
        <w:t> </w:t>
      </w:r>
      <w:r>
        <w:rPr>
          <w:spacing w:val="-103"/>
        </w:rPr>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日止，本公司合并财务报表范围内子公司如下：</w:t>
      </w:r>
    </w:p>
    <w:p>
      <w:pPr>
        <w:spacing w:line="240" w:lineRule="auto" w:before="0"/>
        <w:rPr>
          <w:rFonts w:ascii="宋体" w:hAnsi="宋体" w:cs="宋体" w:eastAsia="宋体" w:hint="default"/>
          <w:sz w:val="5"/>
          <w:szCs w:val="5"/>
        </w:rPr>
      </w:pPr>
    </w:p>
    <w:tbl>
      <w:tblPr>
        <w:tblW w:w="0" w:type="auto"/>
        <w:jc w:val="left"/>
        <w:tblInd w:w="2579" w:type="dxa"/>
        <w:tblLayout w:type="fixed"/>
        <w:tblCellMar>
          <w:top w:w="0" w:type="dxa"/>
          <w:left w:w="0" w:type="dxa"/>
          <w:bottom w:w="0" w:type="dxa"/>
          <w:right w:w="0" w:type="dxa"/>
        </w:tblCellMar>
        <w:tblLook w:val="01E0"/>
      </w:tblPr>
      <w:tblGrid>
        <w:gridCol w:w="4776"/>
      </w:tblGrid>
      <w:tr>
        <w:trPr>
          <w:trHeight w:val="396" w:hRule="exact"/>
        </w:trPr>
        <w:tc>
          <w:tcPr>
            <w:tcW w:w="477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413" w:hRule="exact"/>
        </w:trPr>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上海旋极信息技术有限公司</w:t>
            </w:r>
          </w:p>
        </w:tc>
      </w:tr>
      <w:tr>
        <w:trPr>
          <w:trHeight w:val="408" w:hRule="exact"/>
        </w:trPr>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成都旋极历通信息技术有限公司</w:t>
            </w:r>
          </w:p>
        </w:tc>
      </w:tr>
      <w:tr>
        <w:trPr>
          <w:trHeight w:val="408" w:hRule="exact"/>
        </w:trPr>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旋极国际（香港）有限公司</w:t>
            </w:r>
          </w:p>
        </w:tc>
      </w:tr>
      <w:tr>
        <w:trPr>
          <w:trHeight w:val="408" w:hRule="exact"/>
        </w:trPr>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北京中软金卡信息技术有限公司</w:t>
            </w:r>
          </w:p>
        </w:tc>
      </w:tr>
      <w:tr>
        <w:trPr>
          <w:trHeight w:val="406" w:hRule="exact"/>
        </w:trPr>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西安西谷微电子有限责任公司</w:t>
            </w:r>
          </w:p>
        </w:tc>
      </w:tr>
      <w:tr>
        <w:trPr>
          <w:trHeight w:val="408" w:hRule="exact"/>
        </w:trPr>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北京泰豪智能工程有限公司</w:t>
            </w:r>
          </w:p>
        </w:tc>
      </w:tr>
      <w:tr>
        <w:trPr>
          <w:trHeight w:val="408" w:hRule="exact"/>
        </w:trPr>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北京麦禾信通科技有限公司</w:t>
            </w:r>
          </w:p>
        </w:tc>
      </w:tr>
      <w:tr>
        <w:trPr>
          <w:trHeight w:val="408" w:hRule="exact"/>
        </w:trPr>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深圳市旋极历通科技有限公司</w:t>
            </w:r>
          </w:p>
        </w:tc>
      </w:tr>
      <w:tr>
        <w:trPr>
          <w:trHeight w:val="406" w:hRule="exact"/>
        </w:trPr>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赛瑞工信科技（北京）有限公司</w:t>
            </w:r>
          </w:p>
        </w:tc>
      </w:tr>
      <w:tr>
        <w:trPr>
          <w:trHeight w:val="408" w:hRule="exact"/>
        </w:trPr>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航泰恒通（北京）科技有限公司</w:t>
            </w:r>
          </w:p>
        </w:tc>
      </w:tr>
      <w:tr>
        <w:trPr>
          <w:trHeight w:val="408" w:hRule="exact"/>
        </w:trPr>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北京分贝海洋信息技术有限公司</w:t>
            </w:r>
          </w:p>
        </w:tc>
      </w:tr>
      <w:tr>
        <w:trPr>
          <w:trHeight w:val="408" w:hRule="exact"/>
        </w:trPr>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北京云网信服信息技术有限公司</w:t>
            </w:r>
          </w:p>
        </w:tc>
      </w:tr>
      <w:tr>
        <w:trPr>
          <w:trHeight w:val="406" w:hRule="exact"/>
        </w:trPr>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北京旋极伏羲大数据技术有限公司</w:t>
            </w:r>
          </w:p>
        </w:tc>
      </w:tr>
      <w:tr>
        <w:trPr>
          <w:trHeight w:val="408" w:hRule="exact"/>
        </w:trPr>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北京百旺金赋科技有限公司</w:t>
            </w:r>
          </w:p>
        </w:tc>
      </w:tr>
    </w:tbl>
    <w:p>
      <w:pPr>
        <w:spacing w:after="0" w:line="240" w:lineRule="auto"/>
        <w:jc w:val="center"/>
        <w:rPr>
          <w:rFonts w:ascii="宋体" w:hAnsi="宋体" w:cs="宋体" w:eastAsia="宋体"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2579" w:type="dxa"/>
        <w:tblLayout w:type="fixed"/>
        <w:tblCellMar>
          <w:top w:w="0" w:type="dxa"/>
          <w:left w:w="0" w:type="dxa"/>
          <w:bottom w:w="0" w:type="dxa"/>
          <w:right w:w="0" w:type="dxa"/>
        </w:tblCellMar>
        <w:tblLook w:val="01E0"/>
      </w:tblPr>
      <w:tblGrid>
        <w:gridCol w:w="4776"/>
      </w:tblGrid>
      <w:tr>
        <w:trPr>
          <w:trHeight w:val="408" w:hRule="exact"/>
        </w:trPr>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北京旋极百旺科技有限公司</w:t>
            </w:r>
          </w:p>
        </w:tc>
      </w:tr>
      <w:tr>
        <w:trPr>
          <w:trHeight w:val="408" w:hRule="exact"/>
        </w:trPr>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杭州百旺金赋科技有限公司</w:t>
            </w:r>
          </w:p>
        </w:tc>
      </w:tr>
      <w:tr>
        <w:trPr>
          <w:trHeight w:val="406" w:hRule="exact"/>
        </w:trPr>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宁波百旺金赋信息科技有限公司</w:t>
            </w:r>
          </w:p>
        </w:tc>
      </w:tr>
      <w:tr>
        <w:trPr>
          <w:trHeight w:val="408" w:hRule="exact"/>
        </w:trPr>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宁夏百旺金赋科技有限公司</w:t>
            </w:r>
          </w:p>
        </w:tc>
      </w:tr>
      <w:tr>
        <w:trPr>
          <w:trHeight w:val="408" w:hRule="exact"/>
        </w:trPr>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北京联合信标测试技术有限公司</w:t>
            </w:r>
          </w:p>
        </w:tc>
      </w:tr>
      <w:tr>
        <w:trPr>
          <w:trHeight w:val="408" w:hRule="exact"/>
        </w:trPr>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四川旋极智能信息技术有限公司</w:t>
            </w:r>
          </w:p>
        </w:tc>
      </w:tr>
    </w:tbl>
    <w:p>
      <w:pPr>
        <w:pStyle w:val="BodyText"/>
        <w:spacing w:line="240" w:lineRule="auto" w:before="64"/>
        <w:ind w:right="0"/>
        <w:jc w:val="left"/>
      </w:pPr>
      <w:r>
        <w:rPr>
          <w:spacing w:val="-4"/>
        </w:rPr>
        <w:t>本期合并财务报表范围及其变化情况详见本附注</w:t>
      </w:r>
      <w:r>
        <w:rPr>
          <w:rFonts w:ascii="Times New Roman" w:hAnsi="Times New Roman" w:cs="Times New Roman" w:eastAsia="Times New Roman" w:hint="default"/>
          <w:spacing w:val="-4"/>
        </w:rPr>
        <w:t>“</w:t>
      </w:r>
      <w:r>
        <w:rPr>
          <w:spacing w:val="-4"/>
        </w:rPr>
        <w:t>六、合并范围的变更</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七、在其他主体中的权益</w:t>
      </w:r>
      <w:r>
        <w:rPr>
          <w:rFonts w:ascii="Times New Roman" w:hAnsi="Times New Roman" w:cs="Times New Roman" w:eastAsia="Times New Roman" w:hint="default"/>
          <w:spacing w:val="-4"/>
        </w:rPr>
        <w:t>”</w:t>
      </w:r>
      <w:r>
        <w:rPr>
          <w:spacing w:val="-4"/>
        </w:rPr>
        <w:t>。</w:t>
      </w:r>
    </w:p>
    <w:p>
      <w:pPr>
        <w:spacing w:line="240" w:lineRule="auto" w:before="5"/>
        <w:rPr>
          <w:rFonts w:ascii="宋体" w:hAnsi="宋体" w:cs="宋体" w:eastAsia="宋体" w:hint="default"/>
          <w:sz w:val="31"/>
          <w:szCs w:val="31"/>
        </w:rPr>
      </w:pPr>
    </w:p>
    <w:p>
      <w:pPr>
        <w:pStyle w:val="Heading2"/>
        <w:spacing w:line="240" w:lineRule="auto"/>
        <w:ind w:right="1127"/>
        <w:jc w:val="left"/>
        <w:rPr>
          <w:b w:val="0"/>
          <w:bCs w:val="0"/>
        </w:rPr>
      </w:pPr>
      <w:bookmarkStart w:name="四、财务报表的编制基础" w:id="277"/>
      <w:bookmarkEnd w:id="277"/>
      <w:r>
        <w:rPr>
          <w:b w:val="0"/>
          <w:bCs w:val="0"/>
        </w:rPr>
      </w:r>
      <w:r>
        <w:rPr/>
        <w:t>四、财务报表的编制基础</w:t>
      </w:r>
      <w:r>
        <w:rPr>
          <w:b w:val="0"/>
          <w:bCs w:val="0"/>
        </w:rPr>
      </w:r>
    </w:p>
    <w:p>
      <w:pPr>
        <w:spacing w:line="240" w:lineRule="auto" w:before="6"/>
        <w:rPr>
          <w:rFonts w:ascii="宋体" w:hAnsi="宋体" w:cs="宋体" w:eastAsia="宋体" w:hint="default"/>
          <w:b/>
          <w:bCs/>
          <w:sz w:val="23"/>
          <w:szCs w:val="23"/>
        </w:rPr>
      </w:pPr>
    </w:p>
    <w:p>
      <w:pPr>
        <w:pStyle w:val="Heading4"/>
        <w:spacing w:line="240" w:lineRule="auto"/>
        <w:ind w:right="1127"/>
        <w:jc w:val="left"/>
        <w:rPr>
          <w:b w:val="0"/>
          <w:bCs w:val="0"/>
        </w:rPr>
      </w:pPr>
      <w:bookmarkStart w:name="1、编制基础" w:id="278"/>
      <w:bookmarkEnd w:id="27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1"/>
          <w:szCs w:val="21"/>
        </w:rPr>
      </w:pPr>
    </w:p>
    <w:p>
      <w:pPr>
        <w:pStyle w:val="BodyText"/>
        <w:spacing w:line="336" w:lineRule="auto"/>
        <w:ind w:left="152" w:right="1128" w:firstLine="419"/>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w:t>
      </w:r>
      <w:r>
        <w:rPr>
          <w:w w:val="100"/>
        </w:rPr>
        <w:t> </w:t>
      </w:r>
      <w:r>
        <w:rPr/>
        <w:t>则》和各项具体会计准则、企业会计准则应用指南、企业会计准则解释及其他相关规定（以下合称</w:t>
      </w:r>
      <w:r>
        <w:rPr>
          <w:rFonts w:ascii="Times New Roman" w:hAnsi="Times New Roman" w:cs="Times New Roman" w:eastAsia="Times New Roman" w:hint="default"/>
        </w:rPr>
        <w:t>“</w:t>
      </w:r>
      <w:r>
        <w:rPr/>
        <w:t>企业</w:t>
      </w:r>
      <w:r>
        <w:rPr>
          <w:spacing w:val="-18"/>
        </w:rPr>
        <w:t> </w:t>
      </w:r>
      <w:r>
        <w:rPr/>
        <w:t>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财务报</w:t>
      </w:r>
      <w:r>
        <w:rPr>
          <w:spacing w:val="-3"/>
          <w:w w:val="100"/>
        </w:rPr>
        <w:t> </w:t>
      </w:r>
      <w:r>
        <w:rPr/>
        <w:t>告的一般规定》的披露规定编制财务报表。</w:t>
      </w:r>
    </w:p>
    <w:p>
      <w:pPr>
        <w:spacing w:line="240" w:lineRule="auto" w:before="11"/>
        <w:rPr>
          <w:rFonts w:ascii="宋体" w:hAnsi="宋体" w:cs="宋体" w:eastAsia="宋体" w:hint="default"/>
          <w:sz w:val="26"/>
          <w:szCs w:val="26"/>
        </w:rPr>
      </w:pPr>
    </w:p>
    <w:p>
      <w:pPr>
        <w:pStyle w:val="Heading4"/>
        <w:spacing w:line="240" w:lineRule="auto"/>
        <w:ind w:left="153" w:right="1127"/>
        <w:jc w:val="left"/>
        <w:rPr>
          <w:b w:val="0"/>
          <w:bCs w:val="0"/>
        </w:rPr>
      </w:pPr>
      <w:bookmarkStart w:name="2、持续经营" w:id="279"/>
      <w:bookmarkEnd w:id="27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1127"/>
        <w:jc w:val="left"/>
      </w:pPr>
      <w:r>
        <w:rPr/>
        <w:t>公司自报告期末起</w:t>
      </w:r>
      <w:r>
        <w:rPr>
          <w:rFonts w:ascii="Times New Roman" w:hAnsi="Times New Roman" w:cs="Times New Roman" w:eastAsia="Times New Roman" w:hint="default"/>
        </w:rPr>
        <w:t>12</w:t>
      </w:r>
      <w:r>
        <w:rPr/>
        <w:t>个月内不存在可能导致对持续经营能力产生重大疑虑的事项或情况。</w:t>
      </w:r>
    </w:p>
    <w:p>
      <w:pPr>
        <w:spacing w:line="240" w:lineRule="auto" w:before="5"/>
        <w:rPr>
          <w:rFonts w:ascii="宋体" w:hAnsi="宋体" w:cs="宋体" w:eastAsia="宋体" w:hint="default"/>
          <w:sz w:val="31"/>
          <w:szCs w:val="31"/>
        </w:rPr>
      </w:pPr>
    </w:p>
    <w:p>
      <w:pPr>
        <w:pStyle w:val="Heading2"/>
        <w:spacing w:line="240" w:lineRule="auto"/>
        <w:ind w:right="1127"/>
        <w:jc w:val="left"/>
        <w:rPr>
          <w:b w:val="0"/>
          <w:bCs w:val="0"/>
        </w:rPr>
      </w:pPr>
      <w:bookmarkStart w:name="五、重要会计政策及会计估计" w:id="280"/>
      <w:bookmarkEnd w:id="280"/>
      <w:r>
        <w:rPr>
          <w:b w:val="0"/>
          <w:bCs w:val="0"/>
        </w:rPr>
      </w:r>
      <w:r>
        <w:rPr/>
        <w:t>五、重要会计政策及会计估计</w:t>
      </w:r>
      <w:r>
        <w:rPr>
          <w:b w:val="0"/>
          <w:bCs w:val="0"/>
        </w:rPr>
      </w:r>
    </w:p>
    <w:p>
      <w:pPr>
        <w:spacing w:line="240" w:lineRule="auto" w:before="1"/>
        <w:rPr>
          <w:rFonts w:ascii="宋体" w:hAnsi="宋体" w:cs="宋体" w:eastAsia="宋体" w:hint="default"/>
          <w:b/>
          <w:bCs/>
          <w:sz w:val="23"/>
          <w:szCs w:val="23"/>
        </w:rPr>
      </w:pPr>
    </w:p>
    <w:p>
      <w:pPr>
        <w:pStyle w:val="BodyText"/>
        <w:spacing w:line="446" w:lineRule="auto"/>
        <w:ind w:right="1127"/>
        <w:jc w:val="left"/>
      </w:pPr>
      <w:r>
        <w:rPr/>
        <w:t>具体会计政策和会计估计提示：</w:t>
      </w:r>
      <w:r>
        <w:rPr>
          <w:w w:val="100"/>
        </w:rPr>
        <w:t> </w:t>
      </w:r>
      <w:r>
        <w:rPr>
          <w:spacing w:val="-2"/>
        </w:rPr>
        <w:t>以下披露内容已涵盖了本公司根据实际生产经营特点制定的具体会计政策和会计估计。详见本附注</w:t>
      </w:r>
    </w:p>
    <w:p>
      <w:pPr>
        <w:pStyle w:val="BodyText"/>
        <w:spacing w:line="243" w:lineRule="exact"/>
        <w:ind w:left="152" w:right="1127"/>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五、（</w:t>
      </w:r>
      <w:r>
        <w:rPr>
          <w:rFonts w:ascii="Times New Roman" w:hAnsi="Times New Roman" w:cs="Times New Roman" w:eastAsia="Times New Roman" w:hint="default"/>
        </w:rPr>
        <w:t>39</w:t>
      </w:r>
      <w:r>
        <w:rPr/>
        <w:t>）收入</w:t>
      </w:r>
      <w:r>
        <w:rPr>
          <w:rFonts w:ascii="Times New Roman" w:hAnsi="Times New Roman" w:cs="Times New Roman" w:eastAsia="Times New Roman" w:hint="default"/>
        </w:rPr>
        <w:t>”</w:t>
      </w:r>
      <w:r>
        <w:rPr/>
        <w:t>。</w:t>
      </w:r>
    </w:p>
    <w:p>
      <w:pPr>
        <w:spacing w:line="570" w:lineRule="atLeast" w:before="138"/>
        <w:ind w:left="572" w:right="1127" w:hanging="420"/>
        <w:jc w:val="left"/>
        <w:rPr>
          <w:rFonts w:ascii="宋体" w:hAnsi="宋体" w:cs="宋体" w:eastAsia="宋体" w:hint="default"/>
          <w:sz w:val="21"/>
          <w:szCs w:val="21"/>
        </w:rPr>
      </w:pPr>
      <w:bookmarkStart w:name="1、遵循企业会计准则的声明" w:id="281"/>
      <w:bookmarkEnd w:id="28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本财务报表符合财政部颁布的企业会计准则的要求，真实、完整地反映了本公司</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日的合</w:t>
      </w:r>
    </w:p>
    <w:p>
      <w:pPr>
        <w:pStyle w:val="BodyText"/>
        <w:spacing w:line="240" w:lineRule="auto" w:before="119"/>
        <w:ind w:left="152" w:right="1127"/>
        <w:jc w:val="left"/>
      </w:pPr>
      <w:r>
        <w:rPr/>
        <w:t>并及母公司财务状况以及</w:t>
      </w:r>
      <w:r>
        <w:rPr>
          <w:rFonts w:ascii="Times New Roman" w:hAnsi="Times New Roman" w:cs="Times New Roman" w:eastAsia="Times New Roman" w:hint="default"/>
        </w:rPr>
        <w:t>2019</w:t>
      </w:r>
      <w:r>
        <w:rPr/>
        <w:t>年度的合并及母公司经营成果和现金流量。</w:t>
      </w:r>
    </w:p>
    <w:p>
      <w:pPr>
        <w:spacing w:line="240" w:lineRule="auto" w:before="12"/>
        <w:rPr>
          <w:rFonts w:ascii="宋体" w:hAnsi="宋体" w:cs="宋体" w:eastAsia="宋体" w:hint="default"/>
          <w:sz w:val="31"/>
          <w:szCs w:val="31"/>
        </w:rPr>
      </w:pPr>
    </w:p>
    <w:p>
      <w:pPr>
        <w:pStyle w:val="Heading4"/>
        <w:spacing w:line="240" w:lineRule="auto"/>
        <w:ind w:right="1127"/>
        <w:jc w:val="left"/>
        <w:rPr>
          <w:b w:val="0"/>
          <w:bCs w:val="0"/>
        </w:rPr>
      </w:pPr>
      <w:bookmarkStart w:name="2、会计期间" w:id="282"/>
      <w:bookmarkEnd w:id="28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1127"/>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12"/>
        <w:rPr>
          <w:rFonts w:ascii="宋体" w:hAnsi="宋体" w:cs="宋体" w:eastAsia="宋体" w:hint="default"/>
          <w:sz w:val="31"/>
          <w:szCs w:val="31"/>
        </w:rPr>
      </w:pPr>
    </w:p>
    <w:p>
      <w:pPr>
        <w:pStyle w:val="Heading4"/>
        <w:spacing w:line="240" w:lineRule="auto"/>
        <w:ind w:left="153" w:right="1127"/>
        <w:jc w:val="left"/>
        <w:rPr>
          <w:b w:val="0"/>
          <w:bCs w:val="0"/>
        </w:rPr>
      </w:pPr>
      <w:bookmarkStart w:name="3、营业周期" w:id="283"/>
      <w:bookmarkEnd w:id="28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1127"/>
        <w:jc w:val="left"/>
      </w:pPr>
      <w:r>
        <w:rPr/>
        <w:t>本公司营业周期为</w:t>
      </w:r>
      <w:r>
        <w:rPr>
          <w:rFonts w:ascii="Times New Roman" w:hAnsi="Times New Roman" w:cs="Times New Roman" w:eastAsia="Times New Roman" w:hint="default"/>
        </w:rPr>
        <w:t>12</w:t>
      </w:r>
      <w:r>
        <w:rPr/>
        <w:t>个月。</w:t>
      </w:r>
    </w:p>
    <w:p>
      <w:pPr>
        <w:spacing w:after="0" w:line="240" w:lineRule="auto"/>
        <w:jc w:val="left"/>
        <w:sectPr>
          <w:pgSz w:w="11910" w:h="16840"/>
          <w:pgMar w:header="882" w:footer="1134" w:top="1280" w:bottom="1320" w:left="980" w:right="0"/>
        </w:sectPr>
      </w:pPr>
    </w:p>
    <w:p>
      <w:pPr>
        <w:pStyle w:val="Heading4"/>
        <w:spacing w:line="240" w:lineRule="auto" w:before="112"/>
        <w:ind w:right="0"/>
        <w:jc w:val="both"/>
        <w:rPr>
          <w:b w:val="0"/>
          <w:bCs w:val="0"/>
        </w:rPr>
      </w:pPr>
      <w:bookmarkStart w:name="4、记账本位币" w:id="284"/>
      <w:bookmarkEnd w:id="28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1127"/>
        <w:jc w:val="left"/>
      </w:pPr>
      <w:r>
        <w:rPr/>
        <w:t>本公司采用人民币为记账本位币。</w:t>
      </w:r>
    </w:p>
    <w:p>
      <w:pPr>
        <w:spacing w:line="550" w:lineRule="atLeast" w:before="174"/>
        <w:ind w:left="572" w:right="1127" w:hanging="421"/>
        <w:jc w:val="left"/>
        <w:rPr>
          <w:rFonts w:ascii="宋体" w:hAnsi="宋体" w:cs="宋体" w:eastAsia="宋体" w:hint="default"/>
          <w:sz w:val="21"/>
          <w:szCs w:val="21"/>
        </w:rPr>
      </w:pPr>
      <w:bookmarkStart w:name="5、同一控制下和非同一控制下企业合并的会计处理方法" w:id="285"/>
      <w:bookmarkEnd w:id="28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同一控制下企业合并：合并方在企业合并中取得的资产和负债，按照合并日被合并方资产、负债（包</w:t>
      </w:r>
    </w:p>
    <w:p>
      <w:pPr>
        <w:pStyle w:val="BodyText"/>
        <w:spacing w:line="357" w:lineRule="auto" w:before="133"/>
        <w:ind w:left="152" w:right="1128"/>
        <w:jc w:val="both"/>
      </w:pPr>
      <w:r>
        <w:rPr>
          <w:spacing w:val="-2"/>
        </w:rPr>
        <w:t>括最终控制方收购被合并方而形成的商誉）在最终控制方合并财务报表中的账面价值计量。在合并中取得</w:t>
      </w:r>
      <w:r>
        <w:rPr>
          <w:spacing w:val="-42"/>
        </w:rPr>
        <w:t> </w:t>
      </w:r>
      <w:r>
        <w:rPr>
          <w:spacing w:val="-42"/>
        </w:rPr>
      </w:r>
      <w:r>
        <w:rPr>
          <w:spacing w:val="-2"/>
        </w:rPr>
        <w:t>的净资产账面价值与支付的合并对价账面价值（或发行股份面值总额）的差额，调整资本公积中的股本溢</w:t>
      </w:r>
      <w:r>
        <w:rPr>
          <w:spacing w:val="-42"/>
        </w:rPr>
        <w:t> </w:t>
      </w:r>
      <w:r>
        <w:rPr>
          <w:spacing w:val="-42"/>
        </w:rPr>
      </w:r>
      <w:r>
        <w:rPr/>
        <w:t>价，资本公积中的股本溢价不足冲减的，调整留存收益。</w:t>
      </w:r>
    </w:p>
    <w:p>
      <w:pPr>
        <w:pStyle w:val="BodyText"/>
        <w:spacing w:line="357" w:lineRule="auto" w:before="30"/>
        <w:ind w:left="152" w:right="1128" w:firstLine="420"/>
        <w:jc w:val="both"/>
      </w:pPr>
      <w:r>
        <w:rPr>
          <w:spacing w:val="-2"/>
        </w:rPr>
        <w:t>非同一控制下企业合并：购买方在购买日对作为企业合并对价付出的资产、发生或承担的负债按照公</w:t>
      </w:r>
      <w:r>
        <w:rPr>
          <w:w w:val="100"/>
        </w:rPr>
        <w:t> </w:t>
      </w:r>
      <w:r>
        <w:rPr>
          <w:spacing w:val="-2"/>
        </w:rPr>
        <w:t>允价值计量，公允价值与其账面价值的差额，计入当期损益。合并成本大于合并中取得的被购买方可辨认</w:t>
      </w:r>
      <w:r>
        <w:rPr>
          <w:spacing w:val="-43"/>
        </w:rPr>
        <w:t> </w:t>
      </w:r>
      <w:r>
        <w:rPr>
          <w:spacing w:val="-43"/>
        </w:rPr>
      </w:r>
      <w:r>
        <w:rPr>
          <w:spacing w:val="-2"/>
        </w:rPr>
        <w:t>净资产公允价值份额的差额，确认为商誉；合并成本小于合并中取得的被购买方可辨认净资产公允价值份</w:t>
      </w:r>
      <w:r>
        <w:rPr>
          <w:spacing w:val="-42"/>
        </w:rPr>
        <w:t> </w:t>
      </w:r>
      <w:r>
        <w:rPr>
          <w:spacing w:val="-42"/>
        </w:rPr>
      </w:r>
      <w:r>
        <w:rPr/>
        <w:t>额的差额，计入当期损益。</w:t>
      </w:r>
    </w:p>
    <w:p>
      <w:pPr>
        <w:pStyle w:val="BodyText"/>
        <w:spacing w:line="355" w:lineRule="auto" w:before="30"/>
        <w:ind w:left="152" w:right="1128" w:firstLine="420"/>
        <w:jc w:val="both"/>
      </w:pPr>
      <w:r>
        <w:rPr>
          <w:spacing w:val="-2"/>
        </w:rPr>
        <w:t>为企业合并发生的直接相关费用于发生时计入当期损益；为企业合并而发行权益性证券或债务性证券</w:t>
      </w:r>
      <w:r>
        <w:rPr>
          <w:w w:val="100"/>
        </w:rPr>
        <w:t> </w:t>
      </w:r>
      <w:r>
        <w:rPr/>
        <w:t>的交易费用，计入权益性证券或债务性证券的初始确认金额。</w:t>
      </w:r>
    </w:p>
    <w:p>
      <w:pPr>
        <w:spacing w:line="240" w:lineRule="auto" w:before="5"/>
        <w:rPr>
          <w:rFonts w:ascii="宋体" w:hAnsi="宋体" w:cs="宋体" w:eastAsia="宋体" w:hint="default"/>
          <w:sz w:val="25"/>
          <w:szCs w:val="25"/>
        </w:rPr>
      </w:pPr>
    </w:p>
    <w:p>
      <w:pPr>
        <w:pStyle w:val="Heading4"/>
        <w:spacing w:line="240" w:lineRule="auto"/>
        <w:ind w:right="0"/>
        <w:jc w:val="both"/>
        <w:rPr>
          <w:b w:val="0"/>
          <w:bCs w:val="0"/>
        </w:rPr>
      </w:pPr>
      <w:bookmarkStart w:name="6、合并财务报表的编制方法" w:id="286"/>
      <w:bookmarkEnd w:id="28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1"/>
          <w:szCs w:val="21"/>
        </w:rPr>
      </w:pPr>
    </w:p>
    <w:p>
      <w:pPr>
        <w:pStyle w:val="BodyText"/>
        <w:spacing w:line="336" w:lineRule="auto"/>
        <w:ind w:right="1127"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100"/>
        </w:rPr>
        <w:t> </w:t>
      </w:r>
      <w:r>
        <w:rPr>
          <w:spacing w:val="-2"/>
        </w:rPr>
        <w:t>本公司合并财务报表的合并范围以控制为基础确定，所有子公司（包括本公司所控制的被投资方可分</w:t>
      </w:r>
    </w:p>
    <w:p>
      <w:pPr>
        <w:pStyle w:val="BodyText"/>
        <w:spacing w:line="240" w:lineRule="auto" w:before="51"/>
        <w:ind w:left="152" w:right="0"/>
        <w:jc w:val="both"/>
      </w:pPr>
      <w:r>
        <w:rPr/>
        <w:t>割的部分）均纳入合并财务报表。</w:t>
      </w:r>
    </w:p>
    <w:p>
      <w:pPr>
        <w:pStyle w:val="BodyText"/>
        <w:spacing w:line="336" w:lineRule="auto" w:before="133"/>
        <w:ind w:left="649" w:right="1127" w:hanging="75"/>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100"/>
        </w:rPr>
        <w:t> </w:t>
      </w:r>
      <w:r>
        <w:rPr>
          <w:spacing w:val="-4"/>
        </w:rPr>
        <w:t>本公司以自身和各子公司的财务报表为基础，根据其他有关资料，编制合并财务报表。本公司编制合</w:t>
      </w:r>
    </w:p>
    <w:p>
      <w:pPr>
        <w:pStyle w:val="BodyText"/>
        <w:spacing w:line="355" w:lineRule="auto" w:before="49"/>
        <w:ind w:left="229" w:right="1130"/>
        <w:jc w:val="both"/>
      </w:pPr>
      <w:r>
        <w:rPr>
          <w:spacing w:val="-4"/>
        </w:rPr>
        <w:t>并财务报表，将整个企业集团视为一个会计主体，依据相关企业会计准则的确认、计量和列报要求，按照</w:t>
      </w:r>
      <w:r>
        <w:rPr>
          <w:spacing w:val="-31"/>
        </w:rPr>
        <w:t> </w:t>
      </w:r>
      <w:r>
        <w:rPr>
          <w:spacing w:val="-31"/>
        </w:rPr>
      </w:r>
      <w:r>
        <w:rPr/>
        <w:t>统一的会计政策，反映本企业集团整体财务状况、经营成果和现金流量。</w:t>
      </w:r>
    </w:p>
    <w:p>
      <w:pPr>
        <w:pStyle w:val="BodyText"/>
        <w:spacing w:line="357" w:lineRule="auto" w:before="34"/>
        <w:ind w:left="229" w:right="1128" w:firstLine="420"/>
        <w:jc w:val="both"/>
      </w:pPr>
      <w:r>
        <w:rPr>
          <w:spacing w:val="-4"/>
        </w:rPr>
        <w:t>所有纳入合并财务报表合并范围的子公司所采用的会计政策、会计期间与本公司一致，如子公司采用</w:t>
      </w:r>
      <w:r>
        <w:rPr>
          <w:spacing w:val="-3"/>
          <w:w w:val="100"/>
        </w:rPr>
        <w:t> </w:t>
      </w:r>
      <w:r>
        <w:rPr>
          <w:spacing w:val="-4"/>
        </w:rPr>
        <w:t>的会计政策、会计期间与本公司不一致的，在编制合并财务报表时，按本公司的会计政策、会计期间进行</w:t>
      </w:r>
      <w:r>
        <w:rPr>
          <w:spacing w:val="-34"/>
        </w:rPr>
        <w:t> </w:t>
      </w:r>
      <w:r>
        <w:rPr>
          <w:spacing w:val="-34"/>
        </w:rPr>
      </w:r>
      <w:r>
        <w:rPr>
          <w:spacing w:val="-4"/>
        </w:rPr>
        <w:t>必要的调整。对于非同一控制下企业合并取得的子公司，以购买日可辨认净资产公允价值为基础对其财务</w:t>
      </w:r>
      <w:r>
        <w:rPr>
          <w:spacing w:val="-28"/>
        </w:rPr>
        <w:t> </w:t>
      </w:r>
      <w:r>
        <w:rPr>
          <w:spacing w:val="-28"/>
        </w:rPr>
      </w:r>
      <w:r>
        <w:rPr>
          <w:spacing w:val="-4"/>
        </w:rPr>
        <w:t>报表进行调整。对于同一控制下企业合并取得的子公司，以其资产、负债（包括最终控制方收购该子公司</w:t>
      </w:r>
      <w:r>
        <w:rPr>
          <w:spacing w:val="-36"/>
        </w:rPr>
        <w:t> </w:t>
      </w:r>
      <w:r>
        <w:rPr>
          <w:spacing w:val="-36"/>
        </w:rPr>
      </w:r>
      <w:r>
        <w:rPr/>
        <w:t>而形成的商誉）在最终控制方财务报表中的账面价值为基础对其财务报表进行调整。</w:t>
      </w:r>
    </w:p>
    <w:p>
      <w:pPr>
        <w:pStyle w:val="BodyText"/>
        <w:spacing w:line="355" w:lineRule="auto" w:before="30"/>
        <w:ind w:left="229" w:right="1126" w:firstLine="420"/>
        <w:jc w:val="both"/>
      </w:pPr>
      <w:r>
        <w:rPr>
          <w:spacing w:val="-4"/>
          <w:w w:val="100"/>
        </w:rPr>
        <w:t>子公司所有者权益、当期净损益和当期综合收益中属于少数股东的份额分别在合并资产负债表中所有</w:t>
      </w:r>
      <w:r>
        <w:rPr>
          <w:w w:val="100"/>
        </w:rPr>
        <w:t> </w:t>
      </w:r>
      <w:r>
        <w:rPr>
          <w:spacing w:val="-4"/>
        </w:rPr>
        <w:t>者权益项目下、合并利润表中净利润项目下和综合收益总额项目下单独列示。子公司少数股东分担的当期</w:t>
      </w:r>
      <w:r>
        <w:rPr>
          <w:spacing w:val="-29"/>
        </w:rPr>
        <w:t> </w:t>
      </w:r>
      <w:r>
        <w:rPr>
          <w:spacing w:val="-29"/>
        </w:rPr>
      </w:r>
      <w:r>
        <w:rPr/>
        <w:t>亏损超过了少数股东在该子公司期初所有者权益中所享有份额而形成的余额，冲减少数股东权益。</w:t>
      </w:r>
    </w:p>
    <w:p>
      <w:pPr>
        <w:pStyle w:val="BodyText"/>
        <w:spacing w:line="338" w:lineRule="auto" w:before="32"/>
        <w:ind w:right="1127"/>
        <w:jc w:val="left"/>
      </w:pPr>
      <w:r>
        <w:rPr>
          <w:rFonts w:ascii="Times New Roman" w:hAnsi="Times New Roman" w:cs="Times New Roman" w:eastAsia="Times New Roman" w:hint="default"/>
        </w:rPr>
        <w:t>1</w:t>
      </w:r>
      <w:r>
        <w:rPr/>
        <w:t>）增加子公司或业务</w:t>
      </w:r>
      <w:r>
        <w:rPr>
          <w:spacing w:val="-3"/>
          <w:w w:val="100"/>
        </w:rPr>
        <w:t> </w:t>
      </w:r>
      <w:r>
        <w:rPr>
          <w:spacing w:val="-2"/>
        </w:rPr>
        <w:t>在报告期内，若因同一控制下企业合并增加子公司或业务的，则调整合并资产负债表的期初数；将子</w:t>
      </w:r>
    </w:p>
    <w:p>
      <w:pPr>
        <w:spacing w:after="0" w:line="338" w:lineRule="auto"/>
        <w:jc w:val="left"/>
        <w:sectPr>
          <w:pgSz w:w="11910" w:h="16840"/>
          <w:pgMar w:header="882" w:footer="1134" w:top="1280" w:bottom="1320" w:left="980" w:right="0"/>
        </w:sectPr>
      </w:pPr>
    </w:p>
    <w:p>
      <w:pPr>
        <w:pStyle w:val="BodyText"/>
        <w:spacing w:line="355" w:lineRule="auto" w:before="112"/>
        <w:ind w:left="152" w:right="1128"/>
        <w:jc w:val="both"/>
      </w:pPr>
      <w:r>
        <w:rPr>
          <w:spacing w:val="-2"/>
        </w:rPr>
        <w:t>公司或业务合并当期期初至报告期末的收入、费用、利润纳入合并利润表；将子公司或业务合并当期期初</w:t>
      </w:r>
      <w:r>
        <w:rPr>
          <w:spacing w:val="-43"/>
        </w:rPr>
        <w:t> </w:t>
      </w:r>
      <w:r>
        <w:rPr>
          <w:spacing w:val="-43"/>
        </w:rPr>
      </w:r>
      <w:r>
        <w:rPr>
          <w:spacing w:val="-2"/>
        </w:rPr>
        <w:t>至报告期末的现金流量纳入合并现金流量表，同时对比较报表的相关项目进行调整，视同合并后的报告主</w:t>
      </w:r>
      <w:r>
        <w:rPr>
          <w:spacing w:val="-42"/>
        </w:rPr>
        <w:t> </w:t>
      </w:r>
      <w:r>
        <w:rPr>
          <w:spacing w:val="-42"/>
        </w:rPr>
      </w:r>
      <w:r>
        <w:rPr/>
        <w:t>体自最终控制方开始控制时点起一直存在。</w:t>
      </w:r>
    </w:p>
    <w:p>
      <w:pPr>
        <w:pStyle w:val="BodyText"/>
        <w:spacing w:line="355" w:lineRule="auto" w:before="34"/>
        <w:ind w:left="152" w:right="1128" w:firstLine="420"/>
        <w:jc w:val="both"/>
      </w:pPr>
      <w:r>
        <w:rPr>
          <w:spacing w:val="-2"/>
        </w:rPr>
        <w:t>因追加投资等原因能够对同一控制下的被投资方实施控制的，视同参与合并的各方在最终控制方开始</w:t>
      </w:r>
      <w:r>
        <w:rPr>
          <w:w w:val="100"/>
        </w:rPr>
        <w:t> </w:t>
      </w:r>
      <w:r>
        <w:rPr>
          <w:spacing w:val="-2"/>
        </w:rPr>
        <w:t>控制时即以目前的状态存在进行调整。在取得被合并方控制权之前持有的股权投资，在取得原股权之日与</w:t>
      </w:r>
      <w:r>
        <w:rPr>
          <w:spacing w:val="-42"/>
        </w:rPr>
        <w:t> </w:t>
      </w:r>
      <w:r>
        <w:rPr>
          <w:spacing w:val="-42"/>
        </w:rPr>
      </w:r>
      <w:r>
        <w:rPr>
          <w:spacing w:val="-2"/>
        </w:rPr>
        <w:t>合并方和被合并方同处于同一控制之日孰晚日起至合并日之间已确认有关损益、其他综合收益以及其他净</w:t>
      </w:r>
      <w:r>
        <w:rPr>
          <w:spacing w:val="-42"/>
        </w:rPr>
        <w:t> </w:t>
      </w:r>
      <w:r>
        <w:rPr>
          <w:spacing w:val="-42"/>
        </w:rPr>
      </w:r>
      <w:r>
        <w:rPr/>
        <w:t>资产变动，分别冲减比较报表期间的期初留存收益或当期损益。</w:t>
      </w:r>
    </w:p>
    <w:p>
      <w:pPr>
        <w:pStyle w:val="BodyText"/>
        <w:spacing w:line="355" w:lineRule="auto" w:before="34"/>
        <w:ind w:left="152" w:right="1128" w:firstLine="420"/>
        <w:jc w:val="both"/>
      </w:pPr>
      <w:r>
        <w:rPr>
          <w:spacing w:val="-2"/>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43"/>
        </w:rPr>
        <w:t> </w:t>
      </w:r>
      <w:r>
        <w:rPr>
          <w:spacing w:val="-43"/>
        </w:rPr>
      </w:r>
      <w:r>
        <w:rPr/>
        <w:t>告期末的现金流量纳入合并现金流量表。</w:t>
      </w:r>
    </w:p>
    <w:p>
      <w:pPr>
        <w:pStyle w:val="BodyText"/>
        <w:spacing w:line="357" w:lineRule="auto" w:before="32"/>
        <w:ind w:left="152" w:right="1128" w:firstLine="420"/>
        <w:jc w:val="both"/>
      </w:pPr>
      <w:r>
        <w:rPr>
          <w:spacing w:val="-2"/>
        </w:rPr>
        <w:t>因追加投资等原因能够对非同一控制下的被投资方实施控制的，对于购买日之前持有的被购买方的股</w:t>
      </w:r>
      <w:r>
        <w:rPr>
          <w:w w:val="100"/>
        </w:rPr>
        <w:t> </w:t>
      </w:r>
      <w:r>
        <w:rPr>
          <w:spacing w:val="-2"/>
        </w:rPr>
        <w:t>权，本公司按照该股权在购买日的公允价值进行重新计量，公允价值与其账面价值的差额计入当期投资收</w:t>
      </w:r>
      <w:r>
        <w:rPr>
          <w:spacing w:val="-42"/>
        </w:rPr>
        <w:t> </w:t>
      </w:r>
      <w:r>
        <w:rPr>
          <w:spacing w:val="-42"/>
        </w:rPr>
      </w:r>
      <w:r>
        <w:rPr>
          <w:spacing w:val="-2"/>
        </w:rPr>
        <w:t>益。购买日之前持有的被购买方的股权涉及权益法核算下的其他综合收益以及除净损益、其他综合收益和</w:t>
      </w:r>
      <w:r>
        <w:rPr>
          <w:spacing w:val="-42"/>
        </w:rPr>
        <w:t> </w:t>
      </w:r>
      <w:r>
        <w:rPr>
          <w:spacing w:val="-42"/>
        </w:rPr>
      </w:r>
      <w:r>
        <w:rPr>
          <w:spacing w:val="-2"/>
        </w:rPr>
        <w:t>利润分配之外的其他所有者权益变动的，与其相关的其他综合收益、其他所有者权益变动转为购买日所属</w:t>
      </w:r>
      <w:r>
        <w:rPr>
          <w:spacing w:val="-42"/>
        </w:rPr>
        <w:t> </w:t>
      </w:r>
      <w:r>
        <w:rPr>
          <w:spacing w:val="-42"/>
        </w:rPr>
      </w:r>
      <w:r>
        <w:rPr/>
        <w:t>当期投资收益，由于被投资方重新计量设定受益计划净负债或净资产变动而产生的其他综合收益除外。</w:t>
      </w:r>
    </w:p>
    <w:p>
      <w:pPr>
        <w:pStyle w:val="BodyText"/>
        <w:spacing w:line="240" w:lineRule="auto" w:before="30"/>
        <w:ind w:left="573" w:right="1127"/>
        <w:jc w:val="left"/>
      </w:pPr>
      <w:r>
        <w:rPr>
          <w:rFonts w:ascii="Times New Roman" w:hAnsi="Times New Roman" w:cs="Times New Roman" w:eastAsia="Times New Roman" w:hint="default"/>
        </w:rPr>
        <w:t>2</w:t>
      </w:r>
      <w:r>
        <w:rPr/>
        <w:t>）处置子公司或业务</w:t>
      </w:r>
    </w:p>
    <w:p>
      <w:pPr>
        <w:pStyle w:val="BodyText"/>
        <w:spacing w:line="357" w:lineRule="auto" w:before="117"/>
        <w:ind w:left="649" w:right="1127"/>
        <w:jc w:val="left"/>
      </w:pPr>
      <w:r>
        <w:rPr/>
        <w:t>①一般处理方法</w:t>
      </w:r>
      <w:r>
        <w:rPr>
          <w:spacing w:val="-103"/>
        </w:rPr>
        <w:t> </w:t>
      </w:r>
      <w:r>
        <w:rPr>
          <w:spacing w:val="-103"/>
        </w:rPr>
      </w:r>
      <w:r>
        <w:rPr>
          <w:spacing w:val="-4"/>
        </w:rPr>
        <w:t>在报告期内，本公司处置子公司或业务，则该子公司或业务期初至处置日的收入、费用、利润纳入合</w:t>
      </w:r>
      <w:r>
        <w:rPr/>
      </w:r>
    </w:p>
    <w:p>
      <w:pPr>
        <w:pStyle w:val="BodyText"/>
        <w:spacing w:line="355" w:lineRule="auto" w:before="30"/>
        <w:ind w:left="649" w:right="1127" w:hanging="421"/>
        <w:jc w:val="left"/>
      </w:pPr>
      <w:r>
        <w:rPr/>
        <w:t>并利润表；该子公司或业务期初至处置日的现金流量纳入合并现金流量表。</w:t>
      </w:r>
      <w:r>
        <w:rPr>
          <w:w w:val="100"/>
        </w:rPr>
        <w:t> </w:t>
      </w:r>
      <w:r>
        <w:rPr>
          <w:spacing w:val="-4"/>
        </w:rPr>
        <w:t>因处置部分股权投资或其他原因丧失了对被投资方控制权时，对于处置后的剩余股权投资，本公司按</w:t>
      </w:r>
      <w:r>
        <w:rPr/>
      </w:r>
    </w:p>
    <w:p>
      <w:pPr>
        <w:pStyle w:val="BodyText"/>
        <w:spacing w:line="357" w:lineRule="auto" w:before="32"/>
        <w:ind w:left="229" w:right="1127"/>
        <w:jc w:val="both"/>
      </w:pPr>
      <w:r>
        <w:rPr>
          <w:spacing w:val="-4"/>
        </w:rPr>
        <w:t>照其在丧失控制权日的公允价值进行重新计量。处置股权取得的对价与剩余股权公允价值之和，减去按原</w:t>
      </w:r>
      <w:r>
        <w:rPr>
          <w:spacing w:val="-28"/>
        </w:rPr>
        <w:t> </w:t>
      </w:r>
      <w:r>
        <w:rPr>
          <w:spacing w:val="-28"/>
        </w:rPr>
      </w:r>
      <w:r>
        <w:rPr>
          <w:spacing w:val="-4"/>
          <w:w w:val="100"/>
        </w:rPr>
        <w:t>持股比例计算应享有原有子公司自购买日或合并日开始持续计算的净资产的份额与商誉之和的差额，计入</w:t>
      </w:r>
      <w:r>
        <w:rPr>
          <w:spacing w:val="-86"/>
          <w:w w:val="100"/>
        </w:rPr>
        <w:t> </w:t>
      </w:r>
      <w:r>
        <w:rPr>
          <w:spacing w:val="-86"/>
          <w:w w:val="100"/>
        </w:rPr>
      </w:r>
      <w:r>
        <w:rPr>
          <w:spacing w:val="-4"/>
        </w:rPr>
        <w:t>丧失控制权当期的投资收益。与原有子公司股权投资相关的其他综合收益或除净损益、其他综合收益及利</w:t>
      </w:r>
      <w:r>
        <w:rPr>
          <w:spacing w:val="-28"/>
        </w:rPr>
        <w:t> </w:t>
      </w:r>
      <w:r>
        <w:rPr>
          <w:spacing w:val="-28"/>
        </w:rPr>
      </w:r>
      <w:r>
        <w:rPr>
          <w:spacing w:val="-4"/>
        </w:rPr>
        <w:t>润分配之外的其他所有者权益变动，在丧失控制权时转为当期投资收益，由于被投资方重新计量设定受益</w:t>
      </w:r>
      <w:r>
        <w:rPr>
          <w:spacing w:val="-28"/>
        </w:rPr>
        <w:t> </w:t>
      </w:r>
      <w:r>
        <w:rPr>
          <w:spacing w:val="-28"/>
        </w:rPr>
      </w:r>
      <w:r>
        <w:rPr/>
        <w:t>计划净负债或净资产变动而产生的其他综合收益除外。</w:t>
      </w:r>
    </w:p>
    <w:p>
      <w:pPr>
        <w:pStyle w:val="BodyText"/>
        <w:spacing w:line="357" w:lineRule="auto" w:before="30"/>
        <w:ind w:left="229" w:right="1128" w:firstLine="420"/>
        <w:jc w:val="both"/>
      </w:pPr>
      <w:r>
        <w:rPr>
          <w:spacing w:val="-4"/>
          <w:w w:val="100"/>
        </w:rPr>
        <w:t>因其他投资方对子公司增资而导致本公司持股比例下降从而丧失控制权的，按照上述原则进行会计处</w:t>
      </w:r>
      <w:r>
        <w:rPr>
          <w:w w:val="100"/>
        </w:rPr>
        <w:t> </w:t>
      </w:r>
      <w:r>
        <w:rPr/>
        <w:t>理。</w:t>
      </w:r>
    </w:p>
    <w:p>
      <w:pPr>
        <w:pStyle w:val="BodyText"/>
        <w:spacing w:line="355" w:lineRule="auto" w:before="30"/>
        <w:ind w:left="649" w:right="1127"/>
        <w:jc w:val="left"/>
      </w:pPr>
      <w:r>
        <w:rPr/>
        <w:t>②分步处置子公司</w:t>
      </w:r>
      <w:r>
        <w:rPr>
          <w:spacing w:val="-3"/>
          <w:w w:val="100"/>
        </w:rPr>
        <w:t> </w:t>
      </w:r>
      <w:r>
        <w:rPr>
          <w:spacing w:val="-4"/>
          <w:w w:val="100"/>
        </w:rPr>
        <w:t>通过多次交易分步处置对子公司股权投资直至丧失控制权的，处置对子公司股权投资的各项交易的条</w:t>
      </w:r>
    </w:p>
    <w:p>
      <w:pPr>
        <w:pStyle w:val="BodyText"/>
        <w:spacing w:line="355" w:lineRule="auto" w:before="32"/>
        <w:ind w:left="229" w:right="1128"/>
        <w:jc w:val="both"/>
      </w:pPr>
      <w:r>
        <w:rPr>
          <w:spacing w:val="-4"/>
        </w:rPr>
        <w:t>款、条件以及经济影响符合以下一种或多种情况，通常表明应将多次交易事项作为一揽子交易进行会计处</w:t>
      </w:r>
      <w:r>
        <w:rPr>
          <w:spacing w:val="-28"/>
        </w:rPr>
        <w:t> </w:t>
      </w:r>
      <w:r>
        <w:rPr>
          <w:spacing w:val="-28"/>
        </w:rPr>
      </w:r>
      <w:r>
        <w:rPr/>
        <w:t>理：</w:t>
      </w:r>
    </w:p>
    <w:p>
      <w:pPr>
        <w:pStyle w:val="BodyText"/>
        <w:spacing w:line="355" w:lineRule="auto" w:before="34"/>
        <w:ind w:left="649" w:right="1127"/>
        <w:jc w:val="left"/>
      </w:pPr>
      <w:r>
        <w:rPr>
          <w:spacing w:val="-2"/>
        </w:rPr>
        <w:t>ⅰ．这些交易是同时或者在考虑了彼此影响的情况下订立的；</w:t>
      </w:r>
      <w:r>
        <w:rPr>
          <w:spacing w:val="-52"/>
        </w:rPr>
        <w:t> </w:t>
      </w:r>
      <w:r>
        <w:rPr>
          <w:spacing w:val="-52"/>
        </w:rPr>
      </w:r>
      <w:r>
        <w:rPr/>
        <w:t>ⅱ．这些交易整体才能达成一项完整的商业结果；</w:t>
      </w:r>
      <w:r>
        <w:rPr>
          <w:w w:val="100"/>
        </w:rPr>
        <w:t> </w:t>
      </w:r>
      <w:r>
        <w:rPr/>
        <w:t>ⅲ．一项交易的发生取决于其他至少一项交易的发生；</w:t>
      </w:r>
    </w:p>
    <w:p>
      <w:pPr>
        <w:spacing w:after="0" w:line="355" w:lineRule="auto"/>
        <w:jc w:val="left"/>
        <w:sectPr>
          <w:pgSz w:w="11910" w:h="16840"/>
          <w:pgMar w:header="882" w:footer="1134" w:top="1280" w:bottom="1320" w:left="980" w:right="0"/>
        </w:sectPr>
      </w:pPr>
    </w:p>
    <w:p>
      <w:pPr>
        <w:pStyle w:val="BodyText"/>
        <w:spacing w:line="355" w:lineRule="auto" w:before="112"/>
        <w:ind w:left="649" w:right="1127"/>
        <w:jc w:val="left"/>
      </w:pPr>
      <w:r>
        <w:rPr/>
        <w:t>ⅳ．一项交易单独看是不经济的，但是和其他交易一并考虑时是经济的。</w:t>
      </w:r>
      <w:r>
        <w:rPr>
          <w:w w:val="100"/>
        </w:rPr>
        <w:t> </w:t>
      </w:r>
      <w:r>
        <w:rPr>
          <w:spacing w:val="-4"/>
          <w:w w:val="100"/>
        </w:rPr>
        <w:t>处置对子公司股权投资直至丧失控制权的各项交易属于一揽子交易的，本公司将各项交易作为一项处</w:t>
      </w:r>
    </w:p>
    <w:p>
      <w:pPr>
        <w:pStyle w:val="BodyText"/>
        <w:spacing w:line="357" w:lineRule="auto" w:before="32"/>
        <w:ind w:left="229" w:right="1128"/>
        <w:jc w:val="both"/>
      </w:pPr>
      <w:r>
        <w:rPr>
          <w:spacing w:val="-4"/>
        </w:rPr>
        <w:t>置子公司并丧失控制权的交易进行会计处理；但是，在丧失控制权之前每一次处置价款与处置投资对应的</w:t>
      </w:r>
      <w:r>
        <w:rPr>
          <w:spacing w:val="-34"/>
        </w:rPr>
        <w:t> </w:t>
      </w:r>
      <w:r>
        <w:rPr>
          <w:spacing w:val="-34"/>
        </w:rPr>
      </w:r>
      <w:r>
        <w:rPr>
          <w:spacing w:val="-4"/>
        </w:rPr>
        <w:t>享有该子公司净资产份额的差额，在合并财务报表中确认为其他综合收益，在丧失控制权时一并转入丧失</w:t>
      </w:r>
      <w:r>
        <w:rPr>
          <w:spacing w:val="-28"/>
        </w:rPr>
        <w:t> </w:t>
      </w:r>
      <w:r>
        <w:rPr>
          <w:spacing w:val="-28"/>
        </w:rPr>
      </w:r>
      <w:r>
        <w:rPr/>
        <w:t>控制权当期的损益。</w:t>
      </w:r>
    </w:p>
    <w:p>
      <w:pPr>
        <w:pStyle w:val="BodyText"/>
        <w:spacing w:line="357" w:lineRule="auto" w:before="30"/>
        <w:ind w:left="229" w:right="1128" w:firstLine="420"/>
        <w:jc w:val="both"/>
      </w:pPr>
      <w:r>
        <w:rPr>
          <w:spacing w:val="-4"/>
        </w:rPr>
        <w:t>处置对子公司股权投资直至丧失控制权的各项交易不属于一揽子交易的，在丧失控制权之前，按不丧</w:t>
      </w:r>
      <w:r>
        <w:rPr>
          <w:w w:val="100"/>
        </w:rPr>
        <w:t> </w:t>
      </w:r>
      <w:r>
        <w:rPr>
          <w:spacing w:val="-4"/>
        </w:rPr>
        <w:t>失控制权的情况下部分处置对子公司的股权投资的相关政策进行会计处理；在丧失控制权时，按处置子公</w:t>
      </w:r>
      <w:r>
        <w:rPr>
          <w:spacing w:val="-28"/>
        </w:rPr>
        <w:t> </w:t>
      </w:r>
      <w:r>
        <w:rPr>
          <w:spacing w:val="-28"/>
        </w:rPr>
      </w:r>
      <w:r>
        <w:rPr/>
        <w:t>司一般处理方法进行会计处理。</w:t>
      </w:r>
    </w:p>
    <w:p>
      <w:pPr>
        <w:pStyle w:val="BodyText"/>
        <w:spacing w:line="336" w:lineRule="auto" w:before="30"/>
        <w:ind w:left="649" w:right="1127"/>
        <w:jc w:val="left"/>
      </w:pPr>
      <w:r>
        <w:rPr>
          <w:rFonts w:ascii="Times New Roman" w:hAnsi="Times New Roman" w:cs="Times New Roman" w:eastAsia="Times New Roman" w:hint="default"/>
        </w:rPr>
        <w:t>3</w:t>
      </w:r>
      <w:r>
        <w:rPr/>
        <w:t>）购买子公司少数股权</w:t>
      </w:r>
      <w:r>
        <w:rPr>
          <w:w w:val="100"/>
        </w:rPr>
        <w:t> </w:t>
      </w:r>
      <w:r>
        <w:rPr>
          <w:spacing w:val="-4"/>
          <w:w w:val="100"/>
        </w:rPr>
        <w:t>本公司因购买少数股权新取得的长期股权投资与按照新增持股比例计算应享有子公司自购买日（或合</w:t>
      </w:r>
    </w:p>
    <w:p>
      <w:pPr>
        <w:pStyle w:val="BodyText"/>
        <w:spacing w:line="355" w:lineRule="auto" w:before="49"/>
        <w:ind w:left="229" w:right="1128"/>
        <w:jc w:val="both"/>
      </w:pPr>
      <w:r>
        <w:rPr>
          <w:spacing w:val="-4"/>
        </w:rPr>
        <w:t>并日）开始持续计算的净资产份额之间的差额，调整合并资产负债表中的资本公积中的股本溢价，资本公</w:t>
      </w:r>
      <w:r>
        <w:rPr>
          <w:spacing w:val="-27"/>
        </w:rPr>
        <w:t> </w:t>
      </w:r>
      <w:r>
        <w:rPr>
          <w:spacing w:val="-27"/>
        </w:rPr>
      </w:r>
      <w:r>
        <w:rPr/>
        <w:t>积中的股本溢价不足冲减的，调整留存收益。</w:t>
      </w:r>
    </w:p>
    <w:p>
      <w:pPr>
        <w:pStyle w:val="BodyText"/>
        <w:spacing w:line="336" w:lineRule="auto" w:before="34"/>
        <w:ind w:left="573" w:right="1127" w:firstLine="76"/>
        <w:jc w:val="left"/>
      </w:pPr>
      <w:r>
        <w:rPr>
          <w:rFonts w:ascii="Times New Roman" w:hAnsi="Times New Roman" w:cs="Times New Roman" w:eastAsia="Times New Roman"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在不丧失控制权的情况下因部分处置对子公司的长期股权投资而取得的处置价款与处置长期股权投</w:t>
      </w:r>
    </w:p>
    <w:p>
      <w:pPr>
        <w:pStyle w:val="BodyText"/>
        <w:spacing w:line="355" w:lineRule="auto" w:before="49"/>
        <w:ind w:left="152" w:right="1128"/>
        <w:jc w:val="both"/>
      </w:pPr>
      <w:r>
        <w:rPr>
          <w:spacing w:val="-2"/>
        </w:rPr>
        <w:t>资相对应享有子公司自购买日或合并日开始持续计算的净资产份额之间的差额，调整合并资产负债表中的</w:t>
      </w:r>
      <w:r>
        <w:rPr>
          <w:spacing w:val="-42"/>
        </w:rPr>
        <w:t> </w:t>
      </w:r>
      <w:r>
        <w:rPr>
          <w:spacing w:val="-42"/>
        </w:rPr>
      </w:r>
      <w:r>
        <w:rPr/>
        <w:t>资本公积中的股本溢价，资本公积中的股本溢价不足冲减的，调整留存收益。</w:t>
      </w:r>
    </w:p>
    <w:p>
      <w:pPr>
        <w:spacing w:line="550" w:lineRule="atLeast" w:before="73"/>
        <w:ind w:left="572" w:right="5512" w:hanging="420"/>
        <w:jc w:val="left"/>
        <w:rPr>
          <w:rFonts w:ascii="宋体" w:hAnsi="宋体" w:cs="宋体" w:eastAsia="宋体" w:hint="default"/>
          <w:sz w:val="21"/>
          <w:szCs w:val="21"/>
        </w:rPr>
      </w:pPr>
      <w:bookmarkStart w:name="7、合营安排分类及共同经营会计处理方法" w:id="287"/>
      <w:bookmarkEnd w:id="287"/>
      <w:r>
        <w:rPr/>
      </w:r>
      <w:r>
        <w:rPr>
          <w:rFonts w:ascii="Times New Roman" w:hAnsi="Times New Roman" w:cs="Times New Roman" w:eastAsia="Times New Roman" w:hint="default"/>
          <w:b/>
          <w:bCs/>
          <w:spacing w:val="-1"/>
          <w:sz w:val="21"/>
          <w:szCs w:val="21"/>
        </w:rPr>
        <w:t>7</w:t>
      </w:r>
      <w:r>
        <w:rPr>
          <w:rFonts w:ascii="宋体" w:hAnsi="宋体" w:cs="宋体" w:eastAsia="宋体" w:hint="default"/>
          <w:b/>
          <w:bCs/>
          <w:spacing w:val="-1"/>
          <w:sz w:val="21"/>
          <w:szCs w:val="21"/>
        </w:rPr>
        <w:t>、合营安排分类及共同经营会计处理方法</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z w:val="21"/>
          <w:szCs w:val="21"/>
        </w:rPr>
        <w:t>合营安排分为共同经营和合营企业。</w:t>
      </w:r>
    </w:p>
    <w:p>
      <w:pPr>
        <w:pStyle w:val="BodyText"/>
        <w:spacing w:line="355" w:lineRule="auto" w:before="135"/>
        <w:ind w:right="1127"/>
        <w:jc w:val="left"/>
      </w:pPr>
      <w:r>
        <w:rPr/>
        <w:t>当本公司是合营安排的合营方，享有该安排相关资产且承担该安排相关负债时，为共同经营。</w:t>
      </w:r>
      <w:r>
        <w:rPr>
          <w:w w:val="100"/>
        </w:rPr>
        <w:t> </w:t>
      </w:r>
      <w:r>
        <w:rPr>
          <w:spacing w:val="-2"/>
        </w:rPr>
        <w:t>本公司确认与共同经营中利益份额相关的下列项目，并按照相关企业会计准则的规定进行会计处理：</w:t>
      </w:r>
    </w:p>
    <w:p>
      <w:pPr>
        <w:pStyle w:val="BodyText"/>
        <w:spacing w:line="240" w:lineRule="auto" w:before="32"/>
        <w:ind w:right="1127"/>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17"/>
        <w:ind w:right="1127"/>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117"/>
        <w:ind w:right="1127"/>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19"/>
        <w:ind w:right="1127"/>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36" w:lineRule="auto" w:before="117"/>
        <w:ind w:right="1127"/>
        <w:jc w:val="left"/>
      </w:pPr>
      <w:r>
        <w:rPr>
          <w:spacing w:val="-2"/>
        </w:rPr>
        <w:t>（</w:t>
      </w:r>
      <w:r>
        <w:rPr>
          <w:rFonts w:ascii="Times New Roman" w:hAnsi="Times New Roman" w:cs="Times New Roman" w:eastAsia="Times New Roman" w:hint="default"/>
          <w:spacing w:val="-2"/>
        </w:rPr>
        <w:t>5</w:t>
      </w:r>
      <w:r>
        <w:rPr>
          <w:spacing w:val="-2"/>
        </w:rPr>
        <w:t>）确认单独所发生的费用，以及按本公司份额确认共同经营发生的费用。</w:t>
      </w:r>
      <w:r>
        <w:rPr>
          <w:spacing w:val="-42"/>
        </w:rPr>
        <w:t> </w:t>
      </w:r>
      <w:r>
        <w:rPr>
          <w:spacing w:val="-42"/>
        </w:rPr>
      </w:r>
      <w:r>
        <w:rPr/>
        <w:t>本公司对合营企业投资的会计政策见本附注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22</w:t>
      </w:r>
      <w:r>
        <w:rPr/>
        <w:t>）长期股权投资</w:t>
      </w:r>
      <w:r>
        <w:rPr>
          <w:rFonts w:ascii="Times New Roman" w:hAnsi="Times New Roman" w:cs="Times New Roman" w:eastAsia="Times New Roman" w:hint="default"/>
        </w:rPr>
        <w:t>”</w:t>
      </w:r>
      <w:r>
        <w:rPr/>
        <w:t>。</w:t>
      </w:r>
    </w:p>
    <w:p>
      <w:pPr>
        <w:spacing w:line="550" w:lineRule="atLeast" w:before="65"/>
        <w:ind w:left="572" w:right="1127" w:hanging="420"/>
        <w:jc w:val="left"/>
        <w:rPr>
          <w:rFonts w:ascii="宋体" w:hAnsi="宋体" w:cs="宋体" w:eastAsia="宋体" w:hint="default"/>
          <w:sz w:val="21"/>
          <w:szCs w:val="21"/>
        </w:rPr>
      </w:pPr>
      <w:bookmarkStart w:name="8、现金及现金等价物的确定标准" w:id="288"/>
      <w:bookmarkEnd w:id="28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在编制现金流量表时，将本公司库存现金以及可以随时用于支付的存款确认为现金。将同时具备期限</w:t>
      </w:r>
    </w:p>
    <w:p>
      <w:pPr>
        <w:pStyle w:val="BodyText"/>
        <w:spacing w:line="357" w:lineRule="auto" w:before="133"/>
        <w:ind w:left="152" w:right="1106"/>
        <w:jc w:val="both"/>
      </w:pPr>
      <w:r>
        <w:rPr>
          <w:spacing w:val="-2"/>
        </w:rPr>
        <w:t>短（从购买日起三个月内到期）、流动性强、易于转换为已知现金、价值变动风险很小四个条件的投资，</w:t>
      </w:r>
      <w:r>
        <w:rPr>
          <w:spacing w:val="-21"/>
        </w:rPr>
        <w:t> </w:t>
      </w:r>
      <w:r>
        <w:rPr>
          <w:spacing w:val="-21"/>
        </w:rPr>
      </w:r>
      <w:r>
        <w:rPr/>
        <w:t>确定为现金等价物。</w:t>
      </w:r>
    </w:p>
    <w:p>
      <w:pPr>
        <w:spacing w:line="240" w:lineRule="auto" w:before="3"/>
        <w:rPr>
          <w:rFonts w:ascii="宋体" w:hAnsi="宋体" w:cs="宋体" w:eastAsia="宋体" w:hint="default"/>
          <w:sz w:val="25"/>
          <w:szCs w:val="25"/>
        </w:rPr>
      </w:pPr>
    </w:p>
    <w:p>
      <w:pPr>
        <w:pStyle w:val="Heading4"/>
        <w:spacing w:line="240" w:lineRule="auto"/>
        <w:ind w:right="1127"/>
        <w:jc w:val="left"/>
        <w:rPr>
          <w:b w:val="0"/>
          <w:bCs w:val="0"/>
        </w:rPr>
      </w:pPr>
      <w:bookmarkStart w:name="9、外币业务和外币报表折算" w:id="289"/>
      <w:bookmarkEnd w:id="289"/>
      <w:r>
        <w:rPr>
          <w:b w:val="0"/>
          <w:bCs w:val="0"/>
        </w:rPr>
      </w:r>
      <w:r>
        <w:rPr>
          <w:rFonts w:ascii="Times New Roman" w:hAnsi="Times New Roman" w:cs="Times New Roman" w:eastAsia="Times New Roman" w:hint="default"/>
        </w:rPr>
        <w:t>9</w:t>
      </w:r>
      <w:r>
        <w:rPr/>
        <w:t>、外币业务和外币报表折算</w:t>
      </w:r>
      <w:r>
        <w:rPr>
          <w:b w:val="0"/>
          <w:bCs w:val="0"/>
        </w:rPr>
      </w:r>
    </w:p>
    <w:p>
      <w:pPr>
        <w:spacing w:after="0" w:line="240" w:lineRule="auto"/>
        <w:jc w:val="left"/>
        <w:sectPr>
          <w:pgSz w:w="11910" w:h="16840"/>
          <w:pgMar w:header="882" w:footer="1134" w:top="1280" w:bottom="1320" w:left="980" w:right="0"/>
        </w:sectPr>
      </w:pPr>
    </w:p>
    <w:p>
      <w:pPr>
        <w:pStyle w:val="BodyText"/>
        <w:spacing w:line="336" w:lineRule="auto" w:before="112"/>
        <w:ind w:right="1932"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100"/>
        </w:rPr>
        <w:t> </w:t>
      </w:r>
      <w:r>
        <w:rPr>
          <w:spacing w:val="-2"/>
        </w:rPr>
        <w:t>外币业务采用交易发生日的即期汇率作为折算汇率将外币金额折合成人民币记账。</w:t>
      </w:r>
    </w:p>
    <w:p>
      <w:pPr>
        <w:pStyle w:val="BodyText"/>
        <w:spacing w:line="357" w:lineRule="auto" w:before="49"/>
        <w:ind w:left="152" w:right="1128" w:firstLine="420"/>
        <w:jc w:val="both"/>
      </w:pPr>
      <w:r>
        <w:rPr>
          <w:spacing w:val="-2"/>
        </w:rPr>
        <w:t>资产负债表日外币货币性项目余额按资产负债表日即期汇率折算，由此产生的汇兑差额，除属于与购</w:t>
      </w:r>
      <w:r>
        <w:rPr>
          <w:w w:val="100"/>
        </w:rPr>
        <w:t> </w:t>
      </w:r>
      <w:r>
        <w:rPr>
          <w:spacing w:val="-2"/>
        </w:rPr>
        <w:t>建符合资本化条件的资产相关的外币专门借款产生的汇兑差额按照借款费用资本化的原则处理外，均计入</w:t>
      </w:r>
      <w:r>
        <w:rPr>
          <w:spacing w:val="-42"/>
        </w:rPr>
        <w:t> </w:t>
      </w:r>
      <w:r>
        <w:rPr>
          <w:spacing w:val="-42"/>
        </w:rPr>
      </w:r>
      <w:r>
        <w:rPr/>
        <w:t>当期损益。</w:t>
      </w:r>
    </w:p>
    <w:p>
      <w:pPr>
        <w:spacing w:line="336" w:lineRule="auto" w:before="30"/>
        <w:ind w:left="649" w:right="1127" w:hanging="75"/>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100"/>
          <w:sz w:val="21"/>
          <w:szCs w:val="21"/>
        </w:rPr>
        <w:t> </w:t>
      </w:r>
      <w:r>
        <w:rPr>
          <w:rFonts w:ascii="宋体" w:hAnsi="宋体" w:cs="宋体" w:eastAsia="宋体" w:hint="default"/>
          <w:spacing w:val="-1"/>
          <w:sz w:val="21"/>
          <w:szCs w:val="21"/>
        </w:rPr>
        <w:t>资产负债表中的资产和负债项目，采用资产负债表日的即期汇率折算；所有者权益项目除</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未分配利</w:t>
      </w:r>
      <w:r>
        <w:rPr>
          <w:rFonts w:ascii="宋体" w:hAnsi="宋体" w:cs="宋体" w:eastAsia="宋体" w:hint="default"/>
          <w:sz w:val="21"/>
          <w:szCs w:val="21"/>
        </w:rPr>
      </w:r>
    </w:p>
    <w:p>
      <w:pPr>
        <w:pStyle w:val="BodyText"/>
        <w:spacing w:line="336" w:lineRule="auto" w:before="26"/>
        <w:ind w:left="229" w:right="1127"/>
        <w:jc w:val="left"/>
      </w:pPr>
      <w:r>
        <w:rPr>
          <w:spacing w:val="-1"/>
        </w:rPr>
        <w:t>润</w:t>
      </w:r>
      <w:r>
        <w:rPr>
          <w:rFonts w:ascii="Times New Roman" w:hAnsi="Times New Roman" w:cs="Times New Roman" w:eastAsia="Times New Roman" w:hint="default"/>
          <w:spacing w:val="-1"/>
        </w:rPr>
        <w:t>”</w:t>
      </w:r>
      <w:r>
        <w:rPr>
          <w:spacing w:val="-1"/>
        </w:rPr>
        <w:t>项目外，其他项目采用发生时的即期汇率折算。利润表中的收入和费用项目，采用交易发生日的即期</w:t>
      </w:r>
      <w:r>
        <w:rPr>
          <w:spacing w:val="-51"/>
        </w:rPr>
        <w:t> </w:t>
      </w:r>
      <w:r>
        <w:rPr>
          <w:spacing w:val="-51"/>
        </w:rPr>
      </w:r>
      <w:r>
        <w:rPr/>
        <w:t>汇率。</w:t>
      </w:r>
    </w:p>
    <w:p>
      <w:pPr>
        <w:pStyle w:val="BodyText"/>
        <w:spacing w:line="355" w:lineRule="auto" w:before="49"/>
        <w:ind w:left="229" w:right="1128" w:firstLine="420"/>
        <w:jc w:val="both"/>
      </w:pPr>
      <w:r>
        <w:rPr>
          <w:spacing w:val="-4"/>
        </w:rPr>
        <w:t>处置境外经营时，将与该境外经营相关的外币财务报表折算差额，自所有者权益项目转入处置当期损</w:t>
      </w:r>
      <w:r>
        <w:rPr>
          <w:w w:val="100"/>
        </w:rPr>
        <w:t> </w:t>
      </w:r>
      <w:r>
        <w:rPr/>
        <w:t>益。</w:t>
      </w:r>
    </w:p>
    <w:p>
      <w:pPr>
        <w:spacing w:line="240" w:lineRule="auto" w:before="5"/>
        <w:rPr>
          <w:rFonts w:ascii="宋体" w:hAnsi="宋体" w:cs="宋体" w:eastAsia="宋体" w:hint="default"/>
          <w:sz w:val="25"/>
          <w:szCs w:val="25"/>
        </w:rPr>
      </w:pPr>
    </w:p>
    <w:p>
      <w:pPr>
        <w:pStyle w:val="Heading4"/>
        <w:spacing w:line="240" w:lineRule="auto"/>
        <w:ind w:left="153" w:right="1127"/>
        <w:jc w:val="left"/>
        <w:rPr>
          <w:b w:val="0"/>
          <w:bCs w:val="0"/>
        </w:rPr>
      </w:pPr>
      <w:bookmarkStart w:name="10、金融工具" w:id="290"/>
      <w:bookmarkEnd w:id="29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1127"/>
        <w:jc w:val="left"/>
      </w:pPr>
      <w:r>
        <w:rPr/>
        <w:t>金融工具包括金融资产、金融负债和权益工具。</w:t>
      </w:r>
    </w:p>
    <w:p>
      <w:pPr>
        <w:pStyle w:val="Heading4"/>
        <w:spacing w:line="336" w:lineRule="auto" w:before="135"/>
        <w:ind w:left="575" w:right="5512"/>
        <w:jc w:val="left"/>
        <w:rPr>
          <w:b w:val="0"/>
          <w:bCs w:val="0"/>
        </w:rPr>
      </w:pPr>
      <w:r>
        <w:rPr/>
        <w:t>（</w:t>
      </w:r>
      <w:r>
        <w:rPr>
          <w:rFonts w:ascii="Times New Roman" w:hAnsi="Times New Roman" w:cs="Times New Roman" w:eastAsia="Times New Roman" w:hint="default"/>
        </w:rPr>
        <w:t>1</w:t>
      </w:r>
      <w:r>
        <w:rPr/>
        <w:t>）金融工具的分类</w:t>
      </w:r>
      <w:r>
        <w:rPr>
          <w:w w:val="100"/>
        </w:rPr>
        <w:t> </w:t>
      </w:r>
      <w:r>
        <w:rPr>
          <w:spacing w:val="-1"/>
        </w:rPr>
        <w:t>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日起适用的会计政策</w:t>
      </w:r>
      <w:r>
        <w:rPr>
          <w:b w:val="0"/>
          <w:bCs w:val="0"/>
          <w:spacing w:val="-1"/>
        </w:rPr>
      </w:r>
    </w:p>
    <w:p>
      <w:pPr>
        <w:pStyle w:val="BodyText"/>
        <w:spacing w:line="355" w:lineRule="auto" w:before="24"/>
        <w:ind w:left="152" w:right="1130" w:firstLine="420"/>
        <w:jc w:val="both"/>
      </w:pPr>
      <w:r>
        <w:rPr>
          <w:spacing w:val="2"/>
        </w:rPr>
        <w:t>根据本公司管理金融资产的业务模式和金融资产的合同现金流量特征，金融资产于初始确认时分类</w:t>
      </w:r>
      <w:r>
        <w:rPr>
          <w:w w:val="100"/>
        </w:rPr>
        <w:t> </w:t>
      </w:r>
      <w:r>
        <w:rPr>
          <w:spacing w:val="-2"/>
        </w:rPr>
        <w:t>为：以摊余成本计量的金融资产、以公允价值计量且其变动计入其他综合收益的金融资产（债务工具）和</w:t>
      </w:r>
      <w:r>
        <w:rPr>
          <w:spacing w:val="-47"/>
        </w:rPr>
        <w:t> </w:t>
      </w:r>
      <w:r>
        <w:rPr>
          <w:spacing w:val="-47"/>
        </w:rPr>
      </w:r>
      <w:r>
        <w:rPr/>
        <w:t>以公允价值计量且其变动计入当期损益的金融资产。</w:t>
      </w:r>
    </w:p>
    <w:p>
      <w:pPr>
        <w:pStyle w:val="BodyText"/>
        <w:spacing w:line="355" w:lineRule="auto" w:before="34"/>
        <w:ind w:left="152" w:right="1127" w:firstLine="420"/>
        <w:jc w:val="both"/>
      </w:pPr>
      <w:r>
        <w:rPr>
          <w:spacing w:val="2"/>
        </w:rPr>
        <w:t>业务模式是以收取合同现金流量为目标且合同现金流量仅为对本金和以未偿付本金金额为基础的利</w:t>
      </w:r>
      <w:r>
        <w:rPr>
          <w:w w:val="100"/>
        </w:rPr>
        <w:t> </w:t>
      </w:r>
      <w:r>
        <w:rPr>
          <w:spacing w:val="-2"/>
        </w:rPr>
        <w:t>息的支付的，分类为以摊余成本计量的金融资产；业务模式既以收取合同现金流量又以出售该金融资产为</w:t>
      </w:r>
      <w:r>
        <w:rPr>
          <w:spacing w:val="-42"/>
        </w:rPr>
        <w:t> </w:t>
      </w:r>
      <w:r>
        <w:rPr>
          <w:spacing w:val="-42"/>
        </w:rPr>
      </w:r>
      <w:r>
        <w:rPr>
          <w:spacing w:val="-2"/>
        </w:rPr>
        <w:t>目标且合同现金流量仅为对本金和以未偿付本金金额为基础的利息的支付的，分类为以公允价值计量且其</w:t>
      </w:r>
      <w:r>
        <w:rPr>
          <w:spacing w:val="-43"/>
        </w:rPr>
        <w:t> </w:t>
      </w:r>
      <w:r>
        <w:rPr>
          <w:spacing w:val="-43"/>
        </w:rPr>
      </w:r>
      <w:r>
        <w:rPr>
          <w:spacing w:val="-2"/>
        </w:rPr>
        <w:t>变动计入其他综合收益的金融资产（债务工具）；除此之外的其他金融资产，分类为以公允价值计量且其</w:t>
      </w:r>
      <w:r>
        <w:rPr>
          <w:spacing w:val="-44"/>
        </w:rPr>
        <w:t> </w:t>
      </w:r>
      <w:r>
        <w:rPr>
          <w:spacing w:val="-44"/>
        </w:rPr>
      </w:r>
      <w:r>
        <w:rPr/>
        <w:t>变动计入当期损益的金融资产。</w:t>
      </w:r>
    </w:p>
    <w:p>
      <w:pPr>
        <w:pStyle w:val="BodyText"/>
        <w:spacing w:line="355" w:lineRule="auto" w:before="34"/>
        <w:ind w:left="152" w:right="1128" w:firstLine="420"/>
        <w:jc w:val="both"/>
      </w:pPr>
      <w:r>
        <w:rPr>
          <w:spacing w:val="-2"/>
        </w:rPr>
        <w:t>对于非交易性权益工具投资，本公司在初始确认时确定是否将其指定为以公允价值计量且其变动计入</w:t>
      </w:r>
      <w:r>
        <w:rPr>
          <w:w w:val="100"/>
        </w:rPr>
        <w:t> </w:t>
      </w:r>
      <w:r>
        <w:rPr>
          <w:spacing w:val="-2"/>
        </w:rPr>
        <w:t>其他综合收益的金融资产（权益工具）。在初始确认时，为了能够消除或显著减少会计错配，可以将金融</w:t>
      </w:r>
      <w:r>
        <w:rPr>
          <w:spacing w:val="-43"/>
        </w:rPr>
        <w:t> </w:t>
      </w:r>
      <w:r>
        <w:rPr>
          <w:spacing w:val="-43"/>
        </w:rPr>
      </w:r>
      <w:r>
        <w:rPr/>
        <w:t>资产指定为以公允价值计量且其变动计入当期损益的金融资产。</w:t>
      </w:r>
    </w:p>
    <w:p>
      <w:pPr>
        <w:pStyle w:val="BodyText"/>
        <w:spacing w:line="357" w:lineRule="auto" w:before="32"/>
        <w:ind w:left="152" w:right="1128" w:firstLine="420"/>
        <w:jc w:val="both"/>
      </w:pPr>
      <w:r>
        <w:rPr>
          <w:spacing w:val="-2"/>
        </w:rPr>
        <w:t>金融负债于初始确认时分类为：以公允价值计量且其变动计入当期损益的金融负债和以摊余成本计量</w:t>
      </w:r>
      <w:r>
        <w:rPr>
          <w:w w:val="100"/>
        </w:rPr>
        <w:t> </w:t>
      </w:r>
      <w:r>
        <w:rPr/>
        <w:t>的金融负债。</w:t>
      </w:r>
    </w:p>
    <w:p>
      <w:pPr>
        <w:pStyle w:val="BodyText"/>
        <w:spacing w:line="355" w:lineRule="auto" w:before="30"/>
        <w:ind w:left="152" w:right="1131" w:firstLine="420"/>
        <w:jc w:val="both"/>
      </w:pPr>
      <w:r>
        <w:rPr>
          <w:spacing w:val="2"/>
        </w:rPr>
        <w:t>符合以下条件之一的金融负债可在初始计量时指定为以公允价值计量且其变动计入当期损益的金融</w:t>
      </w:r>
      <w:r>
        <w:rPr>
          <w:w w:val="100"/>
        </w:rPr>
        <w:t> </w:t>
      </w:r>
      <w:r>
        <w:rPr/>
        <w:t>负债：</w:t>
      </w:r>
    </w:p>
    <w:p>
      <w:pPr>
        <w:pStyle w:val="BodyText"/>
        <w:spacing w:line="240" w:lineRule="auto" w:before="32"/>
        <w:ind w:right="1127"/>
        <w:jc w:val="left"/>
      </w:pPr>
      <w:r>
        <w:rPr>
          <w:rFonts w:ascii="Times New Roman" w:hAnsi="Times New Roman" w:cs="Times New Roman" w:eastAsia="Times New Roman" w:hint="default"/>
        </w:rPr>
        <w:t>1</w:t>
      </w:r>
      <w:r>
        <w:rPr/>
        <w:t>）该项指定能够消除或显著减少会计错配。</w:t>
      </w:r>
    </w:p>
    <w:p>
      <w:pPr>
        <w:pStyle w:val="BodyText"/>
        <w:spacing w:line="338" w:lineRule="auto" w:before="117"/>
        <w:ind w:left="152" w:right="1133" w:firstLine="420"/>
        <w:jc w:val="both"/>
      </w:pPr>
      <w:r>
        <w:rPr>
          <w:rFonts w:ascii="Times New Roman" w:hAnsi="Times New Roman" w:cs="Times New Roman" w:eastAsia="Times New Roman" w:hint="default"/>
        </w:rPr>
        <w:t>2</w:t>
      </w:r>
      <w:r>
        <w:rPr/>
        <w:t>）根据正式书面文件载明的企业风险管理或投资策略，以公允价值为基础对金融负债组合或金融资</w:t>
      </w:r>
      <w:r>
        <w:rPr>
          <w:w w:val="100"/>
        </w:rPr>
        <w:t> </w:t>
      </w:r>
      <w:r>
        <w:rPr/>
        <w:t>产和金融负债组合进行管理和业绩评价，并在企业内部以此为基础向关键管理人员报告。</w:t>
      </w:r>
    </w:p>
    <w:p>
      <w:pPr>
        <w:spacing w:after="0" w:line="338" w:lineRule="auto"/>
        <w:jc w:val="both"/>
        <w:sectPr>
          <w:pgSz w:w="11910" w:h="16840"/>
          <w:pgMar w:header="882" w:footer="1134" w:top="1280" w:bottom="1320" w:left="980" w:right="0"/>
        </w:sectPr>
      </w:pPr>
    </w:p>
    <w:p>
      <w:pPr>
        <w:pStyle w:val="BodyText"/>
        <w:spacing w:line="240" w:lineRule="auto" w:before="112"/>
        <w:ind w:right="1127"/>
        <w:jc w:val="left"/>
      </w:pPr>
      <w:r>
        <w:rPr>
          <w:rFonts w:ascii="Times New Roman" w:hAnsi="Times New Roman" w:cs="Times New Roman" w:eastAsia="Times New Roman" w:hint="default"/>
        </w:rPr>
        <w:t>3</w:t>
      </w:r>
      <w:r>
        <w:rPr/>
        <w:t>）该金融负债包含需单独分拆的嵌入衍生工具。</w:t>
      </w:r>
    </w:p>
    <w:p>
      <w:pPr>
        <w:spacing w:line="336" w:lineRule="auto" w:before="117"/>
        <w:ind w:left="572" w:right="11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日前适用的会计政策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金融资产和金融负债于初始确认时分类为：以公允价值计量且其变动计入当期损益的金融资产或金融</w:t>
      </w:r>
    </w:p>
    <w:p>
      <w:pPr>
        <w:pStyle w:val="BodyText"/>
        <w:spacing w:line="355" w:lineRule="auto" w:before="51"/>
        <w:ind w:left="152" w:right="1127"/>
        <w:jc w:val="left"/>
      </w:pPr>
      <w:r>
        <w:rPr>
          <w:spacing w:val="-2"/>
        </w:rPr>
        <w:t>负债，包括交易性金融资产或金融负债和直接指定为以公允价值计量且其变动计入当期损益的金融资产或</w:t>
      </w:r>
      <w:r>
        <w:rPr>
          <w:spacing w:val="-43"/>
        </w:rPr>
        <w:t> </w:t>
      </w:r>
      <w:r>
        <w:rPr>
          <w:spacing w:val="-43"/>
        </w:rPr>
      </w:r>
      <w:r>
        <w:rPr/>
        <w:t>金融负债；持有至到期投资；应收款项；可供出售金融资产；其他金融负债等。</w:t>
      </w:r>
    </w:p>
    <w:p>
      <w:pPr>
        <w:spacing w:line="338" w:lineRule="auto" w:before="32"/>
        <w:ind w:left="572" w:right="5512" w:firstLine="2"/>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）金融工具的确认依据和计量方法</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b/>
          <w:bCs/>
          <w:sz w:val="21"/>
          <w:szCs w:val="21"/>
        </w:rPr>
        <w:t>自</w:t>
      </w: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日起适用的会计政策</w:t>
      </w:r>
      <w:r>
        <w:rPr>
          <w:rFonts w:ascii="宋体" w:hAnsi="宋体" w:cs="宋体" w:eastAsia="宋体" w:hint="default"/>
          <w:b/>
          <w:bCs/>
          <w:w w:val="10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）以摊余成本计量的金融资产</w:t>
      </w:r>
    </w:p>
    <w:p>
      <w:pPr>
        <w:pStyle w:val="BodyText"/>
        <w:spacing w:line="355" w:lineRule="auto" w:before="22"/>
        <w:ind w:left="152" w:right="1128" w:firstLine="420"/>
        <w:jc w:val="both"/>
      </w:pPr>
      <w:r>
        <w:rPr>
          <w:spacing w:val="-2"/>
        </w:rPr>
        <w:t>以摊余成本计量的金融资产包括应收票据、应收账款、其他应收款、长期应收款、债权投资等，按公</w:t>
      </w:r>
      <w:r>
        <w:rPr>
          <w:w w:val="100"/>
        </w:rPr>
        <w:t> </w:t>
      </w:r>
      <w:r>
        <w:rPr>
          <w:spacing w:val="-2"/>
        </w:rPr>
        <w:t>允价值进行初始计量，相关交易费用计入初始确认金额；不包含重大融资成分的应收账款以及本公司决定</w:t>
      </w:r>
      <w:r>
        <w:rPr>
          <w:spacing w:val="-42"/>
        </w:rPr>
        <w:t> </w:t>
      </w:r>
      <w:r>
        <w:rPr>
          <w:spacing w:val="-42"/>
        </w:rPr>
      </w:r>
      <w:r>
        <w:rPr/>
        <w:t>不考虑不超过一年的融资成分的应收账款，以合同交易价格进行初始计量。</w:t>
      </w:r>
    </w:p>
    <w:p>
      <w:pPr>
        <w:pStyle w:val="BodyText"/>
        <w:spacing w:line="350" w:lineRule="auto" w:before="32"/>
        <w:ind w:right="1127"/>
        <w:jc w:val="left"/>
      </w:pPr>
      <w:r>
        <w:rPr/>
        <w:t>持有期间采用实际利率法计算的利息计入当期损益。</w:t>
      </w:r>
      <w:r>
        <w:rPr>
          <w:w w:val="100"/>
        </w:rPr>
        <w:t> </w:t>
      </w:r>
      <w:r>
        <w:rPr/>
        <w:t>收回或处置时，将取得的价款与该金融资产账面价值之间的差额计入当期损益。</w:t>
      </w:r>
      <w:r>
        <w:rPr>
          <w:w w:val="100"/>
        </w:rPr>
        <w:t> </w:t>
      </w:r>
      <w:r>
        <w:rPr>
          <w:rFonts w:ascii="Times New Roman" w:hAnsi="Times New Roman" w:cs="Times New Roman" w:eastAsia="Times New Roman" w:hint="default"/>
        </w:rPr>
        <w:t>2</w:t>
      </w:r>
      <w:r>
        <w:rPr/>
        <w:t>）以公允价值计量且其变动计入其他综合收益的金融资产（债务工具）</w:t>
      </w:r>
      <w:r>
        <w:rPr>
          <w:w w:val="100"/>
        </w:rPr>
        <w:t> </w:t>
      </w:r>
      <w:r>
        <w:rPr>
          <w:spacing w:val="-2"/>
        </w:rPr>
        <w:t>以公允价值计量且其变动计入其他综合收益的金融资产（债务工具）包括应收款项融资、其他债权投</w:t>
      </w:r>
    </w:p>
    <w:p>
      <w:pPr>
        <w:pStyle w:val="BodyText"/>
        <w:spacing w:line="355" w:lineRule="auto" w:before="36"/>
        <w:ind w:left="152" w:right="0"/>
        <w:jc w:val="left"/>
      </w:pPr>
      <w:r>
        <w:rPr>
          <w:spacing w:val="-5"/>
        </w:rPr>
        <w:t>资等，按公允价值进行初始计量，相关交易费用计入初始确认金额。该金融资产按公允价值进行后续计量， </w:t>
      </w:r>
      <w:r>
        <w:rPr/>
        <w:t>公允价值变动除采用实际利率法计算的利息、减值损失或利得和汇兑损益之外，均计入其他综合收益。</w:t>
      </w:r>
    </w:p>
    <w:p>
      <w:pPr>
        <w:pStyle w:val="BodyText"/>
        <w:spacing w:line="345" w:lineRule="auto" w:before="34"/>
        <w:ind w:right="1127"/>
        <w:jc w:val="left"/>
      </w:pPr>
      <w:r>
        <w:rPr/>
        <w:t>终止确认时，之前计入其他综合收益的累计利得或损失从其他综合收益中转出，计入当期损益。</w:t>
      </w:r>
      <w:r>
        <w:rPr>
          <w:w w:val="100"/>
        </w:rPr>
        <w:t> </w:t>
      </w:r>
      <w:r>
        <w:rPr>
          <w:rFonts w:ascii="Times New Roman" w:hAnsi="Times New Roman" w:cs="Times New Roman" w:eastAsia="Times New Roman" w:hint="default"/>
        </w:rPr>
        <w:t>3</w:t>
      </w:r>
      <w:r>
        <w:rPr/>
        <w:t>）以公允价值计量且其变动计入其他综合收益的金融资产（权益工具）</w:t>
      </w:r>
      <w:r>
        <w:rPr>
          <w:w w:val="100"/>
        </w:rPr>
        <w:t> </w:t>
      </w:r>
      <w:r>
        <w:rPr>
          <w:spacing w:val="-2"/>
        </w:rPr>
        <w:t>以公允价值计量且其变动计入其他综合收益的金融资产（权益工具）包括其他权益工具投资等，按公</w:t>
      </w:r>
    </w:p>
    <w:p>
      <w:pPr>
        <w:pStyle w:val="BodyText"/>
        <w:spacing w:line="357" w:lineRule="auto" w:before="41"/>
        <w:ind w:left="152" w:right="1127"/>
        <w:jc w:val="left"/>
      </w:pPr>
      <w:r>
        <w:rPr>
          <w:spacing w:val="-2"/>
        </w:rPr>
        <w:t>允价值进行初始计量，相关交易费用计入初始确认金额。该金融资产按公允价值进行后续计量，公允价值</w:t>
      </w:r>
      <w:r>
        <w:rPr>
          <w:spacing w:val="-44"/>
        </w:rPr>
        <w:t> </w:t>
      </w:r>
      <w:r>
        <w:rPr>
          <w:spacing w:val="-44"/>
        </w:rPr>
      </w:r>
      <w:r>
        <w:rPr/>
        <w:t>变动计入其他综合收益。取得的股利计入当期损益。</w:t>
      </w:r>
    </w:p>
    <w:p>
      <w:pPr>
        <w:pStyle w:val="BodyText"/>
        <w:spacing w:line="345" w:lineRule="auto" w:before="30"/>
        <w:ind w:right="1127"/>
        <w:jc w:val="left"/>
      </w:pPr>
      <w:r>
        <w:rPr/>
        <w:t>终止确认时，之前计入其他综合收益的累计利得或损失从其他综合收益中转出，计入留存收益。</w:t>
      </w:r>
      <w:r>
        <w:rPr>
          <w:w w:val="100"/>
        </w:rPr>
        <w:t> </w:t>
      </w:r>
      <w:r>
        <w:rPr>
          <w:rFonts w:ascii="Times New Roman" w:hAnsi="Times New Roman" w:cs="Times New Roman" w:eastAsia="Times New Roman" w:hint="default"/>
        </w:rPr>
        <w:t>4</w:t>
      </w:r>
      <w:r>
        <w:rPr/>
        <w:t>）以公允价值计量且其变动计入当期损益的金融资产</w:t>
      </w:r>
      <w:r>
        <w:rPr>
          <w:spacing w:val="-3"/>
          <w:w w:val="100"/>
        </w:rPr>
        <w:t> </w:t>
      </w:r>
      <w:r>
        <w:rPr>
          <w:spacing w:val="-2"/>
        </w:rPr>
        <w:t>以公允价值计量且其变动计入当期损益的金融资产包括交易性金融资产、衍生金融资产、其他非流动</w:t>
      </w:r>
    </w:p>
    <w:p>
      <w:pPr>
        <w:pStyle w:val="BodyText"/>
        <w:spacing w:line="357" w:lineRule="auto" w:before="41"/>
        <w:ind w:left="152" w:right="1127"/>
        <w:jc w:val="left"/>
      </w:pPr>
      <w:r>
        <w:rPr>
          <w:spacing w:val="-2"/>
        </w:rPr>
        <w:t>金融资产等，按公允价值进行初始计量，相关交易费用计入当期损益。该金融资产按公允价值进行后续计</w:t>
      </w:r>
      <w:r>
        <w:rPr>
          <w:spacing w:val="-43"/>
        </w:rPr>
        <w:t> </w:t>
      </w:r>
      <w:r>
        <w:rPr>
          <w:spacing w:val="-43"/>
        </w:rPr>
      </w:r>
      <w:r>
        <w:rPr/>
        <w:t>量，公允价值变动计入当期损益。</w:t>
      </w:r>
    </w:p>
    <w:p>
      <w:pPr>
        <w:pStyle w:val="BodyText"/>
        <w:spacing w:line="336" w:lineRule="auto" w:before="30"/>
        <w:ind w:right="1127"/>
        <w:jc w:val="left"/>
      </w:pPr>
      <w:r>
        <w:rPr>
          <w:rFonts w:ascii="Times New Roman" w:hAnsi="Times New Roman" w:cs="Times New Roman" w:eastAsia="Times New Roman" w:hint="default"/>
        </w:rPr>
        <w:t>5</w:t>
      </w:r>
      <w:r>
        <w:rPr/>
        <w:t>）以公允价值计量且其变动计入当期损益的金融负债</w:t>
      </w:r>
      <w:r>
        <w:rPr>
          <w:spacing w:val="-3"/>
          <w:w w:val="100"/>
        </w:rPr>
        <w:t> </w:t>
      </w:r>
      <w:r>
        <w:rPr>
          <w:spacing w:val="-2"/>
        </w:rPr>
        <w:t>以公允价值计量且其变动计入当期损益的金融负债包括交易性金融负债、衍生金融负债等，按公允价</w:t>
      </w:r>
    </w:p>
    <w:p>
      <w:pPr>
        <w:pStyle w:val="BodyText"/>
        <w:spacing w:line="355" w:lineRule="auto" w:before="49"/>
        <w:ind w:left="152" w:right="1127"/>
        <w:jc w:val="left"/>
      </w:pPr>
      <w:r>
        <w:rPr>
          <w:spacing w:val="-2"/>
        </w:rPr>
        <w:t>值进行初始计量，相关交易费用计入当期损益。该金融负债按公允价值进行后续计量，公允价值变动计入</w:t>
      </w:r>
      <w:r>
        <w:rPr>
          <w:spacing w:val="-48"/>
        </w:rPr>
        <w:t> </w:t>
      </w:r>
      <w:r>
        <w:rPr>
          <w:spacing w:val="-48"/>
        </w:rPr>
      </w:r>
      <w:r>
        <w:rPr/>
        <w:t>当期损益。</w:t>
      </w:r>
    </w:p>
    <w:p>
      <w:pPr>
        <w:pStyle w:val="BodyText"/>
        <w:spacing w:line="240" w:lineRule="auto" w:before="34"/>
        <w:ind w:right="1127"/>
        <w:jc w:val="left"/>
      </w:pPr>
      <w:r>
        <w:rPr/>
        <w:t>终止确认时，其账面价值与支付的对价之间的差额计入当期损益。</w:t>
      </w:r>
    </w:p>
    <w:p>
      <w:pPr>
        <w:pStyle w:val="BodyText"/>
        <w:spacing w:line="336" w:lineRule="auto" w:before="133"/>
        <w:ind w:right="0"/>
        <w:jc w:val="left"/>
      </w:pPr>
      <w:r>
        <w:rPr>
          <w:rFonts w:ascii="Times New Roman" w:hAnsi="Times New Roman" w:cs="Times New Roman" w:eastAsia="Times New Roman" w:hint="default"/>
        </w:rPr>
        <w:t>6</w:t>
      </w:r>
      <w:r>
        <w:rPr/>
        <w:t>）以摊余成本计量的金融负债</w:t>
      </w:r>
      <w:r>
        <w:rPr>
          <w:w w:val="100"/>
        </w:rPr>
        <w:t> </w:t>
      </w:r>
      <w:r>
        <w:rPr>
          <w:spacing w:val="-5"/>
        </w:rPr>
        <w:t>以摊余成本计量的金融负债包括短期借款、应付票据、应付账款、其他应付款、长期借款、应付债券、</w:t>
      </w:r>
    </w:p>
    <w:p>
      <w:pPr>
        <w:spacing w:after="0" w:line="336" w:lineRule="auto"/>
        <w:jc w:val="left"/>
        <w:sectPr>
          <w:footerReference w:type="default" r:id="rId62"/>
          <w:pgSz w:w="11910" w:h="16840"/>
          <w:pgMar w:footer="1134" w:header="882" w:top="1280" w:bottom="1320" w:left="980" w:right="0"/>
        </w:sectPr>
      </w:pPr>
    </w:p>
    <w:p>
      <w:pPr>
        <w:pStyle w:val="BodyText"/>
        <w:spacing w:line="357" w:lineRule="auto" w:before="112"/>
        <w:ind w:left="573" w:right="1127" w:hanging="421"/>
        <w:jc w:val="left"/>
        <w:rPr>
          <w:rFonts w:ascii="宋体" w:hAnsi="宋体" w:cs="宋体" w:eastAsia="宋体" w:hint="default"/>
        </w:rPr>
      </w:pPr>
      <w:r>
        <w:rPr/>
        <w:t>长期应付款，按公允价值进行初始计量，相关交易费用计入初始确认金额。</w:t>
      </w:r>
      <w:r>
        <w:rPr>
          <w:w w:val="100"/>
        </w:rPr>
        <w:t> </w:t>
      </w:r>
      <w:r>
        <w:rPr/>
        <w:t>持有期间采用实际利率法计算的利息计入当期损益。</w:t>
      </w:r>
      <w:r>
        <w:rPr>
          <w:w w:val="100"/>
        </w:rPr>
        <w:t> </w:t>
      </w:r>
      <w:r>
        <w:rPr>
          <w:spacing w:val="-2"/>
        </w:rPr>
        <w:t>终止确认时，将支付的对价与该金融负债账面价值之间的差额计入当期损益。</w:t>
      </w:r>
      <w:r>
        <w:rPr>
          <w:w w:val="100"/>
        </w:rPr>
        <w:t> </w:t>
      </w:r>
      <w:r>
        <w:rPr>
          <w:rFonts w:ascii="Times New Roman" w:hAnsi="Times New Roman" w:cs="Times New Roman" w:eastAsia="Times New Roman" w:hint="default"/>
          <w:b/>
          <w:bCs/>
        </w:rPr>
        <w:t>2019</w:t>
      </w:r>
      <w:r>
        <w:rPr>
          <w:rFonts w:ascii="宋体" w:hAnsi="宋体" w:cs="宋体" w:eastAsia="宋体" w:hint="default"/>
          <w:b/>
          <w:bCs/>
        </w:rPr>
        <w:t>年</w:t>
      </w:r>
      <w:r>
        <w:rPr>
          <w:rFonts w:ascii="Times New Roman" w:hAnsi="Times New Roman" w:cs="Times New Roman" w:eastAsia="Times New Roman" w:hint="default"/>
          <w:b/>
          <w:bCs/>
        </w:rPr>
        <w:t>1</w:t>
      </w:r>
      <w:r>
        <w:rPr>
          <w:rFonts w:ascii="宋体" w:hAnsi="宋体" w:cs="宋体" w:eastAsia="宋体" w:hint="default"/>
          <w:b/>
          <w:bCs/>
        </w:rPr>
        <w:t>月</w:t>
      </w:r>
      <w:r>
        <w:rPr>
          <w:rFonts w:ascii="Times New Roman" w:hAnsi="Times New Roman" w:cs="Times New Roman" w:eastAsia="Times New Roman" w:hint="default"/>
          <w:b/>
          <w:bCs/>
        </w:rPr>
        <w:t>1</w:t>
      </w:r>
      <w:r>
        <w:rPr>
          <w:rFonts w:ascii="宋体" w:hAnsi="宋体" w:cs="宋体" w:eastAsia="宋体" w:hint="default"/>
          <w:b/>
          <w:bCs/>
        </w:rPr>
        <w:t>日前适用的会计政策</w:t>
      </w:r>
      <w:r>
        <w:rPr>
          <w:rFonts w:ascii="宋体" w:hAnsi="宋体" w:cs="宋体" w:eastAsia="宋体" w:hint="default"/>
        </w:rPr>
      </w:r>
    </w:p>
    <w:p>
      <w:pPr>
        <w:pStyle w:val="BodyText"/>
        <w:spacing w:line="336" w:lineRule="auto" w:before="3"/>
        <w:ind w:right="1127"/>
        <w:jc w:val="left"/>
      </w:pP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2"/>
        </w:rPr>
        <w:t>取得时以公允价值（扣除已宣告但尚未发放的现金股利或已到付息期但尚未领取的债券利息）作为初</w:t>
      </w:r>
    </w:p>
    <w:p>
      <w:pPr>
        <w:pStyle w:val="BodyText"/>
        <w:spacing w:line="352" w:lineRule="auto" w:before="49"/>
        <w:ind w:right="0" w:hanging="420"/>
        <w:jc w:val="left"/>
      </w:pPr>
      <w:r>
        <w:rPr/>
        <w:t>始确认金额，相关的交易费用计入当期损益。</w:t>
      </w:r>
      <w:r>
        <w:rPr>
          <w:w w:val="100"/>
        </w:rPr>
        <w:t> </w:t>
      </w:r>
      <w:r>
        <w:rPr/>
        <w:t>持有期间将取得的利息或现金股利确认为投资收益，期末将公允价值变动计入当期损益。</w:t>
      </w:r>
      <w:r>
        <w:rPr>
          <w:w w:val="100"/>
        </w:rPr>
        <w:t> </w:t>
      </w:r>
      <w:r>
        <w:rPr/>
        <w:t>处置时，其公允价值与初始入账金额之间的差额确认为投资收益，同时调整公允价值变动损益。</w:t>
      </w:r>
      <w:r>
        <w:rPr>
          <w:w w:val="100"/>
        </w:rPr>
        <w:t> </w:t>
      </w:r>
      <w:r>
        <w:rPr>
          <w:rFonts w:ascii="Times New Roman" w:hAnsi="Times New Roman" w:cs="Times New Roman" w:eastAsia="Times New Roman" w:hint="default"/>
        </w:rPr>
        <w:t>2</w:t>
      </w:r>
      <w:r>
        <w:rPr/>
        <w:t>）持有至到期投资</w:t>
      </w:r>
      <w:r>
        <w:rPr>
          <w:w w:val="100"/>
        </w:rPr>
        <w:t> </w:t>
      </w:r>
      <w:r>
        <w:rPr>
          <w:spacing w:val="-5"/>
        </w:rPr>
        <w:t>取得时按公允价值（扣除已到付息期但尚未领取的债券利息）和相关交易费用之和作为初始确认金额。</w:t>
      </w:r>
      <w:r>
        <w:rPr>
          <w:spacing w:val="-3"/>
          <w:w w:val="100"/>
        </w:rPr>
        <w:t> </w:t>
      </w:r>
      <w:r>
        <w:rPr>
          <w:spacing w:val="-2"/>
        </w:rPr>
        <w:t>持有期间按照摊余成本和实际利率计算确认利息收入，计入投资收益。实际利率在取得时确定，在该</w:t>
      </w:r>
    </w:p>
    <w:p>
      <w:pPr>
        <w:pStyle w:val="BodyText"/>
        <w:spacing w:line="355" w:lineRule="auto" w:before="37"/>
        <w:ind w:right="3135" w:hanging="420"/>
        <w:jc w:val="left"/>
      </w:pPr>
      <w:r>
        <w:rPr/>
        <w:t>预期存续期间或适用的更短期间内保持不变。</w:t>
      </w:r>
      <w:r>
        <w:rPr>
          <w:w w:val="100"/>
        </w:rPr>
        <w:t> </w:t>
      </w:r>
      <w:r>
        <w:rPr>
          <w:spacing w:val="-2"/>
        </w:rPr>
        <w:t>处置时，将所取得价款与该投资账面价值之间的差额计入投资收益。</w:t>
      </w:r>
      <w:r>
        <w:rPr>
          <w:w w:val="100"/>
        </w:rPr>
        <w:t> </w:t>
      </w:r>
      <w:r>
        <w:rPr>
          <w:rFonts w:ascii="Times New Roman" w:hAnsi="Times New Roman" w:cs="Times New Roman" w:eastAsia="Times New Roman" w:hint="default"/>
        </w:rPr>
        <w:t>3</w:t>
      </w:r>
      <w:r>
        <w:rPr/>
        <w:t>）应收款项</w:t>
      </w:r>
    </w:p>
    <w:p>
      <w:pPr>
        <w:pStyle w:val="BodyText"/>
        <w:spacing w:line="357" w:lineRule="auto" w:before="5"/>
        <w:ind w:left="152" w:right="1128" w:firstLine="420"/>
        <w:jc w:val="both"/>
      </w:pPr>
      <w:r>
        <w:rPr>
          <w:spacing w:val="-2"/>
        </w:rPr>
        <w:t>公司对外销售商品或提供劳务形成的应收债权，以及公司持有的其他企业的不包括在活跃市场上有报</w:t>
      </w:r>
      <w:r>
        <w:rPr>
          <w:w w:val="100"/>
        </w:rPr>
        <w:t> </w:t>
      </w:r>
      <w:r>
        <w:rPr>
          <w:spacing w:val="-2"/>
        </w:rPr>
        <w:t>价的债务工具的债权，包括应收账款、其他应收款等，以向购货方应收的合同或协议价款作为初始确认金</w:t>
      </w:r>
      <w:r>
        <w:rPr>
          <w:spacing w:val="-43"/>
        </w:rPr>
        <w:t> </w:t>
      </w:r>
      <w:r>
        <w:rPr>
          <w:spacing w:val="-43"/>
        </w:rPr>
      </w:r>
      <w:r>
        <w:rPr/>
        <w:t>额；具有融资性质的，按其现值进行初始确认。</w:t>
      </w:r>
    </w:p>
    <w:p>
      <w:pPr>
        <w:pStyle w:val="BodyText"/>
        <w:spacing w:line="345" w:lineRule="auto" w:before="30"/>
        <w:ind w:right="1127"/>
        <w:jc w:val="left"/>
      </w:pPr>
      <w:r>
        <w:rPr/>
        <w:t>收回或处置时，将取得的价款与该应收款项账面价值之间的差额计入当期损益。</w:t>
      </w:r>
      <w:r>
        <w:rPr>
          <w:w w:val="100"/>
        </w:rPr>
        <w:t> </w:t>
      </w:r>
      <w:r>
        <w:rPr>
          <w:rFonts w:ascii="Times New Roman" w:hAnsi="Times New Roman" w:cs="Times New Roman" w:eastAsia="Times New Roman" w:hint="default"/>
        </w:rPr>
        <w:t>4</w:t>
      </w:r>
      <w:r>
        <w:rPr/>
        <w:t>）可供出售金融资产</w:t>
      </w:r>
      <w:r>
        <w:rPr>
          <w:spacing w:val="-3"/>
          <w:w w:val="100"/>
        </w:rPr>
        <w:t> </w:t>
      </w:r>
      <w:r>
        <w:rPr>
          <w:spacing w:val="-2"/>
        </w:rPr>
        <w:t>取得时按公允价值（扣除已宣告但尚未发放的现金股利或已到付息期但尚未领取的债券利息）和相关</w:t>
      </w:r>
    </w:p>
    <w:p>
      <w:pPr>
        <w:pStyle w:val="BodyText"/>
        <w:spacing w:line="355" w:lineRule="auto" w:before="43"/>
        <w:ind w:right="1127" w:hanging="421"/>
        <w:jc w:val="left"/>
      </w:pPr>
      <w:r>
        <w:rPr/>
        <w:t>交易费用之和作为初始确认金额。</w:t>
      </w:r>
      <w:r>
        <w:rPr>
          <w:w w:val="100"/>
        </w:rPr>
        <w:t> </w:t>
      </w:r>
      <w:r>
        <w:rPr>
          <w:spacing w:val="-2"/>
        </w:rPr>
        <w:t>持有期间将取得的利息或现金股利确认为投资收益。期末以公允价值计量且将公允价值变动计入其他</w:t>
      </w:r>
    </w:p>
    <w:p>
      <w:pPr>
        <w:pStyle w:val="BodyText"/>
        <w:spacing w:line="355" w:lineRule="auto" w:before="32"/>
        <w:ind w:left="152" w:right="1127"/>
        <w:jc w:val="left"/>
      </w:pPr>
      <w:r>
        <w:rPr>
          <w:spacing w:val="-2"/>
        </w:rPr>
        <w:t>综合收益。但是，在活跃市场中没有报价且其公允价值不能可靠计量的权益工具投资，以及与该权益工具</w:t>
      </w:r>
      <w:r>
        <w:rPr>
          <w:spacing w:val="-44"/>
        </w:rPr>
        <w:t> </w:t>
      </w:r>
      <w:r>
        <w:rPr>
          <w:spacing w:val="-44"/>
        </w:rPr>
      </w:r>
      <w:r>
        <w:rPr/>
        <w:t>挂钩并须通过交付该权益工具结算的衍生金融资产，按照成本计量。</w:t>
      </w:r>
    </w:p>
    <w:p>
      <w:pPr>
        <w:pStyle w:val="BodyText"/>
        <w:spacing w:line="357" w:lineRule="auto" w:before="32"/>
        <w:ind w:left="152" w:right="1131" w:firstLine="420"/>
        <w:jc w:val="both"/>
      </w:pPr>
      <w:r>
        <w:rPr>
          <w:spacing w:val="-2"/>
        </w:rPr>
        <w:t>处置时，将取得的价款与该金融资产账面价值之间的差额，计入投资损益；同时，将原直接计入其他</w:t>
      </w:r>
      <w:r>
        <w:rPr>
          <w:w w:val="100"/>
        </w:rPr>
        <w:t> </w:t>
      </w:r>
      <w:r>
        <w:rPr/>
        <w:t>综合收益的公允价值变动累计额对应处置部分的金额转出，计入当期损益。</w:t>
      </w:r>
    </w:p>
    <w:p>
      <w:pPr>
        <w:pStyle w:val="BodyText"/>
        <w:spacing w:line="336" w:lineRule="auto" w:before="30"/>
        <w:ind w:right="1127"/>
        <w:jc w:val="left"/>
      </w:pPr>
      <w:r>
        <w:rPr>
          <w:rFonts w:ascii="Times New Roman" w:hAnsi="Times New Roman" w:cs="Times New Roman" w:eastAsia="Times New Roman" w:hint="default"/>
        </w:rPr>
        <w:t>5</w:t>
      </w:r>
      <w:r>
        <w:rPr/>
        <w:t>）其他金融负债</w:t>
      </w:r>
      <w:r>
        <w:rPr>
          <w:spacing w:val="-3"/>
          <w:w w:val="100"/>
        </w:rPr>
        <w:t> </w:t>
      </w:r>
      <w:r>
        <w:rPr>
          <w:spacing w:val="-2"/>
        </w:rPr>
        <w:t>按其公允价值和相关交易费用之和作为初始确认金额。采用摊余成本进行后续计量。</w:t>
      </w:r>
    </w:p>
    <w:p>
      <w:pPr>
        <w:spacing w:line="336" w:lineRule="auto" w:before="48"/>
        <w:ind w:left="572" w:right="11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公司发生金融资产转移时，如已将金融资产所有权上几乎所有的风险和报酬转移给转入方，则终止确</w:t>
      </w:r>
    </w:p>
    <w:p>
      <w:pPr>
        <w:pStyle w:val="BodyText"/>
        <w:spacing w:line="355" w:lineRule="auto" w:before="51"/>
        <w:ind w:right="1127" w:hanging="420"/>
        <w:jc w:val="left"/>
      </w:pPr>
      <w:r>
        <w:rPr/>
        <w:t>认该金融资产；如保留了金融资产所有权上几乎所有的风险和报酬的，则不终止确认该金融资产。</w:t>
      </w:r>
      <w:r>
        <w:rPr>
          <w:w w:val="100"/>
        </w:rPr>
        <w:t> </w:t>
      </w:r>
      <w:r>
        <w:rPr/>
        <w:t>在判断金融资产转移是否满足上述金融资产终止确认条件时，采用实质重于形式的原则。</w:t>
      </w:r>
      <w:r>
        <w:rPr>
          <w:w w:val="100"/>
        </w:rPr>
        <w:t> </w:t>
      </w:r>
      <w:r>
        <w:rPr>
          <w:spacing w:val="-2"/>
        </w:rPr>
        <w:t>公司将金融资产转移区分为金融资产整体转移和部分转移。金融资产整体转移满足终止确认条件的，</w:t>
      </w:r>
    </w:p>
    <w:p>
      <w:pPr>
        <w:spacing w:after="0" w:line="355" w:lineRule="auto"/>
        <w:jc w:val="left"/>
        <w:sectPr>
          <w:footerReference w:type="default" r:id="rId63"/>
          <w:pgSz w:w="11910" w:h="16840"/>
          <w:pgMar w:footer="1134" w:header="882" w:top="1280" w:bottom="1320" w:left="980" w:right="0"/>
          <w:pgNumType w:start="151"/>
        </w:sectPr>
      </w:pPr>
    </w:p>
    <w:p>
      <w:pPr>
        <w:pStyle w:val="BodyText"/>
        <w:spacing w:line="240" w:lineRule="auto" w:before="112"/>
        <w:ind w:left="152" w:right="0"/>
        <w:jc w:val="both"/>
      </w:pPr>
      <w:r>
        <w:rPr/>
        <w:t>将下列两项金额的差额计入当期损益：</w:t>
      </w:r>
    </w:p>
    <w:p>
      <w:pPr>
        <w:pStyle w:val="BodyText"/>
        <w:spacing w:line="240" w:lineRule="auto" w:before="133"/>
        <w:ind w:left="573" w:right="1127"/>
        <w:jc w:val="left"/>
      </w:pPr>
      <w:r>
        <w:rPr>
          <w:rFonts w:ascii="Times New Roman" w:hAnsi="Times New Roman" w:cs="Times New Roman" w:eastAsia="Times New Roman" w:hint="default"/>
        </w:rPr>
        <w:t>1</w:t>
      </w:r>
      <w:r>
        <w:rPr/>
        <w:t>）所转移金融资产的账面价值；</w:t>
      </w:r>
    </w:p>
    <w:p>
      <w:pPr>
        <w:pStyle w:val="BodyText"/>
        <w:spacing w:line="348" w:lineRule="auto" w:before="117"/>
        <w:ind w:left="152" w:right="1109" w:firstLine="420"/>
        <w:jc w:val="right"/>
      </w:pPr>
      <w:r>
        <w:rPr>
          <w:rFonts w:ascii="Times New Roman" w:hAnsi="Times New Roman" w:cs="Times New Roman" w:eastAsia="Times New Roman" w:hint="default"/>
        </w:rPr>
        <w:t>2</w:t>
      </w:r>
      <w:r>
        <w:rPr/>
        <w:t>）因转移而收到的对价，与原直接计入所有者权益的公允价值变动累计额（涉及转移的金融资产为</w:t>
      </w:r>
      <w:r>
        <w:rPr>
          <w:w w:val="100"/>
        </w:rPr>
        <w:t> </w:t>
      </w:r>
      <w:r>
        <w:rPr>
          <w:spacing w:val="-2"/>
        </w:rPr>
        <w:t>以公允价值计量且其变动计入其他综合收益的金融资产（债务工具）、可供出售金融资产的情形）之和。</w:t>
      </w:r>
      <w:r>
        <w:rPr>
          <w:spacing w:val="-44"/>
        </w:rPr>
        <w:t> </w:t>
      </w:r>
      <w:r>
        <w:rPr>
          <w:spacing w:val="-44"/>
        </w:rPr>
      </w:r>
      <w:r>
        <w:rPr>
          <w:spacing w:val="-2"/>
        </w:rPr>
        <w:t>金融资产部分转移满足终止确认条件的，将所转移金融资产整体的账面价值，在终止确认部分和未终</w:t>
      </w:r>
    </w:p>
    <w:p>
      <w:pPr>
        <w:pStyle w:val="BodyText"/>
        <w:spacing w:line="240" w:lineRule="auto" w:before="38"/>
        <w:ind w:left="152" w:right="0"/>
        <w:jc w:val="both"/>
      </w:pPr>
      <w:r>
        <w:rPr/>
        <w:t>止确认部分之间，按照各自的相对公允价值进行分摊，并将下列两项金额的差额计入当期损益：</w:t>
      </w:r>
    </w:p>
    <w:p>
      <w:pPr>
        <w:pStyle w:val="BodyText"/>
        <w:spacing w:line="240" w:lineRule="auto" w:before="133"/>
        <w:ind w:right="1127"/>
        <w:jc w:val="left"/>
      </w:pPr>
      <w:r>
        <w:rPr>
          <w:rFonts w:ascii="Times New Roman" w:hAnsi="Times New Roman" w:cs="Times New Roman" w:eastAsia="Times New Roman" w:hint="default"/>
        </w:rPr>
        <w:t>1</w:t>
      </w:r>
      <w:r>
        <w:rPr/>
        <w:t>）终止确认部分的账面价值；</w:t>
      </w:r>
    </w:p>
    <w:p>
      <w:pPr>
        <w:pStyle w:val="BodyText"/>
        <w:spacing w:line="345" w:lineRule="auto" w:before="119"/>
        <w:ind w:left="152" w:right="1128" w:firstLine="420"/>
        <w:jc w:val="both"/>
      </w:pPr>
      <w:r>
        <w:rPr>
          <w:rFonts w:ascii="Times New Roman" w:hAnsi="Times New Roman" w:cs="Times New Roman" w:eastAsia="Times New Roman" w:hint="default"/>
        </w:rPr>
        <w:t>2</w:t>
      </w:r>
      <w:r>
        <w:rPr/>
        <w:t>）终止确认部分的对价，与原直接计入所有者权益的公允价值变动累计额中对应终止确认部分的金</w:t>
      </w:r>
      <w:r>
        <w:rPr>
          <w:w w:val="100"/>
        </w:rPr>
        <w:t> </w:t>
      </w:r>
      <w:r>
        <w:rPr>
          <w:spacing w:val="-2"/>
        </w:rPr>
        <w:t>额（涉及转移的金融资产为以公允价值计量且其变动计入其他综合收益的金融资产（债务工具）、可供出</w:t>
      </w:r>
      <w:r>
        <w:rPr>
          <w:spacing w:val="-44"/>
        </w:rPr>
        <w:t> </w:t>
      </w:r>
      <w:r>
        <w:rPr>
          <w:spacing w:val="-44"/>
        </w:rPr>
      </w:r>
      <w:r>
        <w:rPr/>
        <w:t>售金融资产的情形）之和。</w:t>
      </w:r>
    </w:p>
    <w:p>
      <w:pPr>
        <w:pStyle w:val="BodyText"/>
        <w:spacing w:line="240" w:lineRule="auto" w:before="41"/>
        <w:ind w:right="1127"/>
        <w:jc w:val="left"/>
      </w:pPr>
      <w:r>
        <w:rPr/>
        <w:t>金融资产转移不满足终止确认条件的，继续确认该金融资产，所收到的对价确认为一项金融负债。</w:t>
      </w:r>
    </w:p>
    <w:p>
      <w:pPr>
        <w:spacing w:line="338" w:lineRule="auto" w:before="133"/>
        <w:ind w:left="572" w:right="11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金融负债的现时义务全部或部分已经解除的，则终止确认该金融负债或其一部分；本公司若与债权人</w:t>
      </w:r>
    </w:p>
    <w:p>
      <w:pPr>
        <w:pStyle w:val="BodyText"/>
        <w:spacing w:line="355" w:lineRule="auto" w:before="47"/>
        <w:ind w:left="152" w:right="1128"/>
        <w:jc w:val="both"/>
      </w:pPr>
      <w:r>
        <w:rPr>
          <w:spacing w:val="-2"/>
        </w:rPr>
        <w:t>签定协议，以承担新金融负债方式替换现存金融负债，且新金融负债与现存金融负债的合同条款实质上不</w:t>
      </w:r>
      <w:r>
        <w:rPr>
          <w:spacing w:val="-42"/>
        </w:rPr>
        <w:t> </w:t>
      </w:r>
      <w:r>
        <w:rPr>
          <w:spacing w:val="-42"/>
        </w:rPr>
      </w:r>
      <w:r>
        <w:rPr/>
        <w:t>同的，则终止确认现存金融负债，并同时确认新金融负债。</w:t>
      </w:r>
    </w:p>
    <w:p>
      <w:pPr>
        <w:pStyle w:val="BodyText"/>
        <w:spacing w:line="355" w:lineRule="auto" w:before="32"/>
        <w:ind w:left="152" w:right="1127" w:firstLine="420"/>
        <w:jc w:val="left"/>
      </w:pPr>
      <w:r>
        <w:rPr>
          <w:spacing w:val="-2"/>
        </w:rPr>
        <w:t>对现存金融负债全部或部分合同条款作出实质性修改的，则终止确认现存金融负债或其一部分，同时</w:t>
      </w:r>
      <w:r>
        <w:rPr>
          <w:w w:val="100"/>
        </w:rPr>
        <w:t> </w:t>
      </w:r>
      <w:r>
        <w:rPr/>
        <w:t>将修改条款后的金融负债确认为一项新金融负债。</w:t>
      </w:r>
    </w:p>
    <w:p>
      <w:pPr>
        <w:pStyle w:val="BodyText"/>
        <w:spacing w:line="355" w:lineRule="auto" w:before="34"/>
        <w:ind w:left="152" w:right="1127" w:firstLine="420"/>
        <w:jc w:val="left"/>
      </w:pPr>
      <w:r>
        <w:rPr>
          <w:spacing w:val="-2"/>
        </w:rPr>
        <w:t>金融负债全部或部分终止确认时，终止确认的金融负债账面价值与支付对价（包括转出的非现金资产</w:t>
      </w:r>
      <w:r>
        <w:rPr>
          <w:w w:val="100"/>
        </w:rPr>
        <w:t> </w:t>
      </w:r>
      <w:r>
        <w:rPr/>
        <w:t>或承担的新金融负债）之间的差额，计入当期损益。</w:t>
      </w:r>
    </w:p>
    <w:p>
      <w:pPr>
        <w:pStyle w:val="BodyText"/>
        <w:spacing w:line="357" w:lineRule="auto" w:before="32"/>
        <w:ind w:left="152" w:right="1128" w:firstLine="420"/>
        <w:jc w:val="both"/>
      </w:pPr>
      <w:r>
        <w:rPr>
          <w:spacing w:val="-2"/>
        </w:rPr>
        <w:t>本公司若回购部分金融负债的，在回购日按照继续确认部分与终止确认部分的相对公允价值，将该金</w:t>
      </w:r>
      <w:r>
        <w:rPr>
          <w:w w:val="100"/>
        </w:rPr>
        <w:t> </w:t>
      </w:r>
      <w:r>
        <w:rPr>
          <w:spacing w:val="-2"/>
        </w:rPr>
        <w:t>融负债整体的账面价值进行分配。分配给终止确认部分的账面价值与支付的对价（包括转出的非现金资产</w:t>
      </w:r>
      <w:r>
        <w:rPr>
          <w:spacing w:val="-42"/>
        </w:rPr>
        <w:t> </w:t>
      </w:r>
      <w:r>
        <w:rPr>
          <w:spacing w:val="-42"/>
        </w:rPr>
      </w:r>
      <w:r>
        <w:rPr/>
        <w:t>或承担的新金融负债）之间的差额，计入当期损益。</w:t>
      </w:r>
    </w:p>
    <w:p>
      <w:pPr>
        <w:spacing w:line="336" w:lineRule="auto" w:before="30"/>
        <w:ind w:left="572" w:right="11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）金融资产和金融负债的公允价值的确定方法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存在活跃市场的金融工具，以活跃市场中的报价确定其公允价值。不存在活跃市场的金融工具，采用</w:t>
      </w:r>
    </w:p>
    <w:p>
      <w:pPr>
        <w:pStyle w:val="BodyText"/>
        <w:spacing w:line="357" w:lineRule="auto" w:before="49"/>
        <w:ind w:left="152" w:right="1108"/>
        <w:jc w:val="both"/>
      </w:pPr>
      <w:r>
        <w:rPr>
          <w:spacing w:val="-2"/>
        </w:rPr>
        <w:t>估值技术确定其公允价值。在估值时，本公司采用在当前情况下适用并且有足够可利用数据和其他信息支</w:t>
      </w:r>
      <w:r>
        <w:rPr>
          <w:spacing w:val="-42"/>
        </w:rPr>
        <w:t> </w:t>
      </w:r>
      <w:r>
        <w:rPr>
          <w:spacing w:val="-42"/>
        </w:rPr>
      </w:r>
      <w:r>
        <w:rPr>
          <w:spacing w:val="-2"/>
        </w:rPr>
        <w:t>持的估值技术，选择与市场参与者在相关资产或负债的交易中所考虑的资产或负债特征相一致的输入值，</w:t>
      </w:r>
      <w:r>
        <w:rPr>
          <w:spacing w:val="-24"/>
        </w:rPr>
        <w:t> </w:t>
      </w:r>
      <w:r>
        <w:rPr>
          <w:spacing w:val="-24"/>
        </w:rPr>
      </w:r>
      <w:r>
        <w:rPr>
          <w:spacing w:val="-2"/>
        </w:rPr>
        <w:t>并优先使用相关可观察输入值。只有在相关可观察输入值无法取得或取得不切实可行的情况下，才使用不</w:t>
      </w:r>
      <w:r>
        <w:rPr>
          <w:spacing w:val="-42"/>
        </w:rPr>
        <w:t> </w:t>
      </w:r>
      <w:r>
        <w:rPr>
          <w:spacing w:val="-42"/>
        </w:rPr>
      </w:r>
      <w:r>
        <w:rPr/>
        <w:t>可观察输入值。</w:t>
      </w:r>
    </w:p>
    <w:p>
      <w:pPr>
        <w:pStyle w:val="Heading4"/>
        <w:spacing w:line="336" w:lineRule="auto" w:before="30"/>
        <w:ind w:left="649" w:right="5512" w:hanging="75"/>
        <w:jc w:val="left"/>
        <w:rPr>
          <w:b w:val="0"/>
          <w:bCs w:val="0"/>
        </w:rPr>
      </w:pPr>
      <w:r>
        <w:rPr>
          <w:spacing w:val="-1"/>
        </w:rPr>
        <w:t>（</w:t>
      </w:r>
      <w:r>
        <w:rPr>
          <w:rFonts w:ascii="Times New Roman" w:hAnsi="Times New Roman" w:cs="Times New Roman" w:eastAsia="Times New Roman" w:hint="default"/>
          <w:spacing w:val="-1"/>
        </w:rPr>
        <w:t>6</w:t>
      </w:r>
      <w:r>
        <w:rPr>
          <w:spacing w:val="-1"/>
        </w:rPr>
        <w:t>）金融资产减值的测试方法及会计处理方法</w:t>
      </w:r>
      <w:r>
        <w:rPr>
          <w:spacing w:val="-84"/>
        </w:rPr>
        <w:t> </w:t>
      </w:r>
      <w:r>
        <w:rPr>
          <w:spacing w:val="-84"/>
        </w:rPr>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r>
        <w:rPr>
          <w:b w:val="0"/>
          <w:bCs w:val="0"/>
        </w:rPr>
      </w:r>
    </w:p>
    <w:p>
      <w:pPr>
        <w:pStyle w:val="BodyText"/>
        <w:spacing w:line="357" w:lineRule="auto" w:before="24"/>
        <w:ind w:left="229" w:right="0" w:firstLine="420"/>
        <w:jc w:val="left"/>
      </w:pPr>
      <w:r>
        <w:rPr>
          <w:spacing w:val="-4"/>
        </w:rPr>
        <w:t>本公司考虑所有合理且有依据的信息，包括前瞻性信息，以单项或组合的方式对以摊余成本计量的金</w:t>
      </w:r>
      <w:r>
        <w:rPr>
          <w:w w:val="100"/>
        </w:rPr>
        <w:t> </w:t>
      </w:r>
      <w:r>
        <w:rPr>
          <w:spacing w:val="-2"/>
        </w:rPr>
        <w:t>融资产和以公允价值计量且其变动计入其他综合收益的金融资产（债务工具）的预期信用损失进行估计。</w:t>
      </w:r>
      <w:r>
        <w:rPr>
          <w:spacing w:val="-21"/>
        </w:rPr>
        <w:t> </w:t>
      </w:r>
      <w:r>
        <w:rPr>
          <w:spacing w:val="-21"/>
        </w:rPr>
      </w:r>
      <w:r>
        <w:rPr/>
        <w:t>预期信用损失的计量取决于金融资产自初始确认后是否发生信用风险显著增加。</w:t>
      </w:r>
    </w:p>
    <w:p>
      <w:pPr>
        <w:pStyle w:val="BodyText"/>
        <w:spacing w:line="240" w:lineRule="auto" w:before="30"/>
        <w:ind w:left="649" w:right="0"/>
        <w:jc w:val="left"/>
      </w:pPr>
      <w:r>
        <w:rPr>
          <w:w w:val="100"/>
        </w:rPr>
        <w:t>如果</w:t>
      </w:r>
      <w:r>
        <w:rPr>
          <w:spacing w:val="-3"/>
          <w:w w:val="100"/>
        </w:rPr>
        <w:t>该</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险自</w:t>
      </w:r>
      <w:r>
        <w:rPr>
          <w:spacing w:val="-3"/>
          <w:w w:val="100"/>
        </w:rPr>
        <w:t>初</w:t>
      </w:r>
      <w:r>
        <w:rPr>
          <w:w w:val="100"/>
        </w:rPr>
        <w:t>始</w:t>
      </w:r>
      <w:r>
        <w:rPr>
          <w:spacing w:val="-3"/>
          <w:w w:val="100"/>
        </w:rPr>
        <w:t>确</w:t>
      </w:r>
      <w:r>
        <w:rPr>
          <w:w w:val="100"/>
        </w:rPr>
        <w:t>认</w:t>
      </w:r>
      <w:r>
        <w:rPr>
          <w:spacing w:val="-3"/>
          <w:w w:val="100"/>
        </w:rPr>
        <w:t>后</w:t>
      </w:r>
      <w:r>
        <w:rPr>
          <w:w w:val="100"/>
        </w:rPr>
        <w:t>已</w:t>
      </w:r>
      <w:r>
        <w:rPr>
          <w:spacing w:val="-3"/>
          <w:w w:val="100"/>
        </w:rPr>
        <w:t>显</w:t>
      </w:r>
      <w:r>
        <w:rPr>
          <w:w w:val="100"/>
        </w:rPr>
        <w:t>著</w:t>
      </w:r>
      <w:r>
        <w:rPr>
          <w:spacing w:val="-3"/>
          <w:w w:val="100"/>
        </w:rPr>
        <w:t>增</w:t>
      </w:r>
      <w:r>
        <w:rPr>
          <w:w w:val="100"/>
        </w:rPr>
        <w:t>加</w:t>
      </w:r>
      <w:r>
        <w:rPr>
          <w:spacing w:val="-99"/>
          <w:w w:val="100"/>
        </w:rPr>
        <w:t>，</w:t>
      </w:r>
      <w:r>
        <w:rPr>
          <w:spacing w:val="-3"/>
          <w:w w:val="100"/>
        </w:rPr>
        <w:t>本</w:t>
      </w:r>
      <w:r>
        <w:rPr>
          <w:w w:val="100"/>
        </w:rPr>
        <w:t>公</w:t>
      </w:r>
      <w:r>
        <w:rPr>
          <w:spacing w:val="-3"/>
          <w:w w:val="100"/>
        </w:rPr>
        <w:t>司</w:t>
      </w:r>
      <w:r>
        <w:rPr>
          <w:w w:val="100"/>
        </w:rPr>
        <w:t>按</w:t>
      </w:r>
      <w:r>
        <w:rPr>
          <w:spacing w:val="-3"/>
          <w:w w:val="100"/>
        </w:rPr>
        <w:t>照</w:t>
      </w:r>
      <w:r>
        <w:rPr>
          <w:w w:val="100"/>
        </w:rPr>
        <w:t>相</w:t>
      </w:r>
      <w:r>
        <w:rPr>
          <w:spacing w:val="-3"/>
          <w:w w:val="100"/>
        </w:rPr>
        <w:t>当</w:t>
      </w:r>
      <w:r>
        <w:rPr>
          <w:w w:val="100"/>
        </w:rPr>
        <w:t>于</w:t>
      </w:r>
      <w:r>
        <w:rPr>
          <w:spacing w:val="-3"/>
          <w:w w:val="100"/>
        </w:rPr>
        <w:t>该金</w:t>
      </w:r>
      <w:r>
        <w:rPr>
          <w:w w:val="100"/>
        </w:rPr>
        <w:t>融工</w:t>
      </w:r>
      <w:r>
        <w:rPr>
          <w:spacing w:val="-3"/>
          <w:w w:val="100"/>
        </w:rPr>
        <w:t>具</w:t>
      </w:r>
      <w:r>
        <w:rPr>
          <w:w w:val="100"/>
        </w:rPr>
        <w:t>整</w:t>
      </w:r>
      <w:r>
        <w:rPr>
          <w:spacing w:val="-3"/>
          <w:w w:val="100"/>
        </w:rPr>
        <w:t>个</w:t>
      </w:r>
      <w:r>
        <w:rPr>
          <w:w w:val="100"/>
        </w:rPr>
        <w:t>存</w:t>
      </w:r>
      <w:r>
        <w:rPr>
          <w:spacing w:val="-3"/>
          <w:w w:val="100"/>
        </w:rPr>
        <w:t>续</w:t>
      </w:r>
      <w:r>
        <w:rPr>
          <w:w w:val="100"/>
        </w:rPr>
        <w:t>期</w:t>
      </w:r>
      <w:r>
        <w:rPr>
          <w:spacing w:val="-3"/>
          <w:w w:val="100"/>
        </w:rPr>
        <w:t>内预</w:t>
      </w:r>
      <w:r>
        <w:rPr>
          <w:w w:val="100"/>
        </w:rPr>
      </w:r>
    </w:p>
    <w:p>
      <w:pPr>
        <w:spacing w:after="0" w:line="240" w:lineRule="auto"/>
        <w:jc w:val="left"/>
        <w:sectPr>
          <w:pgSz w:w="11910" w:h="16840"/>
          <w:pgMar w:header="882" w:footer="1134" w:top="1280" w:bottom="1320" w:left="980" w:right="0"/>
        </w:sectPr>
      </w:pPr>
    </w:p>
    <w:p>
      <w:pPr>
        <w:pStyle w:val="BodyText"/>
        <w:spacing w:line="345" w:lineRule="auto" w:before="112"/>
        <w:ind w:left="229" w:right="1128"/>
        <w:jc w:val="both"/>
      </w:pPr>
      <w:r>
        <w:rPr>
          <w:spacing w:val="-4"/>
        </w:rPr>
        <w:t>期信用损失的金额计量其损失准备；如果该金融工具的信用风险自初始确认后并未显著增加，本公司按照</w:t>
      </w:r>
      <w:r>
        <w:rPr>
          <w:spacing w:val="-28"/>
        </w:rPr>
        <w:t> </w:t>
      </w:r>
      <w:r>
        <w:rPr>
          <w:spacing w:val="-28"/>
        </w:rPr>
      </w:r>
      <w:r>
        <w:rPr>
          <w:spacing w:val="-4"/>
          <w:w w:val="100"/>
        </w:rPr>
        <w:t>相当于该金融工具未来</w:t>
      </w:r>
      <w:r>
        <w:rPr>
          <w:rFonts w:ascii="Times New Roman" w:hAnsi="Times New Roman" w:cs="Times New Roman" w:eastAsia="Times New Roman" w:hint="default"/>
          <w:spacing w:val="-4"/>
          <w:w w:val="100"/>
        </w:rPr>
        <w:t>12</w:t>
      </w:r>
      <w:r>
        <w:rPr>
          <w:spacing w:val="-4"/>
          <w:w w:val="100"/>
        </w:rPr>
        <w:t>个月内预期信用损失的金额计量其损失准备。由此形成的损失准备的增加或转回</w:t>
      </w:r>
      <w:r>
        <w:rPr>
          <w:spacing w:val="-82"/>
          <w:w w:val="100"/>
        </w:rPr>
        <w:t> </w:t>
      </w:r>
      <w:r>
        <w:rPr>
          <w:spacing w:val="-82"/>
          <w:w w:val="100"/>
        </w:rPr>
      </w:r>
      <w:r>
        <w:rPr/>
        <w:t>金额，作为减值损失或利得计入当期损益。</w:t>
      </w:r>
    </w:p>
    <w:p>
      <w:pPr>
        <w:pStyle w:val="BodyText"/>
        <w:spacing w:line="336" w:lineRule="auto" w:before="43"/>
        <w:ind w:left="229" w:right="1127" w:firstLine="420"/>
        <w:jc w:val="left"/>
      </w:pPr>
      <w:r>
        <w:rPr>
          <w:spacing w:val="-4"/>
        </w:rPr>
        <w:t>通常逾期超过</w:t>
      </w:r>
      <w:r>
        <w:rPr>
          <w:rFonts w:ascii="Times New Roman" w:hAnsi="Times New Roman" w:cs="Times New Roman" w:eastAsia="Times New Roman" w:hint="default"/>
          <w:spacing w:val="-4"/>
        </w:rPr>
        <w:t>30</w:t>
      </w:r>
      <w:r>
        <w:rPr>
          <w:spacing w:val="-4"/>
        </w:rPr>
        <w:t>日，本公司即认为该金融工具的信用风险已显著增加，除非有确凿证据证明该金融工</w:t>
      </w:r>
      <w:r>
        <w:rPr>
          <w:w w:val="100"/>
        </w:rPr>
        <w:t> </w:t>
      </w:r>
      <w:r>
        <w:rPr/>
        <w:t>具的信用风险自初始确认后并未显著增加。</w:t>
      </w:r>
    </w:p>
    <w:p>
      <w:pPr>
        <w:pStyle w:val="BodyText"/>
        <w:spacing w:line="355" w:lineRule="auto" w:before="49"/>
        <w:ind w:left="229" w:right="1127" w:firstLine="420"/>
        <w:jc w:val="left"/>
      </w:pPr>
      <w:r>
        <w:rPr>
          <w:spacing w:val="-4"/>
          <w:w w:val="100"/>
        </w:rPr>
        <w:t>如果金融工具于资产负债表日的信用风险较低，本公司即认为该金融工具的信用风险自初始确认后并</w:t>
      </w:r>
      <w:r>
        <w:rPr>
          <w:w w:val="100"/>
        </w:rPr>
        <w:t> </w:t>
      </w:r>
      <w:r>
        <w:rPr/>
        <w:t>未显著增加。</w:t>
      </w:r>
    </w:p>
    <w:p>
      <w:pPr>
        <w:pStyle w:val="BodyText"/>
        <w:spacing w:line="355" w:lineRule="auto" w:before="34"/>
        <w:ind w:left="229" w:right="1127" w:firstLine="420"/>
        <w:jc w:val="left"/>
      </w:pPr>
      <w:r>
        <w:rPr>
          <w:spacing w:val="-4"/>
          <w:w w:val="100"/>
        </w:rPr>
        <w:t>如果有客观证据表明某项金融资产已经发生信用减值，则本公司在单项基础上对该金融资产计提减值</w:t>
      </w:r>
      <w:r>
        <w:rPr>
          <w:w w:val="100"/>
        </w:rPr>
        <w:t> </w:t>
      </w:r>
      <w:r>
        <w:rPr/>
        <w:t>准备。</w:t>
      </w:r>
    </w:p>
    <w:p>
      <w:pPr>
        <w:pStyle w:val="BodyText"/>
        <w:spacing w:line="355" w:lineRule="auto" w:before="32"/>
        <w:ind w:left="229" w:right="1127" w:firstLine="420"/>
        <w:jc w:val="left"/>
      </w:pPr>
      <w:r>
        <w:rPr>
          <w:spacing w:val="-4"/>
        </w:rPr>
        <w:t>对于应收账款，无论是否包含重大融资成分，本公司始终按照相当于整个存续期内预期信用损失的金</w:t>
      </w:r>
      <w:r>
        <w:rPr>
          <w:w w:val="100"/>
        </w:rPr>
        <w:t> </w:t>
      </w:r>
      <w:r>
        <w:rPr/>
        <w:t>额计量其损失准备。</w:t>
      </w:r>
    </w:p>
    <w:p>
      <w:pPr>
        <w:pStyle w:val="BodyText"/>
        <w:spacing w:line="357" w:lineRule="auto" w:before="32"/>
        <w:ind w:left="229" w:right="1127" w:firstLine="420"/>
        <w:jc w:val="left"/>
      </w:pPr>
      <w:r>
        <w:rPr>
          <w:spacing w:val="-4"/>
        </w:rPr>
        <w:t>对于租赁应收款、公司通过销售商品或提供劳务形成的长期应收款，本公司选择始终按照相当于整个</w:t>
      </w:r>
      <w:r>
        <w:rPr>
          <w:w w:val="100"/>
        </w:rPr>
        <w:t> </w:t>
      </w:r>
      <w:r>
        <w:rPr/>
        <w:t>存续期内预期信用损失的金额计量其损失准备。</w:t>
      </w:r>
    </w:p>
    <w:p>
      <w:pPr>
        <w:spacing w:line="336" w:lineRule="auto" w:before="30"/>
        <w:ind w:left="649" w:right="11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日前适用的会计政策</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除以公允价值计量且其变动计入当期损益的金融资产外，本公司于资产负债表日对金融资产的账面价</w:t>
      </w:r>
    </w:p>
    <w:p>
      <w:pPr>
        <w:pStyle w:val="BodyText"/>
        <w:spacing w:line="348" w:lineRule="auto" w:before="49"/>
        <w:ind w:left="649" w:right="1127" w:hanging="421"/>
        <w:jc w:val="left"/>
      </w:pPr>
      <w:r>
        <w:rPr/>
        <w:t>值进行检查，如果有客观证据表明某项金融资产发生减值的，计提减值准备。</w:t>
      </w:r>
      <w:r>
        <w:rPr>
          <w:spacing w:val="-3"/>
          <w:w w:val="100"/>
        </w:rPr>
        <w:t> </w:t>
      </w:r>
      <w:r>
        <w:rPr>
          <w:rFonts w:ascii="Times New Roman" w:hAnsi="Times New Roman" w:cs="Times New Roman" w:eastAsia="Times New Roman" w:hint="default"/>
        </w:rPr>
        <w:t>1</w:t>
      </w:r>
      <w:r>
        <w:rPr/>
        <w:t>）可供出售金融资产的减值准备：</w:t>
      </w:r>
      <w:r>
        <w:rPr>
          <w:spacing w:val="-3"/>
          <w:w w:val="100"/>
        </w:rPr>
        <w:t> </w:t>
      </w:r>
      <w:r>
        <w:rPr>
          <w:spacing w:val="-4"/>
        </w:rPr>
        <w:t>期末如果可供出售权益工具投资的公允价值发生严重下降，或在综合考虑各种相关因素后，预期这种</w:t>
      </w:r>
    </w:p>
    <w:p>
      <w:pPr>
        <w:pStyle w:val="BodyText"/>
        <w:spacing w:line="355" w:lineRule="auto" w:before="38"/>
        <w:ind w:left="229" w:right="1131"/>
        <w:jc w:val="both"/>
      </w:pPr>
      <w:r>
        <w:rPr>
          <w:spacing w:val="-4"/>
        </w:rPr>
        <w:t>下降趋势属于非暂时性的，就认定其已发生减值，将原直接计入所有者权益的公允价值下降形成的累计损</w:t>
      </w:r>
      <w:r>
        <w:rPr>
          <w:spacing w:val="-34"/>
        </w:rPr>
        <w:t> </w:t>
      </w:r>
      <w:r>
        <w:rPr>
          <w:spacing w:val="-34"/>
        </w:rPr>
      </w:r>
      <w:r>
        <w:rPr/>
        <w:t>失一并转出，确认减值损失。</w:t>
      </w:r>
    </w:p>
    <w:p>
      <w:pPr>
        <w:pStyle w:val="BodyText"/>
        <w:spacing w:line="357" w:lineRule="auto" w:before="32"/>
        <w:ind w:left="229" w:right="1127" w:firstLine="420"/>
        <w:jc w:val="left"/>
      </w:pPr>
      <w:r>
        <w:rPr>
          <w:spacing w:val="-4"/>
          <w:w w:val="100"/>
        </w:rPr>
        <w:t>对于已确认减值损失的可供出售债务工具，在随后的会计期间公允价值已上升且客观上与确认原减值</w:t>
      </w:r>
      <w:r>
        <w:rPr>
          <w:w w:val="100"/>
        </w:rPr>
        <w:t> </w:t>
      </w:r>
      <w:r>
        <w:rPr/>
        <w:t>损失确认后发生的事项有关的，原确认的减值损失予以转回，计入当期损益。</w:t>
      </w:r>
    </w:p>
    <w:p>
      <w:pPr>
        <w:pStyle w:val="BodyText"/>
        <w:spacing w:line="240" w:lineRule="auto" w:before="30"/>
        <w:ind w:left="649" w:right="1127"/>
        <w:jc w:val="left"/>
      </w:pPr>
      <w:r>
        <w:rPr/>
        <w:t>可供出售权益工具投资发生的减值损失，不通过损益转回。</w:t>
      </w:r>
    </w:p>
    <w:p>
      <w:pPr>
        <w:pStyle w:val="BodyText"/>
        <w:spacing w:line="240" w:lineRule="auto" w:before="133"/>
        <w:ind w:right="1127"/>
        <w:jc w:val="left"/>
      </w:pPr>
      <w:r>
        <w:rPr>
          <w:rFonts w:ascii="Times New Roman" w:hAnsi="Times New Roman" w:cs="Times New Roman" w:eastAsia="Times New Roman" w:hint="default"/>
        </w:rPr>
        <w:t>2</w:t>
      </w:r>
      <w:r>
        <w:rPr/>
        <w:t>）应收款项坏账准备：</w:t>
      </w:r>
    </w:p>
    <w:p>
      <w:pPr>
        <w:pStyle w:val="BodyText"/>
        <w:spacing w:line="355" w:lineRule="auto" w:before="117"/>
        <w:ind w:right="1124"/>
        <w:jc w:val="left"/>
      </w:pPr>
      <w:r>
        <w:rPr/>
        <w:t>①单项金额重大并单独计提坏账准备的应收款项：</w:t>
      </w:r>
      <w:r>
        <w:rPr>
          <w:w w:val="100"/>
        </w:rPr>
        <w:t> </w:t>
      </w:r>
      <w:r>
        <w:rPr>
          <w:spacing w:val="-4"/>
        </w:rPr>
        <w:t>单项金额重大的判断依据或金额标准：本公司（除泰豪智能）将单项金额超过 </w:t>
      </w:r>
      <w:r>
        <w:rPr>
          <w:rFonts w:ascii="Times New Roman" w:hAnsi="Times New Roman" w:cs="Times New Roman" w:eastAsia="Times New Roman" w:hint="default"/>
        </w:rPr>
        <w:t>200 </w:t>
      </w:r>
      <w:r>
        <w:rPr>
          <w:rFonts w:ascii="Times New Roman" w:hAnsi="Times New Roman" w:cs="Times New Roman" w:eastAsia="Times New Roman" w:hint="default"/>
          <w:spacing w:val="5"/>
        </w:rPr>
        <w:t> </w:t>
      </w:r>
      <w:r>
        <w:rPr/>
        <w:t>万元的应收款项视</w:t>
      </w:r>
    </w:p>
    <w:p>
      <w:pPr>
        <w:pStyle w:val="BodyText"/>
        <w:spacing w:line="355" w:lineRule="auto" w:before="8"/>
        <w:ind w:right="0" w:hanging="421"/>
        <w:jc w:val="left"/>
      </w:pPr>
      <w:r>
        <w:rPr/>
        <w:t>为重大应收款项。</w:t>
      </w:r>
      <w:r>
        <w:rPr>
          <w:w w:val="100"/>
        </w:rPr>
        <w:t> </w:t>
      </w:r>
      <w:r>
        <w:rPr>
          <w:spacing w:val="-5"/>
        </w:rPr>
        <w:t>单项金额重大并单独计提坏账准备的计提方法：单独进行减值测试，如有客观证据表明其已发生减值，</w:t>
      </w:r>
    </w:p>
    <w:p>
      <w:pPr>
        <w:pStyle w:val="BodyText"/>
        <w:spacing w:line="355" w:lineRule="auto" w:before="32"/>
        <w:ind w:left="152" w:right="1128"/>
        <w:jc w:val="both"/>
      </w:pPr>
      <w:r>
        <w:rPr>
          <w:spacing w:val="-2"/>
        </w:rPr>
        <w:t>按预计未来现金流量现值低于其账面价值的差额计提坏账准备，计入当期损益。单独测试未发生减值的应</w:t>
      </w:r>
      <w:r>
        <w:rPr>
          <w:spacing w:val="-42"/>
        </w:rPr>
        <w:t> </w:t>
      </w:r>
      <w:r>
        <w:rPr>
          <w:spacing w:val="-42"/>
        </w:rPr>
      </w:r>
      <w:r>
        <w:rPr/>
        <w:t>收款项，将其归入相应组合计提坏账准备。</w:t>
      </w:r>
    </w:p>
    <w:p>
      <w:pPr>
        <w:pStyle w:val="BodyText"/>
        <w:spacing w:line="240" w:lineRule="auto" w:before="32"/>
        <w:ind w:left="649" w:right="1127"/>
        <w:jc w:val="left"/>
      </w:pPr>
      <w:r>
        <w:rPr/>
        <w:t>②按信用风险特征组合计提坏账准备应收款项：</w:t>
      </w:r>
    </w:p>
    <w:p>
      <w:pPr>
        <w:spacing w:line="240" w:lineRule="auto" w:before="12"/>
        <w:rPr>
          <w:rFonts w:ascii="宋体" w:hAnsi="宋体" w:cs="宋体" w:eastAsia="宋体" w:hint="default"/>
          <w:sz w:val="12"/>
          <w:szCs w:val="12"/>
        </w:rPr>
      </w:pPr>
    </w:p>
    <w:tbl>
      <w:tblPr>
        <w:tblW w:w="0" w:type="auto"/>
        <w:jc w:val="left"/>
        <w:tblInd w:w="755" w:type="dxa"/>
        <w:tblLayout w:type="fixed"/>
        <w:tblCellMar>
          <w:top w:w="0" w:type="dxa"/>
          <w:left w:w="0" w:type="dxa"/>
          <w:bottom w:w="0" w:type="dxa"/>
          <w:right w:w="0" w:type="dxa"/>
        </w:tblCellMar>
        <w:tblLook w:val="01E0"/>
      </w:tblPr>
      <w:tblGrid>
        <w:gridCol w:w="2477"/>
        <w:gridCol w:w="5136"/>
      </w:tblGrid>
      <w:tr>
        <w:trPr>
          <w:trHeight w:val="406" w:hRule="exact"/>
        </w:trPr>
        <w:tc>
          <w:tcPr>
            <w:tcW w:w="7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01"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按信用风险特征组合计提坏账准备的计提方法</w:t>
            </w:r>
          </w:p>
        </w:tc>
      </w:tr>
      <w:tr>
        <w:trPr>
          <w:trHeight w:val="408"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账龄组合</w:t>
            </w:r>
          </w:p>
        </w:tc>
        <w:tc>
          <w:tcPr>
            <w:tcW w:w="5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8"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纳入关联方组合</w:t>
            </w:r>
          </w:p>
        </w:tc>
        <w:tc>
          <w:tcPr>
            <w:tcW w:w="5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不计提</w:t>
            </w:r>
          </w:p>
        </w:tc>
      </w:tr>
    </w:tbl>
    <w:p>
      <w:pPr>
        <w:spacing w:after="0" w:line="240" w:lineRule="auto"/>
        <w:jc w:val="center"/>
        <w:rPr>
          <w:rFonts w:ascii="宋体" w:hAnsi="宋体" w:cs="宋体" w:eastAsia="宋体" w:hint="default"/>
          <w:sz w:val="18"/>
          <w:szCs w:val="18"/>
        </w:rPr>
        <w:sectPr>
          <w:pgSz w:w="11910" w:h="16840"/>
          <w:pgMar w:header="882" w:footer="1134" w:top="1280" w:bottom="1320" w:left="980" w:right="0"/>
        </w:sectPr>
      </w:pPr>
    </w:p>
    <w:p>
      <w:pPr>
        <w:pStyle w:val="BodyText"/>
        <w:spacing w:line="240" w:lineRule="auto" w:before="112"/>
        <w:ind w:left="649" w:right="1127"/>
        <w:jc w:val="left"/>
      </w:pPr>
      <w:r>
        <w:rPr/>
        <w:t>组合中，除北京泰豪智能工程有限公司外的其他公司采用账龄分析法计提坏账准备的：</w:t>
      </w:r>
    </w:p>
    <w:p>
      <w:pPr>
        <w:spacing w:line="240" w:lineRule="auto" w:before="10"/>
        <w:rPr>
          <w:rFonts w:ascii="宋体" w:hAnsi="宋体" w:cs="宋体" w:eastAsia="宋体" w:hint="default"/>
          <w:sz w:val="12"/>
          <w:szCs w:val="12"/>
        </w:rPr>
      </w:pPr>
    </w:p>
    <w:tbl>
      <w:tblPr>
        <w:tblW w:w="0" w:type="auto"/>
        <w:jc w:val="left"/>
        <w:tblInd w:w="755" w:type="dxa"/>
        <w:tblLayout w:type="fixed"/>
        <w:tblCellMar>
          <w:top w:w="0" w:type="dxa"/>
          <w:left w:w="0" w:type="dxa"/>
          <w:bottom w:w="0" w:type="dxa"/>
          <w:right w:w="0" w:type="dxa"/>
        </w:tblCellMar>
        <w:tblLook w:val="01E0"/>
      </w:tblPr>
      <w:tblGrid>
        <w:gridCol w:w="2741"/>
        <w:gridCol w:w="2465"/>
        <w:gridCol w:w="2407"/>
      </w:tblGrid>
      <w:tr>
        <w:trPr>
          <w:trHeight w:val="408"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8"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sz w:val="18"/>
              </w:rPr>
              <w:t>5.00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sz w:val="18"/>
              </w:rPr>
              <w:t>5.00</w:t>
            </w:r>
          </w:p>
        </w:tc>
      </w:tr>
      <w:tr>
        <w:trPr>
          <w:trHeight w:val="408"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sz w:val="18"/>
              </w:rPr>
              <w:t>10.00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sz w:val="18"/>
              </w:rPr>
              <w:t>10.00</w:t>
            </w:r>
          </w:p>
        </w:tc>
      </w:tr>
      <w:tr>
        <w:trPr>
          <w:trHeight w:val="406"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sz w:val="18"/>
              </w:rPr>
              <w:t>20.00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sz w:val="18"/>
              </w:rPr>
              <w:t>20.00</w:t>
            </w:r>
          </w:p>
        </w:tc>
      </w:tr>
      <w:tr>
        <w:trPr>
          <w:trHeight w:val="408"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 w:right="0"/>
              <w:jc w:val="center"/>
              <w:rPr>
                <w:rFonts w:ascii="Times New Roman" w:hAnsi="Times New Roman" w:cs="Times New Roman" w:eastAsia="Times New Roman" w:hint="default"/>
                <w:sz w:val="18"/>
                <w:szCs w:val="18"/>
              </w:rPr>
            </w:pPr>
            <w:r>
              <w:rPr>
                <w:rFonts w:ascii="Times New Roman"/>
                <w:sz w:val="18"/>
              </w:rPr>
              <w:t>50.00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 w:right="0"/>
              <w:jc w:val="center"/>
              <w:rPr>
                <w:rFonts w:ascii="Times New Roman" w:hAnsi="Times New Roman" w:cs="Times New Roman" w:eastAsia="Times New Roman" w:hint="default"/>
                <w:sz w:val="18"/>
                <w:szCs w:val="18"/>
              </w:rPr>
            </w:pPr>
            <w:r>
              <w:rPr>
                <w:rFonts w:ascii="Times New Roman"/>
                <w:sz w:val="18"/>
              </w:rPr>
              <w:t>50.00</w:t>
            </w:r>
          </w:p>
        </w:tc>
      </w:tr>
      <w:tr>
        <w:trPr>
          <w:trHeight w:val="408"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sz w:val="18"/>
              </w:rPr>
              <w:t>50.00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sz w:val="18"/>
              </w:rPr>
              <w:t>50.00</w:t>
            </w:r>
          </w:p>
        </w:tc>
      </w:tr>
      <w:tr>
        <w:trPr>
          <w:trHeight w:val="408"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年以上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sz w:val="18"/>
              </w:rPr>
              <w:t>100.00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1" w:lineRule="exact"/>
        <w:ind w:left="1849" w:right="1127"/>
        <w:jc w:val="left"/>
      </w:pPr>
      <w:r>
        <w:rPr/>
        <w:t>北京泰豪智能工程有限公司计提比例如下：</w:t>
      </w:r>
    </w:p>
    <w:p>
      <w:pPr>
        <w:spacing w:line="240" w:lineRule="auto" w:before="10"/>
        <w:rPr>
          <w:rFonts w:ascii="宋体" w:hAnsi="宋体" w:cs="宋体" w:eastAsia="宋体" w:hint="default"/>
          <w:sz w:val="12"/>
          <w:szCs w:val="12"/>
        </w:rPr>
      </w:pPr>
    </w:p>
    <w:tbl>
      <w:tblPr>
        <w:tblW w:w="0" w:type="auto"/>
        <w:jc w:val="left"/>
        <w:tblInd w:w="755" w:type="dxa"/>
        <w:tblLayout w:type="fixed"/>
        <w:tblCellMar>
          <w:top w:w="0" w:type="dxa"/>
          <w:left w:w="0" w:type="dxa"/>
          <w:bottom w:w="0" w:type="dxa"/>
          <w:right w:w="0" w:type="dxa"/>
        </w:tblCellMar>
        <w:tblLook w:val="01E0"/>
      </w:tblPr>
      <w:tblGrid>
        <w:gridCol w:w="2741"/>
        <w:gridCol w:w="2465"/>
        <w:gridCol w:w="2407"/>
      </w:tblGrid>
      <w:tr>
        <w:trPr>
          <w:trHeight w:val="408"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8"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sz w:val="18"/>
              </w:rPr>
              <w:t>3.00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sz w:val="18"/>
              </w:rPr>
              <w:t>3.00</w:t>
            </w:r>
          </w:p>
        </w:tc>
      </w:tr>
      <w:tr>
        <w:trPr>
          <w:trHeight w:val="406"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sz w:val="18"/>
              </w:rPr>
              <w:t>10.00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sz w:val="18"/>
              </w:rPr>
              <w:t>10.00</w:t>
            </w:r>
          </w:p>
        </w:tc>
      </w:tr>
      <w:tr>
        <w:trPr>
          <w:trHeight w:val="408"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 w:right="0"/>
              <w:jc w:val="center"/>
              <w:rPr>
                <w:rFonts w:ascii="Times New Roman" w:hAnsi="Times New Roman" w:cs="Times New Roman" w:eastAsia="Times New Roman" w:hint="default"/>
                <w:sz w:val="18"/>
                <w:szCs w:val="18"/>
              </w:rPr>
            </w:pPr>
            <w:r>
              <w:rPr>
                <w:rFonts w:ascii="Times New Roman"/>
                <w:sz w:val="18"/>
              </w:rPr>
              <w:t>20.00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 w:right="0"/>
              <w:jc w:val="center"/>
              <w:rPr>
                <w:rFonts w:ascii="Times New Roman" w:hAnsi="Times New Roman" w:cs="Times New Roman" w:eastAsia="Times New Roman" w:hint="default"/>
                <w:sz w:val="18"/>
                <w:szCs w:val="18"/>
              </w:rPr>
            </w:pPr>
            <w:r>
              <w:rPr>
                <w:rFonts w:ascii="Times New Roman"/>
                <w:sz w:val="18"/>
              </w:rPr>
              <w:t>20.00</w:t>
            </w:r>
          </w:p>
        </w:tc>
      </w:tr>
      <w:tr>
        <w:trPr>
          <w:trHeight w:val="408"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sz w:val="18"/>
              </w:rPr>
              <w:t>50.00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sz w:val="18"/>
              </w:rPr>
              <w:t>50.00</w:t>
            </w:r>
          </w:p>
        </w:tc>
      </w:tr>
      <w:tr>
        <w:trPr>
          <w:trHeight w:val="408"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sz w:val="18"/>
              </w:rPr>
              <w:t>80.00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sz w:val="18"/>
              </w:rPr>
              <w:t>80.00</w:t>
            </w:r>
          </w:p>
        </w:tc>
      </w:tr>
      <w:tr>
        <w:trPr>
          <w:trHeight w:val="408"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年以上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sz w:val="18"/>
              </w:rPr>
              <w:t>100.00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1" w:lineRule="exact"/>
        <w:ind w:right="1127"/>
        <w:jc w:val="left"/>
      </w:pPr>
      <w:r>
        <w:rPr/>
        <w:t>③单项金额不重大但单独计提坏账准备的应收款项：</w:t>
      </w:r>
    </w:p>
    <w:p>
      <w:pPr>
        <w:pStyle w:val="BodyText"/>
        <w:spacing w:line="355" w:lineRule="auto" w:before="133"/>
        <w:ind w:left="152" w:right="1128" w:firstLine="420"/>
        <w:jc w:val="both"/>
      </w:pPr>
      <w:r>
        <w:rPr>
          <w:spacing w:val="-2"/>
        </w:rPr>
        <w:t>单独计提坏账准备的理由：对于年末单项金额非重大的应收款项，采用与经单独测试后未减值的应收</w:t>
      </w:r>
      <w:r>
        <w:rPr>
          <w:w w:val="100"/>
        </w:rPr>
        <w:t> </w:t>
      </w:r>
      <w:r>
        <w:rPr>
          <w:spacing w:val="-2"/>
        </w:rPr>
        <w:t>款项一起按类似信用风险特征划分为若干组合，再按这些应收款项组合在资产负债表日余额的一定比例计</w:t>
      </w:r>
      <w:r>
        <w:rPr>
          <w:spacing w:val="-42"/>
        </w:rPr>
        <w:t> </w:t>
      </w:r>
      <w:r>
        <w:rPr>
          <w:spacing w:val="-42"/>
        </w:rPr>
      </w:r>
      <w:r>
        <w:rPr/>
        <w:t>算确定减值损失，计提坏账准备。</w:t>
      </w:r>
    </w:p>
    <w:p>
      <w:pPr>
        <w:pStyle w:val="BodyText"/>
        <w:spacing w:line="357" w:lineRule="auto" w:before="32"/>
        <w:ind w:left="152" w:right="1127" w:firstLine="420"/>
        <w:jc w:val="left"/>
      </w:pPr>
      <w:r>
        <w:rPr>
          <w:spacing w:val="-2"/>
        </w:rPr>
        <w:t>坏账准备的计提方法：该比例反映各项实际发生的减值损失，即各项组合的账面价值超过其未来现金</w:t>
      </w:r>
      <w:r>
        <w:rPr>
          <w:w w:val="100"/>
        </w:rPr>
        <w:t> </w:t>
      </w:r>
      <w:r>
        <w:rPr/>
        <w:t>流量现值的金额。</w:t>
      </w:r>
    </w:p>
    <w:p>
      <w:pPr>
        <w:pStyle w:val="BodyText"/>
        <w:spacing w:line="336" w:lineRule="auto" w:before="30"/>
        <w:ind w:right="1127"/>
        <w:jc w:val="left"/>
      </w:pPr>
      <w:r>
        <w:rPr>
          <w:rFonts w:ascii="Times New Roman" w:hAnsi="Times New Roman" w:cs="Times New Roman" w:eastAsia="Times New Roman" w:hint="default"/>
        </w:rPr>
        <w:t>3</w:t>
      </w:r>
      <w:r>
        <w:rPr/>
        <w:t>）持有至到期投资的减值准备：</w:t>
      </w:r>
      <w:r>
        <w:rPr>
          <w:w w:val="100"/>
        </w:rPr>
        <w:t> </w:t>
      </w:r>
      <w:r>
        <w:rPr>
          <w:spacing w:val="-2"/>
        </w:rPr>
        <w:t>持有至到期投资减值损失的计量比照应收款项减值损失计量方法处理。</w:t>
      </w:r>
    </w:p>
    <w:p>
      <w:pPr>
        <w:spacing w:line="240" w:lineRule="auto" w:before="9"/>
        <w:rPr>
          <w:rFonts w:ascii="宋体" w:hAnsi="宋体" w:cs="宋体" w:eastAsia="宋体" w:hint="default"/>
          <w:sz w:val="26"/>
          <w:szCs w:val="26"/>
        </w:rPr>
      </w:pPr>
    </w:p>
    <w:p>
      <w:pPr>
        <w:pStyle w:val="Heading4"/>
        <w:spacing w:line="240" w:lineRule="auto"/>
        <w:ind w:right="1127"/>
        <w:jc w:val="left"/>
        <w:rPr>
          <w:b w:val="0"/>
          <w:bCs w:val="0"/>
        </w:rPr>
      </w:pPr>
      <w:bookmarkStart w:name="11、应收票据" w:id="291"/>
      <w:bookmarkEnd w:id="291"/>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1127"/>
        <w:jc w:val="left"/>
      </w:pPr>
      <w:r>
        <w:rPr/>
        <w:t>参见</w:t>
      </w:r>
      <w:r>
        <w:rPr>
          <w:rFonts w:ascii="Times New Roman" w:hAnsi="Times New Roman" w:cs="Times New Roman" w:eastAsia="Times New Roman" w:hint="default"/>
        </w:rPr>
        <w:t>10</w:t>
      </w:r>
      <w:r>
        <w:rPr/>
        <w:t>、金融工具</w:t>
      </w:r>
    </w:p>
    <w:p>
      <w:pPr>
        <w:spacing w:line="240" w:lineRule="auto" w:before="12"/>
        <w:rPr>
          <w:rFonts w:ascii="宋体" w:hAnsi="宋体" w:cs="宋体" w:eastAsia="宋体" w:hint="default"/>
          <w:sz w:val="31"/>
          <w:szCs w:val="31"/>
        </w:rPr>
      </w:pPr>
    </w:p>
    <w:p>
      <w:pPr>
        <w:pStyle w:val="Heading4"/>
        <w:spacing w:line="240" w:lineRule="auto"/>
        <w:ind w:right="1127"/>
        <w:jc w:val="left"/>
        <w:rPr>
          <w:b w:val="0"/>
          <w:bCs w:val="0"/>
        </w:rPr>
      </w:pPr>
      <w:bookmarkStart w:name="12、应收账款" w:id="292"/>
      <w:bookmarkEnd w:id="292"/>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1127"/>
        <w:jc w:val="left"/>
      </w:pPr>
      <w:r>
        <w:rPr/>
        <w:t>参见</w:t>
      </w:r>
      <w:r>
        <w:rPr>
          <w:rFonts w:ascii="Times New Roman" w:hAnsi="Times New Roman" w:cs="Times New Roman" w:eastAsia="Times New Roman" w:hint="default"/>
        </w:rPr>
        <w:t>10</w:t>
      </w:r>
      <w:r>
        <w:rPr/>
        <w:t>、金融工具</w:t>
      </w:r>
    </w:p>
    <w:p>
      <w:pPr>
        <w:spacing w:line="240" w:lineRule="auto" w:before="1"/>
        <w:rPr>
          <w:rFonts w:ascii="宋体" w:hAnsi="宋体" w:cs="宋体" w:eastAsia="宋体" w:hint="default"/>
          <w:sz w:val="32"/>
          <w:szCs w:val="32"/>
        </w:rPr>
      </w:pPr>
    </w:p>
    <w:p>
      <w:pPr>
        <w:spacing w:line="470" w:lineRule="auto" w:before="0"/>
        <w:ind w:left="572" w:right="8602" w:hanging="420"/>
        <w:jc w:val="left"/>
        <w:rPr>
          <w:rFonts w:ascii="宋体" w:hAnsi="宋体" w:cs="宋体" w:eastAsia="宋体" w:hint="default"/>
          <w:sz w:val="21"/>
          <w:szCs w:val="21"/>
        </w:rPr>
      </w:pPr>
      <w:bookmarkStart w:name="13、应收款项融资" w:id="293"/>
      <w:bookmarkEnd w:id="293"/>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、应收款项融资</w:t>
      </w:r>
      <w:r>
        <w:rPr>
          <w:rFonts w:ascii="宋体" w:hAnsi="宋体" w:cs="宋体" w:eastAsia="宋体" w:hint="default"/>
          <w:b/>
          <w:bCs/>
          <w:w w:val="100"/>
          <w:sz w:val="21"/>
          <w:szCs w:val="21"/>
        </w:rPr>
        <w:t> </w:t>
      </w:r>
      <w:r>
        <w:rPr>
          <w:rFonts w:ascii="宋体" w:hAnsi="宋体" w:cs="宋体" w:eastAsia="宋体" w:hint="default"/>
          <w:spacing w:val="-2"/>
          <w:sz w:val="21"/>
          <w:szCs w:val="21"/>
        </w:rPr>
        <w:t>参见</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、金融工具</w:t>
      </w:r>
      <w:r>
        <w:rPr>
          <w:rFonts w:ascii="宋体" w:hAnsi="宋体" w:cs="宋体" w:eastAsia="宋体" w:hint="default"/>
          <w:sz w:val="21"/>
          <w:szCs w:val="21"/>
        </w:rPr>
      </w:r>
    </w:p>
    <w:p>
      <w:pPr>
        <w:spacing w:after="0" w:line="470" w:lineRule="auto"/>
        <w:jc w:val="left"/>
        <w:rPr>
          <w:rFonts w:ascii="宋体" w:hAnsi="宋体" w:cs="宋体" w:eastAsia="宋体" w:hint="default"/>
          <w:sz w:val="21"/>
          <w:szCs w:val="21"/>
        </w:rPr>
        <w:sectPr>
          <w:pgSz w:w="11910" w:h="16840"/>
          <w:pgMar w:header="882" w:footer="1134" w:top="1280" w:bottom="1320" w:left="980" w:right="0"/>
        </w:sectPr>
      </w:pPr>
    </w:p>
    <w:p>
      <w:pPr>
        <w:spacing w:line="458" w:lineRule="auto" w:before="112"/>
        <w:ind w:left="572" w:right="4340" w:hanging="420"/>
        <w:jc w:val="left"/>
        <w:rPr>
          <w:rFonts w:ascii="宋体" w:hAnsi="宋体" w:cs="宋体" w:eastAsia="宋体" w:hint="default"/>
          <w:sz w:val="21"/>
          <w:szCs w:val="21"/>
        </w:rPr>
      </w:pPr>
      <w:bookmarkStart w:name="14、其他应收款" w:id="294"/>
      <w:bookmarkEnd w:id="294"/>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、其他应收款</w:t>
      </w:r>
      <w:r>
        <w:rPr>
          <w:rFonts w:ascii="宋体" w:hAnsi="宋体" w:cs="宋体" w:eastAsia="宋体" w:hint="default"/>
          <w:b/>
          <w:bCs/>
          <w:w w:val="100"/>
          <w:sz w:val="21"/>
          <w:szCs w:val="21"/>
        </w:rPr>
        <w:t> </w:t>
      </w:r>
      <w:r>
        <w:rPr>
          <w:rFonts w:ascii="宋体" w:hAnsi="宋体" w:cs="宋体" w:eastAsia="宋体" w:hint="default"/>
          <w:spacing w:val="-2"/>
          <w:sz w:val="21"/>
          <w:szCs w:val="21"/>
        </w:rPr>
        <w:t>其他应收款的预期信用损失的确定方法及会计处理方法</w:t>
      </w:r>
      <w:r>
        <w:rPr>
          <w:rFonts w:ascii="宋体" w:hAnsi="宋体" w:cs="宋体" w:eastAsia="宋体" w:hint="default"/>
          <w:w w:val="100"/>
          <w:sz w:val="21"/>
          <w:szCs w:val="21"/>
        </w:rPr>
        <w:t> </w:t>
      </w:r>
      <w:r>
        <w:rPr>
          <w:rFonts w:ascii="宋体" w:hAnsi="宋体" w:cs="宋体" w:eastAsia="宋体" w:hint="default"/>
          <w:sz w:val="21"/>
          <w:szCs w:val="21"/>
        </w:rPr>
        <w:t>参见</w:t>
      </w:r>
      <w:r>
        <w:rPr>
          <w:rFonts w:ascii="Times New Roman" w:hAnsi="Times New Roman" w:cs="Times New Roman" w:eastAsia="Times New Roman" w:hint="default"/>
          <w:sz w:val="21"/>
          <w:szCs w:val="21"/>
        </w:rPr>
        <w:t>10</w:t>
      </w:r>
      <w:r>
        <w:rPr>
          <w:rFonts w:ascii="宋体" w:hAnsi="宋体" w:cs="宋体" w:eastAsia="宋体" w:hint="default"/>
          <w:sz w:val="21"/>
          <w:szCs w:val="21"/>
        </w:rPr>
        <w:t>、金融工具</w:t>
      </w:r>
    </w:p>
    <w:p>
      <w:pPr>
        <w:spacing w:line="240" w:lineRule="auto" w:before="9"/>
        <w:rPr>
          <w:rFonts w:ascii="宋体" w:hAnsi="宋体" w:cs="宋体" w:eastAsia="宋体" w:hint="default"/>
          <w:sz w:val="15"/>
          <w:szCs w:val="15"/>
        </w:rPr>
      </w:pPr>
    </w:p>
    <w:p>
      <w:pPr>
        <w:pStyle w:val="Heading4"/>
        <w:spacing w:line="240" w:lineRule="auto"/>
        <w:ind w:right="1127"/>
        <w:jc w:val="left"/>
        <w:rPr>
          <w:b w:val="0"/>
          <w:bCs w:val="0"/>
        </w:rPr>
      </w:pPr>
      <w:bookmarkStart w:name="15、存货" w:id="295"/>
      <w:bookmarkEnd w:id="295"/>
      <w:r>
        <w:rPr>
          <w:b w:val="0"/>
          <w:bCs w:val="0"/>
        </w:rPr>
      </w:r>
      <w:r>
        <w:rPr>
          <w:rFonts w:ascii="Times New Roman" w:hAnsi="Times New Roman" w:cs="Times New Roman" w:eastAsia="Times New Roman" w:hint="default"/>
        </w:rPr>
        <w:t>15</w:t>
      </w:r>
      <w:r>
        <w:rPr/>
        <w:t>、存货</w:t>
      </w:r>
      <w:r>
        <w:rPr>
          <w:b w:val="0"/>
          <w:bCs w:val="0"/>
        </w:rPr>
      </w:r>
    </w:p>
    <w:p>
      <w:pPr>
        <w:spacing w:line="240" w:lineRule="auto" w:before="8"/>
        <w:rPr>
          <w:rFonts w:ascii="宋体" w:hAnsi="宋体" w:cs="宋体" w:eastAsia="宋体" w:hint="default"/>
          <w:b/>
          <w:bCs/>
          <w:sz w:val="21"/>
          <w:szCs w:val="21"/>
        </w:rPr>
      </w:pPr>
    </w:p>
    <w:p>
      <w:pPr>
        <w:pStyle w:val="BodyText"/>
        <w:spacing w:line="336" w:lineRule="auto"/>
        <w:ind w:right="1127"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100"/>
        </w:rPr>
        <w:t> </w:t>
      </w:r>
      <w:r>
        <w:rPr>
          <w:spacing w:val="-2"/>
        </w:rPr>
        <w:t>存货分类为：原材料、库存商品、发出商品、委托加工物资、已经完工未结算工程施工成本等。</w:t>
      </w:r>
    </w:p>
    <w:p>
      <w:pPr>
        <w:spacing w:line="348" w:lineRule="auto" w:before="49"/>
        <w:ind w:left="572" w:right="48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100"/>
          <w:sz w:val="21"/>
          <w:szCs w:val="21"/>
        </w:rPr>
        <w:t> </w:t>
      </w:r>
      <w:r>
        <w:rPr>
          <w:rFonts w:ascii="宋体" w:hAnsi="宋体" w:cs="宋体" w:eastAsia="宋体" w:hint="default"/>
          <w:sz w:val="21"/>
          <w:szCs w:val="21"/>
        </w:rPr>
        <w:t>存货发出时按移动加权平均法计价。</w:t>
      </w:r>
      <w:r>
        <w:rPr>
          <w:rFonts w:ascii="宋体" w:hAnsi="宋体" w:cs="宋体" w:eastAsia="宋体" w:hint="default"/>
          <w:w w:val="100"/>
          <w:sz w:val="21"/>
          <w:szCs w:val="21"/>
        </w:rPr>
        <w:t> </w:t>
      </w:r>
      <w:r>
        <w:rPr>
          <w:rFonts w:ascii="宋体" w:hAnsi="宋体" w:cs="宋体" w:eastAsia="宋体" w:hint="default"/>
          <w:spacing w:val="-2"/>
          <w:sz w:val="21"/>
          <w:szCs w:val="21"/>
        </w:rPr>
        <w:t>北京泰豪智能工程有限公司存货发出时按个别计价法计价。</w:t>
      </w:r>
    </w:p>
    <w:p>
      <w:pPr>
        <w:spacing w:line="336" w:lineRule="auto" w:before="38"/>
        <w:ind w:left="572" w:right="11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）不同类别存货可变现净值的确定依据</w:t>
      </w:r>
      <w:r>
        <w:rPr>
          <w:rFonts w:ascii="宋体" w:hAnsi="宋体" w:cs="宋体" w:eastAsia="宋体" w:hint="default"/>
          <w:b/>
          <w:bCs/>
          <w:w w:val="100"/>
          <w:sz w:val="21"/>
          <w:szCs w:val="21"/>
        </w:rPr>
        <w:t> </w:t>
      </w:r>
      <w:r>
        <w:rPr>
          <w:rFonts w:ascii="宋体" w:hAnsi="宋体" w:cs="宋体" w:eastAsia="宋体" w:hint="default"/>
          <w:spacing w:val="-2"/>
          <w:sz w:val="21"/>
          <w:szCs w:val="21"/>
        </w:rPr>
        <w:t>产成品、库存商品和用于出售的材料等直接用于出售的商品存货，在正常生产经营过程中，以该存货</w:t>
      </w:r>
    </w:p>
    <w:p>
      <w:pPr>
        <w:pStyle w:val="BodyText"/>
        <w:spacing w:line="357" w:lineRule="auto" w:before="49"/>
        <w:ind w:left="152" w:right="1128"/>
        <w:jc w:val="both"/>
      </w:pPr>
      <w:r>
        <w:rPr>
          <w:spacing w:val="-2"/>
        </w:rPr>
        <w:t>的估计售价减去估计的销售费用和相关税费后的金额，确定其可变现净值；需要经过加工的材料存货，在</w:t>
      </w:r>
      <w:r>
        <w:rPr>
          <w:spacing w:val="-43"/>
        </w:rPr>
        <w:t> </w:t>
      </w:r>
      <w:r>
        <w:rPr>
          <w:spacing w:val="-43"/>
        </w:rPr>
      </w:r>
      <w:r>
        <w:rPr>
          <w:spacing w:val="-2"/>
        </w:rPr>
        <w:t>正常生产经营过程中，以所生产的产成品的估计售价减去至完工时估计将要发生的成本、估计的销售费用</w:t>
      </w:r>
      <w:r>
        <w:rPr>
          <w:spacing w:val="-42"/>
        </w:rPr>
        <w:t> </w:t>
      </w:r>
      <w:r>
        <w:rPr>
          <w:spacing w:val="-42"/>
        </w:rPr>
      </w:r>
      <w:r>
        <w:rPr>
          <w:spacing w:val="-2"/>
        </w:rPr>
        <w:t>和相关税费后的金额，确定其可变现净值；为执行销售合同或者劳务合同而持有的存货，其可变现净值以</w:t>
      </w:r>
      <w:r>
        <w:rPr>
          <w:spacing w:val="-44"/>
        </w:rPr>
        <w:t> </w:t>
      </w:r>
      <w:r>
        <w:rPr>
          <w:spacing w:val="-44"/>
        </w:rPr>
      </w:r>
      <w:r>
        <w:rPr>
          <w:spacing w:val="-2"/>
        </w:rPr>
        <w:t>合同价格为基础计算，若持有存货的数量多于销售合同订购数量的，超出部分的存货的可变现净值以一般</w:t>
      </w:r>
      <w:r>
        <w:rPr>
          <w:spacing w:val="-42"/>
        </w:rPr>
        <w:t> </w:t>
      </w:r>
      <w:r>
        <w:rPr>
          <w:spacing w:val="-42"/>
        </w:rPr>
      </w:r>
      <w:r>
        <w:rPr/>
        <w:t>销售价格为基础计算。</w:t>
      </w:r>
    </w:p>
    <w:p>
      <w:pPr>
        <w:pStyle w:val="BodyText"/>
        <w:spacing w:line="355" w:lineRule="auto" w:before="32"/>
        <w:ind w:left="152" w:right="1128" w:firstLine="420"/>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44"/>
        </w:rPr>
        <w:t> </w:t>
      </w:r>
      <w:r>
        <w:rPr>
          <w:spacing w:val="-44"/>
        </w:rPr>
      </w:r>
      <w:r>
        <w:rPr/>
        <w:t>项目分开计量的存货，则合并计提存货跌价准备。</w:t>
      </w:r>
    </w:p>
    <w:p>
      <w:pPr>
        <w:pStyle w:val="BodyText"/>
        <w:spacing w:line="355" w:lineRule="auto" w:before="32"/>
        <w:ind w:left="152" w:right="1127" w:firstLine="420"/>
        <w:jc w:val="left"/>
      </w:pPr>
      <w:r>
        <w:rPr>
          <w:spacing w:val="-2"/>
        </w:rPr>
        <w:t>除有明确证据表明资产负债表日市场价格异常外，存货项目的可变现净值以资产负债表日市场价格为</w:t>
      </w:r>
      <w:r>
        <w:rPr>
          <w:w w:val="100"/>
        </w:rPr>
        <w:t> </w:t>
      </w:r>
      <w:r>
        <w:rPr/>
        <w:t>基础确定。</w:t>
      </w:r>
    </w:p>
    <w:p>
      <w:pPr>
        <w:pStyle w:val="BodyText"/>
        <w:spacing w:line="240" w:lineRule="auto" w:before="34"/>
        <w:ind w:right="1127"/>
        <w:jc w:val="left"/>
      </w:pPr>
      <w:r>
        <w:rPr/>
        <w:t>本期期末存货项目的可变现净值以资产负债表日市场价格为基础确定。</w:t>
      </w:r>
    </w:p>
    <w:p>
      <w:pPr>
        <w:spacing w:line="336" w:lineRule="auto" w:before="133"/>
        <w:ind w:left="572" w:right="833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z w:val="21"/>
          <w:szCs w:val="21"/>
        </w:rPr>
        <w:t>采用永续盘存制。</w:t>
      </w:r>
    </w:p>
    <w:p>
      <w:pPr>
        <w:pStyle w:val="Heading4"/>
        <w:spacing w:line="240" w:lineRule="auto" w:before="49"/>
        <w:ind w:left="575" w:right="1127"/>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pStyle w:val="BodyText"/>
        <w:spacing w:line="240" w:lineRule="auto" w:before="119"/>
        <w:ind w:right="1127"/>
        <w:jc w:val="left"/>
      </w:pPr>
      <w:r>
        <w:rPr>
          <w:rFonts w:ascii="Times New Roman" w:hAnsi="Times New Roman" w:cs="Times New Roman" w:eastAsia="Times New Roman" w:hint="default"/>
        </w:rPr>
        <w:t>1</w:t>
      </w:r>
      <w:r>
        <w:rPr/>
        <w:t>）低值易耗品采用一次转销法；</w:t>
      </w:r>
    </w:p>
    <w:p>
      <w:pPr>
        <w:pStyle w:val="BodyText"/>
        <w:spacing w:line="240" w:lineRule="auto" w:before="117"/>
        <w:ind w:right="1127"/>
        <w:jc w:val="left"/>
      </w:pPr>
      <w:r>
        <w:rPr>
          <w:rFonts w:ascii="Times New Roman" w:hAnsi="Times New Roman" w:cs="Times New Roman" w:eastAsia="Times New Roman" w:hint="default"/>
        </w:rPr>
        <w:t>2</w:t>
      </w:r>
      <w:r>
        <w:rPr/>
        <w:t>）包装物采用一次转销法。</w:t>
      </w:r>
    </w:p>
    <w:p>
      <w:pPr>
        <w:spacing w:line="240" w:lineRule="auto" w:before="12"/>
        <w:rPr>
          <w:rFonts w:ascii="宋体" w:hAnsi="宋体" w:cs="宋体" w:eastAsia="宋体" w:hint="default"/>
          <w:sz w:val="31"/>
          <w:szCs w:val="31"/>
        </w:rPr>
      </w:pPr>
    </w:p>
    <w:p>
      <w:pPr>
        <w:pStyle w:val="Heading4"/>
        <w:spacing w:line="240" w:lineRule="auto"/>
        <w:ind w:right="1127"/>
        <w:jc w:val="left"/>
        <w:rPr>
          <w:b w:val="0"/>
          <w:bCs w:val="0"/>
        </w:rPr>
      </w:pPr>
      <w:bookmarkStart w:name="16、合同资产" w:id="296"/>
      <w:bookmarkEnd w:id="296"/>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1127"/>
        <w:jc w:val="left"/>
      </w:pPr>
      <w:r>
        <w:rPr>
          <w:w w:val="100"/>
        </w:rPr>
        <w:t>无</w:t>
      </w:r>
    </w:p>
    <w:p>
      <w:pPr>
        <w:spacing w:line="240" w:lineRule="auto" w:before="0"/>
        <w:rPr>
          <w:rFonts w:ascii="宋体" w:hAnsi="宋体" w:cs="宋体" w:eastAsia="宋体" w:hint="default"/>
          <w:sz w:val="20"/>
          <w:szCs w:val="20"/>
        </w:rPr>
      </w:pPr>
    </w:p>
    <w:p>
      <w:pPr>
        <w:pStyle w:val="Heading4"/>
        <w:spacing w:line="240" w:lineRule="auto" w:before="171"/>
        <w:ind w:right="1127"/>
        <w:jc w:val="left"/>
        <w:rPr>
          <w:b w:val="0"/>
          <w:bCs w:val="0"/>
        </w:rPr>
      </w:pPr>
      <w:bookmarkStart w:name="17、合同成本" w:id="297"/>
      <w:bookmarkEnd w:id="297"/>
      <w:r>
        <w:rPr>
          <w:b w:val="0"/>
          <w:bCs w:val="0"/>
        </w:rPr>
      </w:r>
      <w:r>
        <w:rPr>
          <w:rFonts w:ascii="Times New Roman" w:hAnsi="Times New Roman" w:cs="Times New Roman" w:eastAsia="Times New Roman" w:hint="default"/>
        </w:rPr>
        <w:t>17</w:t>
      </w:r>
      <w:r>
        <w:rPr/>
        <w:t>、合同成本</w:t>
      </w:r>
      <w:r>
        <w:rPr>
          <w:b w:val="0"/>
          <w:bCs w:val="0"/>
        </w:rPr>
      </w:r>
    </w:p>
    <w:p>
      <w:pPr>
        <w:spacing w:after="0" w:line="240" w:lineRule="auto"/>
        <w:jc w:val="left"/>
        <w:sectPr>
          <w:pgSz w:w="11910" w:h="16840"/>
          <w:pgMar w:header="882" w:footer="1134" w:top="1280" w:bottom="1320" w:left="980" w:right="0"/>
        </w:sectPr>
      </w:pPr>
    </w:p>
    <w:p>
      <w:pPr>
        <w:pStyle w:val="BodyText"/>
        <w:spacing w:line="240" w:lineRule="auto" w:before="112"/>
        <w:ind w:right="1127"/>
        <w:jc w:val="left"/>
      </w:pPr>
      <w:r>
        <w:rPr>
          <w:w w:val="100"/>
        </w:rPr>
        <w:t>无</w:t>
      </w:r>
    </w:p>
    <w:p>
      <w:pPr>
        <w:spacing w:line="550" w:lineRule="atLeast" w:before="174"/>
        <w:ind w:left="572" w:right="3135" w:hanging="420"/>
        <w:jc w:val="left"/>
        <w:rPr>
          <w:rFonts w:ascii="宋体" w:hAnsi="宋体" w:cs="宋体" w:eastAsia="宋体" w:hint="default"/>
          <w:sz w:val="21"/>
          <w:szCs w:val="21"/>
        </w:rPr>
      </w:pPr>
      <w:bookmarkStart w:name="18、持有待售资产" w:id="298"/>
      <w:bookmarkEnd w:id="298"/>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、持有待售资产</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本公司将同时满足下列条件的非流动资产或处置组划分为持有待售类别：</w:t>
      </w:r>
    </w:p>
    <w:p>
      <w:pPr>
        <w:pStyle w:val="BodyText"/>
        <w:spacing w:line="240" w:lineRule="auto" w:before="133"/>
        <w:ind w:right="1127"/>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36" w:lineRule="auto" w:before="119"/>
        <w:ind w:left="152" w:right="1127" w:firstLine="420"/>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w:t>
      </w:r>
      <w:r>
        <w:rPr>
          <w:w w:val="100"/>
        </w:rPr>
        <w:t> </w:t>
      </w:r>
      <w:r>
        <w:rPr/>
        <w:t>在一年内完成。有关规定要求本公司相关权力机构或者监管部门批准后方可出售的，已经获得批准。</w:t>
      </w:r>
    </w:p>
    <w:p>
      <w:pPr>
        <w:spacing w:line="240" w:lineRule="auto" w:before="9"/>
        <w:rPr>
          <w:rFonts w:ascii="宋体" w:hAnsi="宋体" w:cs="宋体" w:eastAsia="宋体" w:hint="default"/>
          <w:sz w:val="26"/>
          <w:szCs w:val="26"/>
        </w:rPr>
      </w:pPr>
    </w:p>
    <w:p>
      <w:pPr>
        <w:pStyle w:val="Heading4"/>
        <w:spacing w:line="240" w:lineRule="auto"/>
        <w:ind w:right="1127"/>
        <w:jc w:val="left"/>
        <w:rPr>
          <w:b w:val="0"/>
          <w:bCs w:val="0"/>
        </w:rPr>
      </w:pPr>
      <w:bookmarkStart w:name="19、债权投资" w:id="299"/>
      <w:bookmarkEnd w:id="299"/>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1127"/>
        <w:jc w:val="left"/>
      </w:pPr>
      <w:r>
        <w:rPr>
          <w:w w:val="100"/>
        </w:rPr>
        <w:t>无</w:t>
      </w:r>
    </w:p>
    <w:p>
      <w:pPr>
        <w:spacing w:line="240" w:lineRule="auto" w:before="0"/>
        <w:rPr>
          <w:rFonts w:ascii="宋体" w:hAnsi="宋体" w:cs="宋体" w:eastAsia="宋体" w:hint="default"/>
          <w:sz w:val="20"/>
          <w:szCs w:val="20"/>
        </w:rPr>
      </w:pPr>
    </w:p>
    <w:p>
      <w:pPr>
        <w:pStyle w:val="Heading4"/>
        <w:spacing w:line="472" w:lineRule="auto" w:before="171"/>
        <w:ind w:left="572" w:right="9068" w:hanging="420"/>
        <w:jc w:val="left"/>
        <w:rPr>
          <w:rFonts w:ascii="宋体" w:hAnsi="宋体" w:cs="宋体" w:eastAsia="宋体" w:hint="default"/>
          <w:b w:val="0"/>
          <w:bCs w:val="0"/>
        </w:rPr>
      </w:pPr>
      <w:bookmarkStart w:name="20、其他债权投资" w:id="300"/>
      <w:bookmarkEnd w:id="300"/>
      <w:r>
        <w:rPr>
          <w:b w:val="0"/>
          <w:bCs w:val="0"/>
        </w:rPr>
      </w:r>
      <w:r>
        <w:rPr>
          <w:rFonts w:ascii="Times New Roman" w:hAnsi="Times New Roman" w:cs="Times New Roman" w:eastAsia="Times New Roman" w:hint="default"/>
        </w:rPr>
        <w:t>20</w:t>
      </w:r>
      <w:r>
        <w:rPr/>
        <w:t>、其他债权投资</w:t>
      </w:r>
      <w:r>
        <w:rPr>
          <w:w w:val="100"/>
        </w:rPr>
        <w:t> </w:t>
      </w:r>
      <w:r>
        <w:rPr>
          <w:rFonts w:ascii="宋体" w:hAnsi="宋体" w:cs="宋体" w:eastAsia="宋体" w:hint="default"/>
          <w:b w:val="0"/>
          <w:bCs w:val="0"/>
        </w:rPr>
        <w:t>无</w:t>
      </w:r>
    </w:p>
    <w:p>
      <w:pPr>
        <w:spacing w:line="240" w:lineRule="auto" w:before="7"/>
        <w:rPr>
          <w:rFonts w:ascii="宋体" w:hAnsi="宋体" w:cs="宋体" w:eastAsia="宋体" w:hint="default"/>
          <w:sz w:val="17"/>
          <w:szCs w:val="17"/>
        </w:rPr>
      </w:pPr>
    </w:p>
    <w:p>
      <w:pPr>
        <w:pStyle w:val="Heading4"/>
        <w:spacing w:line="472" w:lineRule="auto"/>
        <w:ind w:left="572" w:right="9280" w:hanging="421"/>
        <w:jc w:val="left"/>
        <w:rPr>
          <w:rFonts w:ascii="宋体" w:hAnsi="宋体" w:cs="宋体" w:eastAsia="宋体" w:hint="default"/>
          <w:b w:val="0"/>
          <w:bCs w:val="0"/>
        </w:rPr>
      </w:pPr>
      <w:bookmarkStart w:name="21、长期应收款" w:id="301"/>
      <w:bookmarkEnd w:id="301"/>
      <w:r>
        <w:rPr>
          <w:b w:val="0"/>
          <w:bCs w:val="0"/>
        </w:rPr>
      </w:r>
      <w:r>
        <w:rPr>
          <w:rFonts w:ascii="Times New Roman" w:hAnsi="Times New Roman" w:cs="Times New Roman" w:eastAsia="Times New Roman" w:hint="default"/>
        </w:rPr>
        <w:t>21</w:t>
      </w:r>
      <w:r>
        <w:rPr/>
        <w:t>、长期应收款</w:t>
      </w:r>
      <w:r>
        <w:rPr>
          <w:w w:val="100"/>
        </w:rPr>
        <w:t> </w:t>
      </w:r>
      <w:r>
        <w:rPr>
          <w:rFonts w:ascii="宋体" w:hAnsi="宋体" w:cs="宋体" w:eastAsia="宋体" w:hint="default"/>
          <w:b w:val="0"/>
          <w:bCs w:val="0"/>
        </w:rPr>
        <w:t>无</w:t>
      </w:r>
    </w:p>
    <w:p>
      <w:pPr>
        <w:spacing w:line="240" w:lineRule="auto" w:before="10"/>
        <w:rPr>
          <w:rFonts w:ascii="宋体" w:hAnsi="宋体" w:cs="宋体" w:eastAsia="宋体" w:hint="default"/>
          <w:sz w:val="17"/>
          <w:szCs w:val="17"/>
        </w:rPr>
      </w:pPr>
    </w:p>
    <w:p>
      <w:pPr>
        <w:pStyle w:val="Heading4"/>
        <w:spacing w:line="240" w:lineRule="auto"/>
        <w:ind w:right="1127"/>
        <w:jc w:val="left"/>
        <w:rPr>
          <w:b w:val="0"/>
          <w:bCs w:val="0"/>
        </w:rPr>
      </w:pPr>
      <w:bookmarkStart w:name="22、长期股权投资" w:id="302"/>
      <w:bookmarkEnd w:id="302"/>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6"/>
        <w:rPr>
          <w:rFonts w:ascii="宋体" w:hAnsi="宋体" w:cs="宋体" w:eastAsia="宋体" w:hint="default"/>
          <w:b/>
          <w:bCs/>
          <w:sz w:val="21"/>
          <w:szCs w:val="21"/>
        </w:rPr>
      </w:pPr>
    </w:p>
    <w:p>
      <w:pPr>
        <w:spacing w:line="338" w:lineRule="auto" w:before="0"/>
        <w:ind w:left="572" w:right="11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）共同控制、重大影响的判断标准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共同控制，是指按照相关约定对某项安排所共有的控制，并且该安排的相关活动必须经过分享控制权</w:t>
      </w:r>
    </w:p>
    <w:p>
      <w:pPr>
        <w:pStyle w:val="BodyText"/>
        <w:spacing w:line="355" w:lineRule="auto" w:before="47"/>
        <w:ind w:left="152" w:right="1128"/>
        <w:jc w:val="both"/>
      </w:pPr>
      <w:r>
        <w:rPr>
          <w:spacing w:val="-2"/>
        </w:rPr>
        <w:t>的参与方一致同意后才能决策。本公司与其他合营方一同对被投资单位实施共同控制且对被投资单位净资</w:t>
      </w:r>
      <w:r>
        <w:rPr>
          <w:spacing w:val="-43"/>
        </w:rPr>
        <w:t> </w:t>
      </w:r>
      <w:r>
        <w:rPr>
          <w:spacing w:val="-43"/>
        </w:rPr>
      </w:r>
      <w:r>
        <w:rPr/>
        <w:t>产享有权利的，被投资单位为本公司的合营企业。</w:t>
      </w:r>
    </w:p>
    <w:p>
      <w:pPr>
        <w:pStyle w:val="BodyText"/>
        <w:spacing w:line="357" w:lineRule="auto" w:before="32"/>
        <w:ind w:left="152" w:right="1127" w:firstLine="420"/>
        <w:jc w:val="left"/>
      </w:pPr>
      <w:r>
        <w:rPr>
          <w:spacing w:val="-2"/>
        </w:rPr>
        <w:t>重大影响，是指对一个企业的财务和经营决策有参与决策的权力，但并不能够控制或者与其他方一起</w:t>
      </w:r>
      <w:r>
        <w:rPr>
          <w:w w:val="100"/>
        </w:rPr>
        <w:t> </w:t>
      </w:r>
      <w:r>
        <w:rPr/>
        <w:t>共同控制这些政策的制定。本公司能够对被投资单位施加重大影响的，被投资单位为本公司联营企业。</w:t>
      </w:r>
    </w:p>
    <w:p>
      <w:pPr>
        <w:pStyle w:val="Heading4"/>
        <w:spacing w:line="240" w:lineRule="auto" w:before="30"/>
        <w:ind w:left="575" w:right="1127"/>
        <w:jc w:val="left"/>
        <w:rPr>
          <w:b w:val="0"/>
          <w:bCs w:val="0"/>
        </w:rPr>
      </w:pPr>
      <w:r>
        <w:rPr/>
        <w:t>（</w:t>
      </w:r>
      <w:r>
        <w:rPr>
          <w:rFonts w:ascii="Times New Roman" w:hAnsi="Times New Roman" w:cs="Times New Roman" w:eastAsia="Times New Roman" w:hint="default"/>
        </w:rPr>
        <w:t>2</w:t>
      </w:r>
      <w:r>
        <w:rPr/>
        <w:t>）初始投资成本的确定</w:t>
      </w:r>
      <w:r>
        <w:rPr>
          <w:b w:val="0"/>
          <w:bCs w:val="0"/>
        </w:rPr>
      </w:r>
    </w:p>
    <w:p>
      <w:pPr>
        <w:pStyle w:val="BodyText"/>
        <w:spacing w:line="336" w:lineRule="auto" w:before="117"/>
        <w:ind w:left="573" w:right="1127" w:hanging="1"/>
        <w:jc w:val="left"/>
      </w:pPr>
      <w:r>
        <w:rPr>
          <w:rFonts w:ascii="Times New Roman" w:hAnsi="Times New Roman" w:cs="Times New Roman" w:eastAsia="Times New Roman" w:hint="default"/>
        </w:rPr>
        <w:t>1</w:t>
      </w:r>
      <w:r>
        <w:rPr/>
        <w:t>）企业合并形成的长期股权投资</w:t>
      </w:r>
      <w:r>
        <w:rPr>
          <w:w w:val="100"/>
        </w:rPr>
        <w:t> </w:t>
      </w:r>
      <w:r>
        <w:rPr>
          <w:spacing w:val="-2"/>
        </w:rPr>
        <w:t>同一控制下的企业合并：公司以支付现金、转让非现金资产或承担债务方式以及以发行权益性证券作</w:t>
      </w:r>
    </w:p>
    <w:p>
      <w:pPr>
        <w:pStyle w:val="BodyText"/>
        <w:spacing w:line="357" w:lineRule="auto" w:before="49"/>
        <w:ind w:left="152" w:right="1127"/>
        <w:jc w:val="both"/>
      </w:pPr>
      <w:r>
        <w:rPr>
          <w:spacing w:val="-2"/>
        </w:rPr>
        <w:t>为合并对价的，在合并日按照取得被合并方所有者权益在最终控制方合并财务报表中的账面价值的份额作</w:t>
      </w:r>
      <w:r>
        <w:rPr>
          <w:spacing w:val="-43"/>
        </w:rPr>
        <w:t> </w:t>
      </w:r>
      <w:r>
        <w:rPr>
          <w:spacing w:val="-43"/>
        </w:rPr>
      </w:r>
      <w:r>
        <w:rPr>
          <w:spacing w:val="-2"/>
        </w:rPr>
        <w:t>为长期股权投资的初始投资成本。因追加投资等原因能够对同一控制下的被投资单位实施控制的，在合并</w:t>
      </w:r>
      <w:r>
        <w:rPr>
          <w:spacing w:val="-42"/>
        </w:rPr>
        <w:t> </w:t>
      </w:r>
      <w:r>
        <w:rPr>
          <w:spacing w:val="-42"/>
        </w:rPr>
      </w:r>
      <w:r>
        <w:rPr>
          <w:spacing w:val="-2"/>
        </w:rPr>
        <w:t>日根据合并后应享有被合并方净资产在最终控制方合并财务报表中的账面价值的份额，确定长期股权投资</w:t>
      </w:r>
      <w:r>
        <w:rPr>
          <w:spacing w:val="-43"/>
        </w:rPr>
        <w:t> </w:t>
      </w:r>
      <w:r>
        <w:rPr>
          <w:spacing w:val="-43"/>
        </w:rPr>
      </w:r>
      <w:r>
        <w:rPr>
          <w:spacing w:val="-2"/>
        </w:rPr>
        <w:t>的初始投资成本。合并日长期股权投资的初始投资成本，与达到合并前的长期股权投资账面价值加上合并</w:t>
      </w:r>
      <w:r>
        <w:rPr>
          <w:spacing w:val="-42"/>
        </w:rPr>
        <w:t> </w:t>
      </w:r>
      <w:r>
        <w:rPr>
          <w:spacing w:val="-42"/>
        </w:rPr>
      </w:r>
      <w:r>
        <w:rPr>
          <w:spacing w:val="-2"/>
        </w:rPr>
        <w:t>日进一步取得股份新支付对价的账面价值之和的差额，调整股本溢价，股本溢价不足冲减的，冲减留存收</w:t>
      </w:r>
      <w:r>
        <w:rPr>
          <w:spacing w:val="-44"/>
        </w:rPr>
        <w:t> </w:t>
      </w:r>
      <w:r>
        <w:rPr>
          <w:spacing w:val="-44"/>
        </w:rPr>
      </w:r>
      <w:r>
        <w:rPr/>
        <w:t>益。</w:t>
      </w:r>
    </w:p>
    <w:p>
      <w:pPr>
        <w:spacing w:after="0" w:line="357" w:lineRule="auto"/>
        <w:jc w:val="both"/>
        <w:sectPr>
          <w:pgSz w:w="11910" w:h="16840"/>
          <w:pgMar w:header="882" w:footer="1134" w:top="1280" w:bottom="1320" w:left="980" w:right="0"/>
        </w:sectPr>
      </w:pPr>
    </w:p>
    <w:p>
      <w:pPr>
        <w:pStyle w:val="BodyText"/>
        <w:spacing w:line="355" w:lineRule="auto" w:before="112"/>
        <w:ind w:left="152" w:right="1128" w:firstLine="420"/>
        <w:jc w:val="both"/>
      </w:pPr>
      <w:r>
        <w:rPr>
          <w:spacing w:val="-2"/>
        </w:rPr>
        <w:t>非同一控制下的企业合并：公司按照购买日确定的合并成本作为长期股权投资的初始投资成本。因追</w:t>
      </w:r>
      <w:r>
        <w:rPr>
          <w:w w:val="100"/>
        </w:rPr>
        <w:t> </w:t>
      </w:r>
      <w:r>
        <w:rPr>
          <w:spacing w:val="-2"/>
        </w:rPr>
        <w:t>加投资等原因能够对非同一控制下的被投资单位实施控制的，按照原持有的股权投资账面价值加上新增投</w:t>
      </w:r>
      <w:r>
        <w:rPr>
          <w:spacing w:val="-43"/>
        </w:rPr>
        <w:t> </w:t>
      </w:r>
      <w:r>
        <w:rPr>
          <w:spacing w:val="-43"/>
        </w:rPr>
      </w:r>
      <w:r>
        <w:rPr/>
        <w:t>资成本之和，作为改按成本法核算的初始投资成本。</w:t>
      </w:r>
    </w:p>
    <w:p>
      <w:pPr>
        <w:pStyle w:val="BodyText"/>
        <w:spacing w:line="350" w:lineRule="auto" w:before="34"/>
        <w:ind w:right="1127"/>
        <w:jc w:val="left"/>
      </w:pPr>
      <w:r>
        <w:rPr>
          <w:rFonts w:ascii="Times New Roman" w:hAnsi="Times New Roman" w:cs="Times New Roman" w:eastAsia="Times New Roman" w:hint="default"/>
        </w:rPr>
        <w:t>2</w:t>
      </w:r>
      <w:r>
        <w:rPr/>
        <w:t>）其他方式取得的长期股权投资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2"/>
        </w:rPr>
        <w:t>在非货币性资产交换具备商业实质和换入资产或换出资产的公允价值能够可靠计量的前提下，非货币</w:t>
      </w:r>
    </w:p>
    <w:p>
      <w:pPr>
        <w:pStyle w:val="BodyText"/>
        <w:spacing w:line="355" w:lineRule="auto" w:before="39"/>
        <w:ind w:left="152" w:right="1128"/>
        <w:jc w:val="both"/>
      </w:pPr>
      <w:r>
        <w:rPr>
          <w:spacing w:val="-2"/>
        </w:rPr>
        <w:t>性资产交换换入的长期股权投资以换出资产的公允价值和应支付的相关税费确定其初始投资成本，除非有</w:t>
      </w:r>
      <w:r>
        <w:rPr>
          <w:spacing w:val="-42"/>
        </w:rPr>
        <w:t> </w:t>
      </w:r>
      <w:r>
        <w:rPr>
          <w:spacing w:val="-42"/>
        </w:rPr>
      </w:r>
      <w:r>
        <w:rPr>
          <w:spacing w:val="-2"/>
        </w:rPr>
        <w:t>确凿证据表明换入资产的公允价值更加可靠；不满足上述前提的非货币性资产交换，以换出资产的账面价</w:t>
      </w:r>
      <w:r>
        <w:rPr>
          <w:spacing w:val="-42"/>
        </w:rPr>
        <w:t> </w:t>
      </w:r>
      <w:r>
        <w:rPr>
          <w:spacing w:val="-42"/>
        </w:rPr>
      </w:r>
      <w:r>
        <w:rPr/>
        <w:t>值和应支付的相关税费作为换入长期股权投资的初始投资成本。</w:t>
      </w:r>
    </w:p>
    <w:p>
      <w:pPr>
        <w:pStyle w:val="BodyText"/>
        <w:spacing w:line="240" w:lineRule="auto" w:before="32"/>
        <w:ind w:right="1127"/>
        <w:jc w:val="left"/>
      </w:pPr>
      <w:r>
        <w:rPr/>
        <w:t>通过债务重组取得的长期股权投资，其初始投资成本按照公允价值为基础确定。</w:t>
      </w:r>
    </w:p>
    <w:p>
      <w:pPr>
        <w:pStyle w:val="Heading4"/>
        <w:spacing w:line="240" w:lineRule="auto" w:before="133"/>
        <w:ind w:left="575" w:right="1127"/>
        <w:jc w:val="left"/>
        <w:rPr>
          <w:b w:val="0"/>
          <w:bCs w:val="0"/>
        </w:rPr>
      </w:pPr>
      <w:r>
        <w:rPr/>
        <w:t>（</w:t>
      </w:r>
      <w:r>
        <w:rPr>
          <w:rFonts w:ascii="Times New Roman" w:hAnsi="Times New Roman" w:cs="Times New Roman" w:eastAsia="Times New Roman" w:hint="default"/>
        </w:rPr>
        <w:t>3</w:t>
      </w:r>
      <w:r>
        <w:rPr/>
        <w:t>）后续计量及损益确认方法</w:t>
      </w:r>
      <w:r>
        <w:rPr>
          <w:b w:val="0"/>
          <w:bCs w:val="0"/>
        </w:rPr>
      </w:r>
    </w:p>
    <w:p>
      <w:pPr>
        <w:pStyle w:val="BodyText"/>
        <w:spacing w:line="336" w:lineRule="auto" w:before="119"/>
        <w:ind w:right="1127" w:firstLine="76"/>
        <w:jc w:val="left"/>
      </w:pPr>
      <w:r>
        <w:rPr>
          <w:rFonts w:ascii="Times New Roman" w:hAnsi="Times New Roman" w:cs="Times New Roman" w:eastAsia="Times New Roman" w:hint="default"/>
        </w:rPr>
        <w:t>1</w:t>
      </w:r>
      <w:r>
        <w:rPr/>
        <w:t>）成本法核算的长期股权投资</w:t>
      </w:r>
      <w:r>
        <w:rPr>
          <w:w w:val="100"/>
        </w:rPr>
        <w:t> </w:t>
      </w:r>
      <w:r>
        <w:rPr>
          <w:spacing w:val="-2"/>
        </w:rPr>
        <w:t>公司对子公司的长期股权投资，采用成本法核算。除取得投资时实际支付的价款或对价中包含的已宣</w:t>
      </w:r>
    </w:p>
    <w:p>
      <w:pPr>
        <w:pStyle w:val="BodyText"/>
        <w:spacing w:line="355" w:lineRule="auto" w:before="49"/>
        <w:ind w:left="152" w:right="1128"/>
        <w:jc w:val="both"/>
      </w:pPr>
      <w:r>
        <w:rPr>
          <w:spacing w:val="-2"/>
        </w:rPr>
        <w:t>告但尚未发放的现金股利或利润外，公司按照享有被投资单位宣告发放的现金股利或利润确认当期投资收</w:t>
      </w:r>
      <w:r>
        <w:rPr>
          <w:spacing w:val="-43"/>
        </w:rPr>
        <w:t> </w:t>
      </w:r>
      <w:r>
        <w:rPr>
          <w:spacing w:val="-43"/>
        </w:rPr>
      </w:r>
      <w:r>
        <w:rPr/>
        <w:t>益。</w:t>
      </w:r>
    </w:p>
    <w:p>
      <w:pPr>
        <w:pStyle w:val="BodyText"/>
        <w:spacing w:line="338" w:lineRule="auto" w:before="32"/>
        <w:ind w:right="1127" w:firstLine="76"/>
        <w:jc w:val="left"/>
      </w:pPr>
      <w:r>
        <w:rPr>
          <w:rFonts w:ascii="Times New Roman" w:hAnsi="Times New Roman" w:cs="Times New Roman" w:eastAsia="Times New Roman" w:hint="default"/>
        </w:rPr>
        <w:t>2</w:t>
      </w:r>
      <w:r>
        <w:rPr/>
        <w:t>）权益法核算的长期股权投资</w:t>
      </w:r>
      <w:r>
        <w:rPr>
          <w:w w:val="100"/>
        </w:rPr>
        <w:t> </w:t>
      </w:r>
      <w:r>
        <w:rPr>
          <w:spacing w:val="-2"/>
        </w:rPr>
        <w:t>对联营企业和合营企业的长期股权投资，采用权益法核算。初始投资成本大于投资时应享有被投资单</w:t>
      </w:r>
    </w:p>
    <w:p>
      <w:pPr>
        <w:pStyle w:val="BodyText"/>
        <w:spacing w:line="355" w:lineRule="auto" w:before="47"/>
        <w:ind w:left="152" w:right="1127"/>
        <w:jc w:val="left"/>
      </w:pPr>
      <w:r>
        <w:rPr>
          <w:spacing w:val="-2"/>
        </w:rPr>
        <w:t>位可辨认净资产公允价值份额的差额，不调整长期股权投资的初始投资成本；初始投资成本小于投资时应</w:t>
      </w:r>
      <w:r>
        <w:rPr>
          <w:spacing w:val="-42"/>
        </w:rPr>
        <w:t> </w:t>
      </w:r>
      <w:r>
        <w:rPr>
          <w:spacing w:val="-42"/>
        </w:rPr>
      </w:r>
      <w:r>
        <w:rPr/>
        <w:t>享有被投资单位可辨认净资产公允价值份额的差额，计入当期损益。</w:t>
      </w:r>
    </w:p>
    <w:p>
      <w:pPr>
        <w:pStyle w:val="BodyText"/>
        <w:spacing w:line="357" w:lineRule="auto" w:before="32"/>
        <w:ind w:left="152" w:right="1128" w:firstLine="420"/>
        <w:jc w:val="both"/>
      </w:pPr>
      <w:r>
        <w:rPr>
          <w:spacing w:val="-2"/>
        </w:rPr>
        <w:t>公司按照应享有或应分担的被投资单位实现的净损益和其他综合收益的份额，分别确认投资收益和其</w:t>
      </w:r>
      <w:r>
        <w:rPr>
          <w:w w:val="100"/>
        </w:rPr>
        <w:t> </w:t>
      </w:r>
      <w:r>
        <w:rPr>
          <w:spacing w:val="-2"/>
        </w:rPr>
        <w:t>他综合收益，同时调整长期股权投资的账面价值；按照被投资单位宣告分派的利润或现金股利计算应享有</w:t>
      </w:r>
      <w:r>
        <w:rPr>
          <w:spacing w:val="-42"/>
        </w:rPr>
        <w:t> </w:t>
      </w:r>
      <w:r>
        <w:rPr>
          <w:spacing w:val="-42"/>
        </w:rPr>
      </w:r>
      <w:r>
        <w:rPr>
          <w:spacing w:val="-2"/>
        </w:rPr>
        <w:t>的部分，相应减少长期股权投资的账面价值；对于被投资单位除净损益、其他综合收益和利润分配以外所</w:t>
      </w:r>
      <w:r>
        <w:rPr>
          <w:spacing w:val="-43"/>
        </w:rPr>
        <w:t> </w:t>
      </w:r>
      <w:r>
        <w:rPr>
          <w:spacing w:val="-43"/>
        </w:rPr>
      </w:r>
      <w:r>
        <w:rPr/>
        <w:t>有者权益的其他变动，调整长期股权投资的账面价值并计入所有者权益。</w:t>
      </w:r>
    </w:p>
    <w:p>
      <w:pPr>
        <w:pStyle w:val="BodyText"/>
        <w:spacing w:line="357" w:lineRule="auto" w:before="30"/>
        <w:ind w:left="152" w:right="1128" w:firstLine="420"/>
        <w:jc w:val="both"/>
      </w:pPr>
      <w:r>
        <w:rPr>
          <w:spacing w:val="2"/>
        </w:rPr>
        <w:t>在确认应享有被投资单位净损益的份额时，以取得投资时被投资单位可辨认净资产的公允价值为基</w:t>
      </w:r>
      <w:r>
        <w:rPr>
          <w:w w:val="100"/>
        </w:rPr>
        <w:t> </w:t>
      </w:r>
      <w:r>
        <w:rPr>
          <w:spacing w:val="-2"/>
        </w:rPr>
        <w:t>础，并按照公司的会计政策及会计期间，对被投资单位的净利润进行调整后确认。在持有投资期间，被投</w:t>
      </w:r>
      <w:r>
        <w:rPr>
          <w:spacing w:val="-47"/>
        </w:rPr>
        <w:t> </w:t>
      </w:r>
      <w:r>
        <w:rPr>
          <w:spacing w:val="-47"/>
        </w:rPr>
      </w:r>
      <w:r>
        <w:rPr>
          <w:spacing w:val="-2"/>
        </w:rPr>
        <w:t>资单位编制合并财务报表的，以合并财务报表中的净利润、其他综合收益和其他所有者权益变动中归属于</w:t>
      </w:r>
      <w:r>
        <w:rPr>
          <w:spacing w:val="-42"/>
        </w:rPr>
        <w:t> </w:t>
      </w:r>
      <w:r>
        <w:rPr>
          <w:spacing w:val="-42"/>
        </w:rPr>
      </w:r>
      <w:r>
        <w:rPr/>
        <w:t>被投资单位的金额为基础进行核算。</w:t>
      </w:r>
    </w:p>
    <w:p>
      <w:pPr>
        <w:pStyle w:val="BodyText"/>
        <w:spacing w:line="352" w:lineRule="auto" w:before="30"/>
        <w:ind w:left="152" w:right="1129" w:firstLine="420"/>
        <w:jc w:val="both"/>
      </w:pPr>
      <w:r>
        <w:rPr>
          <w:spacing w:val="2"/>
        </w:rPr>
        <w:t>公司与联营企业、合营企业之间发生的未实现内部交易损益按照应享有的比例计算归属于公司的部</w:t>
      </w:r>
      <w:r>
        <w:rPr>
          <w:w w:val="100"/>
        </w:rPr>
        <w:t> </w:t>
      </w:r>
      <w:r>
        <w:rPr>
          <w:spacing w:val="-2"/>
        </w:rPr>
        <w:t>分，予以抵销，在此基础上确认投资收益。与被投资单位发生的未实现内部交易损失，属于资产减值损失</w:t>
      </w:r>
      <w:r>
        <w:rPr>
          <w:spacing w:val="-47"/>
        </w:rPr>
        <w:t> </w:t>
      </w:r>
      <w:r>
        <w:rPr>
          <w:spacing w:val="-47"/>
        </w:rPr>
      </w:r>
      <w:r>
        <w:rPr>
          <w:spacing w:val="-2"/>
        </w:rPr>
        <w:t>的，全额确认。公司与联营企业、合营企业之间发生投出或出售资产的交易，该资产构成业务的，按照本</w:t>
      </w:r>
      <w:r>
        <w:rPr>
          <w:spacing w:val="-43"/>
        </w:rPr>
        <w:t> </w:t>
      </w:r>
      <w:r>
        <w:rPr>
          <w:spacing w:val="-43"/>
        </w:rPr>
      </w:r>
      <w:r>
        <w:rPr>
          <w:spacing w:val="-4"/>
        </w:rPr>
        <w:t>附注</w:t>
      </w:r>
      <w:r>
        <w:rPr>
          <w:rFonts w:ascii="Times New Roman" w:hAnsi="Times New Roman" w:cs="Times New Roman" w:eastAsia="Times New Roman" w:hint="default"/>
          <w:spacing w:val="-4"/>
        </w:rPr>
        <w:t>“</w:t>
      </w:r>
      <w:r>
        <w:rPr>
          <w:spacing w:val="-4"/>
        </w:rPr>
        <w:t>五、（</w:t>
      </w:r>
      <w:r>
        <w:rPr>
          <w:rFonts w:ascii="Times New Roman" w:hAnsi="Times New Roman" w:cs="Times New Roman" w:eastAsia="Times New Roman" w:hint="default"/>
          <w:spacing w:val="-4"/>
        </w:rPr>
        <w:t>5</w:t>
      </w:r>
      <w:r>
        <w:rPr>
          <w:spacing w:val="-4"/>
        </w:rPr>
        <w:t>）同一控制下和非同一控制下企业合并的会计处理方法</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五、（</w:t>
      </w:r>
      <w:r>
        <w:rPr>
          <w:rFonts w:ascii="Times New Roman" w:hAnsi="Times New Roman" w:cs="Times New Roman" w:eastAsia="Times New Roman" w:hint="default"/>
          <w:spacing w:val="-4"/>
        </w:rPr>
        <w:t>6</w:t>
      </w:r>
      <w:r>
        <w:rPr>
          <w:spacing w:val="-4"/>
        </w:rPr>
        <w:t>）合并财务报表的编制方</w:t>
      </w:r>
      <w:r>
        <w:rPr>
          <w:spacing w:val="-11"/>
        </w:rPr>
        <w:t> </w:t>
      </w:r>
      <w:r>
        <w:rPr>
          <w:spacing w:val="-11"/>
        </w:rPr>
      </w:r>
      <w:r>
        <w:rPr/>
        <w:t>法</w:t>
      </w:r>
      <w:r>
        <w:rPr>
          <w:rFonts w:ascii="Times New Roman" w:hAnsi="Times New Roman" w:cs="Times New Roman" w:eastAsia="Times New Roman" w:hint="default"/>
        </w:rPr>
        <w:t>”</w:t>
      </w:r>
      <w:r>
        <w:rPr/>
        <w:t>中披露的相关政策进行会计处理。</w:t>
      </w:r>
    </w:p>
    <w:p>
      <w:pPr>
        <w:pStyle w:val="BodyText"/>
        <w:spacing w:line="240" w:lineRule="auto" w:before="8"/>
        <w:ind w:right="0"/>
        <w:jc w:val="left"/>
      </w:pPr>
      <w:r>
        <w:rPr/>
        <w:t>在公司确认应分担被投资单位发生的亏损时，按照以下顺序进行处理：首先，冲减长期股权投资的账</w:t>
      </w:r>
    </w:p>
    <w:p>
      <w:pPr>
        <w:spacing w:after="0" w:line="240" w:lineRule="auto"/>
        <w:jc w:val="left"/>
        <w:sectPr>
          <w:pgSz w:w="11910" w:h="16840"/>
          <w:pgMar w:header="882" w:footer="1134" w:top="1280" w:bottom="1320" w:left="980" w:right="0"/>
        </w:sectPr>
      </w:pPr>
    </w:p>
    <w:p>
      <w:pPr>
        <w:pStyle w:val="BodyText"/>
        <w:spacing w:line="355" w:lineRule="auto" w:before="112"/>
        <w:ind w:left="152" w:right="1128"/>
        <w:jc w:val="both"/>
      </w:pPr>
      <w:r>
        <w:rPr>
          <w:spacing w:val="-2"/>
        </w:rPr>
        <w:t>面价值。其次，长期股权投资的账面价值不足以冲减的，以其他实质上构成对被投资单位净投资的长期权</w:t>
      </w:r>
      <w:r>
        <w:rPr>
          <w:spacing w:val="-45"/>
        </w:rPr>
        <w:t> </w:t>
      </w:r>
      <w:r>
        <w:rPr>
          <w:spacing w:val="-45"/>
        </w:rPr>
      </w:r>
      <w:r>
        <w:rPr>
          <w:spacing w:val="-2"/>
        </w:rPr>
        <w:t>益账面价值为限继续确认投资损失，冲减长期应收项目等的账面价值。最后，经过上述处理，按照投资合</w:t>
      </w:r>
      <w:r>
        <w:rPr>
          <w:spacing w:val="-47"/>
        </w:rPr>
        <w:t> </w:t>
      </w:r>
      <w:r>
        <w:rPr>
          <w:spacing w:val="-47"/>
        </w:rPr>
      </w:r>
      <w:r>
        <w:rPr/>
        <w:t>同或协议约定企业仍承担额外义务的，按预计承担的义务确认预计负债，计入当期投资损失。</w:t>
      </w:r>
    </w:p>
    <w:p>
      <w:pPr>
        <w:pStyle w:val="BodyText"/>
        <w:spacing w:line="336" w:lineRule="auto" w:before="34"/>
        <w:ind w:left="573" w:right="1932"/>
        <w:jc w:val="left"/>
      </w:pPr>
      <w:r>
        <w:rPr>
          <w:rFonts w:ascii="Times New Roman" w:hAnsi="Times New Roman" w:cs="Times New Roman" w:eastAsia="Times New Roman" w:hint="default"/>
        </w:rPr>
        <w:t>3</w:t>
      </w:r>
      <w:r>
        <w:rPr/>
        <w:t>）长期股权投资的处置</w:t>
      </w:r>
      <w:r>
        <w:rPr>
          <w:w w:val="100"/>
        </w:rPr>
        <w:t> </w:t>
      </w:r>
      <w:r>
        <w:rPr>
          <w:spacing w:val="-2"/>
        </w:rPr>
        <w:t>处置长期股权投资，其账面价值与实际取得价款的差额，计入当期损益。</w:t>
      </w:r>
    </w:p>
    <w:p>
      <w:pPr>
        <w:pStyle w:val="BodyText"/>
        <w:spacing w:line="357" w:lineRule="auto" w:before="49"/>
        <w:ind w:left="152" w:right="1128" w:firstLine="420"/>
        <w:jc w:val="both"/>
      </w:pPr>
      <w:r>
        <w:rPr>
          <w:spacing w:val="-2"/>
        </w:rPr>
        <w:t>采用权益法核算的长期股权投资，在处置该项投资时，采用与被投资单位直接处置相关资产或负债相</w:t>
      </w:r>
      <w:r>
        <w:rPr>
          <w:w w:val="100"/>
        </w:rPr>
        <w:t> </w:t>
      </w:r>
      <w:r>
        <w:rPr>
          <w:spacing w:val="-2"/>
        </w:rPr>
        <w:t>同的基础，按相应比例对原计入其他综合收益的部分进行会计处理。因被投资单位除净损益、其他综合收</w:t>
      </w:r>
      <w:r>
        <w:rPr>
          <w:spacing w:val="-48"/>
        </w:rPr>
        <w:t> </w:t>
      </w:r>
      <w:r>
        <w:rPr>
          <w:spacing w:val="-48"/>
        </w:rPr>
      </w:r>
      <w:r>
        <w:rPr>
          <w:spacing w:val="-2"/>
        </w:rPr>
        <w:t>益和利润分配以外的其他所有者权益变动而确认的所有者权益，按比例结转入当期损益，由于被投资方重</w:t>
      </w:r>
      <w:r>
        <w:rPr>
          <w:spacing w:val="-42"/>
        </w:rPr>
        <w:t> </w:t>
      </w:r>
      <w:r>
        <w:rPr>
          <w:spacing w:val="-42"/>
        </w:rPr>
      </w:r>
      <w:r>
        <w:rPr/>
        <w:t>新计量设定受益计划净负债或净资产变动而产生的其他综合收益除外。</w:t>
      </w:r>
    </w:p>
    <w:p>
      <w:pPr>
        <w:pStyle w:val="BodyText"/>
        <w:spacing w:line="357" w:lineRule="auto" w:before="30"/>
        <w:ind w:left="152" w:right="1128" w:firstLine="420"/>
        <w:jc w:val="both"/>
      </w:pPr>
      <w:r>
        <w:rPr>
          <w:spacing w:val="-2"/>
        </w:rPr>
        <w:t>因处置部分股权投资等原因丧失了对被投资单位的共同控制或重大影响的，处置后的剩余股权改按金</w:t>
      </w:r>
      <w:r>
        <w:rPr>
          <w:w w:val="100"/>
        </w:rPr>
        <w:t> </w:t>
      </w:r>
      <w:r>
        <w:rPr>
          <w:spacing w:val="-2"/>
        </w:rPr>
        <w:t>融工具确认和计量准则核算，其在丧失共同控制或重大影响之日的公允价值与账面价值之间的差额计入当</w:t>
      </w:r>
      <w:r>
        <w:rPr>
          <w:spacing w:val="-42"/>
        </w:rPr>
        <w:t> </w:t>
      </w:r>
      <w:r>
        <w:rPr>
          <w:spacing w:val="-42"/>
        </w:rPr>
      </w:r>
      <w:r>
        <w:rPr>
          <w:spacing w:val="-2"/>
        </w:rPr>
        <w:t>期损益。原股权投资因采用权益法核算而确认的其他综合收益，在终止采用权益法核算时采用与被投资单</w:t>
      </w:r>
      <w:r>
        <w:rPr>
          <w:spacing w:val="-42"/>
        </w:rPr>
        <w:t> </w:t>
      </w:r>
      <w:r>
        <w:rPr>
          <w:spacing w:val="-42"/>
        </w:rPr>
      </w:r>
      <w:r>
        <w:rPr>
          <w:spacing w:val="-2"/>
        </w:rPr>
        <w:t>位直接处置相关资产或负债相同的基础进行会计处理。因被投资方除净损益、其他综合收益和利润分配以</w:t>
      </w:r>
      <w:r>
        <w:rPr>
          <w:spacing w:val="-42"/>
        </w:rPr>
        <w:t> </w:t>
      </w:r>
      <w:r>
        <w:rPr>
          <w:spacing w:val="-42"/>
        </w:rPr>
      </w:r>
      <w:r>
        <w:rPr/>
        <w:t>外的其他所有者权益变动而确认的所有者权益，在终止采用权益法核算时全部转入当期损益。</w:t>
      </w:r>
    </w:p>
    <w:p>
      <w:pPr>
        <w:pStyle w:val="BodyText"/>
        <w:spacing w:line="357" w:lineRule="auto" w:before="30"/>
        <w:ind w:left="152" w:right="1128" w:firstLine="420"/>
        <w:jc w:val="both"/>
      </w:pPr>
      <w:r>
        <w:rPr>
          <w:spacing w:val="-2"/>
        </w:rPr>
        <w:t>因处置部分股权投资、因其他投资方对子公司增资而导致本公司持股比例下降等原因丧失了对被投资</w:t>
      </w:r>
      <w:r>
        <w:rPr>
          <w:w w:val="100"/>
        </w:rPr>
        <w:t> </w:t>
      </w:r>
      <w:r>
        <w:rPr>
          <w:spacing w:val="-2"/>
        </w:rPr>
        <w:t>单位控制权的，在编制个别财务报表时，剩余股权能够对被投资单位实施共同控制或重大影响的，改按权</w:t>
      </w:r>
      <w:r>
        <w:rPr>
          <w:spacing w:val="-48"/>
        </w:rPr>
        <w:t> </w:t>
      </w:r>
      <w:r>
        <w:rPr>
          <w:spacing w:val="-48"/>
        </w:rPr>
      </w:r>
      <w:r>
        <w:rPr>
          <w:spacing w:val="-2"/>
        </w:rPr>
        <w:t>益法核算，并对该剩余股权视同自取得时即采用权益法核算进行调整；剩余股权不能对被投资单位实施共</w:t>
      </w:r>
      <w:r>
        <w:rPr>
          <w:spacing w:val="-42"/>
        </w:rPr>
        <w:t> </w:t>
      </w:r>
      <w:r>
        <w:rPr>
          <w:spacing w:val="-42"/>
        </w:rPr>
      </w:r>
      <w:r>
        <w:rPr>
          <w:spacing w:val="-2"/>
        </w:rPr>
        <w:t>同控制或施加重大影响的，改按金融工具确认和计量准则的有关规定进行会计处理，其在丧失控制之日的</w:t>
      </w:r>
      <w:r>
        <w:rPr>
          <w:spacing w:val="-42"/>
        </w:rPr>
        <w:t> </w:t>
      </w:r>
      <w:r>
        <w:rPr>
          <w:spacing w:val="-42"/>
        </w:rPr>
      </w:r>
      <w:r>
        <w:rPr/>
        <w:t>公允价值与账面价值间的差额计入当期损益。</w:t>
      </w:r>
    </w:p>
    <w:p>
      <w:pPr>
        <w:pStyle w:val="BodyText"/>
        <w:spacing w:line="357" w:lineRule="auto" w:before="30"/>
        <w:ind w:left="152" w:right="1128" w:firstLine="420"/>
        <w:jc w:val="both"/>
      </w:pPr>
      <w:r>
        <w:rPr>
          <w:spacing w:val="-2"/>
        </w:rPr>
        <w:t>处置的股权是因追加投资等原因通过企业合并取得的，在编制个别财务报表时，处置后的剩余股权采</w:t>
      </w:r>
      <w:r>
        <w:rPr>
          <w:w w:val="100"/>
        </w:rPr>
        <w:t> </w:t>
      </w:r>
      <w:r>
        <w:rPr>
          <w:spacing w:val="-2"/>
        </w:rPr>
        <w:t>用成本法或权益法核算的，购买日之前持有的股权投资因采用权益法核算而确认的其他综合收益和其他所</w:t>
      </w:r>
      <w:r>
        <w:rPr>
          <w:spacing w:val="-43"/>
        </w:rPr>
        <w:t> </w:t>
      </w:r>
      <w:r>
        <w:rPr>
          <w:spacing w:val="-43"/>
        </w:rPr>
      </w:r>
      <w:r>
        <w:rPr>
          <w:spacing w:val="-2"/>
        </w:rPr>
        <w:t>有者权益按比例结转；处置后的剩余股权改按金融工具确认和计量准则进行会计处理的，其他综合收益和</w:t>
      </w:r>
      <w:r>
        <w:rPr>
          <w:spacing w:val="-42"/>
        </w:rPr>
        <w:t> </w:t>
      </w:r>
      <w:r>
        <w:rPr>
          <w:spacing w:val="-42"/>
        </w:rPr>
      </w:r>
      <w:r>
        <w:rPr/>
        <w:t>其他所有者权益全部结转。</w:t>
      </w:r>
    </w:p>
    <w:p>
      <w:pPr>
        <w:spacing w:line="240" w:lineRule="auto" w:before="3"/>
        <w:rPr>
          <w:rFonts w:ascii="宋体" w:hAnsi="宋体" w:cs="宋体" w:eastAsia="宋体" w:hint="default"/>
          <w:sz w:val="25"/>
          <w:szCs w:val="25"/>
        </w:rPr>
      </w:pPr>
    </w:p>
    <w:p>
      <w:pPr>
        <w:spacing w:line="453" w:lineRule="auto" w:before="0"/>
        <w:ind w:left="572" w:right="8132" w:hanging="421"/>
        <w:jc w:val="left"/>
        <w:rPr>
          <w:rFonts w:ascii="宋体" w:hAnsi="宋体" w:cs="宋体" w:eastAsia="宋体" w:hint="default"/>
          <w:sz w:val="21"/>
          <w:szCs w:val="21"/>
        </w:rPr>
      </w:pPr>
      <w:bookmarkStart w:name="23、投资性房地产" w:id="303"/>
      <w:bookmarkEnd w:id="303"/>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sz w:val="21"/>
          <w:szCs w:val="21"/>
        </w:rPr>
        <w:t>成本法计量</w:t>
      </w:r>
      <w:r>
        <w:rPr>
          <w:rFonts w:ascii="宋体" w:hAnsi="宋体" w:cs="宋体" w:eastAsia="宋体" w:hint="default"/>
          <w:w w:val="100"/>
          <w:sz w:val="21"/>
          <w:szCs w:val="21"/>
        </w:rPr>
        <w:t> </w:t>
      </w:r>
      <w:r>
        <w:rPr>
          <w:rFonts w:ascii="宋体" w:hAnsi="宋体" w:cs="宋体" w:eastAsia="宋体" w:hint="default"/>
          <w:sz w:val="21"/>
          <w:szCs w:val="21"/>
        </w:rPr>
        <w:t>折旧或摊销方法</w:t>
      </w:r>
    </w:p>
    <w:p>
      <w:pPr>
        <w:pStyle w:val="BodyText"/>
        <w:spacing w:line="355" w:lineRule="auto" w:before="49"/>
        <w:ind w:left="152" w:right="1106" w:firstLine="420"/>
        <w:jc w:val="both"/>
      </w:pPr>
      <w:r>
        <w:rPr>
          <w:spacing w:val="-2"/>
        </w:rPr>
        <w:t>投资性房地产是指为赚取租金或资本增值，或两者兼有而持有的房地产，包括已出租的土地使用权、</w:t>
      </w:r>
      <w:r>
        <w:rPr>
          <w:w w:val="100"/>
        </w:rPr>
        <w:t> </w:t>
      </w:r>
      <w:r>
        <w:rPr>
          <w:spacing w:val="-2"/>
        </w:rPr>
        <w:t>持有并准备增值后转让的土地使用权、已出租的建筑物（含自行建造或开发活动完成后用于出租的建筑物</w:t>
      </w:r>
      <w:r>
        <w:rPr>
          <w:spacing w:val="-42"/>
        </w:rPr>
        <w:t> </w:t>
      </w:r>
      <w:r>
        <w:rPr>
          <w:spacing w:val="-42"/>
        </w:rPr>
      </w:r>
      <w:r>
        <w:rPr/>
        <w:t>以及正在建造或开发过程中将来用于出租的建筑物）。</w:t>
      </w:r>
    </w:p>
    <w:p>
      <w:pPr>
        <w:pStyle w:val="BodyText"/>
        <w:spacing w:line="355" w:lineRule="auto" w:before="32"/>
        <w:ind w:left="152" w:right="1128" w:firstLine="420"/>
        <w:jc w:val="both"/>
      </w:pPr>
      <w:r>
        <w:rPr>
          <w:spacing w:val="-2"/>
        </w:rPr>
        <w:t>本公司对现有投资性房地产采用成本模式计量。对按照成本模式计量的投资性房地产－出租用建筑物</w:t>
      </w:r>
      <w:r>
        <w:rPr>
          <w:w w:val="100"/>
        </w:rPr>
        <w:t> </w:t>
      </w:r>
      <w:r>
        <w:rPr/>
        <w:t>采用与本公司固定资产相同的折旧政策，出租用土地使用权按与无形资产相同的摊销政策执行。</w:t>
      </w:r>
    </w:p>
    <w:p>
      <w:pPr>
        <w:spacing w:after="0" w:line="355" w:lineRule="auto"/>
        <w:jc w:val="both"/>
        <w:sectPr>
          <w:pgSz w:w="11910" w:h="16840"/>
          <w:pgMar w:header="882" w:footer="1134" w:top="1280" w:bottom="1320" w:left="980" w:right="0"/>
        </w:sectPr>
      </w:pPr>
    </w:p>
    <w:p>
      <w:pPr>
        <w:pStyle w:val="Heading4"/>
        <w:spacing w:line="240" w:lineRule="auto" w:before="112"/>
        <w:ind w:right="1127"/>
        <w:jc w:val="left"/>
        <w:rPr>
          <w:b w:val="0"/>
          <w:bCs w:val="0"/>
        </w:rPr>
      </w:pPr>
      <w:bookmarkStart w:name="24、固定资产" w:id="304"/>
      <w:bookmarkEnd w:id="304"/>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1）确认条件" w:id="305"/>
      <w:bookmarkEnd w:id="30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1"/>
          <w:szCs w:val="21"/>
        </w:rPr>
      </w:pPr>
    </w:p>
    <w:p>
      <w:pPr>
        <w:pStyle w:val="BodyText"/>
        <w:spacing w:line="355" w:lineRule="auto"/>
        <w:ind w:left="152" w:right="1127" w:firstLine="420"/>
        <w:jc w:val="left"/>
      </w:pPr>
      <w:r>
        <w:rPr>
          <w:spacing w:val="-2"/>
        </w:rPr>
        <w:t>固定资产指为生产商品、提供劳务、出租或经营管理而持有，并且使用寿命超过一个会计年度的有形</w:t>
      </w:r>
      <w:r>
        <w:rPr>
          <w:w w:val="100"/>
        </w:rPr>
        <w:t> </w:t>
      </w:r>
      <w:r>
        <w:rPr/>
        <w:t>资产。固定资产在同时满足下列条件时予以确认：</w:t>
      </w:r>
      <w:r>
        <w:rPr>
          <w:rFonts w:ascii="Times New Roman" w:hAnsi="Times New Roman" w:cs="Times New Roman" w:eastAsia="Times New Roman" w:hint="default"/>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3"/>
        <w:ind w:left="152" w:right="1127"/>
        <w:jc w:val="left"/>
      </w:pPr>
      <w:r>
        <w:rPr>
          <w:rFonts w:ascii="Times New Roman" w:hAnsi="Times New Roman" w:cs="Times New Roman" w:eastAsia="Times New Roman" w:hint="default"/>
        </w:rPr>
        <w:t>□</w:t>
      </w:r>
      <w:r>
        <w:rPr>
          <w:rFonts w:ascii="Times New Roman" w:hAnsi="Times New Roman" w:cs="Times New Roman" w:eastAsia="Times New Roman" w:hint="default"/>
        </w:rPr>
        <w:t>2</w:t>
      </w:r>
      <w:r>
        <w:rPr/>
        <w:t>）该固定资产的成本能够可靠地计量。</w:t>
      </w:r>
    </w:p>
    <w:p>
      <w:pPr>
        <w:spacing w:line="240" w:lineRule="auto" w:before="3"/>
        <w:rPr>
          <w:rFonts w:ascii="宋体" w:hAnsi="宋体" w:cs="宋体" w:eastAsia="宋体" w:hint="default"/>
          <w:sz w:val="32"/>
          <w:szCs w:val="32"/>
        </w:rPr>
      </w:pPr>
    </w:p>
    <w:p>
      <w:pPr>
        <w:pStyle w:val="Heading4"/>
        <w:spacing w:line="240" w:lineRule="auto"/>
        <w:ind w:right="1127"/>
        <w:jc w:val="left"/>
        <w:rPr>
          <w:b w:val="0"/>
          <w:bCs w:val="0"/>
        </w:rPr>
      </w:pPr>
      <w:bookmarkStart w:name="（2）折旧方法" w:id="306"/>
      <w:bookmarkEnd w:id="30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2"/>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388"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left="2"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386"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4.75</w:t>
            </w:r>
          </w:p>
        </w:tc>
      </w:tr>
      <w:tr>
        <w:trPr>
          <w:trHeight w:val="389"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19.00</w:t>
            </w:r>
          </w:p>
        </w:tc>
      </w:tr>
      <w:tr>
        <w:trPr>
          <w:trHeight w:val="386"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9.50</w:t>
            </w:r>
          </w:p>
        </w:tc>
      </w:tr>
      <w:tr>
        <w:trPr>
          <w:trHeight w:val="1087"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4"/>
              <w:ind w:left="52" w:right="50"/>
              <w:jc w:val="center"/>
              <w:rPr>
                <w:rFonts w:ascii="宋体" w:hAnsi="宋体" w:cs="宋体" w:eastAsia="宋体" w:hint="default"/>
                <w:sz w:val="18"/>
                <w:szCs w:val="18"/>
              </w:rPr>
            </w:pPr>
            <w:r>
              <w:rPr>
                <w:rFonts w:ascii="宋体" w:hAnsi="宋体" w:cs="宋体" w:eastAsia="宋体" w:hint="default"/>
                <w:sz w:val="18"/>
                <w:szCs w:val="18"/>
              </w:rPr>
              <w:t>北京泰豪智能工程有限 公司各类固定资产的折 旧方法、折旧年限和年 折旧率如下：</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4.85</w:t>
            </w:r>
          </w:p>
        </w:tc>
      </w:tr>
      <w:tr>
        <w:trPr>
          <w:trHeight w:val="386"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5.00-20.00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19.40-4.85</w:t>
            </w:r>
          </w:p>
        </w:tc>
      </w:tr>
      <w:tr>
        <w:trPr>
          <w:trHeight w:val="389"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19.40</w:t>
            </w:r>
          </w:p>
        </w:tc>
      </w:tr>
      <w:tr>
        <w:trPr>
          <w:trHeight w:val="386"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19.40</w:t>
            </w:r>
          </w:p>
        </w:tc>
      </w:tr>
      <w:tr>
        <w:trPr>
          <w:trHeight w:val="389"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19.40</w:t>
            </w:r>
          </w:p>
        </w:tc>
      </w:tr>
    </w:tbl>
    <w:p>
      <w:pPr>
        <w:pStyle w:val="BodyText"/>
        <w:spacing w:line="241" w:lineRule="exact"/>
        <w:ind w:left="152" w:right="0" w:firstLine="420"/>
        <w:jc w:val="both"/>
      </w:pPr>
      <w:r>
        <w:rPr/>
        <w:t>固定资产折旧采用年限平均法分类计提，根据固定资产类别、预计使用寿命和预计净残值率确定折旧</w:t>
      </w:r>
    </w:p>
    <w:p>
      <w:pPr>
        <w:pStyle w:val="BodyText"/>
        <w:spacing w:line="355" w:lineRule="auto" w:before="133"/>
        <w:ind w:left="152" w:right="1127"/>
        <w:jc w:val="left"/>
      </w:pPr>
      <w:r>
        <w:rPr>
          <w:spacing w:val="-2"/>
        </w:rPr>
        <w:t>率。如固定资产各组成部分的使用寿命不同或者以不同方式为企业提供经济利益，则选择不同折旧率或折</w:t>
      </w:r>
      <w:r>
        <w:rPr>
          <w:spacing w:val="-42"/>
        </w:rPr>
        <w:t> </w:t>
      </w:r>
      <w:r>
        <w:rPr>
          <w:spacing w:val="-42"/>
        </w:rPr>
      </w:r>
      <w:r>
        <w:rPr/>
        <w:t>旧方法，分别计提折旧。</w:t>
      </w:r>
    </w:p>
    <w:p>
      <w:pPr>
        <w:pStyle w:val="BodyText"/>
        <w:spacing w:line="357" w:lineRule="auto" w:before="32"/>
        <w:ind w:left="152" w:right="1128" w:firstLine="420"/>
        <w:jc w:val="both"/>
      </w:pPr>
      <w:r>
        <w:rPr>
          <w:spacing w:val="-2"/>
        </w:rPr>
        <w:t>融资租赁方式租入的固定资产，能合理确定租赁期届满时将会取得租赁资产所有权的，在租赁资产尚</w:t>
      </w:r>
      <w:r>
        <w:rPr>
          <w:w w:val="100"/>
        </w:rPr>
        <w:t> </w:t>
      </w:r>
      <w:r>
        <w:rPr>
          <w:spacing w:val="-2"/>
        </w:rPr>
        <w:t>可使用年限内计提折旧；无法合理确定租赁期届满时能够取得租赁资产所有权的，在租赁期与租赁资产尚</w:t>
      </w:r>
      <w:r>
        <w:rPr>
          <w:spacing w:val="-42"/>
        </w:rPr>
        <w:t> </w:t>
      </w:r>
      <w:r>
        <w:rPr>
          <w:spacing w:val="-42"/>
        </w:rPr>
      </w:r>
      <w:r>
        <w:rPr/>
        <w:t>可使用年限两者中较短的期间内计提折旧。</w:t>
      </w:r>
    </w:p>
    <w:p>
      <w:pPr>
        <w:spacing w:line="570" w:lineRule="atLeast" w:before="51"/>
        <w:ind w:left="572" w:right="1127" w:hanging="420"/>
        <w:jc w:val="left"/>
        <w:rPr>
          <w:rFonts w:ascii="宋体" w:hAnsi="宋体" w:cs="宋体" w:eastAsia="宋体" w:hint="default"/>
          <w:sz w:val="21"/>
          <w:szCs w:val="21"/>
        </w:rPr>
      </w:pPr>
      <w:bookmarkStart w:name="（3）融资租入固定资产的认定依据、计价和折旧方法" w:id="307"/>
      <w:bookmarkEnd w:id="3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100"/>
          <w:sz w:val="21"/>
          <w:szCs w:val="21"/>
        </w:rPr>
        <w:t> </w:t>
      </w:r>
      <w:r>
        <w:rPr>
          <w:rFonts w:ascii="宋体" w:hAnsi="宋体" w:cs="宋体" w:eastAsia="宋体" w:hint="default"/>
          <w:spacing w:val="-4"/>
          <w:sz w:val="21"/>
          <w:szCs w:val="21"/>
        </w:rPr>
        <w:t>公司与租赁方所签订的租赁协议条款中规定了下列条件之一的，确认为融资租入资产：</w:t>
      </w:r>
      <w:r>
        <w:rPr>
          <w:rFonts w:ascii="Times New Roman" w:hAnsi="Times New Roman" w:cs="Times New Roman" w:eastAsia="Times New Roman"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）租赁期满</w:t>
      </w:r>
    </w:p>
    <w:p>
      <w:pPr>
        <w:pStyle w:val="BodyText"/>
        <w:spacing w:line="340" w:lineRule="auto" w:before="117"/>
        <w:ind w:left="152" w:right="1127"/>
        <w:jc w:val="left"/>
      </w:pPr>
      <w:r>
        <w:rPr>
          <w:spacing w:val="-4"/>
        </w:rPr>
        <w:t>后租赁资产的所有权归属于本公司；</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
        </w:rPr>
        <w:t>2</w:t>
      </w:r>
      <w:r>
        <w:rPr>
          <w:spacing w:val="-4"/>
        </w:rPr>
        <w:t>）公司具有购买资产的选择权，购买价款远低于行使选择权时该资</w:t>
      </w:r>
      <w:r>
        <w:rPr>
          <w:spacing w:val="30"/>
        </w:rPr>
        <w:t> </w:t>
      </w:r>
      <w:r>
        <w:rPr>
          <w:spacing w:val="30"/>
        </w:rPr>
      </w:r>
      <w:r>
        <w:rPr>
          <w:spacing w:val="-2"/>
        </w:rPr>
        <w:t>产的公允价值；</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3</w:t>
      </w:r>
      <w:r>
        <w:rPr>
          <w:spacing w:val="-2"/>
        </w:rPr>
        <w:t>）租赁期占所租赁资产使用寿命的大部分；</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4</w:t>
      </w:r>
      <w:r>
        <w:rPr>
          <w:spacing w:val="-2"/>
        </w:rPr>
        <w:t>）租赁开始日的最低租赁付款额现值，</w:t>
      </w:r>
      <w:r>
        <w:rPr>
          <w:spacing w:val="52"/>
        </w:rPr>
        <w:t> </w:t>
      </w:r>
      <w:r>
        <w:rPr>
          <w:spacing w:val="52"/>
        </w:rPr>
      </w:r>
      <w:r>
        <w:rPr>
          <w:spacing w:val="-2"/>
        </w:rPr>
        <w:t>与该资产的公允价值不存在较大的差异。</w:t>
      </w:r>
      <w:r>
        <w:rPr>
          <w:rFonts w:ascii="Times New Roman" w:hAnsi="Times New Roman" w:cs="Times New Roman" w:eastAsia="Times New Roman" w:hint="default"/>
          <w:spacing w:val="-2"/>
        </w:rPr>
        <w:t>□</w:t>
      </w:r>
      <w:r>
        <w:rPr>
          <w:spacing w:val="-2"/>
        </w:rPr>
        <w:t>公司在承租开始日，将租赁资产公允价值与最低租赁付款额现</w:t>
      </w:r>
      <w:r>
        <w:rPr>
          <w:spacing w:val="17"/>
        </w:rPr>
        <w:t> </w:t>
      </w:r>
      <w:r>
        <w:rPr>
          <w:spacing w:val="17"/>
        </w:rPr>
      </w:r>
      <w:r>
        <w:rPr>
          <w:spacing w:val="-2"/>
        </w:rPr>
        <w:t>值两者中较低者作为租入资产的入账价值，将最低租赁付款额作为长期应付款的入账价值，其差额作为未</w:t>
      </w:r>
      <w:r>
        <w:rPr>
          <w:spacing w:val="-42"/>
        </w:rPr>
        <w:t> </w:t>
      </w:r>
      <w:r>
        <w:rPr>
          <w:spacing w:val="-42"/>
        </w:rPr>
      </w:r>
      <w:r>
        <w:rPr/>
        <w:t>确认的融资费。</w:t>
      </w:r>
    </w:p>
    <w:p>
      <w:pPr>
        <w:spacing w:after="0" w:line="340" w:lineRule="auto"/>
        <w:jc w:val="left"/>
        <w:sectPr>
          <w:pgSz w:w="11910" w:h="16840"/>
          <w:pgMar w:header="882" w:footer="1134" w:top="1280" w:bottom="1320" w:left="980" w:right="0"/>
        </w:sectPr>
      </w:pPr>
    </w:p>
    <w:p>
      <w:pPr>
        <w:pStyle w:val="Heading4"/>
        <w:spacing w:line="240" w:lineRule="auto" w:before="115"/>
        <w:ind w:right="1127"/>
        <w:jc w:val="left"/>
        <w:rPr>
          <w:b w:val="0"/>
          <w:bCs w:val="0"/>
        </w:rPr>
      </w:pPr>
      <w:bookmarkStart w:name="25、在建工程" w:id="308"/>
      <w:bookmarkEnd w:id="308"/>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6"/>
        <w:rPr>
          <w:rFonts w:ascii="宋体" w:hAnsi="宋体" w:cs="宋体" w:eastAsia="宋体" w:hint="default"/>
          <w:b/>
          <w:bCs/>
          <w:sz w:val="21"/>
          <w:szCs w:val="21"/>
        </w:rPr>
      </w:pPr>
    </w:p>
    <w:p>
      <w:pPr>
        <w:pStyle w:val="BodyText"/>
        <w:spacing w:line="357" w:lineRule="auto"/>
        <w:ind w:left="152" w:right="0" w:firstLine="420"/>
        <w:jc w:val="left"/>
      </w:pPr>
      <w:r>
        <w:rPr/>
        <w:t>在建工程项目按建造该项资产达到预定可使用状态前所发生的必要支出，作为固定资产的入账价值。</w:t>
      </w:r>
      <w:r>
        <w:rPr>
          <w:w w:val="100"/>
        </w:rPr>
        <w:t> </w:t>
      </w:r>
      <w:r>
        <w:rPr>
          <w:spacing w:val="-5"/>
        </w:rPr>
        <w:t>所建造的固定资产在工程已达到预定可使用状态，但尚未办理竣工决算的，自达到预定可使用状态之日起，</w:t>
      </w:r>
      <w:r>
        <w:rPr>
          <w:spacing w:val="-4"/>
        </w:rPr>
        <w:t> </w:t>
      </w:r>
      <w:r>
        <w:rPr>
          <w:spacing w:val="-4"/>
        </w:rPr>
      </w:r>
      <w:r>
        <w:rPr>
          <w:spacing w:val="-2"/>
        </w:rPr>
        <w:t>根据工程预算、造价或者工程实际成本等，按估计的价值转入固定资产，并按本公司固定资产折旧政策计</w:t>
      </w:r>
      <w:r>
        <w:rPr>
          <w:spacing w:val="-48"/>
        </w:rPr>
        <w:t> </w:t>
      </w:r>
      <w:r>
        <w:rPr>
          <w:spacing w:val="-48"/>
        </w:rPr>
      </w:r>
      <w:r>
        <w:rPr>
          <w:spacing w:val="-5"/>
        </w:rPr>
        <w:t>提固定资产的折旧，待办理竣工决算后，再按实际成本调整原来的暂估价值，但不调整原已计提的折旧额。</w:t>
      </w:r>
    </w:p>
    <w:p>
      <w:pPr>
        <w:spacing w:line="240" w:lineRule="auto" w:before="3"/>
        <w:rPr>
          <w:rFonts w:ascii="宋体" w:hAnsi="宋体" w:cs="宋体" w:eastAsia="宋体" w:hint="default"/>
          <w:sz w:val="25"/>
          <w:szCs w:val="25"/>
        </w:rPr>
      </w:pPr>
    </w:p>
    <w:p>
      <w:pPr>
        <w:pStyle w:val="Heading4"/>
        <w:spacing w:line="240" w:lineRule="auto"/>
        <w:ind w:right="1127"/>
        <w:jc w:val="left"/>
        <w:rPr>
          <w:b w:val="0"/>
          <w:bCs w:val="0"/>
        </w:rPr>
      </w:pPr>
      <w:bookmarkStart w:name="26、借款费用" w:id="309"/>
      <w:bookmarkEnd w:id="309"/>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8"/>
        <w:rPr>
          <w:rFonts w:ascii="宋体" w:hAnsi="宋体" w:cs="宋体" w:eastAsia="宋体" w:hint="default"/>
          <w:b/>
          <w:bCs/>
          <w:sz w:val="21"/>
          <w:szCs w:val="21"/>
        </w:rPr>
      </w:pPr>
    </w:p>
    <w:p>
      <w:pPr>
        <w:pStyle w:val="BodyText"/>
        <w:spacing w:line="345" w:lineRule="auto"/>
        <w:ind w:right="1127"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100"/>
        </w:rPr>
        <w:t> </w:t>
      </w:r>
      <w:r>
        <w:rPr/>
        <w:t>借款费用，包括借款利息、折价或者溢价的摊销、辅助费用以及因外币借款而发生的汇兑差额等。</w:t>
      </w:r>
      <w:r>
        <w:rPr>
          <w:w w:val="100"/>
        </w:rPr>
        <w:t> </w:t>
      </w:r>
      <w:r>
        <w:rPr>
          <w:spacing w:val="-2"/>
        </w:rPr>
        <w:t>公司发生的借款费用，可直接归属于符合资本化条件的资产的购建或者生产的，予以资本化，计入相</w:t>
      </w:r>
    </w:p>
    <w:p>
      <w:pPr>
        <w:pStyle w:val="BodyText"/>
        <w:spacing w:line="357" w:lineRule="auto" w:before="41"/>
        <w:ind w:right="1127" w:hanging="420"/>
        <w:jc w:val="left"/>
      </w:pPr>
      <w:r>
        <w:rPr/>
        <w:t>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w:t>
      </w:r>
    </w:p>
    <w:p>
      <w:pPr>
        <w:pStyle w:val="BodyText"/>
        <w:spacing w:line="355" w:lineRule="auto" w:before="30"/>
        <w:ind w:right="5512" w:hanging="420"/>
        <w:jc w:val="left"/>
      </w:pPr>
      <w:r>
        <w:rPr>
          <w:spacing w:val="-2"/>
        </w:rPr>
        <w:t>售状态的固定资产、投资性房地产和存货等资产。</w:t>
      </w:r>
      <w:r>
        <w:rPr>
          <w:spacing w:val="-62"/>
        </w:rPr>
        <w:t> </w:t>
      </w:r>
      <w:r>
        <w:rPr>
          <w:spacing w:val="-62"/>
        </w:rPr>
      </w:r>
      <w:r>
        <w:rPr/>
        <w:t>借款费用同时满足下列条件时开始资本化：</w:t>
      </w:r>
    </w:p>
    <w:p>
      <w:pPr>
        <w:pStyle w:val="BodyText"/>
        <w:spacing w:line="336" w:lineRule="auto" w:before="32"/>
        <w:ind w:left="152" w:right="1127" w:firstLine="420"/>
        <w:jc w:val="left"/>
      </w:pPr>
      <w:r>
        <w:rPr>
          <w:rFonts w:ascii="Times New Roman" w:hAnsi="Times New Roman" w:cs="Times New Roman" w:eastAsia="Times New Roman" w:hint="default"/>
        </w:rPr>
        <w:t>1</w:t>
      </w:r>
      <w:r>
        <w:rPr/>
        <w:t>）资产支出已经发生，资产支出包括为购建或者生产符合资本化条件的资产而以支付现金、转移非</w:t>
      </w:r>
      <w:r>
        <w:rPr>
          <w:w w:val="100"/>
        </w:rPr>
        <w:t> </w:t>
      </w:r>
      <w:r>
        <w:rPr/>
        <w:t>现金资产或者承担带息债务形式发生的支出；</w:t>
      </w:r>
    </w:p>
    <w:p>
      <w:pPr>
        <w:pStyle w:val="BodyText"/>
        <w:spacing w:line="240" w:lineRule="auto" w:before="51"/>
        <w:ind w:left="571" w:right="1127"/>
        <w:jc w:val="left"/>
      </w:pPr>
      <w:r>
        <w:rPr>
          <w:rFonts w:ascii="Times New Roman" w:hAnsi="Times New Roman" w:cs="Times New Roman" w:eastAsia="Times New Roman" w:hint="default"/>
        </w:rPr>
        <w:t>2</w:t>
      </w:r>
      <w:r>
        <w:rPr/>
        <w:t>）借款费用已经发生；</w:t>
      </w:r>
    </w:p>
    <w:p>
      <w:pPr>
        <w:pStyle w:val="BodyText"/>
        <w:spacing w:line="240" w:lineRule="auto" w:before="117"/>
        <w:ind w:left="571" w:right="1127"/>
        <w:jc w:val="left"/>
      </w:pPr>
      <w:r>
        <w:rPr>
          <w:rFonts w:ascii="Times New Roman" w:hAnsi="Times New Roman" w:cs="Times New Roman" w:eastAsia="Times New Roman" w:hint="default"/>
        </w:rPr>
        <w:t>3</w:t>
      </w:r>
      <w:r>
        <w:rPr/>
        <w:t>）为使资产达到预定可使用或者可销售状态所必要的购建或者生产活动已经开始。</w:t>
      </w:r>
    </w:p>
    <w:p>
      <w:pPr>
        <w:spacing w:line="336" w:lineRule="auto" w:before="117"/>
        <w:ind w:left="572" w:right="11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资本化期间，指从借款费用开始资本化时点到停止资本化时点的期间，借款费用暂停资本化的期间不</w:t>
      </w:r>
    </w:p>
    <w:p>
      <w:pPr>
        <w:pStyle w:val="BodyText"/>
        <w:spacing w:line="240" w:lineRule="auto" w:before="51"/>
        <w:ind w:left="152" w:right="1127"/>
        <w:jc w:val="left"/>
      </w:pPr>
      <w:r>
        <w:rPr/>
        <w:t>包括在内。</w:t>
      </w:r>
    </w:p>
    <w:p>
      <w:pPr>
        <w:pStyle w:val="BodyText"/>
        <w:spacing w:line="355" w:lineRule="auto" w:before="133"/>
        <w:ind w:right="1127"/>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BodyText"/>
        <w:spacing w:line="240" w:lineRule="auto" w:before="32"/>
        <w:ind w:left="152" w:right="1127"/>
        <w:jc w:val="left"/>
      </w:pPr>
      <w:r>
        <w:rPr/>
        <w:t>止资本化。</w:t>
      </w:r>
    </w:p>
    <w:p>
      <w:pPr>
        <w:pStyle w:val="BodyText"/>
        <w:spacing w:line="357" w:lineRule="auto" w:before="133"/>
        <w:ind w:left="152" w:right="1127" w:firstLine="420"/>
        <w:jc w:val="left"/>
      </w:pPr>
      <w:r>
        <w:rPr>
          <w:spacing w:val="-2"/>
        </w:rPr>
        <w:t>购建或者生产的资产的各部分分别完工，但必须等到整体完工后才可使用或可对外销售的，在该资产</w:t>
      </w:r>
      <w:r>
        <w:rPr>
          <w:w w:val="100"/>
        </w:rPr>
        <w:t> </w:t>
      </w:r>
      <w:r>
        <w:rPr/>
        <w:t>整体完工时停止借款费用资本化。</w:t>
      </w:r>
    </w:p>
    <w:p>
      <w:pPr>
        <w:pStyle w:val="BodyText"/>
        <w:spacing w:line="336" w:lineRule="auto" w:before="30"/>
        <w:ind w:right="1127"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100"/>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pStyle w:val="BodyText"/>
        <w:spacing w:line="357" w:lineRule="auto" w:before="24"/>
        <w:ind w:left="152" w:right="1128"/>
        <w:jc w:val="both"/>
      </w:pPr>
      <w:r>
        <w:rPr>
          <w:spacing w:val="-2"/>
        </w:rPr>
        <w:t>款费用暂停资本化；该项中断如是所购建或生产的符合资本化条件的资产达到预定可使用状态或者可销售</w:t>
      </w:r>
      <w:r>
        <w:rPr>
          <w:spacing w:val="-43"/>
        </w:rPr>
        <w:t> </w:t>
      </w:r>
      <w:r>
        <w:rPr>
          <w:spacing w:val="-43"/>
        </w:rPr>
      </w:r>
      <w:r>
        <w:rPr>
          <w:spacing w:val="-2"/>
        </w:rPr>
        <w:t>状态必要的程序，则借款费用继续资本化。在中断期间发生的借款费用确认为当期损益，直至资产的购建</w:t>
      </w:r>
      <w:r>
        <w:rPr>
          <w:spacing w:val="-44"/>
        </w:rPr>
        <w:t> </w:t>
      </w:r>
      <w:r>
        <w:rPr>
          <w:spacing w:val="-44"/>
        </w:rPr>
      </w:r>
      <w:r>
        <w:rPr/>
        <w:t>或者生产活动重新开始后借款费用继续资本化。</w:t>
      </w:r>
    </w:p>
    <w:p>
      <w:pPr>
        <w:spacing w:line="336" w:lineRule="auto" w:before="30"/>
        <w:ind w:left="572" w:right="11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）借款费用资本化率、资本化金额的计算方法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对于为购建或者生产符合资本化条件的资产而借入的专门借款，以专门借款当期实际发生的借款费</w:t>
      </w:r>
    </w:p>
    <w:p>
      <w:pPr>
        <w:spacing w:after="0" w:line="336" w:lineRule="auto"/>
        <w:jc w:val="left"/>
        <w:rPr>
          <w:rFonts w:ascii="宋体" w:hAnsi="宋体" w:cs="宋体" w:eastAsia="宋体" w:hint="default"/>
          <w:sz w:val="21"/>
          <w:szCs w:val="21"/>
        </w:rPr>
        <w:sectPr>
          <w:footerReference w:type="default" r:id="rId64"/>
          <w:pgSz w:w="11910" w:h="16840"/>
          <w:pgMar w:footer="1134" w:header="882" w:top="1280" w:bottom="1320" w:left="980" w:right="0"/>
        </w:sectPr>
      </w:pPr>
    </w:p>
    <w:p>
      <w:pPr>
        <w:pStyle w:val="BodyText"/>
        <w:spacing w:line="355" w:lineRule="auto" w:before="112"/>
        <w:ind w:left="152" w:right="1127"/>
        <w:jc w:val="left"/>
      </w:pPr>
      <w:r>
        <w:rPr>
          <w:spacing w:val="-2"/>
        </w:rPr>
        <w:t>用，减去尚未动用的借款资金存入银行取得的利息收入或进行暂时性投资取得的投资收益后的金额，来确</w:t>
      </w:r>
      <w:r>
        <w:rPr>
          <w:spacing w:val="-43"/>
        </w:rPr>
        <w:t> </w:t>
      </w:r>
      <w:r>
        <w:rPr>
          <w:spacing w:val="-43"/>
        </w:rPr>
      </w:r>
      <w:r>
        <w:rPr/>
        <w:t>定借款费用的资本化金额。</w:t>
      </w:r>
    </w:p>
    <w:p>
      <w:pPr>
        <w:pStyle w:val="BodyText"/>
        <w:spacing w:line="357" w:lineRule="auto" w:before="32"/>
        <w:ind w:left="152" w:right="1106" w:firstLine="420"/>
        <w:jc w:val="both"/>
        <w:rPr>
          <w:rFonts w:ascii="MS PGothic" w:hAnsi="MS PGothic" w:cs="MS PGothic" w:eastAsia="MS PGothic" w:hint="default"/>
        </w:rPr>
      </w:pPr>
      <w:r>
        <w:rPr>
          <w:spacing w:val="-2"/>
        </w:rPr>
        <w:t>对于为购建或者生产符合资本化条件的资产而占用的一般借款，根据累计资产支出超过专门借款部分</w:t>
      </w:r>
      <w:r>
        <w:rPr>
          <w:w w:val="100"/>
        </w:rPr>
        <w:t> </w:t>
      </w:r>
      <w:r>
        <w:rPr>
          <w:spacing w:val="-2"/>
        </w:rPr>
        <w:t>的资产支出加权平均数乘以所占用一般借款的资本化率，计算确定一般借款应予资本化的借款费用金额。</w:t>
      </w:r>
      <w:r>
        <w:rPr>
          <w:spacing w:val="-21"/>
        </w:rPr>
        <w:t> </w:t>
      </w:r>
      <w:r>
        <w:rPr>
          <w:spacing w:val="-21"/>
        </w:rPr>
      </w:r>
      <w:r>
        <w:rPr>
          <w:spacing w:val="-5"/>
        </w:rPr>
        <w:t>资本化率根据一般借款加权平均利率计算确定。</w:t>
      </w:r>
      <w:r>
        <w:rPr>
          <w:rFonts w:ascii="MS PGothic" w:hAnsi="MS PGothic" w:cs="MS PGothic" w:eastAsia="MS PGothic" w:hint="default"/>
          <w:spacing w:val="-5"/>
        </w:rPr>
        <w:t></w:t>
      </w:r>
      <w:r>
        <w:rPr>
          <w:rFonts w:ascii="MS PGothic" w:hAnsi="MS PGothic" w:cs="MS PGothic" w:eastAsia="MS PGothic" w:hint="default"/>
          <w:spacing w:val="-5"/>
        </w:rPr>
        <w:t>?</w:t>
      </w:r>
    </w:p>
    <w:p>
      <w:pPr>
        <w:spacing w:line="240" w:lineRule="auto" w:before="3"/>
        <w:rPr>
          <w:rFonts w:ascii="MS PGothic" w:hAnsi="MS PGothic" w:cs="MS PGothic" w:eastAsia="MS PGothic" w:hint="default"/>
          <w:sz w:val="25"/>
          <w:szCs w:val="25"/>
        </w:rPr>
      </w:pPr>
    </w:p>
    <w:p>
      <w:pPr>
        <w:pStyle w:val="Heading4"/>
        <w:spacing w:line="240" w:lineRule="auto"/>
        <w:ind w:right="1127"/>
        <w:jc w:val="left"/>
        <w:rPr>
          <w:b w:val="0"/>
          <w:bCs w:val="0"/>
        </w:rPr>
      </w:pPr>
      <w:bookmarkStart w:name="27、生物资产" w:id="310"/>
      <w:bookmarkEnd w:id="310"/>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1127"/>
        <w:jc w:val="left"/>
      </w:pPr>
      <w:r>
        <w:rPr>
          <w:w w:val="100"/>
        </w:rPr>
        <w:t>无</w:t>
      </w:r>
    </w:p>
    <w:p>
      <w:pPr>
        <w:spacing w:line="240" w:lineRule="auto" w:before="0"/>
        <w:rPr>
          <w:rFonts w:ascii="宋体" w:hAnsi="宋体" w:cs="宋体" w:eastAsia="宋体" w:hint="default"/>
          <w:sz w:val="20"/>
          <w:szCs w:val="20"/>
        </w:rPr>
      </w:pPr>
    </w:p>
    <w:p>
      <w:pPr>
        <w:pStyle w:val="Heading4"/>
        <w:spacing w:line="240" w:lineRule="auto" w:before="171"/>
        <w:ind w:right="1127"/>
        <w:jc w:val="left"/>
        <w:rPr>
          <w:b w:val="0"/>
          <w:bCs w:val="0"/>
        </w:rPr>
      </w:pPr>
      <w:bookmarkStart w:name="28、油气资产" w:id="311"/>
      <w:bookmarkEnd w:id="311"/>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1127"/>
        <w:jc w:val="left"/>
      </w:pPr>
      <w:r>
        <w:rPr>
          <w:w w:val="100"/>
        </w:rPr>
        <w:t>无</w:t>
      </w:r>
    </w:p>
    <w:p>
      <w:pPr>
        <w:spacing w:line="240" w:lineRule="auto" w:before="0"/>
        <w:rPr>
          <w:rFonts w:ascii="宋体" w:hAnsi="宋体" w:cs="宋体" w:eastAsia="宋体" w:hint="default"/>
          <w:sz w:val="20"/>
          <w:szCs w:val="20"/>
        </w:rPr>
      </w:pPr>
    </w:p>
    <w:p>
      <w:pPr>
        <w:pStyle w:val="Heading4"/>
        <w:spacing w:line="472" w:lineRule="auto" w:before="171"/>
        <w:ind w:left="572" w:right="9280" w:hanging="421"/>
        <w:jc w:val="left"/>
        <w:rPr>
          <w:rFonts w:ascii="宋体" w:hAnsi="宋体" w:cs="宋体" w:eastAsia="宋体" w:hint="default"/>
          <w:b w:val="0"/>
          <w:bCs w:val="0"/>
        </w:rPr>
      </w:pPr>
      <w:bookmarkStart w:name="29、使用权资产" w:id="312"/>
      <w:bookmarkEnd w:id="312"/>
      <w:r>
        <w:rPr>
          <w:b w:val="0"/>
          <w:bCs w:val="0"/>
        </w:rPr>
      </w:r>
      <w:r>
        <w:rPr>
          <w:rFonts w:ascii="Times New Roman" w:hAnsi="Times New Roman" w:cs="Times New Roman" w:eastAsia="Times New Roman" w:hint="default"/>
        </w:rPr>
        <w:t>29</w:t>
      </w:r>
      <w:r>
        <w:rPr/>
        <w:t>、使用权资产</w:t>
      </w:r>
      <w:r>
        <w:rPr>
          <w:w w:val="100"/>
        </w:rPr>
        <w:t> </w:t>
      </w:r>
      <w:r>
        <w:rPr>
          <w:rFonts w:ascii="宋体" w:hAnsi="宋体" w:cs="宋体" w:eastAsia="宋体" w:hint="default"/>
          <w:b w:val="0"/>
          <w:bCs w:val="0"/>
        </w:rPr>
        <w:t>无</w:t>
      </w:r>
    </w:p>
    <w:p>
      <w:pPr>
        <w:spacing w:line="240" w:lineRule="auto" w:before="10"/>
        <w:rPr>
          <w:rFonts w:ascii="宋体" w:hAnsi="宋体" w:cs="宋体" w:eastAsia="宋体" w:hint="default"/>
          <w:sz w:val="17"/>
          <w:szCs w:val="17"/>
        </w:rPr>
      </w:pPr>
    </w:p>
    <w:p>
      <w:pPr>
        <w:pStyle w:val="Heading4"/>
        <w:spacing w:line="240" w:lineRule="auto"/>
        <w:ind w:right="1127"/>
        <w:jc w:val="left"/>
        <w:rPr>
          <w:b w:val="0"/>
          <w:bCs w:val="0"/>
        </w:rPr>
      </w:pPr>
      <w:bookmarkStart w:name="30、无形资产" w:id="313"/>
      <w:bookmarkEnd w:id="313"/>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1）计价方法、使用寿命、减值测试" w:id="314"/>
      <w:bookmarkEnd w:id="31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left="575" w:right="1127"/>
        <w:jc w:val="left"/>
        <w:rPr>
          <w:b w:val="0"/>
          <w:bCs w:val="0"/>
        </w:rPr>
      </w:pPr>
      <w:r>
        <w:rPr>
          <w:rFonts w:ascii="Times New Roman" w:hAnsi="Times New Roman" w:cs="Times New Roman" w:eastAsia="Times New Roman" w:hint="default"/>
        </w:rPr>
        <w:t>1</w:t>
      </w:r>
      <w:r>
        <w:rPr/>
        <w:t>）无形资产的计价方法</w:t>
      </w:r>
      <w:r>
        <w:rPr>
          <w:b w:val="0"/>
          <w:bCs w:val="0"/>
        </w:rPr>
      </w:r>
    </w:p>
    <w:p>
      <w:pPr>
        <w:pStyle w:val="BodyText"/>
        <w:spacing w:line="355" w:lineRule="auto" w:before="119"/>
        <w:ind w:right="1127"/>
        <w:jc w:val="left"/>
      </w:pPr>
      <w:r>
        <w:rPr/>
        <w:t>①公司取得无形资产时按成本进行初始计量；</w:t>
      </w:r>
      <w:r>
        <w:rPr>
          <w:w w:val="100"/>
        </w:rPr>
        <w:t> </w:t>
      </w:r>
      <w:r>
        <w:rPr>
          <w:spacing w:val="-2"/>
        </w:rPr>
        <w:t>外购无形资产的成本，包括购买价款、相关税费以及直接归属于使该项资产达到预定用途所发生的其</w:t>
      </w:r>
    </w:p>
    <w:p>
      <w:pPr>
        <w:pStyle w:val="BodyText"/>
        <w:spacing w:line="355" w:lineRule="auto" w:before="32"/>
        <w:ind w:left="152" w:right="1127"/>
        <w:jc w:val="left"/>
      </w:pP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BodyText"/>
        <w:spacing w:line="355" w:lineRule="auto" w:before="34"/>
        <w:ind w:left="152" w:right="1128" w:firstLine="420"/>
        <w:jc w:val="both"/>
      </w:pPr>
      <w:r>
        <w:rPr>
          <w:spacing w:val="-2"/>
        </w:rPr>
        <w:t>债务重组取得债务人用以抵债的无形资产，以所放弃债权的公允价值和可直接归属于使该资产达到预</w:t>
      </w:r>
      <w:r>
        <w:rPr>
          <w:w w:val="100"/>
        </w:rPr>
        <w:t> </w:t>
      </w:r>
      <w:r>
        <w:rPr>
          <w:spacing w:val="-2"/>
        </w:rPr>
        <w:t>定用途所发生的税金等其他成本确定其入账价值，并将所放弃债权的公允价值与账面价值之间的差额，计</w:t>
      </w:r>
      <w:r>
        <w:rPr>
          <w:spacing w:val="-42"/>
        </w:rPr>
        <w:t> </w:t>
      </w:r>
      <w:r>
        <w:rPr>
          <w:spacing w:val="-42"/>
        </w:rPr>
      </w:r>
      <w:r>
        <w:rPr/>
        <w:t>入当期损益。</w:t>
      </w:r>
    </w:p>
    <w:p>
      <w:pPr>
        <w:pStyle w:val="BodyText"/>
        <w:spacing w:line="357" w:lineRule="auto" w:before="32"/>
        <w:ind w:left="152" w:right="1128" w:firstLine="420"/>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2"/>
        </w:rPr>
        <w:t> </w:t>
      </w:r>
      <w:r>
        <w:rPr>
          <w:spacing w:val="-42"/>
        </w:rPr>
      </w:r>
      <w:r>
        <w:rPr>
          <w:spacing w:val="-2"/>
        </w:rPr>
        <w:t>的公允价值更加可靠；不满足上述前提的非货币性资产交换，以换出资产的账面价值和应支付的相关税费</w:t>
      </w:r>
      <w:r>
        <w:rPr>
          <w:spacing w:val="-42"/>
        </w:rPr>
        <w:t> </w:t>
      </w:r>
      <w:r>
        <w:rPr>
          <w:spacing w:val="-42"/>
        </w:rPr>
      </w:r>
      <w:r>
        <w:rPr/>
        <w:t>作为换入无形资产的成本，不确认损益。</w:t>
      </w:r>
    </w:p>
    <w:p>
      <w:pPr>
        <w:pStyle w:val="BodyText"/>
        <w:spacing w:line="355" w:lineRule="auto" w:before="30"/>
        <w:ind w:right="5790"/>
        <w:jc w:val="left"/>
      </w:pPr>
      <w:r>
        <w:rPr/>
        <w:t>①后续计量</w:t>
      </w:r>
      <w:r>
        <w:rPr>
          <w:spacing w:val="-102"/>
        </w:rPr>
        <w:t> </w:t>
      </w:r>
      <w:r>
        <w:rPr>
          <w:spacing w:val="-102"/>
        </w:rPr>
      </w:r>
      <w:r>
        <w:rPr>
          <w:spacing w:val="-2"/>
        </w:rPr>
        <w:t>在取得无形资产时分析判断其使用寿命。</w:t>
      </w:r>
    </w:p>
    <w:p>
      <w:pPr>
        <w:pStyle w:val="BodyText"/>
        <w:spacing w:line="357" w:lineRule="auto" w:before="32"/>
        <w:ind w:left="152" w:right="1128" w:firstLine="420"/>
        <w:jc w:val="both"/>
      </w:pPr>
      <w:r>
        <w:rPr>
          <w:spacing w:val="-2"/>
        </w:rPr>
        <w:t>对于使用寿命有限的无形资产，在为企业带来经济利益的期限内按直线法摊销；无法预见无形资产为</w:t>
      </w:r>
      <w:r>
        <w:rPr>
          <w:w w:val="100"/>
        </w:rPr>
        <w:t> </w:t>
      </w:r>
      <w:r>
        <w:rPr/>
        <w:t>企业带来经济利益期限的，视为使用寿命不确定的无形资产，不予摊销。</w:t>
      </w:r>
    </w:p>
    <w:p>
      <w:pPr>
        <w:spacing w:after="0" w:line="357" w:lineRule="auto"/>
        <w:jc w:val="both"/>
        <w:sectPr>
          <w:footerReference w:type="default" r:id="rId65"/>
          <w:pgSz w:w="11910" w:h="16840"/>
          <w:pgMar w:footer="1134" w:header="882" w:top="1280" w:bottom="1320" w:left="980" w:right="0"/>
          <w:pgNumType w:start="161"/>
        </w:sectPr>
      </w:pPr>
    </w:p>
    <w:p>
      <w:pPr>
        <w:pStyle w:val="Heading4"/>
        <w:spacing w:line="240" w:lineRule="auto" w:before="112"/>
        <w:ind w:left="575" w:right="1127"/>
        <w:jc w:val="left"/>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7"/>
        <w:rPr>
          <w:rFonts w:ascii="宋体" w:hAnsi="宋体" w:cs="宋体" w:eastAsia="宋体" w:hint="default"/>
          <w:b/>
          <w:bCs/>
          <w:sz w:val="11"/>
          <w:szCs w:val="11"/>
        </w:rPr>
      </w:pPr>
    </w:p>
    <w:tbl>
      <w:tblPr>
        <w:tblW w:w="0" w:type="auto"/>
        <w:jc w:val="left"/>
        <w:tblInd w:w="1316" w:type="dxa"/>
        <w:tblLayout w:type="fixed"/>
        <w:tblCellMar>
          <w:top w:w="0" w:type="dxa"/>
          <w:left w:w="0" w:type="dxa"/>
          <w:bottom w:w="0" w:type="dxa"/>
          <w:right w:w="0" w:type="dxa"/>
        </w:tblCellMar>
        <w:tblLook w:val="01E0"/>
      </w:tblPr>
      <w:tblGrid>
        <w:gridCol w:w="1474"/>
        <w:gridCol w:w="1848"/>
        <w:gridCol w:w="1889"/>
        <w:gridCol w:w="1884"/>
      </w:tblGrid>
      <w:tr>
        <w:trPr>
          <w:trHeight w:val="408"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8"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sz w:val="18"/>
              </w:rPr>
              <w:t>5.00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408"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sz w:val="18"/>
              </w:rPr>
              <w:t>5.00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406"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Times New Roman" w:hAnsi="Times New Roman" w:cs="Times New Roman" w:eastAsia="Times New Roman" w:hint="default"/>
                <w:sz w:val="18"/>
                <w:szCs w:val="18"/>
              </w:rPr>
            </w:pPr>
            <w:r>
              <w:rPr>
                <w:rFonts w:ascii="Times New Roman"/>
                <w:sz w:val="18"/>
              </w:rPr>
              <w:t>25.00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bl>
    <w:p>
      <w:pPr>
        <w:pStyle w:val="BodyText"/>
        <w:spacing w:line="241" w:lineRule="exact"/>
        <w:ind w:right="0"/>
        <w:jc w:val="left"/>
      </w:pPr>
      <w:r>
        <w:rPr/>
        <w:t>每年度终了，对使用寿命有限的无形资产的使用寿命及摊销方法进行复核。经复核，本年期末无形资</w:t>
      </w:r>
    </w:p>
    <w:p>
      <w:pPr>
        <w:spacing w:line="345" w:lineRule="auto" w:before="135"/>
        <w:ind w:left="572" w:right="1127" w:hanging="421"/>
        <w:jc w:val="left"/>
        <w:rPr>
          <w:rFonts w:ascii="宋体" w:hAnsi="宋体" w:cs="宋体" w:eastAsia="宋体" w:hint="default"/>
          <w:sz w:val="21"/>
          <w:szCs w:val="21"/>
        </w:rPr>
      </w:pPr>
      <w:r>
        <w:rPr>
          <w:rFonts w:ascii="宋体" w:hAnsi="宋体" w:cs="宋体" w:eastAsia="宋体" w:hint="default"/>
          <w:sz w:val="21"/>
          <w:szCs w:val="21"/>
        </w:rPr>
        <w:t>产的使用寿命及摊销方法与以前估计未有不同。</w:t>
      </w:r>
      <w:r>
        <w:rPr>
          <w:rFonts w:ascii="宋体" w:hAnsi="宋体" w:cs="宋体" w:eastAsia="宋体" w:hint="default"/>
          <w:w w:val="100"/>
          <w:sz w:val="21"/>
          <w:szCs w:val="21"/>
        </w:rPr>
        <w:t> </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）使用寿命不确定的无形资产的判断依据以及对其使用寿命进行复核的程序</w:t>
      </w:r>
      <w:r>
        <w:rPr>
          <w:rFonts w:ascii="宋体" w:hAnsi="宋体" w:cs="宋体" w:eastAsia="宋体" w:hint="default"/>
          <w:b/>
          <w:bCs/>
          <w:w w:val="100"/>
          <w:sz w:val="21"/>
          <w:szCs w:val="21"/>
        </w:rPr>
        <w:t> </w:t>
      </w:r>
      <w:r>
        <w:rPr>
          <w:rFonts w:ascii="宋体" w:hAnsi="宋体" w:cs="宋体" w:eastAsia="宋体" w:hint="default"/>
          <w:sz w:val="21"/>
          <w:szCs w:val="21"/>
        </w:rPr>
        <w:t>截至资产负债表日，本公司没有使用寿命不确定的无形资产。</w:t>
      </w:r>
    </w:p>
    <w:p>
      <w:pPr>
        <w:spacing w:line="240" w:lineRule="auto" w:before="1"/>
        <w:rPr>
          <w:rFonts w:ascii="宋体" w:hAnsi="宋体" w:cs="宋体" w:eastAsia="宋体" w:hint="default"/>
          <w:sz w:val="26"/>
          <w:szCs w:val="26"/>
        </w:rPr>
      </w:pPr>
    </w:p>
    <w:p>
      <w:pPr>
        <w:pStyle w:val="Heading4"/>
        <w:spacing w:line="240" w:lineRule="auto"/>
        <w:ind w:right="1127"/>
        <w:jc w:val="left"/>
        <w:rPr>
          <w:b w:val="0"/>
          <w:bCs w:val="0"/>
        </w:rPr>
      </w:pPr>
      <w:bookmarkStart w:name="（2）内部研究开发支出会计政策" w:id="315"/>
      <w:bookmarkEnd w:id="31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1"/>
          <w:szCs w:val="21"/>
        </w:rPr>
      </w:pPr>
    </w:p>
    <w:p>
      <w:pPr>
        <w:pStyle w:val="BodyText"/>
        <w:spacing w:line="350" w:lineRule="auto"/>
        <w:ind w:right="1127" w:firstLine="2"/>
        <w:jc w:val="left"/>
      </w:pPr>
      <w:r>
        <w:rPr>
          <w:rFonts w:ascii="Times New Roman" w:hAnsi="Times New Roman" w:cs="Times New Roman" w:eastAsia="Times New Roman" w:hint="default"/>
          <w:b/>
          <w:bCs/>
        </w:rPr>
        <w:t>1</w:t>
      </w:r>
      <w:r>
        <w:rPr>
          <w:rFonts w:ascii="宋体" w:hAnsi="宋体" w:cs="宋体" w:eastAsia="宋体" w:hint="default"/>
          <w:b/>
          <w:bCs/>
        </w:rPr>
        <w:t>）划分研究阶段和开发阶段的具体标准</w:t>
      </w:r>
      <w:r>
        <w:rPr>
          <w:rFonts w:ascii="宋体" w:hAnsi="宋体" w:cs="宋体" w:eastAsia="宋体" w:hint="default"/>
          <w:b/>
          <w:bCs/>
          <w:w w:val="100"/>
        </w:rPr>
        <w:t> </w:t>
      </w:r>
      <w:r>
        <w:rPr/>
        <w:t>公司内部研究开发项目的支出分为研究阶段支出和开发阶段支出。</w:t>
      </w:r>
      <w:r>
        <w:rPr>
          <w:w w:val="100"/>
        </w:rPr>
        <w:t> </w:t>
      </w: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pStyle w:val="BodyText"/>
        <w:spacing w:line="240" w:lineRule="auto" w:before="36"/>
        <w:ind w:left="152" w:right="1127"/>
        <w:jc w:val="left"/>
      </w:pPr>
      <w:r>
        <w:rPr/>
        <w:t>的或具有实质性改进的材料、装置、产品等活动的阶段。</w:t>
      </w:r>
    </w:p>
    <w:p>
      <w:pPr>
        <w:pStyle w:val="Heading4"/>
        <w:spacing w:line="240" w:lineRule="auto" w:before="133"/>
        <w:ind w:left="575" w:right="1127"/>
        <w:jc w:val="left"/>
        <w:rPr>
          <w:b w:val="0"/>
          <w:bCs w:val="0"/>
        </w:rPr>
      </w:pPr>
      <w:r>
        <w:rPr>
          <w:rFonts w:ascii="Times New Roman" w:hAnsi="Times New Roman" w:cs="Times New Roman" w:eastAsia="Times New Roman" w:hint="default"/>
        </w:rPr>
        <w:t>2</w:t>
      </w:r>
      <w:r>
        <w:rPr/>
        <w:t>）开发阶段支出资本化的具体条件</w:t>
      </w:r>
      <w:r>
        <w:rPr>
          <w:b w:val="0"/>
          <w:bCs w:val="0"/>
        </w:rPr>
      </w:r>
    </w:p>
    <w:p>
      <w:pPr>
        <w:pStyle w:val="BodyText"/>
        <w:spacing w:line="240" w:lineRule="auto" w:before="119"/>
        <w:ind w:right="1127"/>
        <w:jc w:val="left"/>
      </w:pPr>
      <w:r>
        <w:rPr/>
        <w:t>①完成该无形资产以使其能够使用或出售在技术上具有可行性；</w:t>
      </w:r>
    </w:p>
    <w:p>
      <w:pPr>
        <w:pStyle w:val="BodyText"/>
        <w:spacing w:line="240" w:lineRule="auto" w:before="133"/>
        <w:ind w:right="1127"/>
        <w:jc w:val="left"/>
      </w:pPr>
      <w:r>
        <w:rPr/>
        <w:t>②具有完成该无形资产并使用或出售的意图；</w:t>
      </w:r>
    </w:p>
    <w:p>
      <w:pPr>
        <w:pStyle w:val="BodyText"/>
        <w:spacing w:line="355" w:lineRule="auto" w:before="133"/>
        <w:ind w:left="152" w:right="1127" w:firstLine="420"/>
        <w:jc w:val="left"/>
      </w:pPr>
      <w:r>
        <w:rPr>
          <w:spacing w:val="-2"/>
        </w:rPr>
        <w:t>③无形资产产生经济利益的方式，包括能够证明运用该无形资产生产的产品存在市场或无形资产自身</w:t>
      </w:r>
      <w:r>
        <w:rPr>
          <w:w w:val="100"/>
        </w:rPr>
        <w:t> </w:t>
      </w:r>
      <w:r>
        <w:rPr/>
        <w:t>存在市场，无形资产将在内部使用的，能够证明其有用性；</w:t>
      </w:r>
    </w:p>
    <w:p>
      <w:pPr>
        <w:pStyle w:val="BodyText"/>
        <w:spacing w:line="357" w:lineRule="auto" w:before="32"/>
        <w:ind w:left="152" w:right="1127" w:firstLine="420"/>
        <w:jc w:val="left"/>
      </w:pPr>
      <w:r>
        <w:rPr>
          <w:spacing w:val="-2"/>
        </w:rPr>
        <w:t>④有足够的技术、财务资源和其他资源支持，以完成该无形资产的开发，并有能力使用或出售该无形</w:t>
      </w:r>
      <w:r>
        <w:rPr>
          <w:w w:val="100"/>
        </w:rPr>
        <w:t> </w:t>
      </w:r>
      <w:r>
        <w:rPr/>
        <w:t>资产；</w:t>
      </w:r>
    </w:p>
    <w:p>
      <w:pPr>
        <w:pStyle w:val="BodyText"/>
        <w:spacing w:line="355" w:lineRule="auto" w:before="30"/>
        <w:ind w:right="1127"/>
        <w:jc w:val="left"/>
      </w:pPr>
      <w:r>
        <w:rPr/>
        <w:t>⑤归属于该无形资产开发阶段的支出能够可靠地计量。</w:t>
      </w:r>
      <w:r>
        <w:rPr>
          <w:w w:val="100"/>
        </w:rPr>
        <w:t> </w:t>
      </w:r>
      <w:r>
        <w:rPr>
          <w:spacing w:val="-3"/>
        </w:rPr>
        <w:t>开发阶段的支出，若不满足上列条件的，于发生时计入当期损益。研究阶段的支出，在发生时计入当</w:t>
      </w:r>
      <w:r>
        <w:rPr/>
      </w:r>
    </w:p>
    <w:p>
      <w:pPr>
        <w:pStyle w:val="BodyText"/>
        <w:spacing w:line="240" w:lineRule="auto" w:before="32"/>
        <w:ind w:left="152" w:right="1127"/>
        <w:jc w:val="left"/>
      </w:pPr>
      <w:r>
        <w:rPr/>
        <w:t>期损益。</w:t>
      </w:r>
    </w:p>
    <w:p>
      <w:pPr>
        <w:pStyle w:val="BodyText"/>
        <w:spacing w:line="550" w:lineRule="atLeast" w:before="174"/>
        <w:ind w:right="1127" w:hanging="420"/>
        <w:jc w:val="left"/>
      </w:pPr>
      <w:bookmarkStart w:name="31、长期资产减值" w:id="316"/>
      <w:bookmarkEnd w:id="316"/>
      <w:r>
        <w:rPr/>
      </w:r>
      <w:r>
        <w:rPr>
          <w:rFonts w:ascii="Times New Roman" w:hAnsi="Times New Roman" w:cs="Times New Roman" w:eastAsia="Times New Roman" w:hint="default"/>
          <w:b/>
          <w:bCs/>
        </w:rPr>
        <w:t>31</w:t>
      </w:r>
      <w:r>
        <w:rPr>
          <w:rFonts w:ascii="宋体" w:hAnsi="宋体" w:cs="宋体" w:eastAsia="宋体" w:hint="default"/>
          <w:b/>
          <w:bCs/>
        </w:rPr>
        <w:t>、长期资产减值</w:t>
      </w:r>
      <w:r>
        <w:rPr>
          <w:rFonts w:ascii="宋体" w:hAnsi="宋体" w:cs="宋体" w:eastAsia="宋体" w:hint="default"/>
          <w:b/>
          <w:bCs/>
          <w:w w:val="100"/>
        </w:rPr>
        <w:t> </w:t>
      </w:r>
      <w:r>
        <w:rPr>
          <w:spacing w:val="-2"/>
        </w:rPr>
        <w:t>长期股权投资、采用成本模式计量的投资性房地产、固定资产、在建工程、使用寿命有限的无形资产</w:t>
      </w:r>
    </w:p>
    <w:p>
      <w:pPr>
        <w:pStyle w:val="BodyText"/>
        <w:spacing w:line="357" w:lineRule="auto" w:before="135"/>
        <w:ind w:left="152" w:right="1128"/>
        <w:jc w:val="both"/>
      </w:pPr>
      <w:r>
        <w:rPr>
          <w:spacing w:val="-2"/>
        </w:rPr>
        <w:t>等长期资产，于资产负债表日存在减值迹象的，进行减值测试。减值测试结果表明资产的可收回金额低于</w:t>
      </w:r>
      <w:r>
        <w:rPr>
          <w:spacing w:val="-43"/>
        </w:rPr>
        <w:t> </w:t>
      </w:r>
      <w:r>
        <w:rPr>
          <w:spacing w:val="-43"/>
        </w:rPr>
      </w:r>
      <w:r>
        <w:rPr>
          <w:spacing w:val="-2"/>
        </w:rPr>
        <w:t>其账面价值的，按其差额计提减值准备并计入减值损失。可收回金额为资产的公允价值减去处置费用后的</w:t>
      </w:r>
      <w:r>
        <w:rPr>
          <w:spacing w:val="-42"/>
        </w:rPr>
        <w:t> </w:t>
      </w:r>
      <w:r>
        <w:rPr>
          <w:spacing w:val="-42"/>
        </w:rPr>
      </w:r>
      <w:r>
        <w:rPr>
          <w:spacing w:val="-2"/>
        </w:rPr>
        <w:t>净额与资产预计未来现金流量的现值两者之间的较高者。资产减值准备按单项资产为基础计算并确认，如</w:t>
      </w:r>
      <w:r>
        <w:rPr>
          <w:spacing w:val="-42"/>
        </w:rPr>
        <w:t> </w:t>
      </w:r>
      <w:r>
        <w:rPr>
          <w:spacing w:val="-42"/>
        </w:rPr>
      </w:r>
      <w:r>
        <w:rPr>
          <w:spacing w:val="-2"/>
        </w:rPr>
        <w:t>果难以对单项资产的可收回金额进行估计的，以该资产所属的资产组确定资产组的可收回金额。资产组是</w:t>
      </w:r>
      <w:r>
        <w:rPr>
          <w:spacing w:val="-42"/>
        </w:rPr>
        <w:t> </w:t>
      </w:r>
      <w:r>
        <w:rPr>
          <w:spacing w:val="-42"/>
        </w:rPr>
      </w:r>
      <w:r>
        <w:rPr/>
        <w:t>能够独立产生现金流入的最小资产组合。</w:t>
      </w:r>
    </w:p>
    <w:p>
      <w:pPr>
        <w:spacing w:after="0" w:line="357" w:lineRule="auto"/>
        <w:jc w:val="both"/>
        <w:sectPr>
          <w:pgSz w:w="11910" w:h="16840"/>
          <w:pgMar w:header="882" w:footer="1134" w:top="1280" w:bottom="1320" w:left="980" w:right="0"/>
        </w:sectPr>
      </w:pPr>
    </w:p>
    <w:p>
      <w:pPr>
        <w:pStyle w:val="BodyText"/>
        <w:spacing w:line="355" w:lineRule="auto" w:before="112"/>
        <w:ind w:left="152" w:right="1127" w:firstLine="420"/>
        <w:jc w:val="left"/>
      </w:pPr>
      <w:r>
        <w:rPr>
          <w:spacing w:val="-2"/>
        </w:rPr>
        <w:t>商誉、使用寿命不确定的无形资产、尚未达到可使用状态的无形资产至少在每年年度终了进行减值测</w:t>
      </w:r>
      <w:r>
        <w:rPr>
          <w:w w:val="100"/>
        </w:rPr>
        <w:t> </w:t>
      </w:r>
      <w:r>
        <w:rPr/>
        <w:t>试。</w:t>
      </w:r>
    </w:p>
    <w:p>
      <w:pPr>
        <w:pStyle w:val="BodyText"/>
        <w:spacing w:line="357" w:lineRule="auto" w:before="32"/>
        <w:ind w:left="152" w:right="1128" w:firstLine="420"/>
        <w:jc w:val="both"/>
      </w:pPr>
      <w:r>
        <w:rPr>
          <w:spacing w:val="-2"/>
        </w:rPr>
        <w:t>本公司进行商誉减值测试，对于因企业合并形成的商誉的账面价值，自购买日起按照合理的方法分摊</w:t>
      </w:r>
      <w:r>
        <w:rPr>
          <w:w w:val="100"/>
        </w:rPr>
        <w:t> </w:t>
      </w:r>
      <w:r>
        <w:rPr>
          <w:spacing w:val="-2"/>
        </w:rPr>
        <w:t>至相关的资产组；难以分摊至相关的资产组的，将其分摊至相关的资产组组合。本公司在分摊商誉的账面</w:t>
      </w:r>
      <w:r>
        <w:rPr>
          <w:spacing w:val="-44"/>
        </w:rPr>
        <w:t> </w:t>
      </w:r>
      <w:r>
        <w:rPr>
          <w:spacing w:val="-44"/>
        </w:rPr>
      </w:r>
      <w:r>
        <w:rPr>
          <w:spacing w:val="-2"/>
        </w:rPr>
        <w:t>价值时，根据相关资产组或资产组组合能够从企业合并的协同效应中获得的相对受益情况进行分摊，在此</w:t>
      </w:r>
      <w:r>
        <w:rPr>
          <w:spacing w:val="-43"/>
        </w:rPr>
        <w:t> </w:t>
      </w:r>
      <w:r>
        <w:rPr>
          <w:spacing w:val="-43"/>
        </w:rPr>
      </w:r>
      <w:r>
        <w:rPr>
          <w:spacing w:val="-2"/>
        </w:rPr>
        <w:t>基础上进行商誉减值测试。公允价值难以可靠计量的，按照各资产组或者资产组组合的账面价值占相关资</w:t>
      </w:r>
      <w:r>
        <w:rPr>
          <w:spacing w:val="-42"/>
        </w:rPr>
        <w:t> </w:t>
      </w:r>
      <w:r>
        <w:rPr>
          <w:spacing w:val="-42"/>
        </w:rPr>
      </w:r>
      <w:r>
        <w:rPr/>
        <w:t>产组或者资产组组合账面价值总额的比例进行分摊。。</w:t>
      </w:r>
    </w:p>
    <w:p>
      <w:pPr>
        <w:pStyle w:val="BodyText"/>
        <w:spacing w:line="357" w:lineRule="auto" w:before="32"/>
        <w:ind w:left="152" w:right="1017" w:firstLine="420"/>
        <w:jc w:val="left"/>
      </w:pPr>
      <w:r>
        <w:rPr/>
        <w:t>在对包含商誉的相关资产组或者资产组组合进行减值测试时，如与商誉相关的资产组或者资产组组合</w:t>
      </w:r>
      <w:r>
        <w:rPr>
          <w:w w:val="100"/>
        </w:rPr>
        <w:t> </w:t>
      </w:r>
      <w:r>
        <w:rPr>
          <w:spacing w:val="-2"/>
        </w:rPr>
        <w:t>存在减值迹象的，先对不包含商誉的资产组或者资产组组合进行减值测试，计算可收回金额，并与相关账</w:t>
      </w:r>
      <w:r>
        <w:rPr>
          <w:spacing w:val="-44"/>
        </w:rPr>
        <w:t> </w:t>
      </w:r>
      <w:r>
        <w:rPr>
          <w:spacing w:val="-44"/>
        </w:rPr>
      </w:r>
      <w:r>
        <w:rPr>
          <w:spacing w:val="-2"/>
        </w:rPr>
        <w:t>面价值相比较，确认相应的减值损失。再对包含商誉的资产组或者资产组组合进行减值测试，比较这些相</w:t>
      </w:r>
      <w:r>
        <w:rPr>
          <w:spacing w:val="-44"/>
        </w:rPr>
        <w:t> </w:t>
      </w:r>
      <w:r>
        <w:rPr>
          <w:spacing w:val="-44"/>
        </w:rPr>
      </w:r>
      <w:r>
        <w:rPr>
          <w:spacing w:val="-2"/>
        </w:rPr>
        <w:t>关资产组或者资产组组合的账面价值（包括所分摊的商誉的账面价值部分）与其可收回金额，如相关资产</w:t>
      </w:r>
      <w:r>
        <w:rPr>
          <w:spacing w:val="-43"/>
        </w:rPr>
        <w:t> </w:t>
      </w:r>
      <w:r>
        <w:rPr>
          <w:spacing w:val="-43"/>
        </w:rPr>
      </w:r>
      <w:r>
        <w:rPr/>
        <w:t>组或者资产组组合的可收回金额低于其账面价值的，确认商誉的减值损失。</w:t>
      </w:r>
      <w:r>
        <w:rPr>
          <w:spacing w:val="-28"/>
        </w:rPr>
        <w:t> </w:t>
      </w:r>
      <w:r>
        <w:rPr/>
        <w:t>上述资产减值损失一经确认，</w:t>
      </w:r>
      <w:r>
        <w:rPr>
          <w:w w:val="100"/>
        </w:rPr>
        <w:t> </w:t>
      </w:r>
      <w:r>
        <w:rPr/>
        <w:t>在以后会计期间不予转回。</w:t>
      </w:r>
    </w:p>
    <w:p>
      <w:pPr>
        <w:pStyle w:val="BodyText"/>
        <w:spacing w:line="550" w:lineRule="atLeast" w:before="71"/>
        <w:ind w:right="1127" w:hanging="421"/>
        <w:jc w:val="left"/>
      </w:pPr>
      <w:bookmarkStart w:name="32、长期待摊费用" w:id="317"/>
      <w:bookmarkEnd w:id="317"/>
      <w:r>
        <w:rPr/>
      </w:r>
      <w:r>
        <w:rPr>
          <w:rFonts w:ascii="Times New Roman" w:hAnsi="Times New Roman" w:cs="Times New Roman" w:eastAsia="Times New Roman" w:hint="default"/>
          <w:b/>
          <w:bCs/>
        </w:rPr>
        <w:t>32</w:t>
      </w:r>
      <w:r>
        <w:rPr>
          <w:rFonts w:ascii="宋体" w:hAnsi="宋体" w:cs="宋体" w:eastAsia="宋体" w:hint="default"/>
          <w:b/>
          <w:bCs/>
        </w:rPr>
        <w:t>、长期待摊费用</w:t>
      </w:r>
      <w:r>
        <w:rPr>
          <w:rFonts w:ascii="宋体" w:hAnsi="宋体" w:cs="宋体" w:eastAsia="宋体" w:hint="default"/>
          <w:b/>
          <w:bCs/>
          <w:w w:val="100"/>
        </w:rPr>
        <w:t> </w:t>
      </w:r>
      <w:r>
        <w:rPr>
          <w:spacing w:val="-2"/>
        </w:rPr>
        <w:t>长期待摊费用为已经发生但应由本期和以后各期负担的分摊期限在一年以上的各项费用。本公司长期</w:t>
      </w:r>
    </w:p>
    <w:p>
      <w:pPr>
        <w:pStyle w:val="BodyText"/>
        <w:spacing w:line="240" w:lineRule="auto" w:before="133"/>
        <w:ind w:left="152" w:right="1127"/>
        <w:jc w:val="left"/>
      </w:pPr>
      <w:r>
        <w:rPr/>
        <w:t>待摊费用包括经营租赁房屋改良支出与维护费。</w:t>
      </w:r>
    </w:p>
    <w:p>
      <w:pPr>
        <w:spacing w:line="336" w:lineRule="auto" w:before="133"/>
        <w:ind w:left="572" w:right="551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长期待摊费用在受益期内按直线法分期摊销。</w:t>
      </w:r>
    </w:p>
    <w:p>
      <w:pPr>
        <w:spacing w:line="240" w:lineRule="auto" w:before="11"/>
        <w:rPr>
          <w:rFonts w:ascii="宋体" w:hAnsi="宋体" w:cs="宋体" w:eastAsia="宋体" w:hint="default"/>
          <w:sz w:val="26"/>
          <w:szCs w:val="26"/>
        </w:rPr>
      </w:pPr>
    </w:p>
    <w:p>
      <w:pPr>
        <w:pStyle w:val="Heading4"/>
        <w:spacing w:line="240" w:lineRule="auto"/>
        <w:ind w:right="1127"/>
        <w:jc w:val="left"/>
        <w:rPr>
          <w:b w:val="0"/>
          <w:bCs w:val="0"/>
        </w:rPr>
      </w:pPr>
      <w:bookmarkStart w:name="33、合同负债" w:id="318"/>
      <w:bookmarkEnd w:id="318"/>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1127"/>
        <w:jc w:val="left"/>
      </w:pPr>
      <w:r>
        <w:rPr>
          <w:w w:val="100"/>
        </w:rPr>
        <w:t>无</w:t>
      </w:r>
    </w:p>
    <w:p>
      <w:pPr>
        <w:spacing w:line="240" w:lineRule="auto" w:before="0"/>
        <w:rPr>
          <w:rFonts w:ascii="宋体" w:hAnsi="宋体" w:cs="宋体" w:eastAsia="宋体" w:hint="default"/>
          <w:sz w:val="20"/>
          <w:szCs w:val="20"/>
        </w:rPr>
      </w:pPr>
    </w:p>
    <w:p>
      <w:pPr>
        <w:pStyle w:val="Heading4"/>
        <w:spacing w:line="240" w:lineRule="auto" w:before="171"/>
        <w:ind w:right="1127"/>
        <w:jc w:val="left"/>
        <w:rPr>
          <w:b w:val="0"/>
          <w:bCs w:val="0"/>
        </w:rPr>
      </w:pPr>
      <w:bookmarkStart w:name="34、职工薪酬" w:id="319"/>
      <w:bookmarkEnd w:id="319"/>
      <w:r>
        <w:rPr>
          <w:b w:val="0"/>
          <w:bCs w:val="0"/>
        </w:rPr>
      </w:r>
      <w:r>
        <w:rPr>
          <w:rFonts w:ascii="Times New Roman" w:hAnsi="Times New Roman" w:cs="Times New Roman" w:eastAsia="Times New Roman" w:hint="default"/>
        </w:rPr>
        <w:t>34</w:t>
      </w:r>
      <w:r>
        <w:rPr/>
        <w:t>、职工薪酬</w:t>
      </w:r>
      <w:r>
        <w:rPr>
          <w:b w:val="0"/>
          <w:bCs w:val="0"/>
        </w:rPr>
      </w:r>
    </w:p>
    <w:p>
      <w:pPr>
        <w:spacing w:line="550" w:lineRule="atLeast" w:before="23"/>
        <w:ind w:left="572" w:right="1127" w:hanging="420"/>
        <w:jc w:val="left"/>
        <w:rPr>
          <w:rFonts w:ascii="宋体" w:hAnsi="宋体" w:cs="宋体" w:eastAsia="宋体" w:hint="default"/>
          <w:sz w:val="21"/>
          <w:szCs w:val="21"/>
        </w:rPr>
      </w:pPr>
      <w:bookmarkStart w:name="（1）短期薪酬的会计处理方法" w:id="320"/>
      <w:bookmarkEnd w:id="3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本公司在职工为本公司提供服务的会计期间，将实际发生的短期薪酬确认为负债，并计入当期损益或</w:t>
      </w:r>
    </w:p>
    <w:p>
      <w:pPr>
        <w:pStyle w:val="BodyText"/>
        <w:spacing w:line="355" w:lineRule="auto" w:before="133"/>
        <w:ind w:right="1127" w:hanging="421"/>
        <w:jc w:val="left"/>
      </w:pPr>
      <w:r>
        <w:rPr/>
        <w:t>相关资产成本。</w:t>
      </w:r>
      <w:r>
        <w:rPr>
          <w:spacing w:val="-103"/>
        </w:rPr>
        <w:t> </w:t>
      </w:r>
      <w:r>
        <w:rPr>
          <w:spacing w:val="-103"/>
        </w:rPr>
      </w:r>
      <w:r>
        <w:rPr>
          <w:spacing w:val="-2"/>
        </w:rPr>
        <w:t>本公司为职工缴纳的社会保险费和住房公积金，以及按规定提取的工会经费和职工教育经费，在职工</w:t>
      </w:r>
    </w:p>
    <w:p>
      <w:pPr>
        <w:pStyle w:val="BodyText"/>
        <w:spacing w:line="357" w:lineRule="auto" w:before="32"/>
        <w:ind w:right="1127" w:hanging="421"/>
        <w:jc w:val="left"/>
      </w:pPr>
      <w:r>
        <w:rPr>
          <w:spacing w:val="-2"/>
        </w:rPr>
        <w:t>为本公司提供服务的会计期间，根据规定的计提基础和计提比例计算确定相应的职工薪酬金额。</w:t>
      </w:r>
      <w:r>
        <w:rPr>
          <w:spacing w:val="-25"/>
        </w:rPr>
        <w:t> </w:t>
      </w:r>
      <w:r>
        <w:rPr>
          <w:spacing w:val="-25"/>
        </w:rPr>
      </w:r>
      <w:r>
        <w:rPr/>
        <w:t>职工福利费为非货币性福利的，如能够可靠计量的，按照公允价值计量。</w:t>
      </w:r>
    </w:p>
    <w:p>
      <w:pPr>
        <w:spacing w:line="240" w:lineRule="auto" w:before="3"/>
        <w:rPr>
          <w:rFonts w:ascii="宋体" w:hAnsi="宋体" w:cs="宋体" w:eastAsia="宋体" w:hint="default"/>
          <w:sz w:val="25"/>
          <w:szCs w:val="25"/>
        </w:rPr>
      </w:pPr>
    </w:p>
    <w:p>
      <w:pPr>
        <w:pStyle w:val="Heading4"/>
        <w:spacing w:line="240" w:lineRule="auto"/>
        <w:ind w:right="1127"/>
        <w:jc w:val="left"/>
        <w:rPr>
          <w:b w:val="0"/>
          <w:bCs w:val="0"/>
        </w:rPr>
      </w:pPr>
      <w:bookmarkStart w:name="（2）离职后福利的会计处理方法" w:id="321"/>
      <w:bookmarkEnd w:id="32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1</w:t>
      </w:r>
      <w:r>
        <w:rPr/>
        <w:t>）设定提存计划</w:t>
      </w:r>
    </w:p>
    <w:p>
      <w:pPr>
        <w:spacing w:after="0" w:line="240" w:lineRule="auto"/>
        <w:jc w:val="left"/>
        <w:sectPr>
          <w:pgSz w:w="11910" w:h="16840"/>
          <w:pgMar w:header="882" w:footer="1134" w:top="1280" w:bottom="1320" w:left="980" w:right="0"/>
        </w:sectPr>
      </w:pPr>
    </w:p>
    <w:p>
      <w:pPr>
        <w:pStyle w:val="BodyText"/>
        <w:spacing w:line="357" w:lineRule="auto" w:before="112"/>
        <w:ind w:left="152" w:right="1111" w:firstLine="420"/>
        <w:jc w:val="right"/>
      </w:pPr>
      <w:r>
        <w:rPr>
          <w:spacing w:val="-2"/>
        </w:rPr>
        <w:t>本公司按当地政府的相关规定为职工缴纳基本养老保险和失业保险，在职工为本公司提供服务的会计</w:t>
      </w:r>
      <w:r>
        <w:rPr>
          <w:w w:val="100"/>
        </w:rPr>
        <w:t> </w:t>
      </w:r>
      <w:r>
        <w:rPr>
          <w:spacing w:val="-2"/>
        </w:rPr>
        <w:t>期间，按以当地规定的缴纳基数和比例计算应缴纳金额，确认为负债，并计入当期损益或相关资产成本。</w:t>
      </w:r>
      <w:r>
        <w:rPr>
          <w:spacing w:val="-48"/>
        </w:rPr>
        <w:t> </w:t>
      </w:r>
      <w:r>
        <w:rPr>
          <w:spacing w:val="-48"/>
        </w:rPr>
      </w:r>
      <w:r>
        <w:rPr>
          <w:spacing w:val="-2"/>
        </w:rPr>
        <w:t>除基本养老保险外，本公司还依据国家企业年金制度的相关政策建立了企业年金缴费制度（补充养老</w:t>
      </w:r>
      <w:r>
        <w:rPr>
          <w:w w:val="100"/>
        </w:rPr>
        <w:t> </w:t>
      </w:r>
      <w:r>
        <w:rPr/>
        <w:t>保险）</w:t>
      </w:r>
      <w:r>
        <w:rPr>
          <w:rFonts w:ascii="Times New Roman" w:hAnsi="Times New Roman" w:cs="Times New Roman" w:eastAsia="Times New Roman" w:hint="default"/>
        </w:rPr>
        <w:t>/</w:t>
      </w:r>
      <w:r>
        <w:rPr/>
        <w:t>企业年金计划。本公司按职工工资总额的一定比例向当地社会保险机构缴费</w:t>
      </w:r>
      <w:r>
        <w:rPr>
          <w:rFonts w:ascii="Times New Roman" w:hAnsi="Times New Roman" w:cs="Times New Roman" w:eastAsia="Times New Roman" w:hint="default"/>
        </w:rPr>
        <w:t>/</w:t>
      </w:r>
      <w:r>
        <w:rPr/>
        <w:t>年金计划缴费，相应</w:t>
      </w:r>
    </w:p>
    <w:p>
      <w:pPr>
        <w:pStyle w:val="BodyText"/>
        <w:spacing w:line="240" w:lineRule="auto" w:before="3"/>
        <w:ind w:left="152" w:right="1127"/>
        <w:jc w:val="left"/>
      </w:pPr>
      <w:r>
        <w:rPr/>
        <w:t>支出计入当期损益或相关资产成本。</w:t>
      </w:r>
    </w:p>
    <w:p>
      <w:pPr>
        <w:pStyle w:val="BodyText"/>
        <w:spacing w:line="336" w:lineRule="auto" w:before="133"/>
        <w:ind w:right="1127"/>
        <w:jc w:val="left"/>
      </w:pPr>
      <w:r>
        <w:rPr>
          <w:rFonts w:ascii="Times New Roman" w:hAnsi="Times New Roman" w:cs="Times New Roman" w:eastAsia="Times New Roman" w:hint="default"/>
        </w:rPr>
        <w:t>2</w:t>
      </w:r>
      <w:r>
        <w:rPr/>
        <w:t>）设定受益计划</w:t>
      </w:r>
      <w:r>
        <w:rPr>
          <w:spacing w:val="-3"/>
          <w:w w:val="100"/>
        </w:rPr>
        <w:t> </w:t>
      </w:r>
      <w:r>
        <w:rPr>
          <w:spacing w:val="2"/>
        </w:rPr>
        <w:t>本公司根据预期累计福利单位法确定的公式将设定受益计划产生的福利义务归属于职工提供服务的</w:t>
      </w:r>
    </w:p>
    <w:p>
      <w:pPr>
        <w:pStyle w:val="BodyText"/>
        <w:spacing w:line="355" w:lineRule="auto" w:before="51"/>
        <w:ind w:right="1127" w:hanging="421"/>
        <w:jc w:val="left"/>
      </w:pPr>
      <w:r>
        <w:rPr/>
        <w:t>期间，并计入当期损益或相关资产成本。</w:t>
      </w:r>
      <w:r>
        <w:rPr>
          <w:w w:val="100"/>
        </w:rPr>
        <w:t> </w:t>
      </w:r>
      <w:r>
        <w:rPr>
          <w:spacing w:val="2"/>
        </w:rPr>
        <w:t>设定受益计划义务现值减去设定受益计划资产公允价值所形成的赤字或盈余确认为一项设定受益计</w:t>
      </w:r>
    </w:p>
    <w:p>
      <w:pPr>
        <w:pStyle w:val="BodyText"/>
        <w:spacing w:line="355" w:lineRule="auto" w:before="32"/>
        <w:ind w:left="152" w:right="1127"/>
        <w:jc w:val="left"/>
      </w:pPr>
      <w:r>
        <w:rPr>
          <w:spacing w:val="-2"/>
        </w:rPr>
        <w:t>划净负债或净资产。设定受益计划存在盈余的，本公司以设定受益计划的盈余和资产上限两项的孰低者计</w:t>
      </w:r>
      <w:r>
        <w:rPr>
          <w:spacing w:val="-42"/>
        </w:rPr>
        <w:t> </w:t>
      </w:r>
      <w:r>
        <w:rPr>
          <w:spacing w:val="-42"/>
        </w:rPr>
      </w:r>
      <w:r>
        <w:rPr/>
        <w:t>量设定受益计划净资产。</w:t>
      </w:r>
    </w:p>
    <w:p>
      <w:pPr>
        <w:pStyle w:val="BodyText"/>
        <w:spacing w:line="357" w:lineRule="auto" w:before="32"/>
        <w:ind w:left="151" w:right="1107" w:firstLine="420"/>
        <w:jc w:val="both"/>
      </w:pPr>
      <w:r>
        <w:rPr>
          <w:spacing w:val="-2"/>
        </w:rPr>
        <w:t>所有设定受益计划义务，包括预期在职工提供服务的年度报告期间结束后的十二个月内支付的义务，</w:t>
      </w:r>
      <w:r>
        <w:rPr>
          <w:w w:val="100"/>
        </w:rPr>
        <w:t> </w:t>
      </w:r>
      <w:r>
        <w:rPr>
          <w:spacing w:val="2"/>
        </w:rPr>
        <w:t>根据资产负债表日与设定受益计划义务期限和币种相匹配的国债或活跃市场上的高质量公司债券的市场</w:t>
      </w:r>
      <w:r>
        <w:rPr>
          <w:spacing w:val="-28"/>
        </w:rPr>
        <w:t> </w:t>
      </w:r>
      <w:r>
        <w:rPr>
          <w:spacing w:val="-28"/>
        </w:rPr>
      </w:r>
      <w:r>
        <w:rPr/>
        <w:t>收益率予以折现。</w:t>
      </w:r>
    </w:p>
    <w:p>
      <w:pPr>
        <w:pStyle w:val="BodyText"/>
        <w:spacing w:line="357" w:lineRule="auto" w:before="30"/>
        <w:ind w:left="151" w:right="1111" w:firstLine="420"/>
        <w:jc w:val="right"/>
      </w:pPr>
      <w:r>
        <w:rPr>
          <w:spacing w:val="2"/>
        </w:rPr>
        <w:t>设定受益计划产生的服务成本和设定受益计划净负债或净资产的利息净额计入当期损益或相关资产</w:t>
      </w:r>
      <w:r>
        <w:rPr>
          <w:w w:val="100"/>
        </w:rPr>
        <w:t> </w:t>
      </w:r>
      <w:r>
        <w:rPr>
          <w:spacing w:val="-2"/>
        </w:rPr>
        <w:t>成本；重新计量设定受益计划净负债或净资产所产生的变动计入其他综合收益，并且在后续会计期间不转</w:t>
      </w:r>
      <w:r>
        <w:rPr>
          <w:spacing w:val="-79"/>
        </w:rPr>
        <w:t> </w:t>
      </w:r>
      <w:r>
        <w:rPr>
          <w:spacing w:val="-79"/>
        </w:rPr>
      </w:r>
      <w:r>
        <w:rPr>
          <w:spacing w:val="-2"/>
        </w:rPr>
        <w:t>回至损益，在原设定受益计划终止时在权益范围内将原计入其他综合收益的部分全部结转至未分配利润。</w:t>
      </w:r>
      <w:r>
        <w:rPr>
          <w:spacing w:val="-49"/>
        </w:rPr>
        <w:t> </w:t>
      </w:r>
      <w:r>
        <w:rPr>
          <w:spacing w:val="-49"/>
        </w:rPr>
      </w:r>
      <w:r>
        <w:rPr>
          <w:spacing w:val="-2"/>
        </w:rPr>
        <w:t>在设定受益计划结算时，按在结算日确定的设定受益计划义务现值和结算价格两者的差额，确认结算</w:t>
      </w:r>
    </w:p>
    <w:p>
      <w:pPr>
        <w:pStyle w:val="BodyText"/>
        <w:spacing w:line="240" w:lineRule="auto" w:before="30"/>
        <w:ind w:left="151" w:right="1127"/>
        <w:jc w:val="left"/>
      </w:pPr>
      <w:r>
        <w:rPr/>
        <w:t>利得或损失。</w:t>
      </w:r>
    </w:p>
    <w:p>
      <w:pPr>
        <w:spacing w:line="550" w:lineRule="atLeast" w:before="173"/>
        <w:ind w:left="572" w:right="1127" w:hanging="420"/>
        <w:jc w:val="left"/>
        <w:rPr>
          <w:rFonts w:ascii="宋体" w:hAnsi="宋体" w:cs="宋体" w:eastAsia="宋体" w:hint="default"/>
          <w:sz w:val="21"/>
          <w:szCs w:val="21"/>
        </w:rPr>
      </w:pPr>
      <w:bookmarkStart w:name="（3）辞退福利的会计处理方法" w:id="322"/>
      <w:bookmarkEnd w:id="3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本公司在不能单方面撤回因解除劳动关系计划或裁减建议所提供的辞退福利时，或确认与涉及支付辞</w:t>
      </w:r>
    </w:p>
    <w:p>
      <w:pPr>
        <w:pStyle w:val="BodyText"/>
        <w:spacing w:line="240" w:lineRule="auto" w:before="133"/>
        <w:ind w:left="152" w:right="0"/>
        <w:jc w:val="left"/>
      </w:pPr>
      <w:r>
        <w:rPr/>
        <w:t>退福利的重组相关的成本或费用时（两者孰早），确认辞退福利产生的职工薪酬负债，并计入当期损益。</w:t>
      </w:r>
    </w:p>
    <w:p>
      <w:pPr>
        <w:spacing w:line="240" w:lineRule="auto" w:before="0"/>
        <w:rPr>
          <w:rFonts w:ascii="宋体" w:hAnsi="宋体" w:cs="宋体" w:eastAsia="宋体" w:hint="default"/>
          <w:sz w:val="20"/>
          <w:szCs w:val="20"/>
        </w:rPr>
      </w:pPr>
    </w:p>
    <w:p>
      <w:pPr>
        <w:pStyle w:val="Heading4"/>
        <w:spacing w:line="472" w:lineRule="auto" w:before="171"/>
        <w:ind w:left="572" w:right="6914" w:hanging="421"/>
        <w:jc w:val="left"/>
        <w:rPr>
          <w:rFonts w:ascii="宋体" w:hAnsi="宋体" w:cs="宋体" w:eastAsia="宋体" w:hint="default"/>
          <w:b w:val="0"/>
          <w:bCs w:val="0"/>
        </w:rPr>
      </w:pPr>
      <w:bookmarkStart w:name="（4）其他长期职工福利的会计处理方法" w:id="323"/>
      <w:bookmarkEnd w:id="323"/>
      <w:r>
        <w:rPr>
          <w:b w:val="0"/>
          <w:bCs w:val="0"/>
        </w:rPr>
      </w:r>
      <w:r>
        <w:rPr>
          <w:spacing w:val="-1"/>
        </w:rPr>
        <w:t>（</w:t>
      </w:r>
      <w:r>
        <w:rPr>
          <w:rFonts w:ascii="Times New Roman" w:hAnsi="Times New Roman" w:cs="Times New Roman" w:eastAsia="Times New Roman" w:hint="default"/>
          <w:spacing w:val="-1"/>
        </w:rPr>
        <w:t>4</w:t>
      </w:r>
      <w:r>
        <w:rPr>
          <w:spacing w:val="-1"/>
        </w:rPr>
        <w:t>）其他长期职工福利的会计处理方法</w:t>
      </w:r>
      <w:r>
        <w:rPr>
          <w:spacing w:val="-88"/>
        </w:rPr>
        <w:t> </w:t>
      </w:r>
      <w:r>
        <w:rPr>
          <w:spacing w:val="-88"/>
        </w:rPr>
      </w:r>
      <w:r>
        <w:rPr>
          <w:rFonts w:ascii="宋体" w:hAnsi="宋体" w:cs="宋体" w:eastAsia="宋体" w:hint="default"/>
          <w:b w:val="0"/>
          <w:bCs w:val="0"/>
        </w:rPr>
        <w:t>无</w:t>
      </w:r>
    </w:p>
    <w:p>
      <w:pPr>
        <w:spacing w:line="240" w:lineRule="auto" w:before="10"/>
        <w:rPr>
          <w:rFonts w:ascii="宋体" w:hAnsi="宋体" w:cs="宋体" w:eastAsia="宋体" w:hint="default"/>
          <w:sz w:val="17"/>
          <w:szCs w:val="17"/>
        </w:rPr>
      </w:pPr>
    </w:p>
    <w:p>
      <w:pPr>
        <w:pStyle w:val="Heading4"/>
        <w:spacing w:line="240" w:lineRule="auto"/>
        <w:ind w:right="1127"/>
        <w:jc w:val="left"/>
        <w:rPr>
          <w:b w:val="0"/>
          <w:bCs w:val="0"/>
        </w:rPr>
      </w:pPr>
      <w:bookmarkStart w:name="35、租赁负债" w:id="324"/>
      <w:bookmarkEnd w:id="324"/>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1127"/>
        <w:jc w:val="left"/>
      </w:pPr>
      <w:r>
        <w:rPr>
          <w:w w:val="100"/>
        </w:rPr>
        <w:t>无</w:t>
      </w:r>
    </w:p>
    <w:p>
      <w:pPr>
        <w:spacing w:line="240" w:lineRule="auto" w:before="0"/>
        <w:rPr>
          <w:rFonts w:ascii="宋体" w:hAnsi="宋体" w:cs="宋体" w:eastAsia="宋体" w:hint="default"/>
          <w:sz w:val="20"/>
          <w:szCs w:val="20"/>
        </w:rPr>
      </w:pPr>
    </w:p>
    <w:p>
      <w:pPr>
        <w:pStyle w:val="Heading4"/>
        <w:spacing w:line="240" w:lineRule="auto" w:before="171"/>
        <w:ind w:right="1127"/>
        <w:jc w:val="left"/>
        <w:rPr>
          <w:b w:val="0"/>
          <w:bCs w:val="0"/>
        </w:rPr>
      </w:pPr>
      <w:bookmarkStart w:name="36、预计负债" w:id="325"/>
      <w:bookmarkEnd w:id="325"/>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8"/>
        <w:rPr>
          <w:rFonts w:ascii="宋体" w:hAnsi="宋体" w:cs="宋体" w:eastAsia="宋体" w:hint="default"/>
          <w:b/>
          <w:bCs/>
          <w:sz w:val="21"/>
          <w:szCs w:val="21"/>
        </w:rPr>
      </w:pPr>
    </w:p>
    <w:p>
      <w:pPr>
        <w:spacing w:line="336" w:lineRule="auto" w:before="0"/>
        <w:ind w:left="572" w:right="11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100"/>
          <w:sz w:val="21"/>
          <w:szCs w:val="21"/>
        </w:rPr>
        <w:t> </w:t>
      </w:r>
      <w:r>
        <w:rPr>
          <w:rFonts w:ascii="宋体" w:hAnsi="宋体" w:cs="宋体" w:eastAsia="宋体" w:hint="default"/>
          <w:spacing w:val="-3"/>
          <w:sz w:val="21"/>
          <w:szCs w:val="21"/>
        </w:rPr>
        <w:t>与诉讼、债务担保、亏损合同、重组事项等或有事项相关的义务同时满足下列条件时，本公司确认为</w:t>
      </w:r>
      <w:r>
        <w:rPr>
          <w:rFonts w:ascii="宋体" w:hAnsi="宋体" w:cs="宋体" w:eastAsia="宋体" w:hint="default"/>
          <w:sz w:val="21"/>
          <w:szCs w:val="21"/>
        </w:rPr>
      </w:r>
    </w:p>
    <w:p>
      <w:pPr>
        <w:spacing w:after="0" w:line="336" w:lineRule="auto"/>
        <w:jc w:val="left"/>
        <w:rPr>
          <w:rFonts w:ascii="宋体" w:hAnsi="宋体" w:cs="宋体" w:eastAsia="宋体" w:hint="default"/>
          <w:sz w:val="21"/>
          <w:szCs w:val="21"/>
        </w:rPr>
        <w:sectPr>
          <w:pgSz w:w="11910" w:h="16840"/>
          <w:pgMar w:header="882" w:footer="1134" w:top="1280" w:bottom="1320" w:left="980" w:right="0"/>
        </w:sectPr>
      </w:pPr>
    </w:p>
    <w:p>
      <w:pPr>
        <w:pStyle w:val="BodyText"/>
        <w:spacing w:line="240" w:lineRule="auto" w:before="112"/>
        <w:ind w:left="152" w:right="1127"/>
        <w:jc w:val="left"/>
      </w:pPr>
      <w:r>
        <w:rPr/>
        <w:t>预计负债：</w:t>
      </w:r>
    </w:p>
    <w:p>
      <w:pPr>
        <w:pStyle w:val="BodyText"/>
        <w:spacing w:line="240" w:lineRule="auto" w:before="133"/>
        <w:ind w:right="1127"/>
        <w:jc w:val="left"/>
      </w:pPr>
      <w:r>
        <w:rPr>
          <w:rFonts w:ascii="Times New Roman" w:hAnsi="Times New Roman" w:cs="Times New Roman" w:eastAsia="Times New Roman" w:hint="default"/>
        </w:rPr>
        <w:t>1</w:t>
      </w:r>
      <w:r>
        <w:rPr/>
        <w:t>）该义务是本公司承担的现时义务；</w:t>
      </w:r>
    </w:p>
    <w:p>
      <w:pPr>
        <w:pStyle w:val="BodyText"/>
        <w:spacing w:line="240" w:lineRule="auto" w:before="117"/>
        <w:ind w:right="1127"/>
        <w:jc w:val="left"/>
      </w:pPr>
      <w:r>
        <w:rPr>
          <w:rFonts w:ascii="Times New Roman" w:hAnsi="Times New Roman" w:cs="Times New Roman" w:eastAsia="Times New Roman" w:hint="default"/>
        </w:rPr>
        <w:t>2</w:t>
      </w:r>
      <w:r>
        <w:rPr/>
        <w:t>）履行该义务很可能导致经济利益流出本公司；</w:t>
      </w:r>
    </w:p>
    <w:p>
      <w:pPr>
        <w:pStyle w:val="BodyText"/>
        <w:spacing w:line="240" w:lineRule="auto" w:before="119"/>
        <w:ind w:right="1127"/>
        <w:jc w:val="left"/>
      </w:pPr>
      <w:r>
        <w:rPr>
          <w:rFonts w:ascii="Times New Roman" w:hAnsi="Times New Roman" w:cs="Times New Roman" w:eastAsia="Times New Roman" w:hint="default"/>
        </w:rPr>
        <w:t>3</w:t>
      </w:r>
      <w:r>
        <w:rPr/>
        <w:t>）该义务的金额能够可靠地计量。</w:t>
      </w:r>
    </w:p>
    <w:p>
      <w:pPr>
        <w:pStyle w:val="BodyText"/>
        <w:spacing w:line="345" w:lineRule="auto" w:before="117"/>
        <w:ind w:right="1127"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）各类预计负债的计量方法</w:t>
      </w:r>
      <w:r>
        <w:rPr>
          <w:rFonts w:ascii="宋体" w:hAnsi="宋体" w:cs="宋体" w:eastAsia="宋体" w:hint="default"/>
          <w:b/>
          <w:bCs/>
          <w:w w:val="100"/>
        </w:rPr>
        <w:t> </w:t>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本公司在确定最佳估计数时，综合考虑与或有事项有关的风险、不确定性和货币时间价值等因素。对</w:t>
      </w:r>
    </w:p>
    <w:p>
      <w:pPr>
        <w:pStyle w:val="BodyText"/>
        <w:spacing w:line="355" w:lineRule="auto" w:before="43"/>
        <w:ind w:right="1127" w:hanging="421"/>
        <w:jc w:val="left"/>
      </w:pPr>
      <w:r>
        <w:rPr/>
        <w:t>于货币时间价值影响重大的，通过对相关未来现金流出进行折现后确定最佳估计数。</w:t>
      </w:r>
      <w:r>
        <w:rPr>
          <w:w w:val="100"/>
        </w:rPr>
        <w:t> </w:t>
      </w:r>
      <w:r>
        <w:rPr/>
        <w:t>最佳估计数分别以下情况处理：</w:t>
      </w:r>
      <w:r>
        <w:rPr>
          <w:w w:val="100"/>
        </w:rPr>
        <w:t> </w:t>
      </w:r>
      <w:r>
        <w:rPr>
          <w:spacing w:val="-2"/>
        </w:rPr>
        <w:t>所需支出存在一个连续范围（或区间），且该范围内各种结果发生的可能性相同的，则最佳估计数按</w:t>
      </w:r>
    </w:p>
    <w:p>
      <w:pPr>
        <w:pStyle w:val="BodyText"/>
        <w:spacing w:line="355" w:lineRule="auto" w:before="32"/>
        <w:ind w:right="1127" w:hanging="420"/>
        <w:jc w:val="left"/>
      </w:pPr>
      <w:r>
        <w:rPr/>
        <w:t>照该范围的中间值即上下限金额的平均数确定。</w:t>
      </w:r>
      <w:r>
        <w:rPr>
          <w:w w:val="100"/>
        </w:rPr>
        <w:t> </w:t>
      </w:r>
      <w:r>
        <w:rPr>
          <w:spacing w:val="-2"/>
        </w:rPr>
        <w:t>所需支出不存在一个连续范围（或区间），或虽然存在一个连续范围但该范围内各种结果发生的可能</w:t>
      </w:r>
    </w:p>
    <w:p>
      <w:pPr>
        <w:pStyle w:val="BodyText"/>
        <w:spacing w:line="355" w:lineRule="auto" w:before="34"/>
        <w:ind w:left="152" w:right="1128"/>
        <w:jc w:val="both"/>
      </w:pPr>
      <w:r>
        <w:rPr>
          <w:spacing w:val="-2"/>
        </w:rPr>
        <w:t>性不相同的，如或有事项涉及单个项目的，则最佳估计数按照最可能发生金额确定；如或有事项涉及多个</w:t>
      </w:r>
      <w:r>
        <w:rPr>
          <w:spacing w:val="-43"/>
        </w:rPr>
        <w:t> </w:t>
      </w:r>
      <w:r>
        <w:rPr>
          <w:spacing w:val="-43"/>
        </w:rPr>
      </w:r>
      <w:r>
        <w:rPr/>
        <w:t>项目的，则最佳估计数按各种可能结果及相关概率计算确定。</w:t>
      </w:r>
    </w:p>
    <w:p>
      <w:pPr>
        <w:pStyle w:val="BodyText"/>
        <w:spacing w:line="355" w:lineRule="auto" w:before="32"/>
        <w:ind w:left="152" w:right="1127" w:firstLine="420"/>
        <w:jc w:val="left"/>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spacing w:line="240" w:lineRule="auto" w:before="5"/>
        <w:rPr>
          <w:rFonts w:ascii="宋体" w:hAnsi="宋体" w:cs="宋体" w:eastAsia="宋体" w:hint="default"/>
          <w:sz w:val="25"/>
          <w:szCs w:val="25"/>
        </w:rPr>
      </w:pPr>
    </w:p>
    <w:p>
      <w:pPr>
        <w:pStyle w:val="Heading4"/>
        <w:spacing w:line="240" w:lineRule="auto"/>
        <w:ind w:right="1127"/>
        <w:jc w:val="left"/>
        <w:rPr>
          <w:b w:val="0"/>
          <w:bCs w:val="0"/>
        </w:rPr>
      </w:pPr>
      <w:bookmarkStart w:name="37、股份支付" w:id="326"/>
      <w:bookmarkEnd w:id="326"/>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8"/>
        <w:rPr>
          <w:rFonts w:ascii="宋体" w:hAnsi="宋体" w:cs="宋体" w:eastAsia="宋体" w:hint="default"/>
          <w:b/>
          <w:bCs/>
          <w:sz w:val="21"/>
          <w:szCs w:val="21"/>
        </w:rPr>
      </w:pPr>
    </w:p>
    <w:p>
      <w:pPr>
        <w:pStyle w:val="BodyText"/>
        <w:spacing w:line="357" w:lineRule="auto"/>
        <w:ind w:left="152" w:right="1127" w:firstLine="420"/>
        <w:jc w:val="left"/>
      </w:pPr>
      <w:r>
        <w:rPr>
          <w:spacing w:val="2"/>
        </w:rPr>
        <w:t>本公司的股份支付是为了获取职工或其他方提供服务而授予权益工具或者承担以权益工具为基础确</w:t>
      </w:r>
      <w:r>
        <w:rPr>
          <w:w w:val="100"/>
        </w:rPr>
        <w:t> </w:t>
      </w:r>
      <w:r>
        <w:rPr/>
        <w:t>定的负债的交易。本公司的股份支付分为以权益结算的股份支付和以现金结算的股份支付。</w:t>
      </w:r>
    </w:p>
    <w:p>
      <w:pPr>
        <w:spacing w:line="336" w:lineRule="auto" w:before="30"/>
        <w:ind w:left="572" w:right="11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）以权益结算的股份支付及权益工具</w:t>
      </w:r>
      <w:r>
        <w:rPr>
          <w:rFonts w:ascii="宋体" w:hAnsi="宋体" w:cs="宋体" w:eastAsia="宋体" w:hint="default"/>
          <w:b/>
          <w:bCs/>
          <w:w w:val="100"/>
          <w:sz w:val="21"/>
          <w:szCs w:val="21"/>
        </w:rPr>
        <w:t> </w:t>
      </w:r>
      <w:r>
        <w:rPr>
          <w:rFonts w:ascii="宋体" w:hAnsi="宋体" w:cs="宋体" w:eastAsia="宋体" w:hint="default"/>
          <w:spacing w:val="-2"/>
          <w:sz w:val="21"/>
          <w:szCs w:val="21"/>
        </w:rPr>
        <w:t>以权益结算的股份支付换取职工提供服务的，以授予职工权益工具的公允价值计量。本公司以限制性</w:t>
      </w:r>
    </w:p>
    <w:p>
      <w:pPr>
        <w:pStyle w:val="BodyText"/>
        <w:spacing w:line="350" w:lineRule="auto" w:before="49"/>
        <w:ind w:left="152" w:right="1094"/>
        <w:jc w:val="both"/>
      </w:pPr>
      <w:r>
        <w:rPr>
          <w:spacing w:val="-2"/>
        </w:rPr>
        <w:t>股票进行股份支付的，职工出资认购股票，股票在达到解锁条件并解锁前不得上市流通或转让；如果最终</w:t>
      </w:r>
      <w:r>
        <w:rPr>
          <w:spacing w:val="-44"/>
        </w:rPr>
        <w:t> </w:t>
      </w:r>
      <w:r>
        <w:rPr>
          <w:spacing w:val="-44"/>
        </w:rPr>
      </w:r>
      <w:r>
        <w:rPr>
          <w:spacing w:val="-2"/>
        </w:rPr>
        <w:t>股权激励计划规定的解锁条件未能达到，则本公司按照事先约定的价格回购股票。本公司取得职工认购限</w:t>
      </w:r>
      <w:r>
        <w:rPr>
          <w:spacing w:val="-42"/>
        </w:rPr>
        <w:t> </w:t>
      </w:r>
      <w:r>
        <w:rPr>
          <w:spacing w:val="-42"/>
        </w:rPr>
      </w:r>
      <w:r>
        <w:rPr>
          <w:spacing w:val="-2"/>
        </w:rPr>
        <w:t>制性股票支付的款项时，按照取得的认股款确认股本和资本公积（股本溢价），同时就回购义务全额确认</w:t>
      </w:r>
      <w:r>
        <w:rPr>
          <w:spacing w:val="-49"/>
        </w:rPr>
        <w:t> </w:t>
      </w:r>
      <w:r>
        <w:rPr>
          <w:spacing w:val="-49"/>
        </w:rPr>
      </w:r>
      <w:r>
        <w:rPr/>
        <w:t>一项负债并确认库存股。在等待期内每个资产负债表日，本公司根据最新取得的</w:t>
      </w:r>
      <w:r>
        <w:rPr>
          <w:rFonts w:ascii="Times New Roman" w:hAnsi="Times New Roman" w:cs="Times New Roman" w:eastAsia="Times New Roman" w:hint="default"/>
        </w:rPr>
        <w:t>[</w:t>
      </w:r>
      <w:r>
        <w:rPr/>
        <w:t>可行权职工人数变动</w:t>
      </w:r>
      <w:r>
        <w:rPr>
          <w:rFonts w:ascii="Times New Roman" w:hAnsi="Times New Roman" w:cs="Times New Roman" w:eastAsia="Times New Roman" w:hint="default"/>
        </w:rPr>
        <w:t>]</w:t>
      </w:r>
      <w:r>
        <w:rPr>
          <w:rFonts w:ascii="Times New Roman" w:hAnsi="Times New Roman" w:cs="Times New Roman" w:eastAsia="Times New Roman" w:hint="default"/>
          <w:spacing w:val="22"/>
        </w:rPr>
        <w:t> </w:t>
      </w:r>
      <w:r>
        <w:rPr/>
        <w:t>、</w:t>
      </w:r>
      <w:r>
        <w:rPr>
          <w:w w:val="100"/>
        </w:rPr>
        <w:t> </w:t>
      </w:r>
      <w:r>
        <w:rPr>
          <w:rFonts w:ascii="Times New Roman" w:hAnsi="Times New Roman" w:cs="Times New Roman" w:eastAsia="Times New Roman" w:hint="default"/>
        </w:rPr>
        <w:t>[</w:t>
      </w:r>
      <w:r>
        <w:rPr/>
        <w:t>是否达到规定业绩条件</w:t>
      </w:r>
      <w:r>
        <w:rPr>
          <w:rFonts w:ascii="Times New Roman" w:hAnsi="Times New Roman" w:cs="Times New Roman" w:eastAsia="Times New Roman" w:hint="default"/>
        </w:rPr>
        <w:t>]</w:t>
      </w:r>
      <w:r>
        <w:rPr/>
        <w:t>等后续信息对可行权权益工具数量作出最佳估计，以此为基础，按照授予日的公</w:t>
      </w:r>
      <w:r>
        <w:rPr>
          <w:spacing w:val="-60"/>
        </w:rPr>
        <w:t> </w:t>
      </w:r>
      <w:r>
        <w:rPr>
          <w:spacing w:val="-60"/>
        </w:rPr>
      </w:r>
      <w:r>
        <w:rPr>
          <w:spacing w:val="-2"/>
        </w:rPr>
        <w:t>允价值，将当期取得的服务计入相关成本或费用，相应增加资本公积。在可行权日之后不再对已确认的相</w:t>
      </w:r>
      <w:r>
        <w:rPr>
          <w:spacing w:val="-42"/>
        </w:rPr>
        <w:t> </w:t>
      </w:r>
      <w:r>
        <w:rPr>
          <w:spacing w:val="-42"/>
        </w:rPr>
      </w:r>
      <w:r>
        <w:rPr>
          <w:spacing w:val="-2"/>
        </w:rPr>
        <w:t>关成本或费用和所有者权益总额进行调整。但授予后立即可行权的，在授予日按照公允价值计入相关成本</w:t>
      </w:r>
      <w:r>
        <w:rPr>
          <w:spacing w:val="-42"/>
        </w:rPr>
        <w:t> </w:t>
      </w:r>
      <w:r>
        <w:rPr>
          <w:spacing w:val="-42"/>
        </w:rPr>
      </w:r>
      <w:r>
        <w:rPr/>
        <w:t>或费用，相应增加资本公积。</w:t>
      </w:r>
    </w:p>
    <w:p>
      <w:pPr>
        <w:pStyle w:val="BodyText"/>
        <w:spacing w:line="355" w:lineRule="auto" w:before="36"/>
        <w:ind w:left="152" w:right="1127" w:firstLine="420"/>
        <w:jc w:val="left"/>
      </w:pPr>
      <w:r>
        <w:rPr>
          <w:spacing w:val="-2"/>
        </w:rPr>
        <w:t>对于最终未能行权的股份支付，不确认成本或费用，除非行权条件是市场条件或非可行权条件，此时</w:t>
      </w:r>
      <w:r>
        <w:rPr>
          <w:w w:val="100"/>
        </w:rPr>
        <w:t> </w:t>
      </w:r>
      <w:r>
        <w:rPr/>
        <w:t>无论是否满足市场条件或非可行权条件，只要满足所有可行权条件中的非市场条件，即视为可行权。</w:t>
      </w:r>
    </w:p>
    <w:p>
      <w:pPr>
        <w:pStyle w:val="BodyText"/>
        <w:spacing w:line="357" w:lineRule="auto" w:before="32"/>
        <w:ind w:left="152" w:right="1127" w:firstLine="420"/>
        <w:jc w:val="left"/>
      </w:pPr>
      <w:r>
        <w:rPr>
          <w:spacing w:val="-2"/>
        </w:rPr>
        <w:t>如果修改了以权益结算的股份支付的条款，至少按照未修改条款的情况确认取得的服务。此外，任何</w:t>
      </w:r>
      <w:r>
        <w:rPr>
          <w:w w:val="100"/>
        </w:rPr>
        <w:t> </w:t>
      </w:r>
      <w:r>
        <w:rPr/>
        <w:t>增加所授予权益工具公允价值的修改，或在修改日对职工有利的变更，均确认取得服务的增加。</w:t>
      </w:r>
    </w:p>
    <w:p>
      <w:pPr>
        <w:spacing w:after="0" w:line="357" w:lineRule="auto"/>
        <w:jc w:val="left"/>
        <w:sectPr>
          <w:pgSz w:w="11910" w:h="16840"/>
          <w:pgMar w:header="882" w:footer="1134" w:top="1280" w:bottom="1320" w:left="980" w:right="0"/>
        </w:sectPr>
      </w:pPr>
    </w:p>
    <w:p>
      <w:pPr>
        <w:pStyle w:val="BodyText"/>
        <w:spacing w:line="357" w:lineRule="auto" w:before="112"/>
        <w:ind w:left="152" w:right="0" w:firstLine="420"/>
        <w:jc w:val="left"/>
      </w:pPr>
      <w:r>
        <w:rPr/>
        <w:t>如果取消了以权益结算的股份支付，则于取消日作为加速行权处理，立即确认尚未确认的金额。职工</w:t>
      </w:r>
      <w:r>
        <w:rPr>
          <w:w w:val="100"/>
        </w:rPr>
        <w:t> </w:t>
      </w:r>
      <w:r>
        <w:rPr>
          <w:spacing w:val="-5"/>
        </w:rPr>
        <w:t>或其他方能够选择满足非可行权条件但在等待期内未满足的，作为取消以权益结算的股份支付处理。但是， </w:t>
      </w:r>
      <w:r>
        <w:rPr>
          <w:spacing w:val="-5"/>
        </w:rPr>
      </w:r>
      <w:r>
        <w:rPr>
          <w:spacing w:val="2"/>
        </w:rPr>
        <w:t>如果授予新的权益工具，并在新权益工具授予日认定所授予的新权益工具是用于替代被取消的权益工具</w:t>
      </w:r>
      <w:r>
        <w:rPr>
          <w:spacing w:val="-28"/>
        </w:rPr>
        <w:t> </w:t>
      </w:r>
      <w:r>
        <w:rPr>
          <w:spacing w:val="-28"/>
        </w:rPr>
      </w:r>
      <w:r>
        <w:rPr/>
        <w:t>的，则以与处理原权益工具条款和条件修改相同的方式，对所授予的替代权益工具进行处理。</w:t>
      </w:r>
    </w:p>
    <w:p>
      <w:pPr>
        <w:spacing w:line="336" w:lineRule="auto" w:before="30"/>
        <w:ind w:left="649" w:right="1127" w:hanging="75"/>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）以现金结算的股份支付及权益工具</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以现金结算的股份支付，按照本公司承担的以股份或其他权益工具为基础计算确定的负债的公允价值</w:t>
      </w:r>
    </w:p>
    <w:p>
      <w:pPr>
        <w:pStyle w:val="BodyText"/>
        <w:spacing w:line="348" w:lineRule="auto" w:before="49"/>
        <w:ind w:left="229" w:right="1127" w:hanging="1"/>
        <w:jc w:val="both"/>
      </w:pPr>
      <w:r>
        <w:rPr>
          <w:spacing w:val="-2"/>
        </w:rPr>
        <w:t>计量。初始采用</w:t>
      </w:r>
      <w:r>
        <w:rPr>
          <w:rFonts w:ascii="Times New Roman" w:hAnsi="Times New Roman" w:cs="Times New Roman" w:eastAsia="Times New Roman" w:hint="default"/>
          <w:spacing w:val="-2"/>
        </w:rPr>
        <w:t>BlackScholes</w:t>
      </w:r>
      <w:r>
        <w:rPr>
          <w:spacing w:val="-2"/>
        </w:rPr>
        <w:t>模型（</w:t>
      </w:r>
      <w:r>
        <w:rPr>
          <w:rFonts w:ascii="Times New Roman" w:hAnsi="Times New Roman" w:cs="Times New Roman" w:eastAsia="Times New Roman" w:hint="default"/>
          <w:spacing w:val="-2"/>
        </w:rPr>
        <w:t>BS</w:t>
      </w:r>
      <w:r>
        <w:rPr>
          <w:spacing w:val="-2"/>
        </w:rPr>
        <w:t>模型）按照授予日的公允价值计量，并考虑授予权益工具的条款和</w:t>
      </w:r>
      <w:r>
        <w:rPr>
          <w:spacing w:val="-49"/>
        </w:rPr>
        <w:t> </w:t>
      </w:r>
      <w:r>
        <w:rPr>
          <w:spacing w:val="-49"/>
        </w:rPr>
      </w:r>
      <w:r>
        <w:rPr>
          <w:spacing w:val="-4"/>
        </w:rPr>
        <w:t>条件，详见本附注</w:t>
      </w:r>
      <w:r>
        <w:rPr>
          <w:rFonts w:ascii="Times New Roman" w:hAnsi="Times New Roman" w:cs="Times New Roman" w:eastAsia="Times New Roman" w:hint="default"/>
          <w:spacing w:val="-4"/>
        </w:rPr>
        <w:t>“</w:t>
      </w:r>
      <w:r>
        <w:rPr>
          <w:spacing w:val="-4"/>
        </w:rPr>
        <w:t>（二十七）、股份支付</w:t>
      </w:r>
      <w:r>
        <w:rPr>
          <w:rFonts w:ascii="Times New Roman" w:hAnsi="Times New Roman" w:cs="Times New Roman" w:eastAsia="Times New Roman" w:hint="default"/>
          <w:spacing w:val="-4"/>
        </w:rPr>
        <w:t>”</w:t>
      </w:r>
      <w:r>
        <w:rPr>
          <w:spacing w:val="-4"/>
        </w:rPr>
        <w:t>。授予后立即可行权的，在授予日以承担负债的公允价值计入</w:t>
      </w:r>
      <w:r>
        <w:rPr>
          <w:spacing w:val="-9"/>
        </w:rPr>
        <w:t> </w:t>
      </w:r>
      <w:r>
        <w:rPr>
          <w:spacing w:val="-9"/>
        </w:rPr>
      </w:r>
      <w:r>
        <w:rPr>
          <w:spacing w:val="-4"/>
        </w:rPr>
        <w:t>成本或费用，相应增加负债；完成等待期内的服务或达到规定业绩条件才可行权的，在等待期内以对可行</w:t>
      </w:r>
      <w:r>
        <w:rPr>
          <w:spacing w:val="-29"/>
        </w:rPr>
        <w:t> </w:t>
      </w:r>
      <w:r>
        <w:rPr>
          <w:spacing w:val="-29"/>
        </w:rPr>
      </w:r>
      <w:r>
        <w:rPr>
          <w:spacing w:val="-4"/>
        </w:rPr>
        <w:t>权情况的最佳估计为基础，按照承担负债的公允价值，将当期取得的服务计入相关成本或费用，增加相应</w:t>
      </w:r>
      <w:r>
        <w:rPr>
          <w:spacing w:val="-28"/>
        </w:rPr>
        <w:t> </w:t>
      </w:r>
      <w:r>
        <w:rPr>
          <w:spacing w:val="-28"/>
        </w:rPr>
      </w:r>
      <w:r>
        <w:rPr>
          <w:spacing w:val="-4"/>
        </w:rPr>
        <w:t>负债。在相关负债结算前的每个资产负债表日以及结算日，对负债的公允价值重新计量，其变动计入当期</w:t>
      </w:r>
      <w:r>
        <w:rPr>
          <w:spacing w:val="-28"/>
        </w:rPr>
        <w:t> </w:t>
      </w:r>
      <w:r>
        <w:rPr>
          <w:spacing w:val="-28"/>
        </w:rPr>
      </w:r>
      <w:r>
        <w:rPr/>
        <w:t>损益。</w:t>
      </w:r>
    </w:p>
    <w:p>
      <w:pPr>
        <w:spacing w:line="570" w:lineRule="atLeast" w:before="62"/>
        <w:ind w:left="572" w:right="1127" w:hanging="420"/>
        <w:jc w:val="left"/>
        <w:rPr>
          <w:rFonts w:ascii="宋体" w:hAnsi="宋体" w:cs="宋体" w:eastAsia="宋体" w:hint="default"/>
          <w:sz w:val="21"/>
          <w:szCs w:val="21"/>
        </w:rPr>
      </w:pPr>
      <w:bookmarkStart w:name="38、优先股、永续债等其他金融工具" w:id="327"/>
      <w:bookmarkEnd w:id="327"/>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、优先股、永续债等其他金融工具</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本公司根据所发行优先股</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永续债的合同条款及其所反映的经济实质而非仅以法律形式，在初始确认时</w:t>
      </w:r>
    </w:p>
    <w:p>
      <w:pPr>
        <w:pStyle w:val="BodyText"/>
        <w:spacing w:line="336" w:lineRule="auto" w:before="117"/>
        <w:ind w:left="152" w:right="1050"/>
        <w:jc w:val="both"/>
      </w:pPr>
      <w:r>
        <w:rPr>
          <w:spacing w:val="-2"/>
        </w:rPr>
        <w:t>将其分类为金融资产、金融负债或权益工具。本公司发行的永续债</w:t>
      </w:r>
      <w:r>
        <w:rPr>
          <w:rFonts w:ascii="Times New Roman" w:hAnsi="Times New Roman" w:cs="Times New Roman" w:eastAsia="Times New Roman" w:hint="default"/>
          <w:spacing w:val="-2"/>
        </w:rPr>
        <w:t>/</w:t>
      </w:r>
      <w:r>
        <w:rPr>
          <w:spacing w:val="-2"/>
        </w:rPr>
        <w:t>优先股等金融工具满足以下条件之一，</w:t>
      </w:r>
      <w:r>
        <w:rPr>
          <w:spacing w:val="-23"/>
        </w:rPr>
        <w:t> </w:t>
      </w:r>
      <w:r>
        <w:rPr>
          <w:spacing w:val="-23"/>
        </w:rPr>
      </w:r>
      <w:r>
        <w:rPr/>
        <w:t>在初始确认时将该金融工具整体或其组成部分分类为金融负债：</w:t>
      </w:r>
    </w:p>
    <w:p>
      <w:pPr>
        <w:pStyle w:val="BodyText"/>
        <w:spacing w:line="240" w:lineRule="auto" w:before="49"/>
        <w:ind w:right="1127"/>
        <w:jc w:val="left"/>
      </w:pPr>
      <w:r>
        <w:rPr/>
        <w:t>（</w:t>
      </w:r>
      <w:r>
        <w:rPr>
          <w:rFonts w:ascii="Times New Roman" w:hAnsi="Times New Roman" w:cs="Times New Roman" w:eastAsia="Times New Roman" w:hint="default"/>
        </w:rPr>
        <w:t>1</w:t>
      </w:r>
      <w:r>
        <w:rPr/>
        <w:t>）存在本公司不能无条件地避免以交付现金或其他金融资产履行的合同义务；</w:t>
      </w:r>
    </w:p>
    <w:p>
      <w:pPr>
        <w:pStyle w:val="BodyText"/>
        <w:spacing w:line="240" w:lineRule="auto" w:before="117"/>
        <w:ind w:right="1127"/>
        <w:jc w:val="left"/>
      </w:pPr>
      <w:r>
        <w:rPr/>
        <w:t>（</w:t>
      </w:r>
      <w:r>
        <w:rPr>
          <w:rFonts w:ascii="Times New Roman" w:hAnsi="Times New Roman" w:cs="Times New Roman" w:eastAsia="Times New Roman" w:hint="default"/>
        </w:rPr>
        <w:t>2</w:t>
      </w:r>
      <w:r>
        <w:rPr/>
        <w:t>）包含交付可变数量的自身权益工具进行结算的合同义务；</w:t>
      </w:r>
    </w:p>
    <w:p>
      <w:pPr>
        <w:pStyle w:val="BodyText"/>
        <w:spacing w:line="336" w:lineRule="auto" w:before="119"/>
        <w:ind w:left="152" w:right="1127" w:firstLine="420"/>
        <w:jc w:val="left"/>
      </w:pPr>
      <w:r>
        <w:rPr/>
        <w:t>（</w:t>
      </w:r>
      <w:r>
        <w:rPr>
          <w:rFonts w:ascii="Times New Roman" w:hAnsi="Times New Roman" w:cs="Times New Roman" w:eastAsia="Times New Roman" w:hint="default"/>
        </w:rPr>
        <w:t>3</w:t>
      </w:r>
      <w:r>
        <w:rPr/>
        <w:t>）包含以自身权益进行结算的衍生工具（例如转股权等），且该衍生工具不以固定数量的自身权</w:t>
      </w:r>
      <w:r>
        <w:rPr>
          <w:w w:val="100"/>
        </w:rPr>
        <w:t> </w:t>
      </w:r>
      <w:r>
        <w:rPr/>
        <w:t>益工具交换固定金额的现金或其他金融资产进行结算；</w:t>
      </w:r>
    </w:p>
    <w:p>
      <w:pPr>
        <w:pStyle w:val="BodyText"/>
        <w:spacing w:line="240" w:lineRule="auto" w:before="49"/>
        <w:ind w:right="1127"/>
        <w:jc w:val="left"/>
      </w:pPr>
      <w:r>
        <w:rPr/>
        <w:t>（</w:t>
      </w:r>
      <w:r>
        <w:rPr>
          <w:rFonts w:ascii="Times New Roman" w:hAnsi="Times New Roman" w:cs="Times New Roman" w:eastAsia="Times New Roman" w:hint="default"/>
        </w:rPr>
        <w:t>4</w:t>
      </w:r>
      <w:r>
        <w:rPr/>
        <w:t>）存在间接地形成合同义务的合同条款；</w:t>
      </w:r>
    </w:p>
    <w:p>
      <w:pPr>
        <w:pStyle w:val="BodyText"/>
        <w:spacing w:line="336" w:lineRule="auto" w:before="117"/>
        <w:ind w:right="1127"/>
        <w:jc w:val="left"/>
      </w:pPr>
      <w:r>
        <w:rPr/>
        <w:t>（</w:t>
      </w:r>
      <w:r>
        <w:rPr>
          <w:rFonts w:ascii="Times New Roman" w:hAnsi="Times New Roman" w:cs="Times New Roman" w:eastAsia="Times New Roman" w:hint="default"/>
        </w:rPr>
        <w:t>5</w:t>
      </w:r>
      <w:r>
        <w:rPr/>
        <w:t>）发行方清算时永续债与发行方发行的普通债券和其他债务处于相同清偿顺序的。</w:t>
      </w:r>
      <w:r>
        <w:rPr>
          <w:w w:val="100"/>
        </w:rPr>
        <w:t> </w:t>
      </w:r>
      <w:r>
        <w:rPr>
          <w:spacing w:val="-4"/>
        </w:rPr>
        <w:t>不满足上述任何一项条件的永续债</w:t>
      </w:r>
      <w:r>
        <w:rPr>
          <w:rFonts w:ascii="Times New Roman" w:hAnsi="Times New Roman" w:cs="Times New Roman" w:eastAsia="Times New Roman" w:hint="default"/>
          <w:spacing w:val="-4"/>
        </w:rPr>
        <w:t>/</w:t>
      </w:r>
      <w:r>
        <w:rPr>
          <w:spacing w:val="-4"/>
        </w:rPr>
        <w:t>优先股等金融工具，在初始确认时将该金融工具整体或其组成部分</w:t>
      </w:r>
    </w:p>
    <w:p>
      <w:pPr>
        <w:pStyle w:val="BodyText"/>
        <w:spacing w:line="240" w:lineRule="auto" w:before="26"/>
        <w:ind w:left="152" w:right="0"/>
        <w:jc w:val="both"/>
      </w:pPr>
      <w:r>
        <w:rPr/>
        <w:t>分类为权益工具。</w:t>
      </w:r>
    </w:p>
    <w:p>
      <w:pPr>
        <w:spacing w:line="240" w:lineRule="auto" w:before="0"/>
        <w:rPr>
          <w:rFonts w:ascii="宋体" w:hAnsi="宋体" w:cs="宋体" w:eastAsia="宋体" w:hint="default"/>
          <w:sz w:val="20"/>
          <w:szCs w:val="20"/>
        </w:rPr>
      </w:pPr>
    </w:p>
    <w:p>
      <w:pPr>
        <w:pStyle w:val="Heading4"/>
        <w:spacing w:line="240" w:lineRule="auto" w:before="171"/>
        <w:ind w:right="0"/>
        <w:jc w:val="both"/>
        <w:rPr>
          <w:b w:val="0"/>
          <w:bCs w:val="0"/>
        </w:rPr>
      </w:pPr>
      <w:bookmarkStart w:name="39、收入" w:id="328"/>
      <w:bookmarkEnd w:id="328"/>
      <w:r>
        <w:rPr>
          <w:b w:val="0"/>
          <w:bCs w:val="0"/>
        </w:rPr>
      </w:r>
      <w:r>
        <w:rPr>
          <w:rFonts w:ascii="Times New Roman" w:hAnsi="Times New Roman" w:cs="Times New Roman" w:eastAsia="Times New Roman" w:hint="default"/>
        </w:rPr>
        <w:t>39</w:t>
      </w:r>
      <w:r>
        <w:rPr/>
        <w:t>、收入</w:t>
      </w:r>
      <w:r>
        <w:rPr>
          <w:b w:val="0"/>
          <w:bCs w:val="0"/>
        </w:rPr>
      </w:r>
    </w:p>
    <w:p>
      <w:pPr>
        <w:spacing w:line="240" w:lineRule="auto" w:before="8"/>
        <w:rPr>
          <w:rFonts w:ascii="宋体" w:hAnsi="宋体" w:cs="宋体" w:eastAsia="宋体" w:hint="default"/>
          <w:b/>
          <w:bCs/>
          <w:sz w:val="21"/>
          <w:szCs w:val="21"/>
        </w:rPr>
      </w:pPr>
    </w:p>
    <w:p>
      <w:pPr>
        <w:pStyle w:val="BodyText"/>
        <w:spacing w:line="333" w:lineRule="auto"/>
        <w:ind w:left="152" w:right="1022" w:firstLine="419"/>
        <w:jc w:val="left"/>
      </w:pPr>
      <w:r>
        <w:rPr>
          <w:spacing w:val="-3"/>
        </w:rPr>
        <w:t>公司需遵守《深圳证券交易所行业信息披露指引第 </w:t>
      </w:r>
      <w:r>
        <w:rPr>
          <w:rFonts w:ascii="Times New Roman" w:hAnsi="Times New Roman" w:cs="Times New Roman" w:eastAsia="Times New Roman" w:hint="default"/>
        </w:rPr>
        <w:t>12</w:t>
      </w:r>
      <w:r>
        <w:rPr>
          <w:rFonts w:ascii="Times New Roman" w:hAnsi="Times New Roman" w:cs="Times New Roman" w:eastAsia="Times New Roman" w:hint="default"/>
          <w:spacing w:val="-25"/>
        </w:rPr>
        <w:t> </w:t>
      </w:r>
      <w:r>
        <w:rPr/>
        <w:t>号</w:t>
      </w:r>
      <w:r>
        <w:rPr>
          <w:rFonts w:ascii="Times New Roman" w:hAnsi="Times New Roman" w:cs="Times New Roman" w:eastAsia="Times New Roman" w:hint="default"/>
        </w:rPr>
        <w:t>——</w:t>
      </w:r>
      <w:r>
        <w:rPr/>
        <w:t>上市公司从事软件与信息技术服务业务》</w:t>
      </w:r>
      <w:r>
        <w:rPr>
          <w:w w:val="100"/>
        </w:rPr>
        <w:t> </w:t>
      </w:r>
      <w:r>
        <w:rPr/>
        <w:t>的披露要求</w:t>
      </w:r>
    </w:p>
    <w:p>
      <w:pPr>
        <w:pStyle w:val="Heading4"/>
        <w:spacing w:line="240" w:lineRule="auto" w:before="154"/>
        <w:ind w:left="575" w:right="1127"/>
        <w:jc w:val="left"/>
        <w:rPr>
          <w:b w:val="0"/>
          <w:bCs w:val="0"/>
        </w:rPr>
      </w:pPr>
      <w:r>
        <w:rPr/>
        <w:t>（</w:t>
      </w:r>
      <w:r>
        <w:rPr>
          <w:rFonts w:ascii="Times New Roman" w:hAnsi="Times New Roman" w:cs="Times New Roman" w:eastAsia="Times New Roman" w:hint="default"/>
        </w:rPr>
        <w:t>1</w:t>
      </w:r>
      <w:r>
        <w:rPr/>
        <w:t>）销售商品收入确认的一般原则</w:t>
      </w:r>
      <w:r>
        <w:rPr>
          <w:b w:val="0"/>
          <w:bCs w:val="0"/>
        </w:rPr>
      </w:r>
    </w:p>
    <w:p>
      <w:pPr>
        <w:pStyle w:val="BodyText"/>
        <w:spacing w:line="240" w:lineRule="auto" w:before="117"/>
        <w:ind w:right="1127"/>
        <w:jc w:val="left"/>
      </w:pPr>
      <w:r>
        <w:rPr>
          <w:rFonts w:ascii="Times New Roman" w:hAnsi="Times New Roman" w:cs="Times New Roman" w:eastAsia="Times New Roman" w:hint="default"/>
        </w:rPr>
        <w:t>1</w:t>
      </w:r>
      <w:r>
        <w:rPr/>
        <w:t>）本公司已将商品所有权上的主要风险和报酬转移给购货方；</w:t>
      </w:r>
    </w:p>
    <w:p>
      <w:pPr>
        <w:pStyle w:val="BodyText"/>
        <w:spacing w:line="240" w:lineRule="auto" w:before="117"/>
        <w:ind w:right="1127"/>
        <w:jc w:val="left"/>
      </w:pPr>
      <w:r>
        <w:rPr>
          <w:rFonts w:ascii="Times New Roman" w:hAnsi="Times New Roman" w:cs="Times New Roman" w:eastAsia="Times New Roman" w:hint="default"/>
        </w:rPr>
        <w:t>2</w:t>
      </w:r>
      <w:r>
        <w:rPr/>
        <w:t>）本公司既没有保留通常与所有权相联系的继续管理权，也没有对已售出的商品实施有效控制；</w:t>
      </w:r>
    </w:p>
    <w:p>
      <w:pPr>
        <w:pStyle w:val="BodyText"/>
        <w:spacing w:line="240" w:lineRule="auto" w:before="119"/>
        <w:ind w:right="1127"/>
        <w:jc w:val="left"/>
      </w:pPr>
      <w:r>
        <w:rPr>
          <w:rFonts w:ascii="Times New Roman" w:hAnsi="Times New Roman" w:cs="Times New Roman" w:eastAsia="Times New Roman" w:hint="default"/>
        </w:rPr>
        <w:t>3</w:t>
      </w:r>
      <w:r>
        <w:rPr/>
        <w:t>）收入的金额能够可靠地计量；</w:t>
      </w:r>
    </w:p>
    <w:p>
      <w:pPr>
        <w:spacing w:after="0" w:line="240" w:lineRule="auto"/>
        <w:jc w:val="left"/>
        <w:sectPr>
          <w:pgSz w:w="11910" w:h="16840"/>
          <w:pgMar w:header="882" w:footer="1134" w:top="1280" w:bottom="1320" w:left="980" w:right="0"/>
        </w:sectPr>
      </w:pPr>
    </w:p>
    <w:p>
      <w:pPr>
        <w:pStyle w:val="BodyText"/>
        <w:spacing w:line="240" w:lineRule="auto" w:before="112"/>
        <w:ind w:right="1127"/>
        <w:jc w:val="left"/>
      </w:pPr>
      <w:r>
        <w:rPr>
          <w:rFonts w:ascii="Times New Roman" w:hAnsi="Times New Roman" w:cs="Times New Roman" w:eastAsia="Times New Roman" w:hint="default"/>
        </w:rPr>
        <w:t>4</w:t>
      </w:r>
      <w:r>
        <w:rPr/>
        <w:t>）相关的经济利益很可能流入本公司；</w:t>
      </w:r>
    </w:p>
    <w:p>
      <w:pPr>
        <w:pStyle w:val="BodyText"/>
        <w:spacing w:line="240" w:lineRule="auto" w:before="117"/>
        <w:ind w:right="1127"/>
        <w:jc w:val="left"/>
      </w:pPr>
      <w:r>
        <w:rPr>
          <w:rFonts w:ascii="Times New Roman" w:hAnsi="Times New Roman" w:cs="Times New Roman" w:eastAsia="Times New Roman" w:hint="default"/>
        </w:rPr>
        <w:t>5</w:t>
      </w:r>
      <w:r>
        <w:rPr/>
        <w:t>）相关的、已发生或将发生的成本能够可靠地计量。</w:t>
      </w:r>
    </w:p>
    <w:p>
      <w:pPr>
        <w:pStyle w:val="BodyText"/>
        <w:spacing w:line="338" w:lineRule="auto" w:before="117"/>
        <w:ind w:right="1127" w:firstLine="84"/>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）具体原则</w:t>
      </w:r>
      <w:r>
        <w:rPr>
          <w:rFonts w:ascii="宋体" w:hAnsi="宋体" w:cs="宋体" w:eastAsia="宋体" w:hint="default"/>
          <w:b/>
          <w:bCs/>
          <w:w w:val="100"/>
        </w:rPr>
        <w:t> </w:t>
      </w:r>
      <w:r>
        <w:rPr>
          <w:spacing w:val="-2"/>
        </w:rPr>
        <w:t>业务人员根据客户订单在业务系统发出销货申请，财务人员根据销货申请收取货款并通知仓库办理出</w:t>
      </w:r>
    </w:p>
    <w:p>
      <w:pPr>
        <w:pStyle w:val="BodyText"/>
        <w:spacing w:line="355" w:lineRule="auto" w:before="47"/>
        <w:ind w:right="1127" w:hanging="421"/>
        <w:jc w:val="left"/>
      </w:pPr>
      <w:r>
        <w:rPr/>
        <w:t>库手续。安装技师上门为客户进行产品安装和调试，安装完毕后由客户在服务工作单上签字验收。</w:t>
      </w:r>
      <w:r>
        <w:rPr>
          <w:w w:val="100"/>
        </w:rPr>
        <w:t> </w:t>
      </w:r>
      <w:r>
        <w:rPr>
          <w:spacing w:val="-2"/>
        </w:rPr>
        <w:t>财务部收到客户签收的服务工作单后，确认已将商品所有权上的主要风险和报酬转移给购货方，开具</w:t>
      </w:r>
    </w:p>
    <w:p>
      <w:pPr>
        <w:pStyle w:val="BodyText"/>
        <w:spacing w:line="357" w:lineRule="auto" w:before="32"/>
        <w:ind w:right="1932" w:hanging="421"/>
        <w:jc w:val="left"/>
      </w:pPr>
      <w:r>
        <w:rPr/>
        <w:t>销售发票，确认销售收入。</w:t>
      </w:r>
      <w:r>
        <w:rPr>
          <w:w w:val="100"/>
        </w:rPr>
        <w:t> </w:t>
      </w:r>
      <w:r>
        <w:rPr>
          <w:spacing w:val="-2"/>
        </w:rPr>
        <w:t>本公司销售商品收入确认的确认标准及收入确认时间的具体判断标准：</w:t>
      </w:r>
    </w:p>
    <w:p>
      <w:pPr>
        <w:pStyle w:val="BodyText"/>
        <w:spacing w:line="336" w:lineRule="auto" w:before="30"/>
        <w:ind w:left="152" w:right="1127" w:firstLine="420"/>
        <w:jc w:val="left"/>
      </w:pPr>
      <w:r>
        <w:rPr>
          <w:rFonts w:ascii="Times New Roman" w:hAnsi="Times New Roman" w:cs="Times New Roman" w:eastAsia="Times New Roman" w:hint="default"/>
        </w:rPr>
        <w:t>1</w:t>
      </w:r>
      <w:r>
        <w:rPr/>
        <w:t>）嵌入式系统测试产品和嵌入式工业智能移动终端：需要安装调试的为产品交付购货方、安装调试</w:t>
      </w:r>
      <w:r>
        <w:rPr>
          <w:w w:val="100"/>
        </w:rPr>
        <w:t> </w:t>
      </w:r>
      <w:r>
        <w:rPr/>
        <w:t>结束并经对方验收合格后确认收入；不需要安装调试的为产品交付购货方、经对方签收后确认收入。</w:t>
      </w:r>
    </w:p>
    <w:p>
      <w:pPr>
        <w:pStyle w:val="BodyText"/>
        <w:spacing w:line="336" w:lineRule="auto" w:before="49"/>
        <w:ind w:left="152" w:right="1127" w:firstLine="420"/>
        <w:jc w:val="left"/>
      </w:pPr>
      <w:r>
        <w:rPr>
          <w:rFonts w:ascii="Times New Roman" w:hAnsi="Times New Roman" w:cs="Times New Roman" w:eastAsia="Times New Roman" w:hint="default"/>
        </w:rPr>
        <w:t>2</w:t>
      </w:r>
      <w:r>
        <w:rPr/>
        <w:t>）嵌入式税务信息化产品（包括</w:t>
      </w:r>
      <w:r>
        <w:rPr>
          <w:rFonts w:ascii="Times New Roman" w:hAnsi="Times New Roman" w:cs="Times New Roman" w:eastAsia="Times New Roman" w:hint="default"/>
        </w:rPr>
        <w:t>USBKEY</w:t>
      </w:r>
      <w:r>
        <w:rPr/>
        <w:t>、税务信息化）：产品交付购货方、经对方签收后确认收</w:t>
      </w:r>
      <w:r>
        <w:rPr>
          <w:spacing w:val="2"/>
          <w:w w:val="100"/>
        </w:rPr>
        <w:t> </w:t>
      </w:r>
      <w:r>
        <w:rPr/>
        <w:t>入。</w:t>
      </w:r>
    </w:p>
    <w:p>
      <w:pPr>
        <w:spacing w:line="336" w:lineRule="auto" w:before="51"/>
        <w:ind w:left="572" w:right="11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与交易相关的经济利益很可能流入企业，收入的金额能够很可靠地计量时，分别下列情况确认让渡资</w:t>
      </w:r>
    </w:p>
    <w:p>
      <w:pPr>
        <w:pStyle w:val="BodyText"/>
        <w:spacing w:line="240" w:lineRule="auto" w:before="49"/>
        <w:ind w:left="152" w:right="1127"/>
        <w:jc w:val="left"/>
      </w:pPr>
      <w:r>
        <w:rPr/>
        <w:t>产使用权收入金额：</w:t>
      </w:r>
    </w:p>
    <w:p>
      <w:pPr>
        <w:pStyle w:val="BodyText"/>
        <w:spacing w:line="240" w:lineRule="auto" w:before="133"/>
        <w:ind w:right="1127"/>
        <w:jc w:val="left"/>
      </w:pP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17"/>
        <w:ind w:right="1127"/>
        <w:jc w:val="left"/>
      </w:pPr>
      <w:r>
        <w:rPr>
          <w:rFonts w:ascii="Times New Roman" w:hAnsi="Times New Roman" w:cs="Times New Roman" w:eastAsia="Times New Roman" w:hint="default"/>
        </w:rPr>
        <w:t>2</w:t>
      </w:r>
      <w:r>
        <w:rPr/>
        <w:t>）使用费收入金额，按照有关合同或协议约定的收费时间和方法计算确定。</w:t>
      </w:r>
    </w:p>
    <w:p>
      <w:pPr>
        <w:spacing w:line="336" w:lineRule="auto" w:before="119"/>
        <w:ind w:left="572" w:right="11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）提供劳务收入的确认依据和方法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在资产负债表日提供劳务交易的结果能够可靠估计的，采用完工百分比法确认提供劳务收入。提供劳</w:t>
      </w:r>
    </w:p>
    <w:p>
      <w:pPr>
        <w:pStyle w:val="BodyText"/>
        <w:spacing w:line="357" w:lineRule="auto" w:before="49"/>
        <w:ind w:right="4340" w:hanging="420"/>
        <w:jc w:val="left"/>
      </w:pPr>
      <w:r>
        <w:rPr/>
        <w:t>务交易的完工进度，已经发生的成本占估计总成本的比例确定。</w:t>
      </w:r>
      <w:r>
        <w:rPr>
          <w:w w:val="100"/>
        </w:rPr>
        <w:t> </w:t>
      </w:r>
      <w:r>
        <w:rPr>
          <w:spacing w:val="-2"/>
        </w:rPr>
        <w:t>提供劳务交易的结果能够可靠估计，是指同时满足下列条件：</w:t>
      </w:r>
      <w:r>
        <w:rPr>
          <w:w w:val="100"/>
        </w:rPr>
        <w:t> </w:t>
      </w:r>
      <w:r>
        <w:rPr>
          <w:rFonts w:ascii="Times New Roman" w:hAnsi="Times New Roman" w:cs="Times New Roman" w:eastAsia="Times New Roman" w:hint="default"/>
        </w:rPr>
        <w:t>1</w:t>
      </w:r>
      <w:r>
        <w:rPr/>
        <w:t>）收入的金额能够可靠地计量；</w:t>
      </w:r>
    </w:p>
    <w:p>
      <w:pPr>
        <w:pStyle w:val="BodyText"/>
        <w:spacing w:line="240" w:lineRule="auto" w:before="3"/>
        <w:ind w:right="1127"/>
        <w:jc w:val="left"/>
      </w:pPr>
      <w:r>
        <w:rPr>
          <w:rFonts w:ascii="Times New Roman" w:hAnsi="Times New Roman" w:cs="Times New Roman" w:eastAsia="Times New Roman" w:hint="default"/>
        </w:rPr>
        <w:t>2</w:t>
      </w:r>
      <w:r>
        <w:rPr/>
        <w:t>）相关的经济利益很可能流入企业；</w:t>
      </w:r>
    </w:p>
    <w:p>
      <w:pPr>
        <w:pStyle w:val="BodyText"/>
        <w:spacing w:line="240" w:lineRule="auto" w:before="117"/>
        <w:ind w:right="1127"/>
        <w:jc w:val="left"/>
      </w:pPr>
      <w:r>
        <w:rPr>
          <w:rFonts w:ascii="Times New Roman" w:hAnsi="Times New Roman" w:cs="Times New Roman" w:eastAsia="Times New Roman" w:hint="default"/>
        </w:rPr>
        <w:t>3</w:t>
      </w:r>
      <w:r>
        <w:rPr/>
        <w:t>）交易的完工进度能够可靠地确定；</w:t>
      </w:r>
    </w:p>
    <w:p>
      <w:pPr>
        <w:pStyle w:val="BodyText"/>
        <w:spacing w:line="240" w:lineRule="auto" w:before="117"/>
        <w:ind w:right="1127"/>
        <w:jc w:val="left"/>
      </w:pPr>
      <w:r>
        <w:rPr>
          <w:rFonts w:ascii="Times New Roman" w:hAnsi="Times New Roman" w:cs="Times New Roman" w:eastAsia="Times New Roman" w:hint="default"/>
        </w:rPr>
        <w:t>4</w:t>
      </w:r>
      <w:r>
        <w:rPr/>
        <w:t>）交易中已发生和将发生的成本能够可靠地计量。</w:t>
      </w:r>
    </w:p>
    <w:p>
      <w:pPr>
        <w:spacing w:line="240" w:lineRule="auto" w:before="0"/>
        <w:rPr>
          <w:rFonts w:ascii="宋体" w:hAnsi="宋体" w:cs="宋体" w:eastAsia="宋体" w:hint="default"/>
          <w:sz w:val="22"/>
          <w:szCs w:val="22"/>
        </w:rPr>
      </w:pPr>
    </w:p>
    <w:p>
      <w:pPr>
        <w:pStyle w:val="BodyText"/>
        <w:spacing w:line="357" w:lineRule="auto" w:before="192"/>
        <w:ind w:left="152" w:right="1128" w:firstLine="420"/>
        <w:jc w:val="both"/>
      </w:pPr>
      <w:r>
        <w:rPr>
          <w:spacing w:val="-2"/>
        </w:rPr>
        <w:t>按照已收或应收的合同或协议价款确定提供劳务收入总额，但已收或应收的合同或协议价款不公允的</w:t>
      </w:r>
      <w:r>
        <w:rPr>
          <w:w w:val="100"/>
        </w:rPr>
        <w:t> </w:t>
      </w:r>
      <w:r>
        <w:rPr>
          <w:spacing w:val="-2"/>
        </w:rPr>
        <w:t>除外。资产负债表日按照提供劳务收入总额乘以完工进度扣除以前会计期间累计已确认提供劳务收入后的</w:t>
      </w:r>
      <w:r>
        <w:rPr>
          <w:spacing w:val="-43"/>
        </w:rPr>
        <w:t> </w:t>
      </w:r>
      <w:r>
        <w:rPr>
          <w:spacing w:val="-43"/>
        </w:rPr>
      </w:r>
      <w:r>
        <w:rPr>
          <w:spacing w:val="-2"/>
        </w:rPr>
        <w:t>金额，确认当期提供劳务收入；同时，按照提供劳务估计总成本乘以完工进度扣除以前会计期间累计已确</w:t>
      </w:r>
      <w:r>
        <w:rPr>
          <w:spacing w:val="-44"/>
        </w:rPr>
        <w:t> </w:t>
      </w:r>
      <w:r>
        <w:rPr>
          <w:spacing w:val="-44"/>
        </w:rPr>
      </w:r>
      <w:r>
        <w:rPr/>
        <w:t>认劳务成本后的金额，结转当期劳务成本。</w:t>
      </w:r>
    </w:p>
    <w:p>
      <w:pPr>
        <w:pStyle w:val="BodyText"/>
        <w:spacing w:line="336" w:lineRule="auto" w:before="30"/>
        <w:ind w:left="152" w:right="1127" w:firstLine="420"/>
        <w:jc w:val="left"/>
      </w:pPr>
      <w:r>
        <w:rPr>
          <w:rFonts w:ascii="Times New Roman" w:hAnsi="Times New Roman" w:cs="Times New Roman" w:eastAsia="Times New Roman" w:hint="default"/>
        </w:rPr>
        <w:t>1</w:t>
      </w:r>
      <w:r>
        <w:rPr/>
        <w:t>）已经发生的劳务成本预计能够得到补偿的，按照已经发生的劳务成本金额确认提供劳务收入，并</w:t>
      </w:r>
      <w:r>
        <w:rPr>
          <w:w w:val="100"/>
        </w:rPr>
        <w:t> </w:t>
      </w:r>
      <w:r>
        <w:rPr/>
        <w:t>按相同金额结转劳务成本。</w:t>
      </w:r>
    </w:p>
    <w:p>
      <w:pPr>
        <w:pStyle w:val="BodyText"/>
        <w:spacing w:line="336" w:lineRule="auto" w:before="51"/>
        <w:ind w:left="152" w:right="1127" w:firstLine="420"/>
        <w:jc w:val="left"/>
      </w:pPr>
      <w:r>
        <w:rPr>
          <w:rFonts w:ascii="Times New Roman" w:hAnsi="Times New Roman" w:cs="Times New Roman" w:eastAsia="Times New Roman" w:hint="default"/>
        </w:rPr>
        <w:t>2</w:t>
      </w:r>
      <w:r>
        <w:rPr/>
        <w:t>）已经发生的劳务成本预计不能够得到补偿的，将已经发生的劳务成本计入当期损益，不确认提供</w:t>
      </w:r>
      <w:r>
        <w:rPr>
          <w:w w:val="100"/>
        </w:rPr>
        <w:t> </w:t>
      </w:r>
      <w:r>
        <w:rPr/>
        <w:t>劳务收入。</w:t>
      </w:r>
    </w:p>
    <w:p>
      <w:pPr>
        <w:spacing w:after="0" w:line="336" w:lineRule="auto"/>
        <w:jc w:val="left"/>
        <w:sectPr>
          <w:pgSz w:w="11910" w:h="16840"/>
          <w:pgMar w:header="882" w:footer="1134" w:top="1280" w:bottom="1320" w:left="980" w:right="0"/>
        </w:sectPr>
      </w:pPr>
    </w:p>
    <w:p>
      <w:pPr>
        <w:pStyle w:val="BodyText"/>
        <w:spacing w:line="357" w:lineRule="auto" w:before="112"/>
        <w:ind w:left="152" w:right="1128" w:firstLine="420"/>
        <w:jc w:val="both"/>
      </w:pPr>
      <w:r>
        <w:rPr>
          <w:spacing w:val="-2"/>
        </w:rPr>
        <w:t>本公司与其他企业签定的合同或协议包括销售商品和提供劳务时，销售商品部分和提供劳务部分能够</w:t>
      </w:r>
      <w:r>
        <w:rPr>
          <w:w w:val="100"/>
        </w:rPr>
        <w:t> </w:t>
      </w:r>
      <w:r>
        <w:rPr>
          <w:spacing w:val="-2"/>
        </w:rPr>
        <w:t>区分且能够单独计量的，将销售商品的部分作为销售商品处理，将提供劳务的部分作为提供劳务处理。销</w:t>
      </w:r>
      <w:r>
        <w:rPr>
          <w:spacing w:val="-42"/>
        </w:rPr>
        <w:t> </w:t>
      </w:r>
      <w:r>
        <w:rPr>
          <w:spacing w:val="-42"/>
        </w:rPr>
      </w:r>
      <w:r>
        <w:rPr>
          <w:spacing w:val="-2"/>
        </w:rPr>
        <w:t>售商品部分和提供劳务部分不能够区分，或虽能区分但不能够单独计量的，将销售商品部分和提供劳务部</w:t>
      </w:r>
      <w:r>
        <w:rPr>
          <w:spacing w:val="-42"/>
        </w:rPr>
        <w:t> </w:t>
      </w:r>
      <w:r>
        <w:rPr>
          <w:spacing w:val="-42"/>
        </w:rPr>
      </w:r>
      <w:r>
        <w:rPr/>
        <w:t>分全部作为销售商品处理。</w:t>
      </w:r>
    </w:p>
    <w:p>
      <w:pPr>
        <w:spacing w:line="336" w:lineRule="auto" w:before="30"/>
        <w:ind w:left="649" w:right="1127" w:hanging="75"/>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）建造合同收入的确认依据和方法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当建造合同的结果能够可靠地估计时，与其相关的合同收入和合同费用在资产负债表日按完工百分比</w:t>
      </w:r>
    </w:p>
    <w:p>
      <w:pPr>
        <w:pStyle w:val="BodyText"/>
        <w:spacing w:line="357" w:lineRule="auto" w:before="49"/>
        <w:ind w:left="229" w:right="1128"/>
        <w:jc w:val="both"/>
      </w:pPr>
      <w:r>
        <w:rPr>
          <w:spacing w:val="-4"/>
        </w:rPr>
        <w:t>法予以确认。完工百分比法，是指根据合同完工进度确认合同收入和合同费用的方法。合同完工进度按照</w:t>
      </w:r>
      <w:r>
        <w:rPr>
          <w:spacing w:val="-27"/>
        </w:rPr>
        <w:t> </w:t>
      </w:r>
      <w:r>
        <w:rPr>
          <w:spacing w:val="-27"/>
        </w:rPr>
      </w:r>
      <w:r>
        <w:rPr/>
        <w:t>累计实际发生的合同费用占合同预计总成本的比例确定。</w:t>
      </w:r>
    </w:p>
    <w:p>
      <w:pPr>
        <w:pStyle w:val="BodyText"/>
        <w:spacing w:line="240" w:lineRule="auto" w:before="30"/>
        <w:ind w:left="649" w:right="1127"/>
        <w:jc w:val="left"/>
      </w:pPr>
      <w:r>
        <w:rPr/>
        <w:t>固定造价合同的结果能够可靠估计，是指同时满足下列条件：</w:t>
      </w:r>
    </w:p>
    <w:p>
      <w:pPr>
        <w:pStyle w:val="BodyText"/>
        <w:spacing w:line="240" w:lineRule="auto" w:before="133"/>
        <w:ind w:right="1127"/>
        <w:jc w:val="left"/>
      </w:pPr>
      <w:r>
        <w:rPr>
          <w:rFonts w:ascii="Times New Roman" w:hAnsi="Times New Roman" w:cs="Times New Roman" w:eastAsia="Times New Roman" w:hint="default"/>
        </w:rPr>
        <w:t>1</w:t>
      </w:r>
      <w:r>
        <w:rPr/>
        <w:t>）合同总收入能够可靠地计量；</w:t>
      </w:r>
    </w:p>
    <w:p>
      <w:pPr>
        <w:pStyle w:val="BodyText"/>
        <w:spacing w:line="240" w:lineRule="auto" w:before="117"/>
        <w:ind w:right="1127"/>
        <w:jc w:val="left"/>
      </w:pPr>
      <w:r>
        <w:rPr>
          <w:rFonts w:ascii="Times New Roman" w:hAnsi="Times New Roman" w:cs="Times New Roman" w:eastAsia="Times New Roman" w:hint="default"/>
        </w:rPr>
        <w:t>2</w:t>
      </w:r>
      <w:r>
        <w:rPr/>
        <w:t>）与合同相关的经济利益很可能流入企业；</w:t>
      </w:r>
    </w:p>
    <w:p>
      <w:pPr>
        <w:pStyle w:val="BodyText"/>
        <w:spacing w:line="240" w:lineRule="auto" w:before="117"/>
        <w:ind w:right="1127"/>
        <w:jc w:val="left"/>
      </w:pPr>
      <w:r>
        <w:rPr>
          <w:rFonts w:ascii="Times New Roman" w:hAnsi="Times New Roman" w:cs="Times New Roman" w:eastAsia="Times New Roman" w:hint="default"/>
        </w:rPr>
        <w:t>3</w:t>
      </w:r>
      <w:r>
        <w:rPr/>
        <w:t>）实际发生的合同成本能够清楚地区分和可靠地计量；</w:t>
      </w:r>
    </w:p>
    <w:p>
      <w:pPr>
        <w:pStyle w:val="BodyText"/>
        <w:spacing w:line="345" w:lineRule="auto" w:before="119"/>
        <w:ind w:right="1127"/>
        <w:jc w:val="left"/>
      </w:pPr>
      <w:r>
        <w:rPr>
          <w:rFonts w:ascii="Times New Roman" w:hAnsi="Times New Roman" w:cs="Times New Roman" w:eastAsia="Times New Roman" w:hint="default"/>
          <w:spacing w:val="-2"/>
        </w:rPr>
        <w:t>4</w:t>
      </w:r>
      <w:r>
        <w:rPr>
          <w:spacing w:val="-2"/>
        </w:rPr>
        <w:t>）合同完工进度和为完成合同尚需发生的成本能够可靠地确定。</w:t>
      </w:r>
      <w:r>
        <w:rPr>
          <w:spacing w:val="-52"/>
        </w:rPr>
        <w:t> </w:t>
      </w:r>
      <w:r>
        <w:rPr>
          <w:spacing w:val="-52"/>
        </w:rPr>
      </w:r>
      <w:r>
        <w:rPr/>
        <w:t>成本加成合同的结果能够可靠估计，是指同时满足下列条件：</w:t>
      </w:r>
      <w:r>
        <w:rPr>
          <w:w w:val="100"/>
        </w:rPr>
        <w:t> </w:t>
      </w:r>
      <w:r>
        <w:rPr>
          <w:rFonts w:ascii="Times New Roman" w:hAnsi="Times New Roman" w:cs="Times New Roman" w:eastAsia="Times New Roman" w:hint="default"/>
        </w:rPr>
        <w:t>1</w:t>
      </w:r>
      <w:r>
        <w:rPr/>
        <w:t>）与合同相关的经济利益很可能流入企业；</w:t>
      </w:r>
    </w:p>
    <w:p>
      <w:pPr>
        <w:pStyle w:val="BodyText"/>
        <w:spacing w:line="336" w:lineRule="auto" w:before="15"/>
        <w:ind w:right="1127"/>
        <w:jc w:val="left"/>
      </w:pPr>
      <w:r>
        <w:rPr>
          <w:rFonts w:ascii="Times New Roman" w:hAnsi="Times New Roman" w:cs="Times New Roman" w:eastAsia="Times New Roman" w:hint="default"/>
        </w:rPr>
        <w:t>2</w:t>
      </w:r>
      <w:r>
        <w:rPr/>
        <w:t>）实际发生的合同成本能够清楚地区分和可靠地计量。</w:t>
      </w:r>
      <w:r>
        <w:rPr>
          <w:w w:val="100"/>
        </w:rPr>
        <w:t> </w:t>
      </w:r>
      <w:r>
        <w:rPr>
          <w:spacing w:val="-2"/>
        </w:rPr>
        <w:t>在资产负债表日，按照合同总收入乘以完工进度扣除以前会计期间累计已确认收入后的金额，确认为</w:t>
      </w:r>
    </w:p>
    <w:p>
      <w:pPr>
        <w:pStyle w:val="BodyText"/>
        <w:spacing w:line="355" w:lineRule="auto" w:before="51"/>
        <w:ind w:left="152" w:right="1128"/>
        <w:jc w:val="both"/>
      </w:pPr>
      <w:r>
        <w:rPr>
          <w:spacing w:val="-2"/>
        </w:rPr>
        <w:t>当期合同收入；同时，按照合同预计总成本乘以完工进度扣除以前会计期间累计已确认费用后的金额，确</w:t>
      </w:r>
      <w:r>
        <w:rPr>
          <w:spacing w:val="-44"/>
        </w:rPr>
        <w:t> </w:t>
      </w:r>
      <w:r>
        <w:rPr>
          <w:spacing w:val="-44"/>
        </w:rPr>
      </w:r>
      <w:r>
        <w:rPr>
          <w:spacing w:val="-2"/>
        </w:rPr>
        <w:t>认为当期合同费用。合同工程的变动、索赔及奖金以可能带来收入并能可靠计算的数额为限计入合同总收</w:t>
      </w:r>
      <w:r>
        <w:rPr>
          <w:spacing w:val="-42"/>
        </w:rPr>
        <w:t> </w:t>
      </w:r>
      <w:r>
        <w:rPr>
          <w:spacing w:val="-42"/>
        </w:rPr>
      </w:r>
      <w:r>
        <w:rPr/>
        <w:t>入。</w:t>
      </w:r>
    </w:p>
    <w:p>
      <w:pPr>
        <w:pStyle w:val="BodyText"/>
        <w:spacing w:line="240" w:lineRule="auto" w:before="32"/>
        <w:ind w:right="1127"/>
        <w:jc w:val="left"/>
      </w:pPr>
      <w:r>
        <w:rPr/>
        <w:t>建造合同的结果不能可靠估计的，分别下列情况处理：</w:t>
      </w:r>
    </w:p>
    <w:p>
      <w:pPr>
        <w:pStyle w:val="BodyText"/>
        <w:spacing w:line="336" w:lineRule="auto" w:before="135"/>
        <w:ind w:left="152" w:right="1133" w:firstLine="420"/>
        <w:jc w:val="both"/>
      </w:pPr>
      <w:r>
        <w:rPr>
          <w:rFonts w:ascii="Times New Roman" w:hAnsi="Times New Roman" w:cs="Times New Roman" w:eastAsia="Times New Roman" w:hint="default"/>
        </w:rPr>
        <w:t>1</w:t>
      </w:r>
      <w:r>
        <w:rPr/>
        <w:t>）合同成本能够收回的，合同收入根据能够收回的实际合同成本予以确认，合同成本在其发生的当</w:t>
      </w:r>
      <w:r>
        <w:rPr>
          <w:w w:val="100"/>
        </w:rPr>
        <w:t> </w:t>
      </w:r>
      <w:r>
        <w:rPr/>
        <w:t>期确认为合同费用。</w:t>
      </w:r>
    </w:p>
    <w:p>
      <w:pPr>
        <w:pStyle w:val="BodyText"/>
        <w:spacing w:line="336" w:lineRule="auto" w:before="49"/>
        <w:ind w:left="152" w:right="1133" w:firstLine="420"/>
        <w:jc w:val="both"/>
      </w:pPr>
      <w:r>
        <w:rPr>
          <w:rFonts w:ascii="Times New Roman" w:hAnsi="Times New Roman" w:cs="Times New Roman" w:eastAsia="Times New Roman" w:hint="default"/>
        </w:rPr>
        <w:t>2</w:t>
      </w:r>
      <w:r>
        <w:rPr/>
        <w:t>）合同成本不可能收回的，在发生时立即确认为合同费用，不确认合同收入。如果合同总成本很可</w:t>
      </w:r>
      <w:r>
        <w:rPr>
          <w:w w:val="100"/>
        </w:rPr>
        <w:t> </w:t>
      </w:r>
      <w:r>
        <w:rPr/>
        <w:t>能超过合同总收入，则预期损失立即确认为费用。</w:t>
      </w:r>
    </w:p>
    <w:p>
      <w:pPr>
        <w:pStyle w:val="BodyText"/>
        <w:spacing w:line="357" w:lineRule="auto" w:before="49"/>
        <w:ind w:left="152" w:right="1128" w:firstLine="420"/>
        <w:jc w:val="both"/>
      </w:pPr>
      <w:r>
        <w:rPr>
          <w:spacing w:val="-2"/>
        </w:rPr>
        <w:t>公司收入具体分为三种类型：商品销售收入、技术服务收入、工程收入。商品销售收入以收到客户货</w:t>
      </w:r>
      <w:r>
        <w:rPr>
          <w:w w:val="100"/>
        </w:rPr>
        <w:t> </w:t>
      </w:r>
      <w:r>
        <w:rPr>
          <w:spacing w:val="-2"/>
        </w:rPr>
        <w:t>物验收单为收入确认时点和依据；技术服务收入以双方验收获取对方盖章的验收报告为依据；工程收入按</w:t>
      </w:r>
      <w:r>
        <w:rPr>
          <w:spacing w:val="-42"/>
        </w:rPr>
        <w:t> </w:t>
      </w:r>
      <w:r>
        <w:rPr>
          <w:spacing w:val="-42"/>
        </w:rPr>
      </w:r>
      <w:r>
        <w:rPr/>
        <w:t>照建造合同收入确认原则确认。</w:t>
      </w:r>
    </w:p>
    <w:p>
      <w:pPr>
        <w:pStyle w:val="BodyText"/>
        <w:spacing w:line="240" w:lineRule="auto" w:before="30"/>
        <w:ind w:right="1127"/>
        <w:jc w:val="left"/>
      </w:pPr>
      <w:r>
        <w:rPr/>
        <w:t>公司建造合同收入确认的具体方法</w:t>
      </w:r>
    </w:p>
    <w:p>
      <w:pPr>
        <w:pStyle w:val="BodyText"/>
        <w:spacing w:line="350" w:lineRule="auto" w:before="133"/>
        <w:ind w:left="152" w:right="1128" w:firstLine="420"/>
        <w:jc w:val="both"/>
      </w:pPr>
      <w:r>
        <w:rPr>
          <w:spacing w:val="-2"/>
        </w:rPr>
        <w:t>①确定完工进度期末根据累计实际发生的合同成本占合同预计总成本的比例确定合同完工进度，计算</w:t>
      </w:r>
      <w:r>
        <w:rPr>
          <w:w w:val="100"/>
        </w:rPr>
        <w:t> </w:t>
      </w:r>
      <w:r>
        <w:rPr/>
        <w:t>公式如下：合同完工进度＝累计实际发生的合同成本</w:t>
      </w:r>
      <w:r>
        <w:rPr>
          <w:rFonts w:ascii="Times New Roman" w:hAnsi="Times New Roman" w:cs="Times New Roman" w:eastAsia="Times New Roman" w:hint="default"/>
        </w:rPr>
        <w:t>÷</w:t>
      </w:r>
      <w:r>
        <w:rPr/>
        <w:t>合同预计总成本，其中，合同预计总成本包括项目</w:t>
      </w:r>
      <w:r>
        <w:rPr>
          <w:spacing w:val="-34"/>
        </w:rPr>
        <w:t> </w:t>
      </w:r>
      <w:r>
        <w:rPr>
          <w:spacing w:val="-34"/>
        </w:rPr>
      </w:r>
      <w:r>
        <w:rPr>
          <w:spacing w:val="-2"/>
        </w:rPr>
        <w:t>产品成本和材料成本、劳务费及其他费用。实际发生的合同成本是指已安装的产品成本和材料成本、劳务</w:t>
      </w:r>
      <w:r>
        <w:rPr>
          <w:spacing w:val="-44"/>
        </w:rPr>
        <w:t> </w:t>
      </w:r>
      <w:r>
        <w:rPr>
          <w:spacing w:val="-44"/>
        </w:rPr>
      </w:r>
      <w:r>
        <w:rPr/>
        <w:t>费及其他费用。</w:t>
      </w:r>
    </w:p>
    <w:p>
      <w:pPr>
        <w:pStyle w:val="BodyText"/>
        <w:spacing w:line="240" w:lineRule="auto" w:before="36"/>
        <w:ind w:right="1127"/>
        <w:jc w:val="left"/>
      </w:pPr>
      <w:r>
        <w:rPr/>
        <w:t>②计算当期合同收入和合同成本当期确认的建造合同收入＝合同总收入</w:t>
      </w:r>
      <w:r>
        <w:rPr>
          <w:rFonts w:ascii="Times New Roman" w:hAnsi="Times New Roman" w:cs="Times New Roman" w:eastAsia="Times New Roman" w:hint="default"/>
        </w:rPr>
        <w:t>×</w:t>
      </w:r>
      <w:r>
        <w:rPr/>
        <w:t>完工进度以前会计期间累计</w:t>
      </w:r>
    </w:p>
    <w:p>
      <w:pPr>
        <w:spacing w:after="0" w:line="240" w:lineRule="auto"/>
        <w:jc w:val="left"/>
        <w:sectPr>
          <w:pgSz w:w="11910" w:h="16840"/>
          <w:pgMar w:header="882" w:footer="1134" w:top="1280" w:bottom="1320" w:left="980" w:right="0"/>
        </w:sectPr>
      </w:pPr>
    </w:p>
    <w:p>
      <w:pPr>
        <w:pStyle w:val="BodyText"/>
        <w:spacing w:line="240" w:lineRule="auto" w:before="112"/>
        <w:ind w:left="152" w:right="1127"/>
        <w:jc w:val="left"/>
      </w:pPr>
      <w:r>
        <w:rPr/>
        <w:t>已确认的收入。</w:t>
      </w:r>
    </w:p>
    <w:p>
      <w:pPr>
        <w:spacing w:line="240" w:lineRule="auto" w:before="0"/>
        <w:rPr>
          <w:rFonts w:ascii="宋体" w:hAnsi="宋体" w:cs="宋体" w:eastAsia="宋体" w:hint="default"/>
          <w:sz w:val="20"/>
          <w:szCs w:val="20"/>
        </w:rPr>
      </w:pPr>
    </w:p>
    <w:p>
      <w:pPr>
        <w:pStyle w:val="Heading4"/>
        <w:spacing w:line="240" w:lineRule="auto" w:before="171"/>
        <w:ind w:right="1127"/>
        <w:jc w:val="left"/>
        <w:rPr>
          <w:b w:val="0"/>
          <w:bCs w:val="0"/>
        </w:rPr>
      </w:pPr>
      <w:bookmarkStart w:name="40、政府补助" w:id="329"/>
      <w:bookmarkEnd w:id="329"/>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8"/>
        <w:rPr>
          <w:rFonts w:ascii="宋体" w:hAnsi="宋体" w:cs="宋体" w:eastAsia="宋体" w:hint="default"/>
          <w:b/>
          <w:bCs/>
          <w:sz w:val="21"/>
          <w:szCs w:val="21"/>
        </w:rPr>
      </w:pPr>
    </w:p>
    <w:p>
      <w:pPr>
        <w:pStyle w:val="BodyText"/>
        <w:spacing w:line="336" w:lineRule="auto"/>
        <w:ind w:right="1127"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w w:val="100"/>
        </w:rPr>
        <w:t> </w:t>
      </w:r>
      <w:r>
        <w:rPr>
          <w:spacing w:val="-2"/>
        </w:rPr>
        <w:t>政府补助，是本公司从政府无偿取得的货币性资产与非货币性资产。分为与资产相关的政府补助和与</w:t>
      </w:r>
    </w:p>
    <w:p>
      <w:pPr>
        <w:pStyle w:val="BodyText"/>
        <w:spacing w:line="355" w:lineRule="auto" w:before="51"/>
        <w:ind w:right="1127" w:hanging="420"/>
        <w:jc w:val="left"/>
      </w:pPr>
      <w:r>
        <w:rPr/>
        <w:t>收益相关的政府补助。</w:t>
      </w:r>
      <w:r>
        <w:rPr>
          <w:w w:val="100"/>
        </w:rPr>
        <w:t> </w:t>
      </w:r>
      <w:r>
        <w:rPr>
          <w:spacing w:val="-2"/>
        </w:rPr>
        <w:t>与资产相关的政府补助，是指本公司取得的、用于购建或以其他方式形成长期资产的政府补助。与收</w:t>
      </w:r>
      <w:r>
        <w:rPr/>
      </w:r>
    </w:p>
    <w:p>
      <w:pPr>
        <w:pStyle w:val="BodyText"/>
        <w:spacing w:line="355" w:lineRule="auto" w:before="32"/>
        <w:ind w:right="1127" w:hanging="421"/>
        <w:jc w:val="left"/>
      </w:pPr>
      <w:r>
        <w:rPr/>
        <w:t>益相关的政府补助，是指除与资产相关的政府补助之外的政府补助。</w:t>
      </w:r>
      <w:r>
        <w:rPr>
          <w:w w:val="100"/>
        </w:rPr>
        <w:t> </w:t>
      </w:r>
      <w:r>
        <w:rPr>
          <w:spacing w:val="-2"/>
        </w:rPr>
        <w:t>本公司将政府补助划分为与资产相关的具体标准为：公司取得的、用于购建或以其他方式形成固定资</w:t>
      </w:r>
    </w:p>
    <w:p>
      <w:pPr>
        <w:pStyle w:val="BodyText"/>
        <w:spacing w:line="357" w:lineRule="auto" w:before="32"/>
        <w:ind w:right="1127" w:hanging="421"/>
        <w:jc w:val="left"/>
      </w:pPr>
      <w:r>
        <w:rPr/>
        <w:t>产或无形资产的政府补助。</w:t>
      </w:r>
      <w:r>
        <w:rPr>
          <w:w w:val="100"/>
        </w:rPr>
        <w:t> </w:t>
      </w:r>
      <w:r>
        <w:rPr/>
        <w:t>本公司将政府补助划分为与收益相关的具体标准为：不能形成固定资产或无形资产的政府补助。</w:t>
      </w:r>
      <w:r>
        <w:rPr>
          <w:w w:val="100"/>
        </w:rPr>
        <w:t> </w:t>
      </w:r>
      <w:r>
        <w:rPr>
          <w:spacing w:val="-2"/>
        </w:rPr>
        <w:t>对于政府文件未明确规定补助对象的，本公司将该政府补助划分为与资产相关或与收益相关的判断依</w:t>
      </w:r>
    </w:p>
    <w:p>
      <w:pPr>
        <w:pStyle w:val="BodyText"/>
        <w:spacing w:line="240" w:lineRule="auto" w:before="30"/>
        <w:ind w:left="152" w:right="1127"/>
        <w:jc w:val="left"/>
      </w:pPr>
      <w:r>
        <w:rPr/>
        <w:t>据为：本公司按照上述原则进行判断。</w:t>
      </w:r>
    </w:p>
    <w:p>
      <w:pPr>
        <w:spacing w:line="338" w:lineRule="auto" w:before="133"/>
        <w:ind w:left="572" w:right="313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）确认时点</w:t>
      </w:r>
      <w:r>
        <w:rPr>
          <w:rFonts w:ascii="宋体" w:hAnsi="宋体" w:cs="宋体" w:eastAsia="宋体" w:hint="default"/>
          <w:b/>
          <w:bCs/>
          <w:w w:val="100"/>
          <w:sz w:val="21"/>
          <w:szCs w:val="21"/>
        </w:rPr>
        <w:t> </w:t>
      </w:r>
      <w:r>
        <w:rPr>
          <w:rFonts w:ascii="宋体" w:hAnsi="宋体" w:cs="宋体" w:eastAsia="宋体" w:hint="default"/>
          <w:spacing w:val="-2"/>
          <w:sz w:val="21"/>
          <w:szCs w:val="21"/>
        </w:rPr>
        <w:t>以实际收到政府补助的货币性资产与非货币性资产时作为确认时点。</w:t>
      </w:r>
    </w:p>
    <w:p>
      <w:pPr>
        <w:pStyle w:val="BodyText"/>
        <w:spacing w:line="336" w:lineRule="auto" w:before="47"/>
        <w:ind w:right="1127"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）会计处理</w:t>
      </w:r>
      <w:r>
        <w:rPr>
          <w:rFonts w:ascii="宋体" w:hAnsi="宋体" w:cs="宋体" w:eastAsia="宋体" w:hint="default"/>
          <w:b/>
          <w:bCs/>
          <w:w w:val="100"/>
        </w:rPr>
        <w:t> </w:t>
      </w:r>
      <w:r>
        <w:rPr>
          <w:spacing w:val="-2"/>
        </w:rPr>
        <w:t>与资产相关的政府补助，冲减相关资产账面价值或确认为递延收益。确认为递延收益的，在相关资产</w:t>
      </w:r>
    </w:p>
    <w:p>
      <w:pPr>
        <w:pStyle w:val="BodyText"/>
        <w:spacing w:line="355" w:lineRule="auto" w:before="49"/>
        <w:ind w:left="152" w:right="1127"/>
        <w:jc w:val="left"/>
      </w:pPr>
      <w:r>
        <w:rPr>
          <w:spacing w:val="-2"/>
        </w:rPr>
        <w:t>使用寿命内按照合理、系统的方法分期计入当期损益（与本公司日常活动相关的，计入其他收益；与本公</w:t>
      </w:r>
      <w:r>
        <w:rPr>
          <w:spacing w:val="-47"/>
        </w:rPr>
        <w:t> </w:t>
      </w:r>
      <w:r>
        <w:rPr>
          <w:spacing w:val="-47"/>
        </w:rPr>
      </w:r>
      <w:r>
        <w:rPr/>
        <w:t>司日常活动无关的，计入营业外收入）；</w:t>
      </w:r>
    </w:p>
    <w:p>
      <w:pPr>
        <w:pStyle w:val="BodyText"/>
        <w:spacing w:line="355" w:lineRule="auto" w:before="34"/>
        <w:ind w:left="152" w:right="1128" w:firstLine="420"/>
        <w:jc w:val="both"/>
      </w:pPr>
      <w:r>
        <w:rPr>
          <w:spacing w:val="-2"/>
        </w:rPr>
        <w:t>与收益相关的政府补助，用于补偿本公司以后期间的相关成本费用或损失的，确认为递延收益，并在</w:t>
      </w:r>
      <w:r>
        <w:rPr>
          <w:w w:val="100"/>
        </w:rPr>
        <w:t> </w:t>
      </w:r>
      <w:r>
        <w:rPr>
          <w:spacing w:val="-2"/>
        </w:rPr>
        <w:t>确认相关成本费用或损失的期间，计入当期损益（与本公司日常活动相关的，计入其他收益；与本公司日</w:t>
      </w:r>
      <w:r>
        <w:rPr>
          <w:spacing w:val="-44"/>
        </w:rPr>
        <w:t> </w:t>
      </w:r>
      <w:r>
        <w:rPr>
          <w:spacing w:val="-44"/>
        </w:rPr>
      </w:r>
      <w:r>
        <w:rPr>
          <w:spacing w:val="-2"/>
        </w:rPr>
        <w:t>常活动无关的，计入营业外收入）或冲减相关成本费用或损失；用于补偿本公司已发生的相关成本费用或</w:t>
      </w:r>
      <w:r>
        <w:rPr>
          <w:spacing w:val="-43"/>
        </w:rPr>
        <w:t> </w:t>
      </w:r>
      <w:r>
        <w:rPr>
          <w:spacing w:val="-43"/>
        </w:rPr>
      </w:r>
      <w:r>
        <w:rPr>
          <w:spacing w:val="-2"/>
        </w:rPr>
        <w:t>损失的，直接计入当期损益（与本公司日常活动相关的，计入其他收益；与本公司日常活动无关的，计入</w:t>
      </w:r>
      <w:r>
        <w:rPr>
          <w:spacing w:val="-43"/>
        </w:rPr>
        <w:t> </w:t>
      </w:r>
      <w:r>
        <w:rPr>
          <w:spacing w:val="-43"/>
        </w:rPr>
      </w:r>
      <w:r>
        <w:rPr/>
        <w:t>营业外收入）或冲减相关成本费用或损失。</w:t>
      </w:r>
    </w:p>
    <w:p>
      <w:pPr>
        <w:pStyle w:val="BodyText"/>
        <w:spacing w:line="240" w:lineRule="auto" w:before="34"/>
        <w:ind w:right="1127"/>
        <w:jc w:val="left"/>
      </w:pPr>
      <w:r>
        <w:rPr/>
        <w:t>本公司取得的政策性优惠贷款贴息，区分以下两种情况，分别进行会计处理：</w:t>
      </w:r>
    </w:p>
    <w:p>
      <w:pPr>
        <w:pStyle w:val="BodyText"/>
        <w:spacing w:line="336" w:lineRule="auto" w:before="133"/>
        <w:ind w:left="152" w:right="1133" w:firstLine="420"/>
        <w:jc w:val="both"/>
      </w:pPr>
      <w:r>
        <w:rPr>
          <w:rFonts w:ascii="Times New Roman" w:hAnsi="Times New Roman" w:cs="Times New Roman" w:eastAsia="Times New Roman" w:hint="default"/>
        </w:rPr>
        <w:t>1</w:t>
      </w:r>
      <w:r>
        <w:rPr/>
        <w:t>）财政将贴息资金拨付给贷款银行，由贷款银行以政策性优惠利率向本公司提供贷款的，本公司以</w:t>
      </w:r>
      <w:r>
        <w:rPr>
          <w:w w:val="100"/>
        </w:rPr>
        <w:t> </w:t>
      </w:r>
      <w:r>
        <w:rPr/>
        <w:t>实际收到的借款金额作为借款的入账价值，按照借款本金和该政策性优惠利率计算相关借款费用。</w:t>
      </w:r>
    </w:p>
    <w:p>
      <w:pPr>
        <w:pStyle w:val="BodyText"/>
        <w:spacing w:line="240" w:lineRule="auto" w:before="49"/>
        <w:ind w:right="1127"/>
        <w:jc w:val="left"/>
      </w:pPr>
      <w:r>
        <w:rPr>
          <w:rFonts w:ascii="Times New Roman" w:hAnsi="Times New Roman" w:cs="Times New Roman" w:eastAsia="Times New Roman" w:hint="default"/>
        </w:rPr>
        <w:t>2</w:t>
      </w:r>
      <w:r>
        <w:rPr/>
        <w:t>）财政将贴息资金直接拨付给本公司的，本公司将对应的贴息冲减相关借款费用。</w:t>
      </w:r>
    </w:p>
    <w:p>
      <w:pPr>
        <w:spacing w:line="550" w:lineRule="atLeast" w:before="160"/>
        <w:ind w:left="572" w:right="1127" w:hanging="420"/>
        <w:jc w:val="left"/>
        <w:rPr>
          <w:rFonts w:ascii="宋体" w:hAnsi="宋体" w:cs="宋体" w:eastAsia="宋体" w:hint="default"/>
          <w:sz w:val="21"/>
          <w:szCs w:val="21"/>
        </w:rPr>
      </w:pPr>
      <w:bookmarkStart w:name="41、递延所得税资产/递延所得税负债" w:id="330"/>
      <w:bookmarkEnd w:id="330"/>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对于可抵扣暂时性差异确认递延所得税资产，以未来期间很可能取得的用来抵扣可抵扣暂时性差异的</w:t>
      </w:r>
    </w:p>
    <w:p>
      <w:pPr>
        <w:pStyle w:val="BodyText"/>
        <w:spacing w:line="355" w:lineRule="auto" w:before="135"/>
        <w:ind w:left="152" w:right="1127"/>
        <w:jc w:val="left"/>
      </w:pPr>
      <w:r>
        <w:rPr>
          <w:spacing w:val="-2"/>
        </w:rPr>
        <w:t>应纳税所得额为限。对于能够结转以后年度的可抵扣亏损和税款抵减，以很可能获得用来抵扣可抵扣亏损</w:t>
      </w:r>
      <w:r>
        <w:rPr>
          <w:spacing w:val="-42"/>
        </w:rPr>
        <w:t> </w:t>
      </w:r>
      <w:r>
        <w:rPr>
          <w:spacing w:val="-42"/>
        </w:rPr>
      </w:r>
      <w:r>
        <w:rPr/>
        <w:t>和税款抵减的未来应纳税所得额为限，确认相应的递延所得税资产。</w:t>
      </w:r>
    </w:p>
    <w:p>
      <w:pPr>
        <w:pStyle w:val="BodyText"/>
        <w:spacing w:line="240" w:lineRule="auto" w:before="32"/>
        <w:ind w:right="1127"/>
        <w:jc w:val="left"/>
      </w:pPr>
      <w:r>
        <w:rPr/>
        <w:t>对于应纳税暂时性差异，除特殊情况外，确认递延所得税负债。</w:t>
      </w:r>
    </w:p>
    <w:p>
      <w:pPr>
        <w:spacing w:after="0" w:line="240" w:lineRule="auto"/>
        <w:jc w:val="left"/>
        <w:sectPr>
          <w:pgSz w:w="11910" w:h="16840"/>
          <w:pgMar w:header="882" w:footer="1134" w:top="1280" w:bottom="1320" w:left="980" w:right="0"/>
        </w:sectPr>
      </w:pPr>
    </w:p>
    <w:p>
      <w:pPr>
        <w:pStyle w:val="BodyText"/>
        <w:spacing w:line="355" w:lineRule="auto" w:before="112"/>
        <w:ind w:left="152" w:right="1128" w:firstLine="420"/>
        <w:jc w:val="both"/>
      </w:pPr>
      <w:r>
        <w:rPr>
          <w:spacing w:val="-2"/>
        </w:rPr>
        <w:t>不确认递延所得税资产或递延所得税负债的特殊情况包括：商誉的初始确认；除企业合并以外的发生</w:t>
      </w:r>
      <w:r>
        <w:rPr>
          <w:w w:val="100"/>
        </w:rPr>
        <w:t> </w:t>
      </w:r>
      <w:r>
        <w:rPr/>
        <w:t>时既不影响会计利润也不影响应纳税所得额（或可抵扣亏损）的其他交易或事项。</w:t>
      </w:r>
    </w:p>
    <w:p>
      <w:pPr>
        <w:pStyle w:val="BodyText"/>
        <w:spacing w:line="357" w:lineRule="auto" w:before="32"/>
        <w:ind w:left="152" w:right="1128" w:firstLine="420"/>
        <w:jc w:val="both"/>
      </w:pPr>
      <w:r>
        <w:rPr>
          <w:spacing w:val="-2"/>
        </w:rPr>
        <w:t>当拥有以净额结算的法定权利，且意图以净额结算或取得资产、清偿负债同时进行时，当期所得税资</w:t>
      </w:r>
      <w:r>
        <w:rPr>
          <w:w w:val="100"/>
        </w:rPr>
        <w:t> </w:t>
      </w:r>
      <w:r>
        <w:rPr/>
        <w:t>产及当期所得税负债以抵销后的净额列报。</w:t>
      </w:r>
    </w:p>
    <w:p>
      <w:pPr>
        <w:pStyle w:val="BodyText"/>
        <w:spacing w:line="357" w:lineRule="auto" w:before="30"/>
        <w:ind w:left="152" w:right="1128" w:firstLine="420"/>
        <w:jc w:val="both"/>
      </w:pPr>
      <w:r>
        <w:rPr>
          <w:spacing w:val="-2"/>
        </w:rPr>
        <w:t>当拥有以净额结算当期所得税资产及当期所得税负债的法定权利，且递延所得税资产及递延所得税负</w:t>
      </w:r>
      <w:r>
        <w:rPr>
          <w:w w:val="100"/>
        </w:rPr>
        <w:t> </w:t>
      </w:r>
      <w:r>
        <w:rPr>
          <w:spacing w:val="-2"/>
        </w:rPr>
        <w:t>债是与同一税收征管部门对同一纳税主体征收的所得税相关或者是对不同的纳税主体相关，但在未来每一</w:t>
      </w:r>
      <w:r>
        <w:rPr>
          <w:spacing w:val="-43"/>
        </w:rPr>
        <w:t> </w:t>
      </w:r>
      <w:r>
        <w:rPr>
          <w:spacing w:val="-43"/>
        </w:rPr>
      </w:r>
      <w:r>
        <w:rPr>
          <w:spacing w:val="-2"/>
        </w:rPr>
        <w:t>具有重要性的递延所得税资产及负债转回的期间内，涉及的纳税主体意图以净额结算当期所得税资产和负</w:t>
      </w:r>
      <w:r>
        <w:rPr>
          <w:spacing w:val="-43"/>
        </w:rPr>
        <w:t> </w:t>
      </w:r>
      <w:r>
        <w:rPr>
          <w:spacing w:val="-43"/>
        </w:rPr>
      </w:r>
      <w:r>
        <w:rPr/>
        <w:t>债或是同时取得资产、清偿负债时，递延所得税资产及递延所得税负债以抵销后的净额列报。</w:t>
      </w:r>
    </w:p>
    <w:p>
      <w:pPr>
        <w:spacing w:line="240" w:lineRule="auto" w:before="3"/>
        <w:rPr>
          <w:rFonts w:ascii="宋体" w:hAnsi="宋体" w:cs="宋体" w:eastAsia="宋体" w:hint="default"/>
          <w:sz w:val="25"/>
          <w:szCs w:val="25"/>
        </w:rPr>
      </w:pPr>
    </w:p>
    <w:p>
      <w:pPr>
        <w:pStyle w:val="Heading4"/>
        <w:spacing w:line="240" w:lineRule="auto"/>
        <w:ind w:right="1127"/>
        <w:jc w:val="left"/>
        <w:rPr>
          <w:b w:val="0"/>
          <w:bCs w:val="0"/>
        </w:rPr>
      </w:pPr>
      <w:bookmarkStart w:name="42、租赁" w:id="331"/>
      <w:bookmarkEnd w:id="331"/>
      <w:r>
        <w:rPr>
          <w:b w:val="0"/>
          <w:bCs w:val="0"/>
        </w:rPr>
      </w:r>
      <w:r>
        <w:rPr>
          <w:rFonts w:ascii="Times New Roman" w:hAnsi="Times New Roman" w:cs="Times New Roman" w:eastAsia="Times New Roman" w:hint="default"/>
        </w:rPr>
        <w:t>42</w:t>
      </w:r>
      <w:r>
        <w:rPr/>
        <w:t>、租赁</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1）经营租赁的会计处理方法" w:id="332"/>
      <w:bookmarkEnd w:id="33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1"/>
          <w:szCs w:val="21"/>
        </w:rPr>
      </w:pPr>
    </w:p>
    <w:p>
      <w:pPr>
        <w:pStyle w:val="BodyText"/>
        <w:spacing w:line="336" w:lineRule="auto"/>
        <w:ind w:left="152" w:right="1133" w:firstLine="420"/>
        <w:jc w:val="both"/>
      </w:pPr>
      <w:r>
        <w:rPr>
          <w:rFonts w:ascii="Times New Roman" w:hAnsi="Times New Roman" w:cs="Times New Roman" w:eastAsia="Times New Roman" w:hint="default"/>
        </w:rPr>
        <w:t>1</w:t>
      </w:r>
      <w:r>
        <w:rPr/>
        <w:t>）公司租入资产所支付的租赁费，在不扣除免租期的整个租赁期内，按直线法进行分摊，计入当期</w:t>
      </w:r>
      <w:r>
        <w:rPr>
          <w:w w:val="100"/>
        </w:rPr>
        <w:t> </w:t>
      </w:r>
      <w:r>
        <w:rPr/>
        <w:t>费用。公司支付的与租赁交易相关的初始直接费用，计入当期费用。</w:t>
      </w:r>
    </w:p>
    <w:p>
      <w:pPr>
        <w:pStyle w:val="BodyText"/>
        <w:spacing w:line="355" w:lineRule="auto" w:before="49"/>
        <w:ind w:left="152" w:right="1128" w:firstLine="420"/>
        <w:jc w:val="both"/>
      </w:pPr>
      <w:r>
        <w:rPr>
          <w:spacing w:val="-2"/>
        </w:rPr>
        <w:t>资产出租方承担了应由公司承担的与租赁相关的费用时，公司将该部分费用从租金总额中扣除，按扣</w:t>
      </w:r>
      <w:r>
        <w:rPr>
          <w:w w:val="100"/>
        </w:rPr>
        <w:t> </w:t>
      </w:r>
      <w:r>
        <w:rPr/>
        <w:t>除后的租金费用在租赁期内分摊，计入当期费用。</w:t>
      </w:r>
    </w:p>
    <w:p>
      <w:pPr>
        <w:pStyle w:val="BodyText"/>
        <w:spacing w:line="348" w:lineRule="auto" w:before="32"/>
        <w:ind w:left="152" w:right="0" w:firstLine="420"/>
        <w:jc w:val="left"/>
      </w:pPr>
      <w:r>
        <w:rPr>
          <w:rFonts w:ascii="Times New Roman" w:hAnsi="Times New Roman" w:cs="Times New Roman" w:eastAsia="Times New Roman" w:hint="default"/>
        </w:rPr>
        <w:t>2</w:t>
      </w:r>
      <w:r>
        <w:rPr/>
        <w:t>）公司出租资产所收取的租赁费，在不扣除免租期的整个租赁期内，按直线法进行分摊，确认为租</w:t>
      </w:r>
      <w:r>
        <w:rPr>
          <w:w w:val="100"/>
        </w:rPr>
        <w:t> </w:t>
      </w:r>
      <w:r>
        <w:rPr>
          <w:spacing w:val="-5"/>
        </w:rPr>
        <w:t>赁相关收入。公司支付的与租赁交易相关的初始直接费用，计入当期费用；如金额较大的，则予以资本化，</w:t>
      </w:r>
      <w:r>
        <w:rPr>
          <w:spacing w:val="-8"/>
        </w:rPr>
        <w:t> </w:t>
      </w:r>
      <w:r>
        <w:rPr>
          <w:spacing w:val="-8"/>
        </w:rPr>
      </w:r>
      <w:r>
        <w:rPr/>
        <w:t>在整个租赁期间内按照与租赁相关收入确认相同的基础分期计入当期收益。</w:t>
      </w:r>
    </w:p>
    <w:p>
      <w:pPr>
        <w:pStyle w:val="BodyText"/>
        <w:spacing w:line="355" w:lineRule="auto" w:before="38"/>
        <w:ind w:left="152" w:right="1128" w:firstLine="420"/>
        <w:jc w:val="both"/>
      </w:pPr>
      <w:r>
        <w:rPr>
          <w:spacing w:val="-2"/>
        </w:rPr>
        <w:t>公司承担了应由承租方承担的与租赁相关的费用时，公司将该部分费用从租金收入总额中扣除，按扣</w:t>
      </w:r>
      <w:r>
        <w:rPr>
          <w:w w:val="100"/>
        </w:rPr>
        <w:t> </w:t>
      </w:r>
      <w:r>
        <w:rPr/>
        <w:t>除后的租金费用在租赁期内分配。</w:t>
      </w:r>
    </w:p>
    <w:p>
      <w:pPr>
        <w:spacing w:line="240" w:lineRule="auto" w:before="7"/>
        <w:rPr>
          <w:rFonts w:ascii="宋体" w:hAnsi="宋体" w:cs="宋体" w:eastAsia="宋体" w:hint="default"/>
          <w:sz w:val="25"/>
          <w:szCs w:val="25"/>
        </w:rPr>
      </w:pPr>
    </w:p>
    <w:p>
      <w:pPr>
        <w:pStyle w:val="Heading4"/>
        <w:spacing w:line="240" w:lineRule="auto"/>
        <w:ind w:right="1127"/>
        <w:jc w:val="left"/>
        <w:rPr>
          <w:b w:val="0"/>
          <w:bCs w:val="0"/>
        </w:rPr>
      </w:pPr>
      <w:bookmarkStart w:name="（2）融资租赁的会计处理方法" w:id="333"/>
      <w:bookmarkEnd w:id="33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宋体" w:hAnsi="宋体" w:cs="宋体" w:eastAsia="宋体" w:hint="default"/>
          <w:b/>
          <w:bCs/>
          <w:sz w:val="21"/>
          <w:szCs w:val="21"/>
        </w:rPr>
      </w:pPr>
    </w:p>
    <w:p>
      <w:pPr>
        <w:pStyle w:val="BodyText"/>
        <w:spacing w:line="350" w:lineRule="auto"/>
        <w:ind w:left="152" w:right="1106" w:firstLine="420"/>
        <w:jc w:val="both"/>
      </w:pPr>
      <w:r>
        <w:rPr>
          <w:rFonts w:ascii="Times New Roman" w:hAnsi="Times New Roman" w:cs="Times New Roman" w:eastAsia="Times New Roman" w:hint="default"/>
        </w:rPr>
        <w:t>1</w:t>
      </w:r>
      <w:r>
        <w:rPr/>
        <w:t>）融资租入资产：公司在承租开始日，将租赁资产公允价值与最低租赁付款额现值两者中较低者作</w:t>
      </w:r>
      <w:r>
        <w:rPr>
          <w:w w:val="100"/>
        </w:rPr>
        <w:t> </w:t>
      </w:r>
      <w:r>
        <w:rPr>
          <w:spacing w:val="-2"/>
        </w:rPr>
        <w:t>为租入资产的入账价值，将最低租赁付款额作为长期应付款的入账价值，其差额作为未确认的融资费用。</w:t>
      </w:r>
      <w:r>
        <w:rPr>
          <w:spacing w:val="-21"/>
        </w:rPr>
        <w:t> </w:t>
      </w:r>
      <w:r>
        <w:rPr>
          <w:spacing w:val="-21"/>
        </w:rPr>
      </w:r>
      <w:r>
        <w:rPr>
          <w:spacing w:val="-2"/>
        </w:rPr>
        <w:t>公司采用实际利率法对未确认的融资费用，在资产租赁期间内摊销，计入财务费用。公司发生的初始直接</w:t>
      </w:r>
      <w:r>
        <w:rPr>
          <w:spacing w:val="-44"/>
        </w:rPr>
        <w:t> </w:t>
      </w:r>
      <w:r>
        <w:rPr>
          <w:spacing w:val="-44"/>
        </w:rPr>
      </w:r>
      <w:r>
        <w:rPr/>
        <w:t>费用，计入租入资产价值。</w:t>
      </w:r>
    </w:p>
    <w:p>
      <w:pPr>
        <w:pStyle w:val="BodyText"/>
        <w:spacing w:line="348" w:lineRule="auto" w:before="36"/>
        <w:ind w:left="152" w:right="1128" w:firstLine="420"/>
        <w:jc w:val="both"/>
      </w:pPr>
      <w:r>
        <w:rPr>
          <w:rFonts w:ascii="Times New Roman" w:hAnsi="Times New Roman" w:cs="Times New Roman" w:eastAsia="Times New Roman" w:hint="default"/>
        </w:rPr>
        <w:t>2</w:t>
      </w:r>
      <w:r>
        <w:rPr/>
        <w:t>）融资租出资产：公司在租赁开始日，将应收融资租赁款，未担保余值之和与其现值的差额确认为</w:t>
      </w:r>
      <w:r>
        <w:rPr>
          <w:w w:val="100"/>
        </w:rPr>
        <w:t> </w:t>
      </w:r>
      <w:r>
        <w:rPr>
          <w:spacing w:val="-2"/>
        </w:rPr>
        <w:t>未实现融资收益，在将来收到租金的各期间内确认为租赁收入。公司发生的与出租交易相关的初始直接费</w:t>
      </w:r>
      <w:r>
        <w:rPr>
          <w:spacing w:val="-42"/>
        </w:rPr>
        <w:t> </w:t>
      </w:r>
      <w:r>
        <w:rPr>
          <w:spacing w:val="-42"/>
        </w:rPr>
      </w:r>
      <w:r>
        <w:rPr/>
        <w:t>用，计入应收融资租赁款的初始计量中，并减少租赁期内确认的收益金额。</w:t>
      </w:r>
    </w:p>
    <w:p>
      <w:pPr>
        <w:spacing w:line="240" w:lineRule="auto" w:before="11"/>
        <w:rPr>
          <w:rFonts w:ascii="宋体" w:hAnsi="宋体" w:cs="宋体" w:eastAsia="宋体" w:hint="default"/>
          <w:sz w:val="25"/>
          <w:szCs w:val="25"/>
        </w:rPr>
      </w:pPr>
    </w:p>
    <w:p>
      <w:pPr>
        <w:pStyle w:val="Heading4"/>
        <w:spacing w:line="240" w:lineRule="auto"/>
        <w:ind w:right="1127"/>
        <w:jc w:val="left"/>
        <w:rPr>
          <w:b w:val="0"/>
          <w:bCs w:val="0"/>
        </w:rPr>
      </w:pPr>
      <w:bookmarkStart w:name="43、其他重要的会计政策和会计估计" w:id="334"/>
      <w:bookmarkEnd w:id="334"/>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8"/>
        <w:rPr>
          <w:rFonts w:ascii="宋体" w:hAnsi="宋体" w:cs="宋体" w:eastAsia="宋体" w:hint="default"/>
          <w:b/>
          <w:bCs/>
          <w:sz w:val="21"/>
          <w:szCs w:val="21"/>
        </w:rPr>
      </w:pPr>
    </w:p>
    <w:p>
      <w:pPr>
        <w:pStyle w:val="BodyText"/>
        <w:spacing w:line="336" w:lineRule="auto"/>
        <w:ind w:left="577" w:right="1127" w:hanging="3"/>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）终止经营</w:t>
      </w:r>
      <w:r>
        <w:rPr>
          <w:rFonts w:ascii="宋体" w:hAnsi="宋体" w:cs="宋体" w:eastAsia="宋体" w:hint="default"/>
          <w:b/>
          <w:bCs/>
          <w:w w:val="100"/>
        </w:rPr>
        <w:t> </w:t>
      </w:r>
      <w:r>
        <w:rPr>
          <w:spacing w:val="-2"/>
        </w:rPr>
        <w:t>终止经营是满足下列条件之一的、能够单独区分的组成部分，且该组成部分已被本公司处置或被本公</w:t>
      </w:r>
    </w:p>
    <w:p>
      <w:pPr>
        <w:spacing w:after="0" w:line="336" w:lineRule="auto"/>
        <w:jc w:val="left"/>
        <w:sectPr>
          <w:footerReference w:type="default" r:id="rId66"/>
          <w:pgSz w:w="11910" w:h="16840"/>
          <w:pgMar w:footer="1134" w:header="882" w:top="1280" w:bottom="1320" w:left="980" w:right="0"/>
        </w:sectPr>
      </w:pPr>
    </w:p>
    <w:p>
      <w:pPr>
        <w:pStyle w:val="BodyText"/>
        <w:spacing w:line="240" w:lineRule="auto" w:before="112"/>
        <w:ind w:left="157" w:right="1127"/>
        <w:jc w:val="left"/>
      </w:pPr>
      <w:r>
        <w:rPr/>
        <w:t>司划归为持有待售类别：</w:t>
      </w:r>
    </w:p>
    <w:p>
      <w:pPr>
        <w:pStyle w:val="BodyText"/>
        <w:spacing w:line="240" w:lineRule="auto" w:before="133"/>
        <w:ind w:left="577" w:right="1127"/>
        <w:jc w:val="left"/>
      </w:pPr>
      <w:r>
        <w:rPr>
          <w:rFonts w:ascii="Times New Roman" w:hAnsi="Times New Roman" w:cs="Times New Roman" w:eastAsia="Times New Roman" w:hint="default"/>
        </w:rPr>
        <w:t>1</w:t>
      </w:r>
      <w:r>
        <w:rPr/>
        <w:t>）该组成部分代表一项独立的主要业务或一个单独的主要经营地区；</w:t>
      </w:r>
    </w:p>
    <w:p>
      <w:pPr>
        <w:pStyle w:val="BodyText"/>
        <w:spacing w:line="338" w:lineRule="auto" w:before="117"/>
        <w:ind w:left="157" w:right="1131" w:firstLine="420"/>
        <w:jc w:val="both"/>
      </w:pPr>
      <w:r>
        <w:rPr>
          <w:rFonts w:ascii="Times New Roman" w:hAnsi="Times New Roman" w:cs="Times New Roman" w:eastAsia="Times New Roman" w:hint="default"/>
        </w:rPr>
        <w:t>2</w:t>
      </w:r>
      <w:r>
        <w:rPr/>
        <w:t>）该组成部分是拟对一项独立的主要业务或一个单独的主要经营地区进行处置的一项相关联计划的</w:t>
      </w:r>
      <w:r>
        <w:rPr>
          <w:w w:val="100"/>
        </w:rPr>
        <w:t> </w:t>
      </w:r>
      <w:r>
        <w:rPr/>
        <w:t>一部分；</w:t>
      </w:r>
    </w:p>
    <w:p>
      <w:pPr>
        <w:pStyle w:val="BodyText"/>
        <w:spacing w:line="240" w:lineRule="auto" w:before="47"/>
        <w:ind w:left="577" w:right="1127"/>
        <w:jc w:val="left"/>
      </w:pPr>
      <w:r>
        <w:rPr>
          <w:rFonts w:ascii="Times New Roman" w:hAnsi="Times New Roman" w:cs="Times New Roman" w:eastAsia="Times New Roman" w:hint="default"/>
        </w:rPr>
        <w:t>3</w:t>
      </w:r>
      <w:r>
        <w:rPr/>
        <w:t>）该组成部分是专为转售而取得的子公司。</w:t>
      </w:r>
    </w:p>
    <w:p>
      <w:pPr>
        <w:pStyle w:val="BodyText"/>
        <w:spacing w:line="336" w:lineRule="auto" w:before="117"/>
        <w:ind w:left="577" w:right="0" w:hanging="3"/>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）回购本公司股份</w:t>
      </w:r>
      <w:r>
        <w:rPr>
          <w:rFonts w:ascii="宋体" w:hAnsi="宋体" w:cs="宋体" w:eastAsia="宋体" w:hint="default"/>
          <w:b/>
          <w:bCs/>
          <w:w w:val="100"/>
        </w:rPr>
        <w:t> </w:t>
      </w:r>
      <w:r>
        <w:rPr>
          <w:spacing w:val="-5"/>
        </w:rPr>
        <w:t>公司对回购自身权益工具支付的对价和交易费用，记入库存股项目，减少股东权益。除股份支付之外，</w:t>
      </w:r>
    </w:p>
    <w:p>
      <w:pPr>
        <w:pStyle w:val="BodyText"/>
        <w:spacing w:line="240" w:lineRule="auto" w:before="51"/>
        <w:ind w:left="157" w:right="1127"/>
        <w:jc w:val="left"/>
      </w:pPr>
      <w:r>
        <w:rPr/>
        <w:t>发行</w:t>
      </w:r>
      <w:r>
        <w:rPr>
          <w:rFonts w:ascii="Times New Roman" w:hAnsi="Times New Roman" w:cs="Times New Roman" w:eastAsia="Times New Roman" w:hint="default"/>
        </w:rPr>
        <w:t>(</w:t>
      </w:r>
      <w:r>
        <w:rPr/>
        <w:t>含再融资</w:t>
      </w:r>
      <w:r>
        <w:rPr>
          <w:rFonts w:ascii="Times New Roman" w:hAnsi="Times New Roman" w:cs="Times New Roman" w:eastAsia="Times New Roman" w:hint="default"/>
        </w:rPr>
        <w:t>)</w:t>
      </w:r>
      <w:r>
        <w:rPr/>
        <w:t>、回购、出售或注销自身权益工具，作为权益的变动处理。</w:t>
      </w:r>
    </w:p>
    <w:p>
      <w:pPr>
        <w:pStyle w:val="BodyText"/>
        <w:spacing w:line="336" w:lineRule="auto" w:before="117"/>
        <w:ind w:right="1127"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）分部报告</w:t>
      </w:r>
      <w:r>
        <w:rPr>
          <w:rFonts w:ascii="宋体" w:hAnsi="宋体" w:cs="宋体" w:eastAsia="宋体" w:hint="default"/>
          <w:b/>
          <w:bCs/>
          <w:w w:val="100"/>
        </w:rPr>
        <w:t> </w:t>
      </w:r>
      <w:r>
        <w:rPr>
          <w:spacing w:val="-2"/>
        </w:rPr>
        <w:t>本公司以内部组织结构、管理要求、内部报告制度为依据确定经营分部，以经营分部为基础确定报告</w:t>
      </w:r>
    </w:p>
    <w:p>
      <w:pPr>
        <w:pStyle w:val="BodyText"/>
        <w:spacing w:line="240" w:lineRule="auto" w:before="49"/>
        <w:ind w:left="152" w:right="1127"/>
        <w:jc w:val="left"/>
      </w:pPr>
      <w:r>
        <w:rPr/>
        <w:t>分部并披露分部信息。</w:t>
      </w:r>
    </w:p>
    <w:p>
      <w:pPr>
        <w:pStyle w:val="BodyText"/>
        <w:spacing w:line="338" w:lineRule="auto" w:before="133"/>
        <w:ind w:left="152" w:right="1130" w:firstLine="419"/>
        <w:jc w:val="both"/>
      </w:pPr>
      <w:r>
        <w:rPr/>
        <w:t>经营分部是指本公司内同时满足下列条件的组成部分：</w:t>
      </w:r>
      <w:r>
        <w:rPr>
          <w:rFonts w:ascii="Times New Roman" w:hAnsi="Times New Roman" w:cs="Times New Roman" w:eastAsia="Times New Roman" w:hint="default"/>
        </w:rPr>
        <w:t>(1)</w:t>
      </w:r>
      <w:r>
        <w:rPr>
          <w:rFonts w:ascii="Times New Roman" w:hAnsi="Times New Roman" w:cs="Times New Roman" w:eastAsia="Times New Roman" w:hint="default"/>
          <w:spacing w:val="37"/>
        </w:rPr>
        <w:t> </w:t>
      </w:r>
      <w:r>
        <w:rPr/>
        <w:t>该组成部分能够在日常活动中产生收入、</w:t>
      </w:r>
      <w:r>
        <w:rPr>
          <w:w w:val="100"/>
        </w:rPr>
        <w:t> </w:t>
      </w:r>
      <w:r>
        <w:rPr/>
        <w:t>发生费用；</w:t>
      </w:r>
      <w:r>
        <w:rPr>
          <w:rFonts w:ascii="Times New Roman" w:hAnsi="Times New Roman" w:cs="Times New Roman" w:eastAsia="Times New Roman" w:hint="default"/>
        </w:rPr>
        <w:t>(2)</w:t>
      </w:r>
      <w:r>
        <w:rPr>
          <w:rFonts w:ascii="Times New Roman" w:hAnsi="Times New Roman" w:cs="Times New Roman" w:eastAsia="Times New Roman" w:hint="default"/>
          <w:spacing w:val="39"/>
        </w:rPr>
        <w:t> </w:t>
      </w:r>
      <w:r>
        <w:rPr/>
        <w:t>本公司管理层能够定期评价该组成部分的经营成果，以决定向其配置资源、评价其业绩；</w:t>
      </w:r>
      <w:r>
        <w:rPr>
          <w:spacing w:val="-97"/>
        </w:rPr>
        <w:t> </w:t>
      </w:r>
      <w:r>
        <w:rPr>
          <w:spacing w:val="-97"/>
        </w:rPr>
      </w:r>
      <w:r>
        <w:rPr>
          <w:rFonts w:ascii="Times New Roman" w:hAnsi="Times New Roman" w:cs="Times New Roman" w:eastAsia="Times New Roman" w:hint="default"/>
        </w:rPr>
        <w:t>(3)</w:t>
      </w:r>
      <w:r>
        <w:rPr>
          <w:rFonts w:ascii="Times New Roman" w:hAnsi="Times New Roman" w:cs="Times New Roman" w:eastAsia="Times New Roman" w:hint="default"/>
          <w:spacing w:val="39"/>
        </w:rPr>
        <w:t> </w:t>
      </w:r>
      <w:r>
        <w:rPr/>
        <w:t>本公司能够取得该组成部分的财务状况、经营成果和现金流量等有关会计信息。两个或多个经营分部</w:t>
      </w:r>
      <w:r>
        <w:rPr>
          <w:spacing w:val="-98"/>
        </w:rPr>
        <w:t> </w:t>
      </w:r>
      <w:r>
        <w:rPr>
          <w:spacing w:val="-98"/>
        </w:rPr>
      </w:r>
      <w:r>
        <w:rPr/>
        <w:t>具有相似的经济特征，并且满足一定条件的，则可合并为一个经营分部。</w:t>
      </w:r>
    </w:p>
    <w:p>
      <w:pPr>
        <w:spacing w:line="240" w:lineRule="auto" w:before="7"/>
        <w:rPr>
          <w:rFonts w:ascii="宋体" w:hAnsi="宋体" w:cs="宋体" w:eastAsia="宋体" w:hint="default"/>
          <w:sz w:val="26"/>
          <w:szCs w:val="26"/>
        </w:rPr>
      </w:pPr>
    </w:p>
    <w:p>
      <w:pPr>
        <w:pStyle w:val="Heading4"/>
        <w:spacing w:line="240" w:lineRule="auto"/>
        <w:ind w:right="1127"/>
        <w:jc w:val="left"/>
        <w:rPr>
          <w:b w:val="0"/>
          <w:bCs w:val="0"/>
        </w:rPr>
      </w:pPr>
      <w:bookmarkStart w:name="44、重要会计政策和会计估计变更" w:id="335"/>
      <w:bookmarkEnd w:id="335"/>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1）重要会计政策变更" w:id="336"/>
      <w:bookmarkEnd w:id="33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19"/>
          <w:szCs w:val="19"/>
        </w:rPr>
      </w:pPr>
    </w:p>
    <w:tbl>
      <w:tblPr>
        <w:tblW w:w="0" w:type="auto"/>
        <w:jc w:val="left"/>
        <w:tblInd w:w="148" w:type="dxa"/>
        <w:tblLayout w:type="fixed"/>
        <w:tblCellMar>
          <w:top w:w="0" w:type="dxa"/>
          <w:left w:w="0" w:type="dxa"/>
          <w:bottom w:w="0" w:type="dxa"/>
          <w:right w:w="0" w:type="dxa"/>
        </w:tblCellMar>
        <w:tblLook w:val="01E0"/>
      </w:tblPr>
      <w:tblGrid>
        <w:gridCol w:w="3192"/>
        <w:gridCol w:w="3187"/>
        <w:gridCol w:w="3190"/>
      </w:tblGrid>
      <w:tr>
        <w:trPr>
          <w:trHeight w:val="386" w:hRule="exact"/>
        </w:trPr>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023"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56"/>
              <w:ind w:left="24" w:right="17"/>
              <w:jc w:val="center"/>
              <w:rPr>
                <w:rFonts w:ascii="宋体" w:hAnsi="宋体" w:cs="宋体" w:eastAsia="宋体" w:hint="default"/>
                <w:sz w:val="18"/>
                <w:szCs w:val="18"/>
              </w:rPr>
            </w:pPr>
            <w:r>
              <w:rPr>
                <w:rFonts w:ascii="宋体" w:hAnsi="宋体" w:cs="宋体" w:eastAsia="宋体" w:hint="default"/>
                <w:sz w:val="18"/>
                <w:szCs w:val="18"/>
              </w:rPr>
              <w:t>执行《财政部关于修订印发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年度一 般企业财务报表格式的通知》和《关于 修订印发合并财务报表格式（</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 </w:t>
            </w:r>
            <w:r>
              <w:rPr>
                <w:rFonts w:ascii="宋体" w:hAnsi="宋体" w:cs="宋体" w:eastAsia="宋体" w:hint="default"/>
                <w:spacing w:val="-1"/>
                <w:sz w:val="18"/>
                <w:szCs w:val="18"/>
              </w:rPr>
              <w:t>的通知》，资产负债表中</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应收票据及应</w:t>
            </w:r>
            <w:r>
              <w:rPr>
                <w:rFonts w:ascii="宋体" w:hAnsi="宋体" w:cs="宋体" w:eastAsia="宋体" w:hint="default"/>
                <w:sz w:val="18"/>
                <w:szCs w:val="18"/>
              </w:rPr>
              <w:t> 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 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 应调整。</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23"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日召开第四届董事会第二 十四次会议和第四届监事会第十三次会 议，分别审议通过《关于会计政策变更 的议案》。</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350"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right="0"/>
              <w:jc w:val="center"/>
              <w:rPr>
                <w:rFonts w:ascii="宋体" w:hAnsi="宋体" w:cs="宋体" w:eastAsia="宋体" w:hint="default"/>
                <w:sz w:val="18"/>
                <w:szCs w:val="18"/>
              </w:rPr>
            </w:pPr>
            <w:r>
              <w:rPr>
                <w:rFonts w:ascii="宋体" w:hAnsi="宋体" w:cs="宋体" w:eastAsia="宋体" w:hint="default"/>
                <w:sz w:val="18"/>
                <w:szCs w:val="18"/>
              </w:rPr>
              <w:t>执行《企业会计准则第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w:t>
            </w:r>
          </w:p>
          <w:p>
            <w:pPr>
              <w:pStyle w:val="TableParagraph"/>
              <w:spacing w:line="233" w:lineRule="exact"/>
              <w:ind w:left="4" w:right="0"/>
              <w:jc w:val="center"/>
              <w:rPr>
                <w:rFonts w:ascii="宋体" w:hAnsi="宋体" w:cs="宋体" w:eastAsia="宋体" w:hint="default"/>
                <w:sz w:val="18"/>
                <w:szCs w:val="18"/>
              </w:rPr>
            </w:pPr>
            <w:r>
              <w:rPr>
                <w:rFonts w:ascii="宋体" w:hAnsi="宋体" w:cs="宋体" w:eastAsia="宋体" w:hint="default"/>
                <w:sz w:val="18"/>
                <w:szCs w:val="18"/>
              </w:rPr>
              <w:t>具确认和计量</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《企业会计</w:t>
            </w:r>
            <w:r>
              <w:rPr>
                <w:rFonts w:ascii="宋体" w:hAnsi="宋体" w:cs="宋体" w:eastAsia="宋体" w:hint="default"/>
                <w:spacing w:val="2"/>
                <w:sz w:val="18"/>
                <w:szCs w:val="18"/>
              </w:rPr>
              <w:t>准</w:t>
            </w:r>
            <w:r>
              <w:rPr>
                <w:rFonts w:ascii="宋体" w:hAnsi="宋体" w:cs="宋体" w:eastAsia="宋体" w:hint="default"/>
                <w:sz w:val="18"/>
                <w:szCs w:val="18"/>
              </w:rPr>
              <w:t>则第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35" w:lineRule="auto"/>
              <w:ind w:left="23" w:right="22" w:hanging="3"/>
              <w:jc w:val="center"/>
              <w:rPr>
                <w:rFonts w:ascii="宋体" w:hAnsi="宋体" w:cs="宋体" w:eastAsia="宋体" w:hint="default"/>
                <w:sz w:val="18"/>
                <w:szCs w:val="18"/>
              </w:rPr>
            </w:pP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金融资产转移》、《企业会计准则第</w:t>
            </w:r>
            <w:r>
              <w:rPr>
                <w:rFonts w:ascii="宋体" w:hAnsi="宋体" w:cs="宋体" w:eastAsia="宋体" w:hint="default"/>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套期会计》和《企业会计准则 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金融工具列报》（</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年修 </w:t>
            </w:r>
            <w:r>
              <w:rPr>
                <w:rFonts w:ascii="宋体" w:hAnsi="宋体" w:cs="宋体" w:eastAsia="宋体" w:hint="default"/>
                <w:spacing w:val="-6"/>
                <w:sz w:val="18"/>
                <w:szCs w:val="18"/>
              </w:rPr>
              <w:t>订），修订后的准则规定，对于首次执行</w:t>
            </w:r>
            <w:r>
              <w:rPr>
                <w:rFonts w:ascii="宋体" w:hAnsi="宋体" w:cs="宋体" w:eastAsia="宋体" w:hint="default"/>
                <w:sz w:val="18"/>
                <w:szCs w:val="18"/>
              </w:rPr>
              <w:t> 日尚未终止确认的金融工具，之前的确 认和计量与修订后的准则要求不一致 的，应当追溯调整。涉及前期比较财务 报表数据与修订后的准则要求不一致 的，无需调整。本公司将因追溯调整产 生的累积影响数调整当年年初留存收益 和其他综合收益。可供出售权益工具投 资重分类为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以公允价值计量且其变动</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auto"/>
              <w:ind w:left="23"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日召开第四届董事会第十 九次会议和第四届监事会第九次会议， 分别审议通过《关于会计政策变更的议 案》</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7"/>
          <w:pgSz w:w="11910" w:h="16840"/>
          <w:pgMar w:footer="1134" w:header="882" w:top="1280" w:bottom="1320" w:left="980" w:right="0"/>
          <w:pgNumType w:start="171"/>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92"/>
        <w:gridCol w:w="3187"/>
        <w:gridCol w:w="3190"/>
      </w:tblGrid>
      <w:tr>
        <w:trPr>
          <w:trHeight w:val="317"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70" w:right="0"/>
              <w:jc w:val="left"/>
              <w:rPr>
                <w:rFonts w:ascii="宋体" w:hAnsi="宋体" w:cs="宋体" w:eastAsia="宋体" w:hint="default"/>
                <w:sz w:val="18"/>
                <w:szCs w:val="18"/>
              </w:rPr>
            </w:pPr>
            <w:r>
              <w:rPr>
                <w:rFonts w:ascii="宋体" w:hAnsi="宋体" w:cs="宋体" w:eastAsia="宋体" w:hint="default"/>
                <w:sz w:val="18"/>
                <w:szCs w:val="18"/>
              </w:rPr>
              <w:t>计入当期损益的金融资产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87"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3" w:lineRule="auto" w:before="64"/>
        <w:ind w:left="152" w:right="1123" w:firstLine="419"/>
        <w:jc w:val="left"/>
      </w:pPr>
      <w:r>
        <w:rPr/>
        <w:t>（</w:t>
      </w:r>
      <w:r>
        <w:rPr>
          <w:rFonts w:ascii="Times New Roman" w:hAnsi="Times New Roman" w:cs="Times New Roman" w:eastAsia="Times New Roman" w:hint="default"/>
        </w:rPr>
        <w:t>1</w:t>
      </w:r>
      <w:r>
        <w:rPr/>
        <w:t>）执行《财政部关于修订印发</w:t>
      </w:r>
      <w:r>
        <w:rPr>
          <w:spacing w:val="-6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9"/>
        </w:rPr>
        <w:t> </w:t>
      </w:r>
      <w:r>
        <w:rPr/>
        <w:t>年度一般企业财务报表格式的通知》和《关于修订印发合并财</w:t>
      </w:r>
      <w:r>
        <w:rPr>
          <w:w w:val="100"/>
        </w:rPr>
        <w:t> </w:t>
      </w:r>
      <w:r>
        <w:rPr/>
        <w:t>务报表格式（</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版）的通知》</w:t>
      </w:r>
    </w:p>
    <w:p>
      <w:pPr>
        <w:pStyle w:val="BodyText"/>
        <w:spacing w:line="336" w:lineRule="auto" w:before="129"/>
        <w:ind w:left="152" w:right="1022" w:firstLine="420"/>
        <w:jc w:val="left"/>
      </w:pPr>
      <w:r>
        <w:rPr/>
        <w:t>财政部分别于</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13"/>
        </w:rPr>
        <w:t> </w:t>
      </w:r>
      <w:r>
        <w:rPr/>
        <w:t>日和</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44"/>
        </w:rPr>
        <w:t> </w:t>
      </w:r>
      <w:r>
        <w:rPr>
          <w:rFonts w:ascii="Times New Roman" w:hAnsi="Times New Roman" w:cs="Times New Roman" w:eastAsia="Times New Roman" w:hint="default"/>
        </w:rPr>
        <w:t>19</w:t>
      </w:r>
      <w:r>
        <w:rPr>
          <w:rFonts w:ascii="Times New Roman" w:hAnsi="Times New Roman" w:cs="Times New Roman" w:eastAsia="Times New Roman" w:hint="default"/>
          <w:spacing w:val="-13"/>
        </w:rPr>
        <w:t> </w:t>
      </w:r>
      <w:r>
        <w:rPr/>
        <w:t>日</w:t>
      </w:r>
      <w:r>
        <w:rPr>
          <w:spacing w:val="-22"/>
        </w:rPr>
        <w:t> </w:t>
      </w:r>
      <w:r>
        <w:rPr/>
        <w:t>发布了《关于修订印发</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年度一般企业财务</w:t>
      </w:r>
      <w:r>
        <w:rPr>
          <w:spacing w:val="-3"/>
          <w:w w:val="100"/>
        </w:rPr>
        <w:t> </w:t>
      </w:r>
      <w:r>
        <w:rPr>
          <w:spacing w:val="-17"/>
          <w:w w:val="100"/>
        </w:rPr>
        <w:t>报表格式的通知》（财会（</w:t>
      </w:r>
      <w:r>
        <w:rPr>
          <w:rFonts w:ascii="Times New Roman" w:hAnsi="Times New Roman" w:cs="Times New Roman" w:eastAsia="Times New Roman" w:hint="default"/>
          <w:spacing w:val="-17"/>
          <w:w w:val="100"/>
        </w:rPr>
        <w:t>2019</w:t>
      </w:r>
      <w:r>
        <w:rPr>
          <w:spacing w:val="-17"/>
          <w:w w:val="100"/>
        </w:rPr>
        <w:t>）</w:t>
      </w:r>
      <w:r>
        <w:rPr>
          <w:rFonts w:ascii="Times New Roman" w:hAnsi="Times New Roman" w:cs="Times New Roman" w:eastAsia="Times New Roman" w:hint="default"/>
          <w:spacing w:val="-17"/>
          <w:w w:val="100"/>
        </w:rPr>
        <w:t>6</w:t>
      </w:r>
      <w:r>
        <w:rPr>
          <w:rFonts w:ascii="Times New Roman" w:hAnsi="Times New Roman" w:cs="Times New Roman" w:eastAsia="Times New Roman" w:hint="default"/>
          <w:w w:val="100"/>
        </w:rPr>
        <w:t> </w:t>
      </w:r>
      <w:r>
        <w:rPr>
          <w:spacing w:val="-9"/>
          <w:w w:val="100"/>
        </w:rPr>
        <w:t>号）和《关于修订印发合并财务报表格式（</w:t>
      </w:r>
      <w:r>
        <w:rPr>
          <w:rFonts w:ascii="Times New Roman" w:hAnsi="Times New Roman" w:cs="Times New Roman" w:eastAsia="Times New Roman" w:hint="default"/>
          <w:spacing w:val="-9"/>
          <w:w w:val="100"/>
        </w:rPr>
        <w:t>2019</w:t>
      </w:r>
      <w:r>
        <w:rPr>
          <w:rFonts w:ascii="Times New Roman" w:hAnsi="Times New Roman" w:cs="Times New Roman" w:eastAsia="Times New Roman" w:hint="default"/>
          <w:spacing w:val="-19"/>
          <w:w w:val="100"/>
        </w:rPr>
        <w:t> </w:t>
      </w:r>
      <w:r>
        <w:rPr>
          <w:spacing w:val="-20"/>
          <w:w w:val="100"/>
        </w:rPr>
        <w:t>版）的通知》（财会（</w:t>
      </w:r>
      <w:r>
        <w:rPr>
          <w:rFonts w:ascii="Times New Roman" w:hAnsi="Times New Roman" w:cs="Times New Roman" w:eastAsia="Times New Roman" w:hint="default"/>
          <w:spacing w:val="-20"/>
          <w:w w:val="100"/>
        </w:rPr>
        <w:t>2019</w:t>
      </w:r>
      <w:r>
        <w:rPr>
          <w:spacing w:val="-20"/>
          <w:w w:val="100"/>
        </w:rPr>
        <w:t>）</w:t>
      </w:r>
      <w:r>
        <w:rPr>
          <w:w w:val="100"/>
        </w:rPr>
        <w:t> </w:t>
      </w:r>
      <w:r>
        <w:rPr>
          <w:rFonts w:ascii="Times New Roman" w:hAnsi="Times New Roman" w:cs="Times New Roman" w:eastAsia="Times New Roman" w:hint="default"/>
          <w:w w:val="100"/>
        </w:rPr>
        <w:t>16 </w:t>
      </w:r>
      <w:r>
        <w:rPr>
          <w:spacing w:val="-7"/>
          <w:w w:val="100"/>
        </w:rPr>
        <w:t>号），对一般企业财务报表格式进行了修订。</w:t>
      </w:r>
      <w:r>
        <w:rPr>
          <w:spacing w:val="-16"/>
          <w:w w:val="100"/>
        </w:rPr>
        <w:t> </w:t>
      </w:r>
      <w:r>
        <w:rPr>
          <w:spacing w:val="-2"/>
          <w:w w:val="100"/>
        </w:rPr>
        <w:t>本公司执行上述规定的主要影响如下：</w:t>
      </w:r>
    </w:p>
    <w:p>
      <w:pPr>
        <w:spacing w:line="240" w:lineRule="auto" w:before="5"/>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4814"/>
        <w:gridCol w:w="4843"/>
      </w:tblGrid>
      <w:tr>
        <w:trPr>
          <w:trHeight w:val="617" w:hRule="exact"/>
        </w:trPr>
        <w:tc>
          <w:tcPr>
            <w:tcW w:w="9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653"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649"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4" w:right="2" w:hanging="3"/>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应收票据及应收账款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拆分为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w:t>
            </w:r>
            <w:r>
              <w:rPr>
                <w:rFonts w:ascii="宋体" w:hAnsi="宋体" w:cs="宋体" w:eastAsia="宋体" w:hint="default"/>
                <w:sz w:val="18"/>
                <w:szCs w:val="18"/>
              </w:rPr>
              <w:t> 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81,560,061.23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 额</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1,118,800,182.91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元；</w:t>
            </w:r>
          </w:p>
          <w:p>
            <w:pPr>
              <w:pStyle w:val="TableParagraph"/>
              <w:spacing w:line="225" w:lineRule="auto" w:before="60"/>
              <w:ind w:left="4" w:right="5"/>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应付票据及应付账款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拆分为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w:t>
            </w:r>
            <w:r>
              <w:rPr>
                <w:rFonts w:ascii="宋体" w:hAnsi="宋体" w:cs="宋体" w:eastAsia="宋体" w:hint="default"/>
                <w:sz w:val="18"/>
                <w:szCs w:val="18"/>
              </w:rPr>
              <w:t> 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418,489,964.24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 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996,251,859.72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w:t>
            </w:r>
          </w:p>
        </w:tc>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7" w:right="0" w:hanging="3"/>
              <w:jc w:val="center"/>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应收票据及应收账款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拆分为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w:t>
            </w:r>
            <w:r>
              <w:rPr>
                <w:rFonts w:ascii="宋体" w:hAnsi="宋体" w:cs="宋体" w:eastAsia="宋体" w:hint="default"/>
                <w:sz w:val="18"/>
                <w:szCs w:val="18"/>
              </w:rPr>
              <w:t> 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11,083,098.20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 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126,221,458.17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w:t>
            </w:r>
          </w:p>
          <w:p>
            <w:pPr>
              <w:pStyle w:val="TableParagraph"/>
              <w:spacing w:line="225" w:lineRule="auto" w:before="60"/>
              <w:ind w:left="7" w:right="0" w:hanging="3"/>
              <w:jc w:val="center"/>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应付票据及应付账款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拆分为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w:t>
            </w:r>
            <w:r>
              <w:rPr>
                <w:rFonts w:ascii="宋体" w:hAnsi="宋体" w:cs="宋体" w:eastAsia="宋体" w:hint="default"/>
                <w:sz w:val="18"/>
                <w:szCs w:val="18"/>
              </w:rPr>
              <w:t> 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80,000,000.00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 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55,761,547.48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w:t>
            </w:r>
          </w:p>
        </w:tc>
      </w:tr>
    </w:tbl>
    <w:p>
      <w:pPr>
        <w:pStyle w:val="BodyText"/>
        <w:spacing w:line="240" w:lineRule="auto" w:before="64"/>
        <w:ind w:right="0"/>
        <w:jc w:val="left"/>
      </w:pPr>
      <w:r>
        <w:rPr>
          <w:w w:val="100"/>
        </w:rPr>
        <w:t>（</w:t>
      </w:r>
      <w:r>
        <w:rPr>
          <w:rFonts w:ascii="Times New Roman" w:hAnsi="Times New Roman" w:cs="Times New Roman" w:eastAsia="Times New Roman" w:hint="default"/>
          <w:w w:val="100"/>
        </w:rPr>
        <w:t>2</w:t>
      </w:r>
      <w:r>
        <w:rPr>
          <w:spacing w:val="-3"/>
          <w:w w:val="100"/>
        </w:rPr>
        <w:t>）</w:t>
      </w:r>
      <w:r>
        <w:rPr>
          <w:w w:val="100"/>
        </w:rPr>
        <w:t>执</w:t>
      </w:r>
      <w:r>
        <w:rPr>
          <w:spacing w:val="-3"/>
          <w:w w:val="100"/>
        </w:rPr>
        <w:t>行</w:t>
      </w:r>
      <w:r>
        <w:rPr>
          <w:w w:val="100"/>
        </w:rPr>
        <w:t>《</w:t>
      </w:r>
      <w:r>
        <w:rPr>
          <w:spacing w:val="-3"/>
          <w:w w:val="100"/>
        </w:rPr>
        <w:t>企</w:t>
      </w:r>
      <w:r>
        <w:rPr>
          <w:w w:val="100"/>
        </w:rPr>
        <w:t>业</w:t>
      </w:r>
      <w:r>
        <w:rPr>
          <w:spacing w:val="-3"/>
          <w:w w:val="100"/>
        </w:rPr>
        <w:t>会</w:t>
      </w:r>
      <w:r>
        <w:rPr>
          <w:w w:val="100"/>
        </w:rPr>
        <w:t>计</w:t>
      </w:r>
      <w:r>
        <w:rPr>
          <w:spacing w:val="-3"/>
          <w:w w:val="100"/>
        </w:rPr>
        <w:t>准则</w:t>
      </w:r>
      <w:r>
        <w:rPr>
          <w:w w:val="100"/>
        </w:rPr>
        <w:t>第</w:t>
      </w:r>
      <w:r>
        <w:rPr>
          <w:spacing w:val="-22"/>
        </w:rPr>
        <w:t> </w:t>
      </w:r>
      <w:r>
        <w:rPr>
          <w:rFonts w:ascii="Times New Roman" w:hAnsi="Times New Roman" w:cs="Times New Roman" w:eastAsia="Times New Roman" w:hint="default"/>
          <w:w w:val="100"/>
        </w:rPr>
        <w:t>22</w:t>
      </w:r>
      <w:r>
        <w:rPr>
          <w:rFonts w:ascii="Times New Roman" w:hAnsi="Times New Roman" w:cs="Times New Roman" w:eastAsia="Times New Roman" w:hint="default"/>
          <w:spacing w:val="9"/>
        </w:rPr>
        <w:t> </w:t>
      </w:r>
      <w:r>
        <w:rPr>
          <w:spacing w:val="-3"/>
          <w:w w:val="100"/>
        </w:rPr>
        <w:t>号</w:t>
      </w:r>
      <w:r>
        <w:rPr>
          <w:rFonts w:ascii="Times New Roman" w:hAnsi="Times New Roman" w:cs="Times New Roman" w:eastAsia="Times New Roman" w:hint="default"/>
          <w:w w:val="100"/>
        </w:rPr>
        <w:t>—</w:t>
      </w:r>
      <w:r>
        <w:rPr>
          <w:rFonts w:ascii="Times New Roman" w:hAnsi="Times New Roman" w:cs="Times New Roman" w:eastAsia="Times New Roman" w:hint="default"/>
          <w:spacing w:val="-3"/>
          <w:w w:val="100"/>
        </w:rPr>
        <w:t>—</w:t>
      </w:r>
      <w:r>
        <w:rPr>
          <w:w w:val="100"/>
        </w:rPr>
        <w:t>金</w:t>
      </w:r>
      <w:r>
        <w:rPr>
          <w:spacing w:val="-3"/>
          <w:w w:val="100"/>
        </w:rPr>
        <w:t>融</w:t>
      </w:r>
      <w:r>
        <w:rPr>
          <w:w w:val="100"/>
        </w:rPr>
        <w:t>工</w:t>
      </w:r>
      <w:r>
        <w:rPr>
          <w:spacing w:val="-3"/>
          <w:w w:val="100"/>
        </w:rPr>
        <w:t>具确</w:t>
      </w:r>
      <w:r>
        <w:rPr>
          <w:w w:val="100"/>
        </w:rPr>
        <w:t>认和</w:t>
      </w:r>
      <w:r>
        <w:rPr>
          <w:spacing w:val="-3"/>
          <w:w w:val="100"/>
        </w:rPr>
        <w:t>计</w:t>
      </w:r>
      <w:r>
        <w:rPr>
          <w:w w:val="100"/>
        </w:rPr>
        <w:t>量</w:t>
      </w:r>
      <w:r>
        <w:rPr>
          <w:spacing w:val="-106"/>
          <w:w w:val="100"/>
        </w:rPr>
        <w:t>》</w:t>
      </w:r>
      <w:r>
        <w:rPr>
          <w:spacing w:val="-108"/>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21"/>
        </w:rPr>
        <w:t> </w:t>
      </w:r>
      <w:r>
        <w:rPr>
          <w:rFonts w:ascii="Times New Roman" w:hAnsi="Times New Roman" w:cs="Times New Roman" w:eastAsia="Times New Roman" w:hint="default"/>
          <w:w w:val="100"/>
        </w:rPr>
        <w:t>23</w:t>
      </w:r>
      <w:r>
        <w:rPr>
          <w:rFonts w:ascii="Times New Roman" w:hAnsi="Times New Roman" w:cs="Times New Roman" w:eastAsia="Times New Roman" w:hint="default"/>
          <w:spacing w:val="7"/>
        </w:rPr>
        <w:t> </w:t>
      </w:r>
      <w:r>
        <w:rPr>
          <w:w w:val="100"/>
        </w:rPr>
        <w:t>号</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w:t>
      </w:r>
      <w:r>
        <w:rPr>
          <w:spacing w:val="-3"/>
          <w:w w:val="100"/>
        </w:rPr>
        <w:t>金</w:t>
      </w:r>
      <w:r>
        <w:rPr>
          <w:w w:val="100"/>
        </w:rPr>
        <w:t>融</w:t>
      </w:r>
      <w:r>
        <w:rPr>
          <w:spacing w:val="-3"/>
          <w:w w:val="100"/>
        </w:rPr>
        <w:t>资产</w:t>
      </w:r>
      <w:r>
        <w:rPr>
          <w:w w:val="100"/>
        </w:rPr>
      </w:r>
    </w:p>
    <w:p>
      <w:pPr>
        <w:pStyle w:val="BodyText"/>
        <w:spacing w:line="336" w:lineRule="auto" w:before="117"/>
        <w:ind w:left="153" w:right="1132" w:hanging="1"/>
        <w:jc w:val="both"/>
      </w:pPr>
      <w:r>
        <w:rPr>
          <w:spacing w:val="-19"/>
          <w:w w:val="100"/>
        </w:rPr>
        <w:t>转移》、《企业会计准则第</w:t>
      </w:r>
      <w:r>
        <w:rPr>
          <w:spacing w:val="-32"/>
          <w:w w:val="100"/>
        </w:rPr>
        <w:t> </w:t>
      </w:r>
      <w:r>
        <w:rPr>
          <w:rFonts w:ascii="Times New Roman" w:hAnsi="Times New Roman" w:cs="Times New Roman" w:eastAsia="Times New Roman" w:hint="default"/>
          <w:w w:val="100"/>
        </w:rPr>
        <w:t>24 </w:t>
      </w:r>
      <w:r>
        <w:rPr>
          <w:spacing w:val="-2"/>
          <w:w w:val="100"/>
        </w:rPr>
        <w:t>号</w:t>
      </w:r>
      <w:r>
        <w:rPr>
          <w:rFonts w:ascii="Times New Roman" w:hAnsi="Times New Roman" w:cs="Times New Roman" w:eastAsia="Times New Roman" w:hint="default"/>
          <w:spacing w:val="-2"/>
          <w:w w:val="100"/>
        </w:rPr>
        <w:t>——</w:t>
      </w:r>
      <w:r>
        <w:rPr>
          <w:spacing w:val="-2"/>
          <w:w w:val="100"/>
        </w:rPr>
        <w:t>套期会计》和《企业会计准则第</w:t>
      </w:r>
      <w:r>
        <w:rPr>
          <w:spacing w:val="-28"/>
          <w:w w:val="100"/>
        </w:rPr>
        <w:t> </w:t>
      </w:r>
      <w:r>
        <w:rPr>
          <w:rFonts w:ascii="Times New Roman" w:hAnsi="Times New Roman" w:cs="Times New Roman" w:eastAsia="Times New Roman" w:hint="default"/>
          <w:w w:val="100"/>
        </w:rPr>
        <w:t>37</w:t>
      </w:r>
      <w:r>
        <w:rPr>
          <w:rFonts w:ascii="Times New Roman" w:hAnsi="Times New Roman" w:cs="Times New Roman" w:eastAsia="Times New Roman" w:hint="default"/>
          <w:spacing w:val="-2"/>
          <w:w w:val="100"/>
        </w:rPr>
        <w:t> </w:t>
      </w:r>
      <w:r>
        <w:rPr>
          <w:spacing w:val="-9"/>
          <w:w w:val="100"/>
        </w:rPr>
        <w:t>号</w:t>
      </w:r>
      <w:r>
        <w:rPr>
          <w:rFonts w:ascii="Times New Roman" w:hAnsi="Times New Roman" w:cs="Times New Roman" w:eastAsia="Times New Roman" w:hint="default"/>
          <w:spacing w:val="-9"/>
          <w:w w:val="100"/>
        </w:rPr>
        <w:t>——</w:t>
      </w:r>
      <w:r>
        <w:rPr>
          <w:spacing w:val="-9"/>
          <w:w w:val="100"/>
        </w:rPr>
        <w:t>金融工具列报》（</w:t>
      </w:r>
      <w:r>
        <w:rPr>
          <w:rFonts w:ascii="Times New Roman" w:hAnsi="Times New Roman" w:cs="Times New Roman" w:eastAsia="Times New Roman" w:hint="default"/>
          <w:spacing w:val="-9"/>
          <w:w w:val="100"/>
        </w:rPr>
        <w:t>2017</w:t>
      </w:r>
      <w:r>
        <w:rPr>
          <w:rFonts w:ascii="Times New Roman" w:hAnsi="Times New Roman" w:cs="Times New Roman" w:eastAsia="Times New Roman" w:hint="default"/>
          <w:w w:val="100"/>
        </w:rPr>
        <w:t> </w:t>
      </w:r>
      <w:r>
        <w:rPr>
          <w:spacing w:val="-3"/>
          <w:w w:val="100"/>
        </w:rPr>
        <w:t>年修 </w:t>
      </w:r>
      <w:r>
        <w:rPr/>
        <w:t>订）</w:t>
      </w:r>
    </w:p>
    <w:p>
      <w:pPr>
        <w:pStyle w:val="BodyText"/>
        <w:spacing w:line="240" w:lineRule="auto" w:before="150"/>
        <w:ind w:left="573" w:right="0"/>
        <w:jc w:val="left"/>
        <w:rPr>
          <w:rFonts w:ascii="Times New Roman" w:hAnsi="Times New Roman" w:cs="Times New Roman" w:eastAsia="Times New Roman" w:hint="default"/>
        </w:rPr>
      </w:pPr>
      <w:r>
        <w:rPr>
          <w:w w:val="100"/>
        </w:rPr>
        <w:t>财政</w:t>
      </w:r>
      <w:r>
        <w:rPr>
          <w:spacing w:val="-3"/>
          <w:w w:val="100"/>
        </w:rPr>
        <w:t>部</w:t>
      </w:r>
      <w:r>
        <w:rPr>
          <w:w w:val="100"/>
        </w:rPr>
        <w:t>于</w:t>
      </w:r>
      <w:r>
        <w:rPr>
          <w:spacing w:val="-19"/>
        </w:rPr>
        <w:t> </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12"/>
        </w:rPr>
        <w:t> </w:t>
      </w:r>
      <w:r>
        <w:rPr>
          <w:w w:val="100"/>
        </w:rPr>
        <w:t>年</w:t>
      </w:r>
      <w:r>
        <w:rPr>
          <w:spacing w:val="-3"/>
          <w:w w:val="100"/>
        </w:rPr>
        <w:t>度</w:t>
      </w:r>
      <w:r>
        <w:rPr>
          <w:w w:val="100"/>
        </w:rPr>
        <w:t>修</w:t>
      </w:r>
      <w:r>
        <w:rPr>
          <w:spacing w:val="-3"/>
          <w:w w:val="100"/>
        </w:rPr>
        <w:t>订</w:t>
      </w:r>
      <w:r>
        <w:rPr>
          <w:w w:val="100"/>
        </w:rPr>
        <w:t>了《</w:t>
      </w:r>
      <w:r>
        <w:rPr>
          <w:spacing w:val="-3"/>
          <w:w w:val="100"/>
        </w:rPr>
        <w:t>企</w:t>
      </w:r>
      <w:r>
        <w:rPr>
          <w:w w:val="100"/>
        </w:rPr>
        <w:t>业</w:t>
      </w:r>
      <w:r>
        <w:rPr>
          <w:spacing w:val="-3"/>
          <w:w w:val="100"/>
        </w:rPr>
        <w:t>会</w:t>
      </w:r>
      <w:r>
        <w:rPr>
          <w:w w:val="100"/>
        </w:rPr>
        <w:t>计</w:t>
      </w:r>
      <w:r>
        <w:rPr>
          <w:spacing w:val="-3"/>
          <w:w w:val="100"/>
        </w:rPr>
        <w:t>准则</w:t>
      </w:r>
      <w:r>
        <w:rPr>
          <w:w w:val="100"/>
        </w:rPr>
        <w:t>第</w:t>
      </w:r>
      <w:r>
        <w:rPr>
          <w:spacing w:val="-17"/>
        </w:rPr>
        <w:t> </w:t>
      </w:r>
      <w:r>
        <w:rPr>
          <w:rFonts w:ascii="Times New Roman" w:hAnsi="Times New Roman" w:cs="Times New Roman" w:eastAsia="Times New Roman" w:hint="default"/>
          <w:w w:val="100"/>
        </w:rPr>
        <w:t>22</w:t>
      </w:r>
      <w:r>
        <w:rPr>
          <w:rFonts w:ascii="Times New Roman" w:hAnsi="Times New Roman" w:cs="Times New Roman" w:eastAsia="Times New Roman" w:hint="default"/>
          <w:spacing w:val="12"/>
        </w:rPr>
        <w:t> </w:t>
      </w:r>
      <w:r>
        <w:rPr>
          <w:w w:val="100"/>
        </w:rPr>
        <w:t>号</w:t>
      </w:r>
      <w:r>
        <w:rPr>
          <w:rFonts w:ascii="Times New Roman" w:hAnsi="Times New Roman" w:cs="Times New Roman" w:eastAsia="Times New Roman" w:hint="default"/>
          <w:w w:val="100"/>
        </w:rPr>
        <w:t>—</w:t>
      </w:r>
      <w:r>
        <w:rPr>
          <w:rFonts w:ascii="Times New Roman" w:hAnsi="Times New Roman" w:cs="Times New Roman" w:eastAsia="Times New Roman" w:hint="default"/>
          <w:spacing w:val="-3"/>
          <w:w w:val="100"/>
        </w:rPr>
        <w:t>—</w:t>
      </w:r>
      <w:r>
        <w:rPr>
          <w:w w:val="100"/>
        </w:rPr>
        <w:t>金</w:t>
      </w:r>
      <w:r>
        <w:rPr>
          <w:spacing w:val="-3"/>
          <w:w w:val="100"/>
        </w:rPr>
        <w:t>融</w:t>
      </w:r>
      <w:r>
        <w:rPr>
          <w:w w:val="100"/>
        </w:rPr>
        <w:t>工</w:t>
      </w:r>
      <w:r>
        <w:rPr>
          <w:spacing w:val="-3"/>
          <w:w w:val="100"/>
        </w:rPr>
        <w:t>具</w:t>
      </w:r>
      <w:r>
        <w:rPr>
          <w:w w:val="100"/>
        </w:rPr>
        <w:t>确</w:t>
      </w:r>
      <w:r>
        <w:rPr>
          <w:spacing w:val="-3"/>
          <w:w w:val="100"/>
        </w:rPr>
        <w:t>认</w:t>
      </w:r>
      <w:r>
        <w:rPr>
          <w:w w:val="100"/>
        </w:rPr>
        <w:t>和</w:t>
      </w:r>
      <w:r>
        <w:rPr>
          <w:spacing w:val="-3"/>
          <w:w w:val="100"/>
        </w:rPr>
        <w:t>计</w:t>
      </w:r>
      <w:r>
        <w:rPr>
          <w:w w:val="100"/>
        </w:rPr>
        <w:t>量</w:t>
      </w:r>
      <w:r>
        <w:rPr>
          <w:spacing w:val="-106"/>
          <w:w w:val="100"/>
        </w:rPr>
        <w:t>》、</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20"/>
        </w:rPr>
        <w:t> </w:t>
      </w:r>
      <w:r>
        <w:rPr>
          <w:rFonts w:ascii="Times New Roman" w:hAnsi="Times New Roman" w:cs="Times New Roman" w:eastAsia="Times New Roman" w:hint="default"/>
          <w:w w:val="100"/>
        </w:rPr>
        <w:t>23</w:t>
      </w:r>
    </w:p>
    <w:p>
      <w:pPr>
        <w:pStyle w:val="BodyText"/>
        <w:spacing w:line="348" w:lineRule="auto" w:before="119"/>
        <w:ind w:left="153" w:right="1128" w:hanging="1"/>
        <w:jc w:val="both"/>
      </w:pPr>
      <w:r>
        <w:rPr>
          <w:spacing w:val="-13"/>
          <w:w w:val="100"/>
        </w:rPr>
        <w:t>号</w:t>
      </w:r>
      <w:r>
        <w:rPr>
          <w:rFonts w:ascii="Times New Roman" w:hAnsi="Times New Roman" w:cs="Times New Roman" w:eastAsia="Times New Roman" w:hint="default"/>
          <w:spacing w:val="-13"/>
          <w:w w:val="100"/>
        </w:rPr>
        <w:t>——</w:t>
      </w:r>
      <w:r>
        <w:rPr>
          <w:spacing w:val="-13"/>
          <w:w w:val="100"/>
        </w:rPr>
        <w:t>金融资产转移》、《企业会计准则第</w:t>
      </w:r>
      <w:r>
        <w:rPr>
          <w:spacing w:val="-50"/>
          <w:w w:val="100"/>
        </w:rPr>
        <w:t> </w:t>
      </w:r>
      <w:r>
        <w:rPr>
          <w:rFonts w:ascii="Times New Roman" w:hAnsi="Times New Roman" w:cs="Times New Roman" w:eastAsia="Times New Roman" w:hint="default"/>
          <w:spacing w:val="-2"/>
          <w:w w:val="100"/>
        </w:rPr>
        <w:t>24</w:t>
      </w:r>
      <w:r>
        <w:rPr>
          <w:rFonts w:ascii="Times New Roman" w:hAnsi="Times New Roman" w:cs="Times New Roman" w:eastAsia="Times New Roman" w:hint="default"/>
          <w:spacing w:val="-7"/>
          <w:w w:val="100"/>
        </w:rPr>
        <w:t> </w:t>
      </w:r>
      <w:r>
        <w:rPr>
          <w:spacing w:val="-2"/>
          <w:w w:val="100"/>
        </w:rPr>
        <w:t>号</w:t>
      </w:r>
      <w:r>
        <w:rPr>
          <w:rFonts w:ascii="Times New Roman" w:hAnsi="Times New Roman" w:cs="Times New Roman" w:eastAsia="Times New Roman" w:hint="default"/>
          <w:spacing w:val="-2"/>
          <w:w w:val="100"/>
        </w:rPr>
        <w:t>——</w:t>
      </w:r>
      <w:r>
        <w:rPr>
          <w:spacing w:val="-2"/>
          <w:w w:val="100"/>
        </w:rPr>
        <w:t>套期会计》和《企业会计准则第</w:t>
      </w:r>
      <w:r>
        <w:rPr>
          <w:spacing w:val="-50"/>
          <w:w w:val="100"/>
        </w:rPr>
        <w:t> </w:t>
      </w:r>
      <w:r>
        <w:rPr>
          <w:rFonts w:ascii="Times New Roman" w:hAnsi="Times New Roman" w:cs="Times New Roman" w:eastAsia="Times New Roman" w:hint="default"/>
          <w:spacing w:val="-2"/>
          <w:w w:val="100"/>
        </w:rPr>
        <w:t>37</w:t>
      </w:r>
      <w:r>
        <w:rPr>
          <w:rFonts w:ascii="Times New Roman" w:hAnsi="Times New Roman" w:cs="Times New Roman" w:eastAsia="Times New Roman" w:hint="default"/>
          <w:spacing w:val="-7"/>
          <w:w w:val="100"/>
        </w:rPr>
        <w:t> </w:t>
      </w:r>
      <w:r>
        <w:rPr>
          <w:spacing w:val="-2"/>
          <w:w w:val="100"/>
        </w:rPr>
        <w:t>号</w:t>
      </w:r>
      <w:r>
        <w:rPr>
          <w:rFonts w:ascii="Times New Roman" w:hAnsi="Times New Roman" w:cs="Times New Roman" w:eastAsia="Times New Roman" w:hint="default"/>
          <w:spacing w:val="-2"/>
          <w:w w:val="100"/>
        </w:rPr>
        <w:t>——</w:t>
      </w:r>
      <w:r>
        <w:rPr>
          <w:spacing w:val="-2"/>
          <w:w w:val="100"/>
        </w:rPr>
        <w:t>金融工具列</w:t>
      </w:r>
      <w:r>
        <w:rPr>
          <w:spacing w:val="-103"/>
          <w:w w:val="100"/>
        </w:rPr>
        <w:t> </w:t>
      </w:r>
      <w:r>
        <w:rPr>
          <w:spacing w:val="-103"/>
          <w:w w:val="100"/>
        </w:rPr>
      </w:r>
      <w:r>
        <w:rPr>
          <w:spacing w:val="-2"/>
          <w:w w:val="100"/>
        </w:rPr>
        <w:t>报》。修订后的准则规定，对于首次执行日尚未终止确认的金融工具，之前的确认和计量与修订后的准则</w:t>
      </w:r>
      <w:r>
        <w:rPr>
          <w:spacing w:val="-95"/>
          <w:w w:val="100"/>
        </w:rPr>
        <w:t> </w:t>
      </w:r>
      <w:r>
        <w:rPr>
          <w:spacing w:val="-95"/>
          <w:w w:val="100"/>
        </w:rPr>
      </w:r>
      <w:r>
        <w:rPr>
          <w:spacing w:val="-2"/>
        </w:rPr>
        <w:t>要求不一致的，应当追溯调整。涉及前期比较财务报表数据与修订后的准则要求不一致的，无需调整。本</w:t>
      </w:r>
      <w:r>
        <w:rPr>
          <w:spacing w:val="-49"/>
        </w:rPr>
        <w:t> </w:t>
      </w:r>
      <w:r>
        <w:rPr>
          <w:spacing w:val="-49"/>
        </w:rPr>
      </w:r>
      <w:r>
        <w:rPr/>
        <w:t>公司将因追溯调整产生的累积影响数调整当年年初留存收益和其他综合收益。</w:t>
      </w:r>
    </w:p>
    <w:p>
      <w:pPr>
        <w:pStyle w:val="BodyText"/>
        <w:spacing w:line="333" w:lineRule="auto" w:before="141"/>
        <w:ind w:left="153" w:right="1127" w:firstLine="420"/>
        <w:jc w:val="left"/>
      </w:pPr>
      <w:r>
        <w:rPr/>
        <w:t>以按照财会〔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 </w:t>
      </w:r>
      <w:r>
        <w:rPr/>
        <w:t>号和财会〔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rFonts w:ascii="Times New Roman" w:hAnsi="Times New Roman" w:cs="Times New Roman" w:eastAsia="Times New Roman" w:hint="default"/>
          <w:spacing w:val="-34"/>
        </w:rPr>
        <w:t> </w:t>
      </w:r>
      <w:r>
        <w:rPr/>
        <w:t>号的规定调整后的上年年末余额为基础，执行上述新金融</w:t>
      </w:r>
      <w:r>
        <w:rPr>
          <w:spacing w:val="-3"/>
          <w:w w:val="100"/>
        </w:rPr>
        <w:t> </w:t>
      </w:r>
      <w:r>
        <w:rPr/>
        <w:t>工具准则的主要影响如下：</w:t>
      </w:r>
    </w:p>
    <w:p>
      <w:pPr>
        <w:spacing w:line="240" w:lineRule="auto" w:before="6"/>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4831"/>
        <w:gridCol w:w="4826"/>
      </w:tblGrid>
      <w:tr>
        <w:trPr>
          <w:trHeight w:val="499" w:hRule="exact"/>
        </w:trPr>
        <w:tc>
          <w:tcPr>
            <w:tcW w:w="9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528" w:hRule="exact"/>
        </w:trPr>
        <w:tc>
          <w:tcPr>
            <w:tcW w:w="4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4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546" w:hRule="exact"/>
        </w:trPr>
        <w:tc>
          <w:tcPr>
            <w:tcW w:w="4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其他流动资产：减少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23,620,000.00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交易性金融资产：增加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23,620,000.00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可供出售金融资产：减少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其他非流动金融资产：增加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sz w:val="18"/>
                <w:szCs w:val="18"/>
              </w:rPr>
              <w:t>其他综合收益：减少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留存收益：增加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应收票据：减少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4,361,789.14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应收款项融资：增加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4,361,789.14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4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可供出售金融资产：减少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其他非流动金融资产：增加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92" w:lineRule="auto" w:before="58"/>
              <w:ind w:left="854" w:right="852"/>
              <w:jc w:val="center"/>
              <w:rPr>
                <w:rFonts w:ascii="宋体" w:hAnsi="宋体" w:cs="宋体" w:eastAsia="宋体" w:hint="default"/>
                <w:sz w:val="18"/>
                <w:szCs w:val="18"/>
              </w:rPr>
            </w:pPr>
            <w:r>
              <w:rPr>
                <w:rFonts w:ascii="宋体" w:hAnsi="宋体" w:cs="宋体" w:eastAsia="宋体" w:hint="default"/>
                <w:sz w:val="18"/>
                <w:szCs w:val="18"/>
              </w:rPr>
              <w:t>其他综合收益：减少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留存收益：</w:t>
            </w:r>
            <w:r>
              <w:rPr>
                <w:rFonts w:ascii="Times New Roman" w:hAnsi="Times New Roman" w:cs="Times New Roman" w:eastAsia="Times New Roman" w:hint="default"/>
                <w:sz w:val="18"/>
                <w:szCs w:val="18"/>
              </w:rPr>
              <w:t>10,000,000.00 </w:t>
            </w:r>
            <w:r>
              <w:rPr>
                <w:rFonts w:ascii="宋体" w:hAnsi="宋体" w:cs="宋体" w:eastAsia="宋体" w:hint="default"/>
                <w:sz w:val="18"/>
                <w:szCs w:val="18"/>
              </w:rPr>
              <w:t>元 应收票据：减少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123,180.00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4"/>
              <w:ind w:left="2" w:right="0"/>
              <w:jc w:val="center"/>
              <w:rPr>
                <w:rFonts w:ascii="宋体" w:hAnsi="宋体" w:cs="宋体" w:eastAsia="宋体" w:hint="default"/>
                <w:sz w:val="18"/>
                <w:szCs w:val="18"/>
              </w:rPr>
            </w:pPr>
            <w:r>
              <w:rPr>
                <w:rFonts w:ascii="宋体" w:hAnsi="宋体" w:cs="宋体" w:eastAsia="宋体" w:hint="default"/>
                <w:sz w:val="18"/>
                <w:szCs w:val="18"/>
              </w:rPr>
              <w:t>应收款项融资：增加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123,180.00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after="0" w:line="240" w:lineRule="auto"/>
        <w:jc w:val="center"/>
        <w:rPr>
          <w:rFonts w:ascii="宋体" w:hAnsi="宋体" w:cs="宋体" w:eastAsia="宋体"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4831"/>
        <w:gridCol w:w="4826"/>
      </w:tblGrid>
      <w:tr>
        <w:trPr>
          <w:trHeight w:val="713" w:hRule="exact"/>
        </w:trPr>
        <w:tc>
          <w:tcPr>
            <w:tcW w:w="4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可供出售金融资产：减少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181,287,649.29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58"/>
              <w:ind w:left="631" w:right="0"/>
              <w:jc w:val="left"/>
              <w:rPr>
                <w:rFonts w:ascii="宋体" w:hAnsi="宋体" w:cs="宋体" w:eastAsia="宋体" w:hint="default"/>
                <w:sz w:val="18"/>
                <w:szCs w:val="18"/>
              </w:rPr>
            </w:pPr>
            <w:r>
              <w:rPr>
                <w:rFonts w:ascii="宋体" w:hAnsi="宋体" w:cs="宋体" w:eastAsia="宋体" w:hint="default"/>
                <w:sz w:val="18"/>
                <w:szCs w:val="18"/>
              </w:rPr>
              <w:t>其他权益工具投资：增加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181,287,649.29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4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8" w:right="0"/>
              <w:jc w:val="left"/>
              <w:rPr>
                <w:rFonts w:ascii="宋体" w:hAnsi="宋体" w:cs="宋体" w:eastAsia="宋体" w:hint="default"/>
                <w:sz w:val="18"/>
                <w:szCs w:val="18"/>
              </w:rPr>
            </w:pPr>
            <w:r>
              <w:rPr>
                <w:rFonts w:ascii="宋体" w:hAnsi="宋体" w:cs="宋体" w:eastAsia="宋体" w:hint="default"/>
                <w:sz w:val="18"/>
                <w:szCs w:val="18"/>
              </w:rPr>
              <w:t>可供出售金融资产：减少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103,900,000.00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58"/>
              <w:ind w:left="628" w:right="0"/>
              <w:jc w:val="left"/>
              <w:rPr>
                <w:rFonts w:ascii="宋体" w:hAnsi="宋体" w:cs="宋体" w:eastAsia="宋体" w:hint="default"/>
                <w:sz w:val="18"/>
                <w:szCs w:val="18"/>
              </w:rPr>
            </w:pPr>
            <w:r>
              <w:rPr>
                <w:rFonts w:ascii="宋体" w:hAnsi="宋体" w:cs="宋体" w:eastAsia="宋体" w:hint="default"/>
                <w:sz w:val="18"/>
                <w:szCs w:val="18"/>
              </w:rPr>
              <w:t>其他权益工具投资：增加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103,900,000.00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Style w:val="BodyText"/>
        <w:spacing w:line="336" w:lineRule="auto" w:before="64"/>
        <w:ind w:left="152" w:right="1128" w:firstLine="420"/>
        <w:jc w:val="left"/>
      </w:pPr>
      <w:r>
        <w:rPr/>
        <w:t>以按照财会〔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 </w:t>
      </w:r>
      <w:r>
        <w:rPr/>
        <w:t>号和财会〔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rFonts w:ascii="Times New Roman" w:hAnsi="Times New Roman" w:cs="Times New Roman" w:eastAsia="Times New Roman" w:hint="default"/>
          <w:spacing w:val="-34"/>
        </w:rPr>
        <w:t> </w:t>
      </w:r>
      <w:r>
        <w:rPr/>
        <w:t>号的规定调整后的上年年末余额为基础，各项金融资产和</w:t>
      </w:r>
      <w:r>
        <w:rPr>
          <w:spacing w:val="-3"/>
          <w:w w:val="100"/>
        </w:rPr>
        <w:t> </w:t>
      </w:r>
      <w:r>
        <w:rPr/>
        <w:t>金融负债按照修订前后金融工具确认计量准则的规定进行分类和计量结果对比如下：</w:t>
      </w:r>
    </w:p>
    <w:p>
      <w:pPr>
        <w:pStyle w:val="Heading4"/>
        <w:spacing w:line="240" w:lineRule="auto" w:before="171"/>
        <w:ind w:left="575" w:right="1127"/>
        <w:jc w:val="left"/>
        <w:rPr>
          <w:b w:val="0"/>
          <w:bCs w:val="0"/>
        </w:rPr>
      </w:pPr>
      <w:bookmarkStart w:name="合并" w:id="337"/>
      <w:bookmarkEnd w:id="337"/>
      <w:r>
        <w:rPr>
          <w:b w:val="0"/>
          <w:bCs w:val="0"/>
        </w:rPr>
      </w:r>
      <w:r>
        <w:rPr/>
        <w:t>合并</w:t>
      </w:r>
      <w:r>
        <w:rPr>
          <w:b w:val="0"/>
          <w:bCs w:val="0"/>
        </w:rPr>
      </w:r>
    </w:p>
    <w:p>
      <w:pPr>
        <w:spacing w:line="240" w:lineRule="auto" w:before="2"/>
        <w:rPr>
          <w:rFonts w:ascii="宋体" w:hAnsi="宋体" w:cs="宋体" w:eastAsia="宋体" w:hint="default"/>
          <w:b/>
          <w:bCs/>
          <w:sz w:val="22"/>
          <w:szCs w:val="22"/>
        </w:rPr>
      </w:pPr>
    </w:p>
    <w:tbl>
      <w:tblPr>
        <w:tblW w:w="0" w:type="auto"/>
        <w:jc w:val="left"/>
        <w:tblInd w:w="128" w:type="dxa"/>
        <w:tblLayout w:type="fixed"/>
        <w:tblCellMar>
          <w:top w:w="0" w:type="dxa"/>
          <w:left w:w="0" w:type="dxa"/>
          <w:bottom w:w="0" w:type="dxa"/>
          <w:right w:w="0" w:type="dxa"/>
        </w:tblCellMar>
        <w:tblLook w:val="01E0"/>
      </w:tblPr>
      <w:tblGrid>
        <w:gridCol w:w="1493"/>
        <w:gridCol w:w="1824"/>
        <w:gridCol w:w="1318"/>
        <w:gridCol w:w="1421"/>
        <w:gridCol w:w="2338"/>
        <w:gridCol w:w="1284"/>
      </w:tblGrid>
      <w:tr>
        <w:trPr>
          <w:trHeight w:val="406" w:hRule="exact"/>
        </w:trPr>
        <w:tc>
          <w:tcPr>
            <w:tcW w:w="46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0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499"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7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97"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pacing w:val="-1"/>
                <w:sz w:val="18"/>
              </w:rPr>
              <w:t>2,436,798,454.59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pacing w:val="-1"/>
                <w:sz w:val="18"/>
              </w:rPr>
              <w:t>2,436,798,454.59</w:t>
            </w:r>
          </w:p>
        </w:tc>
      </w:tr>
      <w:tr>
        <w:trPr>
          <w:trHeight w:val="499" w:hRule="exact"/>
        </w:trPr>
        <w:tc>
          <w:tcPr>
            <w:tcW w:w="1493" w:type="dxa"/>
            <w:vMerge w:val="restart"/>
            <w:tcBorders>
              <w:top w:val="single" w:sz="4" w:space="0" w:color="000000"/>
              <w:left w:val="single" w:sz="4" w:space="0" w:color="000000"/>
              <w:right w:val="single" w:sz="4" w:space="0" w:color="000000"/>
            </w:tcBorders>
          </w:tcPr>
          <w:p>
            <w:pPr>
              <w:pStyle w:val="TableParagraph"/>
              <w:spacing w:line="240" w:lineRule="auto" w:before="53"/>
              <w:ind w:left="38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24" w:type="dxa"/>
            <w:vMerge w:val="restart"/>
            <w:tcBorders>
              <w:top w:val="single" w:sz="4" w:space="0" w:color="000000"/>
              <w:left w:val="single" w:sz="4" w:space="0" w:color="000000"/>
              <w:right w:val="single" w:sz="4" w:space="0" w:color="000000"/>
            </w:tcBorders>
          </w:tcPr>
          <w:p>
            <w:pPr>
              <w:pStyle w:val="TableParagraph"/>
              <w:spacing w:line="240" w:lineRule="auto" w:before="53"/>
              <w:ind w:left="54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79"/>
              <w:ind w:left="271" w:right="0"/>
              <w:jc w:val="left"/>
              <w:rPr>
                <w:rFonts w:ascii="Times New Roman" w:hAnsi="Times New Roman" w:cs="Times New Roman" w:eastAsia="Times New Roman" w:hint="default"/>
                <w:sz w:val="18"/>
                <w:szCs w:val="18"/>
              </w:rPr>
            </w:pPr>
            <w:r>
              <w:rPr>
                <w:rFonts w:ascii="Times New Roman"/>
                <w:sz w:val="18"/>
              </w:rPr>
              <w:t>81,560,061.23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right"/>
              <w:rPr>
                <w:rFonts w:ascii="Times New Roman" w:hAnsi="Times New Roman" w:cs="Times New Roman" w:eastAsia="Times New Roman" w:hint="default"/>
                <w:sz w:val="18"/>
                <w:szCs w:val="18"/>
              </w:rPr>
            </w:pPr>
            <w:r>
              <w:rPr>
                <w:rFonts w:ascii="Times New Roman"/>
                <w:spacing w:val="-1"/>
                <w:sz w:val="18"/>
              </w:rPr>
              <w:t>77,198,272.09</w:t>
            </w:r>
          </w:p>
        </w:tc>
      </w:tr>
      <w:tr>
        <w:trPr>
          <w:trHeight w:val="641" w:hRule="exact"/>
        </w:trPr>
        <w:tc>
          <w:tcPr>
            <w:tcW w:w="1493" w:type="dxa"/>
            <w:vMerge/>
            <w:tcBorders>
              <w:left w:val="single" w:sz="4" w:space="0" w:color="000000"/>
              <w:bottom w:val="single" w:sz="4" w:space="0" w:color="000000"/>
              <w:right w:val="single" w:sz="4" w:space="0" w:color="000000"/>
            </w:tcBorders>
          </w:tcPr>
          <w:p>
            <w:pPr/>
          </w:p>
        </w:tc>
        <w:tc>
          <w:tcPr>
            <w:tcW w:w="1824"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6"/>
              <w:ind w:left="535" w:right="81" w:hanging="452"/>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pacing w:val="-1"/>
                <w:sz w:val="18"/>
              </w:rPr>
              <w:t>4,361,789.14</w:t>
            </w:r>
            <w:r>
              <w:rPr>
                <w:rFonts w:ascii="Times New Roman"/>
                <w:sz w:val="18"/>
              </w:rPr>
            </w:r>
          </w:p>
        </w:tc>
      </w:tr>
      <w:tr>
        <w:trPr>
          <w:trHeight w:val="497" w:hRule="exact"/>
        </w:trPr>
        <w:tc>
          <w:tcPr>
            <w:tcW w:w="1493" w:type="dxa"/>
            <w:vMerge w:val="restart"/>
            <w:tcBorders>
              <w:top w:val="single" w:sz="4" w:space="0" w:color="000000"/>
              <w:left w:val="single" w:sz="4" w:space="0" w:color="000000"/>
              <w:right w:val="single" w:sz="4" w:space="0" w:color="000000"/>
            </w:tcBorders>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24" w:type="dxa"/>
            <w:vMerge w:val="restart"/>
            <w:tcBorders>
              <w:top w:val="single" w:sz="4" w:space="0" w:color="000000"/>
              <w:left w:val="single" w:sz="4" w:space="0" w:color="000000"/>
              <w:right w:val="single" w:sz="4" w:space="0" w:color="000000"/>
            </w:tcBorders>
          </w:tcPr>
          <w:p>
            <w:pPr>
              <w:pStyle w:val="TableParagraph"/>
              <w:spacing w:line="240" w:lineRule="auto" w:before="51"/>
              <w:ind w:left="54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76"/>
              <w:ind w:left="52" w:right="0"/>
              <w:jc w:val="left"/>
              <w:rPr>
                <w:rFonts w:ascii="Times New Roman" w:hAnsi="Times New Roman" w:cs="Times New Roman" w:eastAsia="Times New Roman" w:hint="default"/>
                <w:sz w:val="18"/>
                <w:szCs w:val="18"/>
              </w:rPr>
            </w:pPr>
            <w:r>
              <w:rPr>
                <w:rFonts w:ascii="Times New Roman"/>
                <w:spacing w:val="-1"/>
                <w:sz w:val="18"/>
              </w:rPr>
              <w:t>1,118,800,182.91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pacing w:val="-1"/>
                <w:sz w:val="18"/>
              </w:rPr>
              <w:t>1,118,800,182.91</w:t>
            </w:r>
          </w:p>
        </w:tc>
      </w:tr>
      <w:tr>
        <w:trPr>
          <w:trHeight w:val="641" w:hRule="exact"/>
        </w:trPr>
        <w:tc>
          <w:tcPr>
            <w:tcW w:w="1493" w:type="dxa"/>
            <w:vMerge/>
            <w:tcBorders>
              <w:left w:val="single" w:sz="4" w:space="0" w:color="000000"/>
              <w:bottom w:val="single" w:sz="4" w:space="0" w:color="000000"/>
              <w:right w:val="single" w:sz="4" w:space="0" w:color="000000"/>
            </w:tcBorders>
          </w:tcPr>
          <w:p>
            <w:pPr/>
          </w:p>
        </w:tc>
        <w:tc>
          <w:tcPr>
            <w:tcW w:w="1824"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535" w:right="81" w:hanging="452"/>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right"/>
              <w:rPr>
                <w:rFonts w:ascii="Times New Roman" w:hAnsi="Times New Roman" w:cs="Times New Roman" w:eastAsia="Times New Roman" w:hint="default"/>
                <w:sz w:val="18"/>
                <w:szCs w:val="18"/>
              </w:rPr>
            </w:pPr>
            <w:r>
              <w:rPr>
                <w:rFonts w:ascii="Times New Roman"/>
                <w:spacing w:val="-1"/>
                <w:sz w:val="18"/>
              </w:rPr>
              <w:t>435,921,536.66</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right"/>
              <w:rPr>
                <w:rFonts w:ascii="Times New Roman" w:hAnsi="Times New Roman" w:cs="Times New Roman" w:eastAsia="Times New Roman" w:hint="default"/>
                <w:sz w:val="18"/>
                <w:szCs w:val="18"/>
              </w:rPr>
            </w:pPr>
            <w:r>
              <w:rPr>
                <w:rFonts w:ascii="Times New Roman"/>
                <w:spacing w:val="-1"/>
                <w:sz w:val="18"/>
              </w:rPr>
              <w:t>436,168,287.78</w:t>
            </w:r>
            <w:r>
              <w:rPr>
                <w:rFonts w:ascii="Times New Roman"/>
                <w:sz w:val="18"/>
              </w:rPr>
            </w:r>
          </w:p>
        </w:tc>
      </w:tr>
      <w:tr>
        <w:trPr>
          <w:trHeight w:val="713" w:hRule="exact"/>
        </w:trPr>
        <w:tc>
          <w:tcPr>
            <w:tcW w:w="1493" w:type="dxa"/>
            <w:vMerge w:val="restart"/>
            <w:tcBorders>
              <w:top w:val="single" w:sz="4" w:space="0" w:color="000000"/>
              <w:left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p>
            <w:pPr>
              <w:pStyle w:val="TableParagraph"/>
              <w:spacing w:line="240" w:lineRule="auto" w:before="69"/>
              <w:ind w:left="5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1824" w:type="dxa"/>
            <w:vMerge w:val="restart"/>
            <w:tcBorders>
              <w:top w:val="single" w:sz="4" w:space="0" w:color="000000"/>
              <w:left w:val="single" w:sz="4" w:space="0" w:color="000000"/>
              <w:right w:val="single" w:sz="4" w:space="0" w:color="000000"/>
            </w:tcBorders>
          </w:tcPr>
          <w:p>
            <w:pPr>
              <w:pStyle w:val="TableParagraph"/>
              <w:spacing w:line="237" w:lineRule="auto" w:before="53"/>
              <w:ind w:left="7"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以公允价值计量且其变 动计入其他综合收益 </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w:t>
            </w:r>
            <w:r>
              <w:rPr>
                <w:rFonts w:ascii="Times New Roman" w:hAnsi="Times New Roman" w:cs="Times New Roman" w:eastAsia="Times New Roman" w:hint="default"/>
                <w:sz w:val="18"/>
                <w:szCs w:val="18"/>
              </w:rPr>
              <w:t>)</w:t>
            </w:r>
          </w:p>
        </w:tc>
        <w:tc>
          <w:tcPr>
            <w:tcW w:w="1318" w:type="dxa"/>
            <w:vMerge w:val="restart"/>
            <w:tcBorders>
              <w:top w:val="single" w:sz="4" w:space="0" w:color="000000"/>
              <w:left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240" w:lineRule="auto" w:before="69"/>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93" w:type="dxa"/>
            <w:vMerge/>
            <w:tcBorders>
              <w:left w:val="single" w:sz="4" w:space="0" w:color="000000"/>
              <w:right w:val="single" w:sz="4" w:space="0" w:color="000000"/>
            </w:tcBorders>
          </w:tcPr>
          <w:p>
            <w:pPr/>
          </w:p>
        </w:tc>
        <w:tc>
          <w:tcPr>
            <w:tcW w:w="1824"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其他债权投资</w:t>
            </w:r>
          </w:p>
          <w:p>
            <w:pPr>
              <w:pStyle w:val="TableParagraph"/>
              <w:spacing w:line="240" w:lineRule="auto" w:before="69"/>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6"/>
              <w:ind w:left="535" w:right="83" w:hanging="452"/>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93" w:type="dxa"/>
            <w:vMerge/>
            <w:tcBorders>
              <w:left w:val="single" w:sz="4" w:space="0" w:color="000000"/>
              <w:right w:val="single" w:sz="4" w:space="0" w:color="000000"/>
            </w:tcBorders>
          </w:tcPr>
          <w:p>
            <w:pPr/>
          </w:p>
        </w:tc>
        <w:tc>
          <w:tcPr>
            <w:tcW w:w="1824" w:type="dxa"/>
            <w:vMerge w:val="restart"/>
            <w:tcBorders>
              <w:top w:val="single" w:sz="4" w:space="0" w:color="000000"/>
              <w:left w:val="single" w:sz="4" w:space="0" w:color="000000"/>
              <w:right w:val="single" w:sz="4" w:space="0" w:color="000000"/>
            </w:tcBorders>
          </w:tcPr>
          <w:p>
            <w:pPr>
              <w:pStyle w:val="TableParagraph"/>
              <w:spacing w:line="237" w:lineRule="auto" w:before="53"/>
              <w:ind w:left="7"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以公允价值计量且其变 动计入其他综合收益 </w:t>
            </w: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1318" w:type="dxa"/>
            <w:vMerge w:val="restart"/>
            <w:tcBorders>
              <w:top w:val="single" w:sz="4" w:space="0" w:color="000000"/>
              <w:left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2338" w:type="dxa"/>
            <w:vMerge w:val="restart"/>
            <w:tcBorders>
              <w:top w:val="single" w:sz="4" w:space="0" w:color="000000"/>
              <w:left w:val="single" w:sz="4" w:space="0" w:color="000000"/>
              <w:right w:val="single" w:sz="4" w:space="0" w:color="000000"/>
            </w:tcBorders>
          </w:tcPr>
          <w:p>
            <w:pPr>
              <w:pStyle w:val="TableParagraph"/>
              <w:spacing w:line="240" w:lineRule="auto" w:before="51"/>
              <w:ind w:left="715" w:right="82" w:hanging="632"/>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1493" w:type="dxa"/>
            <w:vMerge/>
            <w:tcBorders>
              <w:left w:val="single" w:sz="4" w:space="0" w:color="000000"/>
              <w:right w:val="single" w:sz="4" w:space="0" w:color="000000"/>
            </w:tcBorders>
          </w:tcPr>
          <w:p>
            <w:pPr/>
          </w:p>
        </w:tc>
        <w:tc>
          <w:tcPr>
            <w:tcW w:w="1824" w:type="dxa"/>
            <w:vMerge/>
            <w:tcBorders>
              <w:left w:val="single" w:sz="4" w:space="0" w:color="000000"/>
              <w:right w:val="single" w:sz="4" w:space="0" w:color="000000"/>
            </w:tcBorders>
          </w:tcPr>
          <w:p>
            <w:pPr/>
          </w:p>
        </w:tc>
        <w:tc>
          <w:tcPr>
            <w:tcW w:w="1318" w:type="dxa"/>
            <w:vMerge/>
            <w:tcBorders>
              <w:left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8" w:right="72" w:hanging="452"/>
              <w:jc w:val="left"/>
              <w:rPr>
                <w:rFonts w:ascii="宋体" w:hAnsi="宋体" w:cs="宋体" w:eastAsia="宋体" w:hint="default"/>
                <w:sz w:val="18"/>
                <w:szCs w:val="18"/>
              </w:rPr>
            </w:pPr>
            <w:r>
              <w:rPr>
                <w:rFonts w:ascii="宋体" w:hAnsi="宋体" w:cs="宋体" w:eastAsia="宋体" w:hint="default"/>
                <w:sz w:val="18"/>
                <w:szCs w:val="18"/>
              </w:rPr>
              <w:t>其他非流动金融 资产</w:t>
            </w:r>
          </w:p>
        </w:tc>
        <w:tc>
          <w:tcPr>
            <w:tcW w:w="2338" w:type="dxa"/>
            <w:vMerge/>
            <w:tcBorders>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1493" w:type="dxa"/>
            <w:vMerge/>
            <w:tcBorders>
              <w:left w:val="single" w:sz="4" w:space="0" w:color="000000"/>
              <w:right w:val="single" w:sz="4" w:space="0" w:color="000000"/>
            </w:tcBorders>
          </w:tcPr>
          <w:p>
            <w:pPr/>
          </w:p>
        </w:tc>
        <w:tc>
          <w:tcPr>
            <w:tcW w:w="1824"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6" w:right="72" w:hanging="540"/>
              <w:jc w:val="left"/>
              <w:rPr>
                <w:rFonts w:ascii="宋体" w:hAnsi="宋体" w:cs="宋体" w:eastAsia="宋体" w:hint="default"/>
                <w:sz w:val="18"/>
                <w:szCs w:val="18"/>
              </w:rPr>
            </w:pPr>
            <w:r>
              <w:rPr>
                <w:rFonts w:ascii="宋体" w:hAnsi="宋体" w:cs="宋体" w:eastAsia="宋体" w:hint="default"/>
                <w:sz w:val="18"/>
                <w:szCs w:val="18"/>
              </w:rPr>
              <w:t>其他权益工具投 资</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5" w:right="82" w:hanging="452"/>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93" w:type="dxa"/>
            <w:vMerge/>
            <w:tcBorders>
              <w:left w:val="single" w:sz="4" w:space="0" w:color="000000"/>
              <w:right w:val="single" w:sz="4" w:space="0" w:color="000000"/>
            </w:tcBorders>
          </w:tcPr>
          <w:p>
            <w:pPr/>
          </w:p>
        </w:tc>
        <w:tc>
          <w:tcPr>
            <w:tcW w:w="1824" w:type="dxa"/>
            <w:vMerge w:val="restart"/>
            <w:tcBorders>
              <w:top w:val="single" w:sz="4" w:space="0" w:color="000000"/>
              <w:left w:val="single" w:sz="4" w:space="0" w:color="000000"/>
              <w:right w:val="single" w:sz="4" w:space="0" w:color="000000"/>
            </w:tcBorders>
          </w:tcPr>
          <w:p>
            <w:pPr>
              <w:pStyle w:val="TableParagraph"/>
              <w:spacing w:line="240" w:lineRule="auto" w:before="51"/>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以成本计量</w:t>
            </w: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76"/>
              <w:ind w:left="180" w:right="-1"/>
              <w:jc w:val="left"/>
              <w:rPr>
                <w:rFonts w:ascii="Times New Roman" w:hAnsi="Times New Roman" w:cs="Times New Roman" w:eastAsia="Times New Roman" w:hint="default"/>
                <w:sz w:val="18"/>
                <w:szCs w:val="18"/>
              </w:rPr>
            </w:pPr>
            <w:r>
              <w:rPr>
                <w:rFonts w:ascii="Times New Roman"/>
                <w:sz w:val="18"/>
              </w:rPr>
              <w:t>263,287,649.29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2338" w:type="dxa"/>
            <w:vMerge w:val="restart"/>
            <w:tcBorders>
              <w:top w:val="single" w:sz="4" w:space="0" w:color="000000"/>
              <w:left w:val="single" w:sz="4" w:space="0" w:color="000000"/>
              <w:right w:val="single" w:sz="4" w:space="0" w:color="000000"/>
            </w:tcBorders>
          </w:tcPr>
          <w:p>
            <w:pPr>
              <w:pStyle w:val="TableParagraph"/>
              <w:spacing w:line="240" w:lineRule="auto" w:before="51"/>
              <w:ind w:left="715" w:right="82" w:hanging="632"/>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1493" w:type="dxa"/>
            <w:vMerge/>
            <w:tcBorders>
              <w:left w:val="single" w:sz="4" w:space="0" w:color="000000"/>
              <w:right w:val="single" w:sz="4" w:space="0" w:color="000000"/>
            </w:tcBorders>
          </w:tcPr>
          <w:p>
            <w:pPr/>
          </w:p>
        </w:tc>
        <w:tc>
          <w:tcPr>
            <w:tcW w:w="1824" w:type="dxa"/>
            <w:vMerge/>
            <w:tcBorders>
              <w:left w:val="single" w:sz="4" w:space="0" w:color="000000"/>
              <w:right w:val="single" w:sz="4" w:space="0" w:color="000000"/>
            </w:tcBorders>
          </w:tcPr>
          <w:p>
            <w:pPr/>
          </w:p>
        </w:tc>
        <w:tc>
          <w:tcPr>
            <w:tcW w:w="1318" w:type="dxa"/>
            <w:vMerge/>
            <w:tcBorders>
              <w:left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8" w:right="72" w:hanging="452"/>
              <w:jc w:val="left"/>
              <w:rPr>
                <w:rFonts w:ascii="宋体" w:hAnsi="宋体" w:cs="宋体" w:eastAsia="宋体" w:hint="default"/>
                <w:sz w:val="18"/>
                <w:szCs w:val="18"/>
              </w:rPr>
            </w:pPr>
            <w:r>
              <w:rPr>
                <w:rFonts w:ascii="宋体" w:hAnsi="宋体" w:cs="宋体" w:eastAsia="宋体" w:hint="default"/>
                <w:sz w:val="18"/>
                <w:szCs w:val="18"/>
              </w:rPr>
              <w:t>其他非流动金融 资产</w:t>
            </w:r>
          </w:p>
        </w:tc>
        <w:tc>
          <w:tcPr>
            <w:tcW w:w="2338" w:type="dxa"/>
            <w:vMerge/>
            <w:tcBorders>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pacing w:val="-1"/>
                <w:sz w:val="18"/>
              </w:rPr>
              <w:t>82,000,000.00</w:t>
            </w:r>
          </w:p>
        </w:tc>
      </w:tr>
      <w:tr>
        <w:trPr>
          <w:trHeight w:val="641" w:hRule="exact"/>
        </w:trPr>
        <w:tc>
          <w:tcPr>
            <w:tcW w:w="1493" w:type="dxa"/>
            <w:vMerge/>
            <w:tcBorders>
              <w:left w:val="single" w:sz="4" w:space="0" w:color="000000"/>
              <w:bottom w:val="single" w:sz="4" w:space="0" w:color="000000"/>
              <w:right w:val="single" w:sz="4" w:space="0" w:color="000000"/>
            </w:tcBorders>
          </w:tcPr>
          <w:p>
            <w:pPr/>
          </w:p>
        </w:tc>
        <w:tc>
          <w:tcPr>
            <w:tcW w:w="1824"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6" w:right="72" w:hanging="540"/>
              <w:jc w:val="left"/>
              <w:rPr>
                <w:rFonts w:ascii="宋体" w:hAnsi="宋体" w:cs="宋体" w:eastAsia="宋体" w:hint="default"/>
                <w:sz w:val="18"/>
                <w:szCs w:val="18"/>
              </w:rPr>
            </w:pPr>
            <w:r>
              <w:rPr>
                <w:rFonts w:ascii="宋体" w:hAnsi="宋体" w:cs="宋体" w:eastAsia="宋体" w:hint="default"/>
                <w:sz w:val="18"/>
                <w:szCs w:val="18"/>
              </w:rPr>
              <w:t>其他权益工具投 资</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5" w:right="82" w:hanging="452"/>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pacing w:val="-1"/>
                <w:sz w:val="18"/>
              </w:rPr>
              <w:t>181,287,649.29</w:t>
            </w:r>
            <w:r>
              <w:rPr>
                <w:rFonts w:ascii="Times New Roman"/>
                <w:sz w:val="18"/>
              </w:rPr>
            </w:r>
          </w:p>
        </w:tc>
      </w:tr>
    </w:tbl>
    <w:p>
      <w:pPr>
        <w:pStyle w:val="Heading4"/>
        <w:spacing w:line="240" w:lineRule="auto" w:before="86"/>
        <w:ind w:left="575" w:right="1127"/>
        <w:jc w:val="left"/>
        <w:rPr>
          <w:b w:val="0"/>
          <w:bCs w:val="0"/>
        </w:rPr>
      </w:pPr>
      <w:bookmarkStart w:name="母公司" w:id="338"/>
      <w:bookmarkEnd w:id="338"/>
      <w:r>
        <w:rPr>
          <w:b w:val="0"/>
          <w:bCs w:val="0"/>
        </w:rPr>
      </w:r>
      <w:r>
        <w:rPr/>
        <w:t>母公司</w:t>
      </w:r>
      <w:r>
        <w:rPr>
          <w:b w:val="0"/>
          <w:bCs w:val="0"/>
        </w:rPr>
      </w:r>
    </w:p>
    <w:p>
      <w:pPr>
        <w:spacing w:line="240" w:lineRule="auto" w:before="12"/>
        <w:rPr>
          <w:rFonts w:ascii="宋体" w:hAnsi="宋体" w:cs="宋体" w:eastAsia="宋体" w:hint="default"/>
          <w:b/>
          <w:bCs/>
          <w:sz w:val="21"/>
          <w:szCs w:val="21"/>
        </w:rPr>
      </w:pPr>
    </w:p>
    <w:tbl>
      <w:tblPr>
        <w:tblW w:w="0" w:type="auto"/>
        <w:jc w:val="left"/>
        <w:tblInd w:w="138" w:type="dxa"/>
        <w:tblLayout w:type="fixed"/>
        <w:tblCellMar>
          <w:top w:w="0" w:type="dxa"/>
          <w:left w:w="0" w:type="dxa"/>
          <w:bottom w:w="0" w:type="dxa"/>
          <w:right w:w="0" w:type="dxa"/>
        </w:tblCellMar>
        <w:tblLook w:val="01E0"/>
      </w:tblPr>
      <w:tblGrid>
        <w:gridCol w:w="1339"/>
        <w:gridCol w:w="1675"/>
        <w:gridCol w:w="1596"/>
        <w:gridCol w:w="1267"/>
        <w:gridCol w:w="2186"/>
        <w:gridCol w:w="1594"/>
      </w:tblGrid>
      <w:tr>
        <w:trPr>
          <w:trHeight w:val="408" w:hRule="exact"/>
        </w:trPr>
        <w:tc>
          <w:tcPr>
            <w:tcW w:w="46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0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7"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499"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97"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0" w:right="0"/>
              <w:jc w:val="left"/>
              <w:rPr>
                <w:rFonts w:ascii="Times New Roman" w:hAnsi="Times New Roman" w:cs="Times New Roman" w:eastAsia="Times New Roman" w:hint="default"/>
                <w:sz w:val="18"/>
                <w:szCs w:val="18"/>
              </w:rPr>
            </w:pPr>
            <w:r>
              <w:rPr>
                <w:rFonts w:ascii="Times New Roman"/>
                <w:sz w:val="18"/>
              </w:rPr>
              <w:t>1,080,740,432.030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7" w:right="0"/>
              <w:jc w:val="left"/>
              <w:rPr>
                <w:rFonts w:ascii="Times New Roman" w:hAnsi="Times New Roman" w:cs="Times New Roman" w:eastAsia="Times New Roman" w:hint="default"/>
                <w:sz w:val="18"/>
                <w:szCs w:val="18"/>
              </w:rPr>
            </w:pPr>
            <w:r>
              <w:rPr>
                <w:rFonts w:ascii="Times New Roman"/>
                <w:sz w:val="18"/>
              </w:rPr>
              <w:t>1,080,740,432.030</w:t>
            </w:r>
          </w:p>
        </w:tc>
      </w:tr>
    </w:tbl>
    <w:p>
      <w:pPr>
        <w:spacing w:after="0" w:line="240" w:lineRule="auto"/>
        <w:jc w:val="lef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b/>
          <w:bCs/>
          <w:sz w:val="11"/>
          <w:szCs w:val="11"/>
        </w:rPr>
      </w:pPr>
    </w:p>
    <w:tbl>
      <w:tblPr>
        <w:tblW w:w="0" w:type="auto"/>
        <w:jc w:val="left"/>
        <w:tblInd w:w="138" w:type="dxa"/>
        <w:tblLayout w:type="fixed"/>
        <w:tblCellMar>
          <w:top w:w="0" w:type="dxa"/>
          <w:left w:w="0" w:type="dxa"/>
          <w:bottom w:w="0" w:type="dxa"/>
          <w:right w:w="0" w:type="dxa"/>
        </w:tblCellMar>
        <w:tblLook w:val="01E0"/>
      </w:tblPr>
      <w:tblGrid>
        <w:gridCol w:w="1339"/>
        <w:gridCol w:w="1675"/>
        <w:gridCol w:w="1596"/>
        <w:gridCol w:w="1267"/>
        <w:gridCol w:w="2186"/>
        <w:gridCol w:w="1594"/>
      </w:tblGrid>
      <w:tr>
        <w:trPr>
          <w:trHeight w:val="497" w:hRule="exact"/>
        </w:trPr>
        <w:tc>
          <w:tcPr>
            <w:tcW w:w="1339" w:type="dxa"/>
            <w:vMerge w:val="restart"/>
            <w:tcBorders>
              <w:top w:val="single" w:sz="4" w:space="0" w:color="000000"/>
              <w:left w:val="single" w:sz="4" w:space="0" w:color="000000"/>
              <w:right w:val="single" w:sz="4" w:space="0" w:color="000000"/>
            </w:tcBorders>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75" w:type="dxa"/>
            <w:vMerge w:val="restart"/>
            <w:tcBorders>
              <w:top w:val="single" w:sz="4" w:space="0" w:color="000000"/>
              <w:left w:val="single" w:sz="4" w:space="0" w:color="000000"/>
              <w:right w:val="single" w:sz="4"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76"/>
              <w:ind w:left="551" w:right="0"/>
              <w:jc w:val="left"/>
              <w:rPr>
                <w:rFonts w:ascii="Times New Roman" w:hAnsi="Times New Roman" w:cs="Times New Roman" w:eastAsia="Times New Roman" w:hint="default"/>
                <w:sz w:val="18"/>
                <w:szCs w:val="18"/>
              </w:rPr>
            </w:pPr>
            <w:r>
              <w:rPr>
                <w:rFonts w:ascii="Times New Roman"/>
                <w:sz w:val="18"/>
              </w:rPr>
              <w:t>11,083,098.20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pacing w:val="-1"/>
                <w:sz w:val="18"/>
              </w:rPr>
              <w:t>10,959,918.20</w:t>
            </w:r>
          </w:p>
        </w:tc>
      </w:tr>
      <w:tr>
        <w:trPr>
          <w:trHeight w:val="643" w:hRule="exact"/>
        </w:trPr>
        <w:tc>
          <w:tcPr>
            <w:tcW w:w="1339" w:type="dxa"/>
            <w:vMerge/>
            <w:tcBorders>
              <w:left w:val="single" w:sz="4" w:space="0" w:color="000000"/>
              <w:bottom w:val="single" w:sz="4" w:space="0" w:color="000000"/>
              <w:right w:val="single" w:sz="4" w:space="0" w:color="000000"/>
            </w:tcBorders>
          </w:tcPr>
          <w:p>
            <w:pPr/>
          </w:p>
        </w:tc>
        <w:tc>
          <w:tcPr>
            <w:tcW w:w="1675"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458" w:right="5" w:hanging="449"/>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sz w:val="18"/>
              </w:rPr>
              <w:t>123,180.00</w:t>
            </w:r>
          </w:p>
        </w:tc>
      </w:tr>
      <w:tr>
        <w:trPr>
          <w:trHeight w:val="497" w:hRule="exact"/>
        </w:trPr>
        <w:tc>
          <w:tcPr>
            <w:tcW w:w="1339" w:type="dxa"/>
            <w:vMerge w:val="restart"/>
            <w:tcBorders>
              <w:top w:val="single" w:sz="4" w:space="0" w:color="000000"/>
              <w:left w:val="single" w:sz="4" w:space="0" w:color="000000"/>
              <w:right w:val="single" w:sz="4" w:space="0" w:color="000000"/>
            </w:tcBorders>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75" w:type="dxa"/>
            <w:vMerge w:val="restart"/>
            <w:tcBorders>
              <w:top w:val="single" w:sz="4" w:space="0" w:color="000000"/>
              <w:left w:val="single" w:sz="4" w:space="0" w:color="000000"/>
              <w:right w:val="single" w:sz="4"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76"/>
              <w:ind w:left="455" w:right="0"/>
              <w:jc w:val="left"/>
              <w:rPr>
                <w:rFonts w:ascii="Times New Roman" w:hAnsi="Times New Roman" w:cs="Times New Roman" w:eastAsia="Times New Roman" w:hint="default"/>
                <w:sz w:val="18"/>
                <w:szCs w:val="18"/>
              </w:rPr>
            </w:pPr>
            <w:r>
              <w:rPr>
                <w:rFonts w:ascii="Times New Roman"/>
                <w:sz w:val="18"/>
              </w:rPr>
              <w:t>126,221,458.17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pacing w:val="-1"/>
                <w:sz w:val="18"/>
              </w:rPr>
              <w:t>126,221,458.17</w:t>
            </w:r>
            <w:r>
              <w:rPr>
                <w:rFonts w:ascii="Times New Roman"/>
                <w:sz w:val="18"/>
              </w:rPr>
            </w:r>
          </w:p>
        </w:tc>
      </w:tr>
      <w:tr>
        <w:trPr>
          <w:trHeight w:val="641" w:hRule="exact"/>
        </w:trPr>
        <w:tc>
          <w:tcPr>
            <w:tcW w:w="1339" w:type="dxa"/>
            <w:vMerge/>
            <w:tcBorders>
              <w:left w:val="single" w:sz="4" w:space="0" w:color="000000"/>
              <w:bottom w:val="single" w:sz="4" w:space="0" w:color="000000"/>
              <w:right w:val="single" w:sz="4" w:space="0" w:color="000000"/>
            </w:tcBorders>
          </w:tcPr>
          <w:p>
            <w:pPr/>
          </w:p>
        </w:tc>
        <w:tc>
          <w:tcPr>
            <w:tcW w:w="1675"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8" w:right="5" w:hanging="449"/>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55" w:right="0"/>
              <w:jc w:val="left"/>
              <w:rPr>
                <w:rFonts w:ascii="Times New Roman" w:hAnsi="Times New Roman" w:cs="Times New Roman" w:eastAsia="Times New Roman" w:hint="default"/>
                <w:sz w:val="18"/>
                <w:szCs w:val="18"/>
              </w:rPr>
            </w:pPr>
            <w:r>
              <w:rPr>
                <w:rFonts w:ascii="Times New Roman"/>
                <w:sz w:val="18"/>
              </w:rPr>
              <w:t>354,054,790.48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pacing w:val="-1"/>
                <w:sz w:val="18"/>
              </w:rPr>
              <w:t>353,943,333.53</w:t>
            </w:r>
            <w:r>
              <w:rPr>
                <w:rFonts w:ascii="Times New Roman"/>
                <w:sz w:val="18"/>
              </w:rPr>
            </w:r>
          </w:p>
        </w:tc>
      </w:tr>
      <w:tr>
        <w:trPr>
          <w:trHeight w:val="946" w:hRule="exact"/>
        </w:trPr>
        <w:tc>
          <w:tcPr>
            <w:tcW w:w="1339" w:type="dxa"/>
            <w:vMerge w:val="restart"/>
            <w:tcBorders>
              <w:top w:val="single" w:sz="4" w:space="0" w:color="000000"/>
              <w:left w:val="single" w:sz="4" w:space="0" w:color="000000"/>
              <w:right w:val="single" w:sz="4" w:space="0" w:color="000000"/>
            </w:tcBorders>
          </w:tcPr>
          <w:p>
            <w:pPr>
              <w:pStyle w:val="TableParagraph"/>
              <w:spacing w:line="232" w:lineRule="exact" w:before="76"/>
              <w:ind w:left="33" w:right="35"/>
              <w:jc w:val="center"/>
              <w:rPr>
                <w:rFonts w:ascii="宋体" w:hAnsi="宋体" w:cs="宋体" w:eastAsia="宋体" w:hint="default"/>
                <w:sz w:val="18"/>
                <w:szCs w:val="18"/>
              </w:rPr>
            </w:pPr>
            <w:r>
              <w:rPr>
                <w:rFonts w:ascii="宋体" w:hAnsi="宋体" w:cs="宋体" w:eastAsia="宋体" w:hint="default"/>
                <w:sz w:val="18"/>
                <w:szCs w:val="18"/>
              </w:rPr>
              <w:t>可供出售金融资 产</w:t>
            </w:r>
          </w:p>
          <w:p>
            <w:pPr>
              <w:pStyle w:val="TableParagraph"/>
              <w:spacing w:line="236" w:lineRule="exact" w:before="69"/>
              <w:ind w:left="93" w:right="9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w:t>
            </w:r>
            <w:r>
              <w:rPr>
                <w:rFonts w:ascii="宋体" w:hAnsi="宋体" w:cs="宋体" w:eastAsia="宋体" w:hint="default"/>
                <w:w w:val="99"/>
                <w:sz w:val="18"/>
                <w:szCs w:val="18"/>
              </w:rPr>
              <w:t> </w:t>
            </w:r>
            <w:r>
              <w:rPr>
                <w:rFonts w:ascii="宋体" w:hAnsi="宋体" w:cs="宋体" w:eastAsia="宋体" w:hint="default"/>
                <w:sz w:val="18"/>
                <w:szCs w:val="18"/>
              </w:rPr>
              <w:t>产</w:t>
            </w:r>
            <w:r>
              <w:rPr>
                <w:rFonts w:ascii="Times New Roman" w:hAnsi="Times New Roman" w:cs="Times New Roman" w:eastAsia="Times New Roman" w:hint="default"/>
                <w:sz w:val="18"/>
                <w:szCs w:val="18"/>
              </w:rPr>
              <w:t>)</w:t>
            </w:r>
          </w:p>
        </w:tc>
        <w:tc>
          <w:tcPr>
            <w:tcW w:w="1675" w:type="dxa"/>
            <w:vMerge w:val="restart"/>
            <w:tcBorders>
              <w:top w:val="single" w:sz="4" w:space="0" w:color="000000"/>
              <w:left w:val="single" w:sz="4" w:space="0" w:color="000000"/>
              <w:right w:val="single" w:sz="4" w:space="0" w:color="000000"/>
            </w:tcBorders>
          </w:tcPr>
          <w:p>
            <w:pPr>
              <w:pStyle w:val="TableParagraph"/>
              <w:spacing w:line="232" w:lineRule="exact" w:before="76"/>
              <w:ind w:left="24"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 变动计入其他综合收 益</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w:t>
            </w:r>
            <w:r>
              <w:rPr>
                <w:rFonts w:ascii="Times New Roman" w:hAnsi="Times New Roman" w:cs="Times New Roman" w:eastAsia="Times New Roman" w:hint="default"/>
                <w:sz w:val="18"/>
                <w:szCs w:val="18"/>
              </w:rPr>
              <w:t>)</w:t>
            </w:r>
          </w:p>
        </w:tc>
        <w:tc>
          <w:tcPr>
            <w:tcW w:w="1596" w:type="dxa"/>
            <w:vMerge w:val="restart"/>
            <w:tcBorders>
              <w:top w:val="single" w:sz="4" w:space="0" w:color="000000"/>
              <w:left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232" w:lineRule="exact" w:before="94"/>
              <w:ind w:left="57" w:right="59"/>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w:t>
            </w:r>
            <w:r>
              <w:rPr>
                <w:rFonts w:ascii="宋体" w:hAnsi="宋体" w:cs="宋体" w:eastAsia="宋体" w:hint="default"/>
                <w:w w:val="99"/>
                <w:sz w:val="18"/>
                <w:szCs w:val="18"/>
              </w:rPr>
              <w:t> </w:t>
            </w:r>
            <w:r>
              <w:rPr>
                <w:rFonts w:ascii="宋体" w:hAnsi="宋体" w:cs="宋体" w:eastAsia="宋体" w:hint="default"/>
                <w:sz w:val="18"/>
                <w:szCs w:val="18"/>
              </w:rPr>
              <w:t>产</w:t>
            </w:r>
            <w:r>
              <w:rPr>
                <w:rFonts w:ascii="Times New Roman" w:hAnsi="Times New Roman" w:cs="Times New Roman" w:eastAsia="Times New Roman" w:hint="default"/>
                <w:sz w:val="18"/>
                <w:szCs w:val="18"/>
              </w:rPr>
              <w:t>)</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39" w:type="dxa"/>
            <w:vMerge/>
            <w:tcBorders>
              <w:left w:val="single" w:sz="4" w:space="0" w:color="000000"/>
              <w:right w:val="single" w:sz="4" w:space="0" w:color="000000"/>
            </w:tcBorders>
          </w:tcPr>
          <w:p>
            <w:pPr/>
          </w:p>
        </w:tc>
        <w:tc>
          <w:tcPr>
            <w:tcW w:w="1675"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其他债权投资</w:t>
            </w:r>
          </w:p>
          <w:p>
            <w:pPr>
              <w:pStyle w:val="TableParagraph"/>
              <w:spacing w:line="236" w:lineRule="exact" w:before="90"/>
              <w:ind w:left="57" w:right="59"/>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w:t>
            </w:r>
            <w:r>
              <w:rPr>
                <w:rFonts w:ascii="宋体" w:hAnsi="宋体" w:cs="宋体" w:eastAsia="宋体" w:hint="default"/>
                <w:w w:val="99"/>
                <w:sz w:val="18"/>
                <w:szCs w:val="18"/>
              </w:rPr>
              <w:t> </w:t>
            </w:r>
            <w:r>
              <w:rPr>
                <w:rFonts w:ascii="宋体" w:hAnsi="宋体" w:cs="宋体" w:eastAsia="宋体" w:hint="default"/>
                <w:sz w:val="18"/>
                <w:szCs w:val="18"/>
              </w:rPr>
              <w:t>产</w:t>
            </w:r>
            <w:r>
              <w:rPr>
                <w:rFonts w:ascii="Times New Roman" w:hAnsi="Times New Roman" w:cs="Times New Roman" w:eastAsia="Times New Roman" w:hint="default"/>
                <w:sz w:val="18"/>
                <w:szCs w:val="18"/>
              </w:rPr>
              <w:t>)</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6"/>
              <w:ind w:left="458" w:right="5" w:hanging="449"/>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1339" w:type="dxa"/>
            <w:vMerge/>
            <w:tcBorders>
              <w:left w:val="single" w:sz="4" w:space="0" w:color="000000"/>
              <w:right w:val="single" w:sz="4" w:space="0" w:color="000000"/>
            </w:tcBorders>
          </w:tcPr>
          <w:p>
            <w:pPr/>
          </w:p>
        </w:tc>
        <w:tc>
          <w:tcPr>
            <w:tcW w:w="1675" w:type="dxa"/>
            <w:vMerge w:val="restart"/>
            <w:tcBorders>
              <w:top w:val="single" w:sz="4" w:space="0" w:color="000000"/>
              <w:left w:val="single" w:sz="4" w:space="0" w:color="000000"/>
              <w:right w:val="single" w:sz="4" w:space="0" w:color="000000"/>
            </w:tcBorders>
          </w:tcPr>
          <w:p>
            <w:pPr>
              <w:pStyle w:val="TableParagraph"/>
              <w:spacing w:line="237" w:lineRule="auto" w:before="53"/>
              <w:ind w:left="23"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 变动计入其他综合收 益</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1596" w:type="dxa"/>
            <w:vMerge w:val="restart"/>
            <w:tcBorders>
              <w:top w:val="single" w:sz="4" w:space="0" w:color="000000"/>
              <w:left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7" w:right="86" w:hanging="449"/>
              <w:jc w:val="left"/>
              <w:rPr>
                <w:rFonts w:ascii="宋体" w:hAnsi="宋体" w:cs="宋体" w:eastAsia="宋体" w:hint="default"/>
                <w:sz w:val="18"/>
                <w:szCs w:val="18"/>
              </w:rPr>
            </w:pPr>
            <w:r>
              <w:rPr>
                <w:rFonts w:ascii="宋体" w:hAnsi="宋体" w:cs="宋体" w:eastAsia="宋体" w:hint="default"/>
                <w:sz w:val="18"/>
                <w:szCs w:val="18"/>
              </w:rPr>
              <w:t>交易性金融资 产</w:t>
            </w:r>
          </w:p>
        </w:tc>
        <w:tc>
          <w:tcPr>
            <w:tcW w:w="2186" w:type="dxa"/>
            <w:vMerge w:val="restart"/>
            <w:tcBorders>
              <w:top w:val="single" w:sz="4" w:space="0" w:color="000000"/>
              <w:left w:val="single" w:sz="4" w:space="0" w:color="000000"/>
              <w:right w:val="single" w:sz="4" w:space="0" w:color="000000"/>
            </w:tcBorders>
          </w:tcPr>
          <w:p>
            <w:pPr>
              <w:pStyle w:val="TableParagraph"/>
              <w:spacing w:line="240" w:lineRule="auto" w:before="51"/>
              <w:ind w:left="638" w:right="5" w:hanging="629"/>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1339" w:type="dxa"/>
            <w:vMerge/>
            <w:tcBorders>
              <w:left w:val="single" w:sz="4" w:space="0" w:color="000000"/>
              <w:right w:val="single" w:sz="4" w:space="0" w:color="000000"/>
            </w:tcBorders>
          </w:tcPr>
          <w:p>
            <w:pPr/>
          </w:p>
        </w:tc>
        <w:tc>
          <w:tcPr>
            <w:tcW w:w="1675"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357" w:right="86" w:hanging="269"/>
              <w:jc w:val="left"/>
              <w:rPr>
                <w:rFonts w:ascii="宋体" w:hAnsi="宋体" w:cs="宋体" w:eastAsia="宋体" w:hint="default"/>
                <w:sz w:val="18"/>
                <w:szCs w:val="18"/>
              </w:rPr>
            </w:pPr>
            <w:r>
              <w:rPr>
                <w:rFonts w:ascii="宋体" w:hAnsi="宋体" w:cs="宋体" w:eastAsia="宋体" w:hint="default"/>
                <w:sz w:val="18"/>
                <w:szCs w:val="18"/>
              </w:rPr>
              <w:t>其他非流动金 融资产</w:t>
            </w:r>
          </w:p>
        </w:tc>
        <w:tc>
          <w:tcPr>
            <w:tcW w:w="218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1339" w:type="dxa"/>
            <w:vMerge/>
            <w:tcBorders>
              <w:left w:val="single" w:sz="4" w:space="0" w:color="000000"/>
              <w:right w:val="single" w:sz="4" w:space="0" w:color="000000"/>
            </w:tcBorders>
          </w:tcPr>
          <w:p>
            <w:pPr/>
          </w:p>
        </w:tc>
        <w:tc>
          <w:tcPr>
            <w:tcW w:w="1675"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448" w:right="86" w:hanging="360"/>
              <w:jc w:val="left"/>
              <w:rPr>
                <w:rFonts w:ascii="宋体" w:hAnsi="宋体" w:cs="宋体" w:eastAsia="宋体" w:hint="default"/>
                <w:sz w:val="18"/>
                <w:szCs w:val="18"/>
              </w:rPr>
            </w:pPr>
            <w:r>
              <w:rPr>
                <w:rFonts w:ascii="宋体" w:hAnsi="宋体" w:cs="宋体" w:eastAsia="宋体" w:hint="default"/>
                <w:sz w:val="18"/>
                <w:szCs w:val="18"/>
              </w:rPr>
              <w:t>其他权益工具 投资</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458" w:right="5" w:hanging="449"/>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1339" w:type="dxa"/>
            <w:vMerge/>
            <w:tcBorders>
              <w:left w:val="single" w:sz="4" w:space="0" w:color="000000"/>
              <w:right w:val="single" w:sz="4" w:space="0" w:color="000000"/>
            </w:tcBorders>
          </w:tcPr>
          <w:p>
            <w:pPr/>
          </w:p>
        </w:tc>
        <w:tc>
          <w:tcPr>
            <w:tcW w:w="1675" w:type="dxa"/>
            <w:vMerge w:val="restart"/>
            <w:tcBorders>
              <w:top w:val="single" w:sz="4" w:space="0" w:color="000000"/>
              <w:left w:val="single" w:sz="4" w:space="0" w:color="000000"/>
              <w:right w:val="single" w:sz="4" w:space="0" w:color="000000"/>
            </w:tcBorders>
          </w:tcPr>
          <w:p>
            <w:pPr>
              <w:pStyle w:val="TableParagraph"/>
              <w:spacing w:line="232" w:lineRule="exact" w:before="78"/>
              <w:ind w:left="712" w:right="79" w:hanging="629"/>
              <w:jc w:val="left"/>
              <w:rPr>
                <w:rFonts w:ascii="Times New Roman" w:hAnsi="Times New Roman" w:cs="Times New Roman" w:eastAsia="Times New Roman" w:hint="default"/>
                <w:sz w:val="18"/>
                <w:szCs w:val="18"/>
              </w:rPr>
            </w:pPr>
            <w:r>
              <w:rPr>
                <w:rFonts w:ascii="宋体" w:hAnsi="宋体" w:cs="宋体" w:eastAsia="宋体" w:hint="default"/>
                <w:sz w:val="18"/>
                <w:szCs w:val="18"/>
              </w:rPr>
              <w:t>以成本计量</w:t>
            </w:r>
            <w:r>
              <w:rPr>
                <w:rFonts w:ascii="Times New Roman" w:hAnsi="Times New Roman" w:cs="Times New Roman" w:eastAsia="Times New Roman" w:hint="default"/>
                <w:sz w:val="18"/>
                <w:szCs w:val="18"/>
              </w:rPr>
              <w:t>(</w:t>
            </w:r>
            <w:r>
              <w:rPr>
                <w:rFonts w:ascii="宋体" w:hAnsi="宋体" w:cs="宋体" w:eastAsia="宋体" w:hint="default"/>
                <w:sz w:val="18"/>
                <w:szCs w:val="18"/>
              </w:rPr>
              <w:t>权益工 具</w:t>
            </w:r>
            <w:r>
              <w:rPr>
                <w:rFonts w:ascii="Times New Roman" w:hAnsi="Times New Roman" w:cs="Times New Roman" w:eastAsia="Times New Roman" w:hint="default"/>
                <w:sz w:val="18"/>
                <w:szCs w:val="18"/>
              </w:rPr>
              <w:t>)</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79"/>
              <w:ind w:left="455" w:right="0"/>
              <w:jc w:val="left"/>
              <w:rPr>
                <w:rFonts w:ascii="Times New Roman" w:hAnsi="Times New Roman" w:cs="Times New Roman" w:eastAsia="Times New Roman" w:hint="default"/>
                <w:sz w:val="18"/>
                <w:szCs w:val="18"/>
              </w:rPr>
            </w:pPr>
            <w:r>
              <w:rPr>
                <w:rFonts w:ascii="Times New Roman"/>
                <w:sz w:val="18"/>
              </w:rPr>
              <w:t>185,900,000.00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537" w:right="86" w:hanging="449"/>
              <w:jc w:val="left"/>
              <w:rPr>
                <w:rFonts w:ascii="宋体" w:hAnsi="宋体" w:cs="宋体" w:eastAsia="宋体" w:hint="default"/>
                <w:sz w:val="18"/>
                <w:szCs w:val="18"/>
              </w:rPr>
            </w:pPr>
            <w:r>
              <w:rPr>
                <w:rFonts w:ascii="宋体" w:hAnsi="宋体" w:cs="宋体" w:eastAsia="宋体" w:hint="default"/>
                <w:sz w:val="18"/>
                <w:szCs w:val="18"/>
              </w:rPr>
              <w:t>交易性金融资 产</w:t>
            </w:r>
          </w:p>
        </w:tc>
        <w:tc>
          <w:tcPr>
            <w:tcW w:w="2186" w:type="dxa"/>
            <w:vMerge w:val="restart"/>
            <w:tcBorders>
              <w:top w:val="single" w:sz="4" w:space="0" w:color="000000"/>
              <w:left w:val="single" w:sz="4" w:space="0" w:color="000000"/>
              <w:right w:val="single" w:sz="4" w:space="0" w:color="000000"/>
            </w:tcBorders>
          </w:tcPr>
          <w:p>
            <w:pPr>
              <w:pStyle w:val="TableParagraph"/>
              <w:spacing w:line="232" w:lineRule="exact" w:before="78"/>
              <w:ind w:left="638" w:right="5" w:hanging="629"/>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1339" w:type="dxa"/>
            <w:vMerge/>
            <w:tcBorders>
              <w:left w:val="single" w:sz="4" w:space="0" w:color="000000"/>
              <w:right w:val="single" w:sz="4" w:space="0" w:color="000000"/>
            </w:tcBorders>
          </w:tcPr>
          <w:p>
            <w:pPr/>
          </w:p>
        </w:tc>
        <w:tc>
          <w:tcPr>
            <w:tcW w:w="1675"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357" w:right="86" w:hanging="269"/>
              <w:jc w:val="left"/>
              <w:rPr>
                <w:rFonts w:ascii="宋体" w:hAnsi="宋体" w:cs="宋体" w:eastAsia="宋体" w:hint="default"/>
                <w:sz w:val="18"/>
                <w:szCs w:val="18"/>
              </w:rPr>
            </w:pPr>
            <w:r>
              <w:rPr>
                <w:rFonts w:ascii="宋体" w:hAnsi="宋体" w:cs="宋体" w:eastAsia="宋体" w:hint="default"/>
                <w:sz w:val="18"/>
                <w:szCs w:val="18"/>
              </w:rPr>
              <w:t>其他非流动金 融资产</w:t>
            </w:r>
          </w:p>
        </w:tc>
        <w:tc>
          <w:tcPr>
            <w:tcW w:w="218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right"/>
              <w:rPr>
                <w:rFonts w:ascii="Times New Roman" w:hAnsi="Times New Roman" w:cs="Times New Roman" w:eastAsia="Times New Roman" w:hint="default"/>
                <w:sz w:val="18"/>
                <w:szCs w:val="18"/>
              </w:rPr>
            </w:pPr>
            <w:r>
              <w:rPr>
                <w:rFonts w:ascii="Times New Roman"/>
                <w:spacing w:val="-1"/>
                <w:sz w:val="18"/>
              </w:rPr>
              <w:t>82,000,000.00</w:t>
            </w:r>
          </w:p>
        </w:tc>
      </w:tr>
      <w:tr>
        <w:trPr>
          <w:trHeight w:val="643" w:hRule="exact"/>
        </w:trPr>
        <w:tc>
          <w:tcPr>
            <w:tcW w:w="1339" w:type="dxa"/>
            <w:vMerge/>
            <w:tcBorders>
              <w:left w:val="single" w:sz="4" w:space="0" w:color="000000"/>
              <w:bottom w:val="single" w:sz="4" w:space="0" w:color="000000"/>
              <w:right w:val="single" w:sz="4" w:space="0" w:color="000000"/>
            </w:tcBorders>
          </w:tcPr>
          <w:p>
            <w:pPr/>
          </w:p>
        </w:tc>
        <w:tc>
          <w:tcPr>
            <w:tcW w:w="1675"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448" w:right="86" w:hanging="360"/>
              <w:jc w:val="left"/>
              <w:rPr>
                <w:rFonts w:ascii="宋体" w:hAnsi="宋体" w:cs="宋体" w:eastAsia="宋体" w:hint="default"/>
                <w:sz w:val="18"/>
                <w:szCs w:val="18"/>
              </w:rPr>
            </w:pPr>
            <w:r>
              <w:rPr>
                <w:rFonts w:ascii="宋体" w:hAnsi="宋体" w:cs="宋体" w:eastAsia="宋体" w:hint="default"/>
                <w:sz w:val="18"/>
                <w:szCs w:val="18"/>
              </w:rPr>
              <w:t>其他权益工具 投资</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458" w:right="5" w:hanging="449"/>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right"/>
              <w:rPr>
                <w:rFonts w:ascii="Times New Roman" w:hAnsi="Times New Roman" w:cs="Times New Roman" w:eastAsia="Times New Roman" w:hint="default"/>
                <w:sz w:val="18"/>
                <w:szCs w:val="18"/>
              </w:rPr>
            </w:pPr>
            <w:r>
              <w:rPr>
                <w:rFonts w:ascii="Times New Roman"/>
                <w:spacing w:val="-1"/>
                <w:sz w:val="18"/>
              </w:rPr>
              <w:t>103,900,000.00</w:t>
            </w:r>
            <w:r>
              <w:rPr>
                <w:rFonts w:ascii="Times New Roman"/>
                <w:sz w:val="18"/>
              </w:rPr>
            </w:r>
          </w:p>
        </w:tc>
      </w:tr>
    </w:tbl>
    <w:p>
      <w:pPr>
        <w:spacing w:line="240" w:lineRule="auto" w:before="7"/>
        <w:rPr>
          <w:rFonts w:ascii="宋体" w:hAnsi="宋体" w:cs="宋体" w:eastAsia="宋体" w:hint="default"/>
          <w:b/>
          <w:bCs/>
          <w:sz w:val="17"/>
          <w:szCs w:val="17"/>
        </w:rPr>
      </w:pPr>
    </w:p>
    <w:p>
      <w:pPr>
        <w:pStyle w:val="Heading4"/>
        <w:spacing w:line="240" w:lineRule="auto" w:before="36"/>
        <w:ind w:right="1127"/>
        <w:jc w:val="left"/>
        <w:rPr>
          <w:b w:val="0"/>
          <w:bCs w:val="0"/>
        </w:rPr>
      </w:pPr>
      <w:bookmarkStart w:name="（2）重要会计估计变更" w:id="339"/>
      <w:bookmarkEnd w:id="33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32"/>
          <w:szCs w:val="32"/>
        </w:rPr>
      </w:pPr>
    </w:p>
    <w:p>
      <w:pPr>
        <w:pStyle w:val="Heading4"/>
        <w:spacing w:line="240" w:lineRule="auto"/>
        <w:ind w:left="0" w:right="1135"/>
        <w:jc w:val="right"/>
        <w:rPr>
          <w:b w:val="0"/>
          <w:bCs w:val="0"/>
        </w:rPr>
      </w:pPr>
      <w:bookmarkStart w:name="（3）2019年起执行新金融工具准则、新收入准则或新租赁准则调整执行当年年初财务" w:id="340"/>
      <w:bookmarkEnd w:id="340"/>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6"/>
        <w:rPr>
          <w:rFonts w:ascii="宋体" w:hAnsi="宋体" w:cs="宋体" w:eastAsia="宋体" w:hint="default"/>
          <w:b/>
          <w:bCs/>
          <w:sz w:val="21"/>
          <w:szCs w:val="21"/>
        </w:rPr>
      </w:pPr>
    </w:p>
    <w:p>
      <w:pPr>
        <w:pStyle w:val="BodyText"/>
        <w:spacing w:line="420" w:lineRule="auto"/>
        <w:ind w:right="8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100"/>
        </w:rPr>
        <w:t> </w:t>
      </w:r>
      <w:r>
        <w:rPr/>
        <w:t>合并资产负债表</w:t>
      </w:r>
    </w:p>
    <w:p>
      <w:pPr>
        <w:pStyle w:val="BodyText"/>
        <w:spacing w:line="240" w:lineRule="auto" w:before="74"/>
        <w:ind w:left="0" w:right="1130"/>
        <w:jc w:val="right"/>
      </w:pPr>
      <w:r>
        <w:rPr>
          <w:spacing w:val="-1"/>
        </w:rPr>
        <w:t>单位：元</w:t>
      </w:r>
    </w:p>
    <w:p>
      <w:pPr>
        <w:spacing w:line="240" w:lineRule="auto" w:before="9"/>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5"/>
        <w:gridCol w:w="2453"/>
      </w:tblGrid>
      <w:tr>
        <w:trPr>
          <w:trHeight w:val="395"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7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5"/>
              <w:ind w:left="636"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5"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7"/>
              <w:ind w:right="545"/>
              <w:jc w:val="righ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5" w:space="0" w:color="D4D4D4"/>
              <w:left w:val="single" w:sz="10" w:space="0" w:color="D4D4D4"/>
              <w:bottom w:val="single" w:sz="4" w:space="0" w:color="000000"/>
              <w:right w:val="single" w:sz="4" w:space="0" w:color="000000"/>
            </w:tcBorders>
          </w:tcPr>
          <w:p>
            <w:pPr>
              <w:pStyle w:val="TableParagraph"/>
              <w:spacing w:line="240" w:lineRule="auto" w:before="86"/>
              <w:ind w:left="1165" w:right="0"/>
              <w:jc w:val="left"/>
              <w:rPr>
                <w:rFonts w:ascii="Times New Roman" w:hAnsi="Times New Roman" w:cs="Times New Roman" w:eastAsia="Times New Roman" w:hint="default"/>
                <w:sz w:val="18"/>
                <w:szCs w:val="18"/>
              </w:rPr>
            </w:pPr>
            <w:r>
              <w:rPr>
                <w:rFonts w:ascii="Times New Roman"/>
                <w:sz w:val="18"/>
              </w:rPr>
              <w:t>2,436,798,454.59</w:t>
            </w:r>
          </w:p>
        </w:tc>
        <w:tc>
          <w:tcPr>
            <w:tcW w:w="2455" w:type="dxa"/>
            <w:tcBorders>
              <w:top w:val="single" w:sz="5" w:space="0" w:color="D4D4D4"/>
              <w:left w:val="single" w:sz="4" w:space="0" w:color="000000"/>
              <w:bottom w:val="single" w:sz="4" w:space="0" w:color="000000"/>
              <w:right w:val="single" w:sz="4" w:space="0" w:color="000000"/>
            </w:tcBorders>
          </w:tcPr>
          <w:p>
            <w:pPr>
              <w:pStyle w:val="TableParagraph"/>
              <w:spacing w:line="240" w:lineRule="auto" w:before="86"/>
              <w:ind w:left="1161" w:right="0"/>
              <w:jc w:val="left"/>
              <w:rPr>
                <w:rFonts w:ascii="Times New Roman" w:hAnsi="Times New Roman" w:cs="Times New Roman" w:eastAsia="Times New Roman" w:hint="default"/>
                <w:sz w:val="18"/>
                <w:szCs w:val="18"/>
              </w:rPr>
            </w:pPr>
            <w:r>
              <w:rPr>
                <w:rFonts w:ascii="Times New Roman"/>
                <w:sz w:val="18"/>
              </w:rPr>
              <w:t>2,455,675,708.69</w:t>
            </w:r>
          </w:p>
        </w:tc>
        <w:tc>
          <w:tcPr>
            <w:tcW w:w="2453" w:type="dxa"/>
            <w:tcBorders>
              <w:top w:val="single" w:sz="5" w:space="0" w:color="D4D4D4"/>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pacing w:val="-1"/>
                <w:sz w:val="18"/>
              </w:rPr>
              <w:t>18,877,254.10</w:t>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455"/>
              <w:jc w:val="righ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5"/>
        <w:gridCol w:w="2453"/>
      </w:tblGrid>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636"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23,620,000.00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23,620,000.00</w:t>
            </w:r>
          </w:p>
        </w:tc>
      </w:tr>
      <w:tr>
        <w:trPr>
          <w:trHeight w:val="85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96" w:right="9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w:t>
            </w:r>
          </w:p>
          <w:p>
            <w:pPr>
              <w:pStyle w:val="TableParagraph"/>
              <w:spacing w:line="214" w:lineRule="exact"/>
              <w:ind w:left="1"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81,560,061.23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77,198,272.09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-4,361,789.14</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1,118,800,182.91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1,118,800,182.91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4,361,789.14</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4,361,789.14</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360,688,001.54</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360,688,001.54</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72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95"/>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1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435,921,536.66</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417,291,033.69</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-18,630,502.97</w:t>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85"/>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18,877,254.10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-18,877,254.10</w:t>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85"/>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85"/>
              <w:jc w:val="righ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61"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846,357,777.99</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846,357,777.99</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90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622"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8"/>
              <w:ind w:left="907" w:right="95" w:hanging="452"/>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110,381,319.31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86,761,319.31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-23,620,000.00</w:t>
            </w:r>
          </w:p>
        </w:tc>
      </w:tr>
      <w:tr>
        <w:trPr>
          <w:trHeight w:val="39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4D4D4"/>
              <w:bottom w:val="single" w:sz="10" w:space="0" w:color="D4D4D4"/>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5,390,507,334.23</w:t>
            </w:r>
          </w:p>
        </w:tc>
        <w:tc>
          <w:tcPr>
            <w:tcW w:w="2455"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5,390,754,085.36</w:t>
            </w:r>
          </w:p>
        </w:tc>
        <w:tc>
          <w:tcPr>
            <w:tcW w:w="2453"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z w:val="18"/>
              </w:rPr>
              <w:t>246,751.13</w:t>
            </w:r>
          </w:p>
        </w:tc>
      </w:tr>
      <w:tr>
        <w:trPr>
          <w:trHeight w:val="37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4"/>
              <w:ind w:left="54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5" w:space="0" w:color="D4D4D4"/>
              <w:left w:val="single" w:sz="10" w:space="0" w:color="D4D4D4"/>
              <w:bottom w:val="single" w:sz="4" w:space="0" w:color="000000"/>
              <w:right w:val="single" w:sz="4" w:space="0" w:color="000000"/>
            </w:tcBorders>
          </w:tcPr>
          <w:p>
            <w:pPr/>
          </w:p>
        </w:tc>
        <w:tc>
          <w:tcPr>
            <w:tcW w:w="2455" w:type="dxa"/>
            <w:tcBorders>
              <w:top w:val="single" w:sz="5" w:space="0" w:color="D4D4D4"/>
              <w:left w:val="single" w:sz="4" w:space="0" w:color="000000"/>
              <w:bottom w:val="single" w:sz="4" w:space="0" w:color="000000"/>
              <w:right w:val="single" w:sz="4" w:space="0" w:color="000000"/>
            </w:tcBorders>
          </w:tcPr>
          <w:p>
            <w:pPr/>
          </w:p>
        </w:tc>
        <w:tc>
          <w:tcPr>
            <w:tcW w:w="2453" w:type="dxa"/>
            <w:tcBorders>
              <w:top w:val="single" w:sz="5" w:space="0" w:color="D4D4D4"/>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85"/>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263,287,649.29</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-263,287,649.29</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636"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16"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368,791,301.24</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368,791,301.24</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185"/>
              <w:jc w:val="righ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181,287,649.29</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181,287,649.29</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95"/>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82,000,000.00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82,000,000.00</w:t>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4,043,099.80</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4,043,099.80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363,082,616.42</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363,082,616.42</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2,026,439.28</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2,026,439.28</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5"/>
        <w:gridCol w:w="2453"/>
      </w:tblGrid>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636"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90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16"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103,380,883.93</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103,380,883.93</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61" w:right="0"/>
              <w:jc w:val="center"/>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1,607,351,516.89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1,607,351,516.89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7,311,424.86</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7,311,424.86</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63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23,516,751.79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23,500,607.35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w w:val="95"/>
                <w:sz w:val="18"/>
              </w:rPr>
              <w:t>-16,144.44</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636"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7,437,330.00</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7,437,330.00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456"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2,750,229,013.50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2,750,212,869.06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w w:val="95"/>
                <w:sz w:val="18"/>
              </w:rPr>
              <w:t>-16,144.44</w:t>
            </w:r>
            <w:r>
              <w:rPr>
                <w:rFonts w:ascii="Times New Roman"/>
                <w:sz w:val="18"/>
              </w:rPr>
            </w:r>
          </w:p>
        </w:tc>
      </w:tr>
      <w:tr>
        <w:trPr>
          <w:trHeight w:val="395"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4D4D4"/>
              <w:bottom w:val="single" w:sz="9" w:space="0" w:color="D4D4D4"/>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8,140,736,347.73</w:t>
            </w:r>
          </w:p>
        </w:tc>
        <w:tc>
          <w:tcPr>
            <w:tcW w:w="2455"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8,140,966,954.42</w:t>
            </w:r>
          </w:p>
        </w:tc>
        <w:tc>
          <w:tcPr>
            <w:tcW w:w="2453"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z w:val="18"/>
              </w:rPr>
              <w:t>230,606.69</w:t>
            </w:r>
          </w:p>
        </w:tc>
      </w:tr>
      <w:tr>
        <w:trPr>
          <w:trHeight w:val="37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5"/>
              <w:ind w:left="636"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5"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7"/>
              <w:ind w:left="90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9" w:space="0" w:color="D4D4D4"/>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751,039,500.00</w:t>
            </w:r>
            <w:r>
              <w:rPr>
                <w:rFonts w:ascii="Times New Roman"/>
                <w:sz w:val="18"/>
              </w:rPr>
            </w:r>
          </w:p>
        </w:tc>
        <w:tc>
          <w:tcPr>
            <w:tcW w:w="2455" w:type="dxa"/>
            <w:tcBorders>
              <w:top w:val="single" w:sz="9" w:space="0" w:color="D4D4D4"/>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751,767,412.80</w:t>
            </w:r>
            <w:r>
              <w:rPr>
                <w:rFonts w:ascii="Times New Roman"/>
                <w:sz w:val="18"/>
              </w:rPr>
            </w:r>
          </w:p>
        </w:tc>
        <w:tc>
          <w:tcPr>
            <w:tcW w:w="2453" w:type="dxa"/>
            <w:tcBorders>
              <w:top w:val="single" w:sz="9" w:space="0" w:color="D4D4D4"/>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z w:val="18"/>
              </w:rPr>
              <w:t>727,912.80</w:t>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636"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636"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85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96" w:right="9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w:t>
            </w:r>
          </w:p>
          <w:p>
            <w:pPr>
              <w:pStyle w:val="TableParagraph"/>
              <w:spacing w:line="214" w:lineRule="exact"/>
              <w:ind w:left="1"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90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418,489,964.24</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418,489,964.24</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996,251,859.72</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996,251,859.72</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452,267,466.75</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452,267,466.75</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95"/>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95"/>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636"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636"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75,862,497.61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75,862,497.61</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35,077,483.99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35,077,483.99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1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291,575,126.19</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290,712,630.06</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-862,496.13</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85"/>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z w:val="18"/>
              </w:rPr>
              <w:t>862,496.13</w:t>
            </w: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-862,496.13</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85"/>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85"/>
              <w:jc w:val="righ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72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5"/>
        <w:gridCol w:w="2453"/>
      </w:tblGrid>
      <w:tr>
        <w:trPr>
          <w:trHeight w:val="622"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907" w:right="95" w:hanging="452"/>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77,000,000.00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77,134,583.33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134,583.33</w:t>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13,169,479.36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13,169,479.36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95"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4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4D4D4"/>
              <w:bottom w:val="single" w:sz="9" w:space="0" w:color="D4D4D4"/>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3,110,733,377.86</w:t>
            </w:r>
          </w:p>
        </w:tc>
        <w:tc>
          <w:tcPr>
            <w:tcW w:w="2455"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3,110,733,377.86</w:t>
            </w:r>
          </w:p>
        </w:tc>
        <w:tc>
          <w:tcPr>
            <w:tcW w:w="2453"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7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5"/>
              <w:ind w:left="54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75"/>
              <w:jc w:val="righ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10" w:space="0" w:color="D4D4D4"/>
              <w:left w:val="single" w:sz="10" w:space="0" w:color="D4D4D4"/>
              <w:bottom w:val="single" w:sz="4" w:space="0" w:color="000000"/>
              <w:right w:val="single" w:sz="4" w:space="0" w:color="000000"/>
            </w:tcBorders>
          </w:tcPr>
          <w:p>
            <w:pPr/>
          </w:p>
        </w:tc>
        <w:tc>
          <w:tcPr>
            <w:tcW w:w="2455" w:type="dxa"/>
            <w:tcBorders>
              <w:top w:val="single" w:sz="10" w:space="0" w:color="D4D4D4"/>
              <w:left w:val="single" w:sz="4" w:space="0" w:color="000000"/>
              <w:bottom w:val="single" w:sz="4" w:space="0" w:color="000000"/>
              <w:right w:val="single" w:sz="4" w:space="0" w:color="000000"/>
            </w:tcBorders>
          </w:tcPr>
          <w:p>
            <w:pPr/>
          </w:p>
        </w:tc>
        <w:tc>
          <w:tcPr>
            <w:tcW w:w="2453" w:type="dxa"/>
            <w:tcBorders>
              <w:top w:val="single" w:sz="10" w:space="0" w:color="D4D4D4"/>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90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75"/>
              <w:jc w:val="righ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75"/>
              <w:jc w:val="righ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16"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85"/>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90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65,800,345.68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65,800,345.68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275"/>
              <w:jc w:val="righ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7,472,923.34</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7,472,923.34</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75"/>
              <w:jc w:val="righ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456"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73,273,269.02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73,273,269.02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9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4D4D4"/>
              <w:bottom w:val="single" w:sz="6" w:space="0" w:color="D4D4D4"/>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3,184,006,646.88</w:t>
            </w:r>
          </w:p>
        </w:tc>
        <w:tc>
          <w:tcPr>
            <w:tcW w:w="2455" w:type="dxa"/>
            <w:tcBorders>
              <w:top w:val="single" w:sz="4" w:space="0" w:color="000000"/>
              <w:left w:val="single" w:sz="4" w:space="0" w:color="000000"/>
              <w:bottom w:val="single" w:sz="6" w:space="0" w:color="D4D4D4"/>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3,184,006,646.88</w:t>
            </w:r>
          </w:p>
        </w:tc>
        <w:tc>
          <w:tcPr>
            <w:tcW w:w="2453" w:type="dxa"/>
            <w:tcBorders>
              <w:top w:val="single" w:sz="4" w:space="0" w:color="000000"/>
              <w:left w:val="single" w:sz="4" w:space="0" w:color="000000"/>
              <w:bottom w:val="single" w:sz="6" w:space="0" w:color="D4D4D4"/>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7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4"/>
              <w:ind w:left="54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6" w:space="0" w:color="D4D4D4"/>
              <w:left w:val="single" w:sz="10" w:space="0" w:color="D4D4D4"/>
              <w:bottom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1,748,662,113.00</w:t>
            </w:r>
          </w:p>
        </w:tc>
        <w:tc>
          <w:tcPr>
            <w:tcW w:w="2455" w:type="dxa"/>
            <w:tcBorders>
              <w:top w:val="single" w:sz="6" w:space="0" w:color="D4D4D4"/>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1,748,662,113.00</w:t>
            </w:r>
          </w:p>
        </w:tc>
        <w:tc>
          <w:tcPr>
            <w:tcW w:w="2453" w:type="dxa"/>
            <w:tcBorders>
              <w:top w:val="single" w:sz="6" w:space="0" w:color="D4D4D4"/>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275"/>
              <w:jc w:val="righ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75"/>
              <w:jc w:val="righ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2,435,569,070.77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2,435,569,070.77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1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194,948,400.37</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194,948,400.37</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2,964,265.04</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-7,035,734.96</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50,173,507.71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50,173,507.71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72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1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845,609,192.48</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855,775,595.53</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10,166,403.05</w:t>
            </w:r>
          </w:p>
        </w:tc>
      </w:tr>
      <w:tr>
        <w:trPr>
          <w:trHeight w:val="622"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95" w:hanging="812"/>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4,888,029,748.63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4,888,196,151.68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166,403.05</w:t>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68,699,952.22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68,764,155.86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64,203.64</w:t>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45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4,956,729,700.85</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4,956,960,307.54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z w:val="18"/>
              </w:rPr>
              <w:t>230,606.69</w:t>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85"/>
              <w:jc w:val="righ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8,140,736,347.73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8,140,966,954.42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z w:val="18"/>
              </w:rPr>
              <w:t>230,606.69</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pStyle w:val="BodyText"/>
        <w:spacing w:line="240" w:lineRule="auto" w:before="110"/>
        <w:ind w:right="1127"/>
        <w:jc w:val="left"/>
      </w:pPr>
      <w:r>
        <w:rPr/>
        <w:t>调整情况说明</w:t>
      </w:r>
    </w:p>
    <w:p>
      <w:pPr>
        <w:spacing w:line="240" w:lineRule="auto" w:before="1"/>
        <w:rPr>
          <w:rFonts w:ascii="宋体" w:hAnsi="宋体" w:cs="宋体" w:eastAsia="宋体" w:hint="default"/>
          <w:sz w:val="18"/>
          <w:szCs w:val="18"/>
        </w:rPr>
      </w:pPr>
    </w:p>
    <w:p>
      <w:pPr>
        <w:pStyle w:val="BodyText"/>
        <w:spacing w:line="240"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、其他应收款中应收利息为已计提未到期利息，从其他应收款中重分类至货币资金中</w:t>
      </w:r>
      <w:r>
        <w:rPr>
          <w:spacing w:val="25"/>
        </w:rPr>
        <w:t> </w:t>
      </w:r>
      <w:r>
        <w:rPr>
          <w:rFonts w:ascii="Times New Roman" w:hAnsi="Times New Roman" w:cs="Times New Roman" w:eastAsia="Times New Roman" w:hint="default"/>
        </w:rPr>
        <w:t>18,877,254.10</w:t>
      </w:r>
    </w:p>
    <w:p>
      <w:pPr>
        <w:pStyle w:val="BodyText"/>
        <w:spacing w:line="240" w:lineRule="auto" w:before="115"/>
        <w:ind w:left="152" w:right="1127"/>
        <w:jc w:val="left"/>
      </w:pPr>
      <w:r>
        <w:rPr/>
        <w:t>元；</w:t>
      </w:r>
    </w:p>
    <w:p>
      <w:pPr>
        <w:spacing w:line="240" w:lineRule="auto" w:before="1"/>
        <w:rPr>
          <w:rFonts w:ascii="宋体" w:hAnsi="宋体" w:cs="宋体" w:eastAsia="宋体" w:hint="default"/>
          <w:sz w:val="18"/>
          <w:szCs w:val="18"/>
        </w:rPr>
      </w:pPr>
    </w:p>
    <w:p>
      <w:pPr>
        <w:pStyle w:val="BodyText"/>
        <w:spacing w:line="240" w:lineRule="auto"/>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、交易性金融资产包括短期理财产品投资，从其他流动资产重分类至交易性金融资产</w:t>
      </w:r>
      <w:r>
        <w:rPr>
          <w:spacing w:val="25"/>
        </w:rPr>
        <w:t> </w:t>
      </w:r>
      <w:r>
        <w:rPr>
          <w:rFonts w:ascii="Times New Roman" w:hAnsi="Times New Roman" w:cs="Times New Roman" w:eastAsia="Times New Roman" w:hint="default"/>
        </w:rPr>
        <w:t>23,620,000.00</w:t>
      </w:r>
    </w:p>
    <w:p>
      <w:pPr>
        <w:pStyle w:val="BodyText"/>
        <w:spacing w:line="240" w:lineRule="auto" w:before="115"/>
        <w:ind w:left="153" w:right="1127"/>
        <w:jc w:val="left"/>
      </w:pPr>
      <w:r>
        <w:rPr/>
        <w:t>元；</w:t>
      </w:r>
    </w:p>
    <w:p>
      <w:pPr>
        <w:spacing w:line="240" w:lineRule="auto" w:before="12"/>
        <w:rPr>
          <w:rFonts w:ascii="宋体" w:hAnsi="宋体" w:cs="宋体" w:eastAsia="宋体" w:hint="default"/>
          <w:sz w:val="17"/>
          <w:szCs w:val="17"/>
        </w:rPr>
      </w:pPr>
    </w:p>
    <w:p>
      <w:pPr>
        <w:pStyle w:val="BodyText"/>
        <w:spacing w:line="240" w:lineRule="auto"/>
        <w:ind w:left="573" w:right="1127"/>
        <w:jc w:val="left"/>
      </w:pPr>
      <w:r>
        <w:rPr>
          <w:rFonts w:ascii="Times New Roman" w:hAnsi="Times New Roman" w:cs="Times New Roman" w:eastAsia="Times New Roman" w:hint="default"/>
        </w:rPr>
        <w:t>3</w:t>
      </w:r>
      <w:r>
        <w:rPr/>
        <w:t>、从应收票据重分类至应收款项融资</w:t>
      </w:r>
      <w:r>
        <w:rPr>
          <w:spacing w:val="-56"/>
        </w:rPr>
        <w:t> </w:t>
      </w:r>
      <w:r>
        <w:rPr>
          <w:rFonts w:ascii="Times New Roman" w:hAnsi="Times New Roman" w:cs="Times New Roman" w:eastAsia="Times New Roman" w:hint="default"/>
        </w:rPr>
        <w:t>4,361,789.14</w:t>
      </w:r>
      <w:r>
        <w:rPr>
          <w:rFonts w:ascii="Times New Roman" w:hAnsi="Times New Roman" w:cs="Times New Roman" w:eastAsia="Times New Roman" w:hint="default"/>
          <w:spacing w:val="-14"/>
        </w:rPr>
        <w:t> </w:t>
      </w:r>
      <w:r>
        <w:rPr/>
        <w:t>元；</w:t>
      </w:r>
    </w:p>
    <w:p>
      <w:pPr>
        <w:spacing w:line="240" w:lineRule="auto" w:before="11"/>
        <w:rPr>
          <w:rFonts w:ascii="宋体" w:hAnsi="宋体" w:cs="宋体" w:eastAsia="宋体" w:hint="default"/>
          <w:sz w:val="16"/>
          <w:szCs w:val="16"/>
        </w:rPr>
      </w:pPr>
    </w:p>
    <w:p>
      <w:pPr>
        <w:pStyle w:val="BodyText"/>
        <w:spacing w:line="240" w:lineRule="auto"/>
        <w:ind w:left="573" w:right="0"/>
        <w:jc w:val="left"/>
        <w:rPr>
          <w:rFonts w:ascii="Times New Roman" w:hAnsi="Times New Roman" w:cs="Times New Roman" w:eastAsia="Times New Roman" w:hint="default"/>
        </w:rPr>
      </w:pPr>
      <w:r>
        <w:rPr>
          <w:rFonts w:ascii="Times New Roman" w:hAnsi="Times New Roman" w:cs="Times New Roman" w:eastAsia="Times New Roman" w:hint="default"/>
          <w:spacing w:val="-6"/>
        </w:rPr>
        <w:t>4</w:t>
      </w:r>
      <w:r>
        <w:rPr>
          <w:spacing w:val="-6"/>
        </w:rPr>
        <w:t>、按预期信用损失法重新计提坏账，调减期初坏账准备 </w:t>
      </w:r>
      <w:r>
        <w:rPr>
          <w:rFonts w:ascii="Times New Roman" w:hAnsi="Times New Roman" w:cs="Times New Roman" w:eastAsia="Times New Roman" w:hint="default"/>
        </w:rPr>
        <w:t>246,751.13 </w:t>
      </w:r>
      <w:r>
        <w:rPr>
          <w:spacing w:val="-7"/>
        </w:rPr>
        <w:t>元；调减递延所得税资产</w:t>
      </w:r>
      <w:r>
        <w:rPr>
          <w:spacing w:val="-66"/>
        </w:rPr>
        <w:t> </w:t>
      </w:r>
      <w:r>
        <w:rPr>
          <w:rFonts w:ascii="Times New Roman" w:hAnsi="Times New Roman" w:cs="Times New Roman" w:eastAsia="Times New Roman" w:hint="default"/>
        </w:rPr>
        <w:t>16,144.44</w:t>
      </w:r>
    </w:p>
    <w:p>
      <w:pPr>
        <w:pStyle w:val="BodyText"/>
        <w:spacing w:line="240" w:lineRule="auto" w:before="115"/>
        <w:ind w:left="153" w:right="1127"/>
        <w:jc w:val="left"/>
      </w:pPr>
      <w:r>
        <w:rPr/>
        <w:t>元；</w:t>
      </w:r>
    </w:p>
    <w:p>
      <w:pPr>
        <w:spacing w:line="240" w:lineRule="auto" w:before="1"/>
        <w:rPr>
          <w:rFonts w:ascii="宋体" w:hAnsi="宋体" w:cs="宋体" w:eastAsia="宋体" w:hint="default"/>
          <w:sz w:val="18"/>
          <w:szCs w:val="18"/>
        </w:rPr>
      </w:pPr>
    </w:p>
    <w:p>
      <w:pPr>
        <w:pStyle w:val="BodyText"/>
        <w:spacing w:line="333" w:lineRule="auto"/>
        <w:ind w:left="153" w:right="1127" w:firstLine="420"/>
        <w:jc w:val="left"/>
      </w:pPr>
      <w:r>
        <w:rPr>
          <w:rFonts w:ascii="Times New Roman" w:hAnsi="Times New Roman" w:cs="Times New Roman" w:eastAsia="Times New Roman" w:hint="default"/>
          <w:spacing w:val="-4"/>
        </w:rPr>
        <w:t>5</w:t>
      </w:r>
      <w:r>
        <w:rPr>
          <w:spacing w:val="-4"/>
        </w:rPr>
        <w:t>、本集团指定部分权益投资为</w:t>
      </w:r>
      <w:r>
        <w:rPr>
          <w:rFonts w:ascii="Times New Roman" w:hAnsi="Times New Roman" w:cs="Times New Roman" w:eastAsia="Times New Roman" w:hint="default"/>
          <w:spacing w:val="-4"/>
        </w:rPr>
        <w:t>“</w:t>
      </w:r>
      <w:r>
        <w:rPr>
          <w:spacing w:val="-4"/>
        </w:rPr>
        <w:t>以公允价值计量且变动计入其他综合收益的金融资产</w:t>
      </w:r>
      <w:r>
        <w:rPr>
          <w:rFonts w:ascii="Times New Roman" w:hAnsi="Times New Roman" w:cs="Times New Roman" w:eastAsia="Times New Roman" w:hint="default"/>
          <w:spacing w:val="-4"/>
        </w:rPr>
        <w:t>”</w:t>
      </w:r>
      <w:r>
        <w:rPr>
          <w:spacing w:val="-4"/>
        </w:rPr>
        <w:t>，从可供出售金</w:t>
      </w:r>
      <w:r>
        <w:rPr>
          <w:spacing w:val="-3"/>
          <w:w w:val="100"/>
        </w:rPr>
        <w:t> </w:t>
      </w:r>
      <w:r>
        <w:rPr/>
        <w:t>融资产重分类至其他权益工具投资</w:t>
      </w:r>
      <w:r>
        <w:rPr>
          <w:spacing w:val="-55"/>
        </w:rPr>
        <w:t> </w:t>
      </w:r>
      <w:r>
        <w:rPr>
          <w:rFonts w:ascii="Times New Roman" w:hAnsi="Times New Roman" w:cs="Times New Roman" w:eastAsia="Times New Roman" w:hint="default"/>
        </w:rPr>
        <w:t>181,287,649.29</w:t>
      </w:r>
      <w:r>
        <w:rPr>
          <w:rFonts w:ascii="Times New Roman" w:hAnsi="Times New Roman" w:cs="Times New Roman" w:eastAsia="Times New Roman" w:hint="default"/>
          <w:spacing w:val="-13"/>
        </w:rPr>
        <w:t> </w:t>
      </w:r>
      <w:r>
        <w:rPr/>
        <w:t>元；</w:t>
      </w:r>
    </w:p>
    <w:p>
      <w:pPr>
        <w:pStyle w:val="BodyText"/>
        <w:spacing w:line="333" w:lineRule="auto" w:before="129"/>
        <w:ind w:left="153" w:right="1127" w:firstLine="419"/>
        <w:jc w:val="left"/>
      </w:pPr>
      <w:r>
        <w:rPr>
          <w:rFonts w:ascii="Times New Roman" w:hAnsi="Times New Roman" w:cs="Times New Roman" w:eastAsia="Times New Roman" w:hint="default"/>
          <w:spacing w:val="-2"/>
        </w:rPr>
        <w:t>6</w:t>
      </w:r>
      <w:r>
        <w:rPr>
          <w:spacing w:val="-2"/>
        </w:rPr>
        <w:t>、除指定的权益工具投资外，其余权益金融工具投资分类为</w:t>
      </w:r>
      <w:r>
        <w:rPr>
          <w:rFonts w:ascii="Times New Roman" w:hAnsi="Times New Roman" w:cs="Times New Roman" w:eastAsia="Times New Roman" w:hint="default"/>
          <w:spacing w:val="-2"/>
        </w:rPr>
        <w:t>“</w:t>
      </w:r>
      <w:r>
        <w:rPr>
          <w:spacing w:val="-2"/>
        </w:rPr>
        <w:t>以公允价值计量且变动计入当期损益的</w:t>
      </w:r>
      <w:r>
        <w:rPr>
          <w:spacing w:val="-3"/>
          <w:w w:val="100"/>
        </w:rPr>
        <w:t> </w:t>
      </w:r>
      <w:r>
        <w:rPr/>
        <w:t>金融资产</w:t>
      </w:r>
      <w:r>
        <w:rPr>
          <w:rFonts w:ascii="Times New Roman" w:hAnsi="Times New Roman" w:cs="Times New Roman" w:eastAsia="Times New Roman" w:hint="default"/>
        </w:rPr>
        <w:t>”</w:t>
      </w:r>
      <w:r>
        <w:rPr/>
        <w:t>，从其他可供出售金融资产重分类至其他非流动金融资产</w:t>
      </w:r>
      <w:r>
        <w:rPr>
          <w:spacing w:val="-58"/>
        </w:rPr>
        <w:t> </w:t>
      </w:r>
      <w:r>
        <w:rPr>
          <w:rFonts w:ascii="Times New Roman" w:hAnsi="Times New Roman" w:cs="Times New Roman" w:eastAsia="Times New Roman" w:hint="default"/>
        </w:rPr>
        <w:t>82,000,000.00</w:t>
      </w:r>
      <w:r>
        <w:rPr>
          <w:rFonts w:ascii="Times New Roman" w:hAnsi="Times New Roman" w:cs="Times New Roman" w:eastAsia="Times New Roman" w:hint="default"/>
          <w:spacing w:val="-15"/>
        </w:rPr>
        <w:t> </w:t>
      </w:r>
      <w:r>
        <w:rPr/>
        <w:t>元；</w:t>
      </w:r>
    </w:p>
    <w:p>
      <w:pPr>
        <w:pStyle w:val="BodyText"/>
        <w:spacing w:line="240" w:lineRule="auto" w:before="127"/>
        <w:ind w:left="573" w:right="1127"/>
        <w:jc w:val="left"/>
      </w:pPr>
      <w:r>
        <w:rPr>
          <w:rFonts w:ascii="Times New Roman" w:hAnsi="Times New Roman" w:cs="Times New Roman" w:eastAsia="Times New Roman" w:hint="default"/>
        </w:rPr>
        <w:t>7</w:t>
      </w:r>
      <w:r>
        <w:rPr/>
        <w:t>、其他应付款中的利息重分类至短期借款</w:t>
      </w:r>
      <w:r>
        <w:rPr>
          <w:spacing w:val="-57"/>
        </w:rPr>
        <w:t> </w:t>
      </w:r>
      <w:r>
        <w:rPr>
          <w:rFonts w:ascii="Times New Roman" w:hAnsi="Times New Roman" w:cs="Times New Roman" w:eastAsia="Times New Roman" w:hint="default"/>
        </w:rPr>
        <w:t>727,912.80</w:t>
      </w:r>
      <w:r>
        <w:rPr>
          <w:rFonts w:ascii="Times New Roman" w:hAnsi="Times New Roman" w:cs="Times New Roman" w:eastAsia="Times New Roman" w:hint="default"/>
          <w:spacing w:val="-13"/>
        </w:rPr>
        <w:t> </w:t>
      </w:r>
      <w:r>
        <w:rPr/>
        <w:t>元，一年内到期非流动负债款</w:t>
      </w:r>
      <w:r>
        <w:rPr>
          <w:spacing w:val="-57"/>
        </w:rPr>
        <w:t> </w:t>
      </w:r>
      <w:r>
        <w:rPr>
          <w:rFonts w:ascii="Times New Roman" w:hAnsi="Times New Roman" w:cs="Times New Roman" w:eastAsia="Times New Roman" w:hint="default"/>
        </w:rPr>
        <w:t>134,583.33</w:t>
      </w:r>
      <w:r>
        <w:rPr>
          <w:rFonts w:ascii="Times New Roman" w:hAnsi="Times New Roman" w:cs="Times New Roman" w:eastAsia="Times New Roman" w:hint="default"/>
          <w:spacing w:val="-15"/>
        </w:rPr>
        <w:t> </w:t>
      </w:r>
      <w:r>
        <w:rPr/>
        <w:t>元；</w:t>
      </w:r>
    </w:p>
    <w:p>
      <w:pPr>
        <w:spacing w:line="240" w:lineRule="auto" w:before="11"/>
        <w:rPr>
          <w:rFonts w:ascii="宋体" w:hAnsi="宋体" w:cs="宋体" w:eastAsia="宋体" w:hint="default"/>
          <w:sz w:val="16"/>
          <w:szCs w:val="16"/>
        </w:rPr>
      </w:pPr>
    </w:p>
    <w:p>
      <w:pPr>
        <w:pStyle w:val="BodyText"/>
        <w:spacing w:line="333" w:lineRule="auto"/>
        <w:ind w:left="153" w:right="1130" w:firstLine="420"/>
        <w:jc w:val="left"/>
      </w:pPr>
      <w:r>
        <w:rPr>
          <w:rFonts w:ascii="Times New Roman" w:hAnsi="Times New Roman" w:cs="Times New Roman" w:eastAsia="Times New Roman" w:hint="default"/>
        </w:rPr>
        <w:t>8</w:t>
      </w:r>
      <w:r>
        <w:rPr/>
        <w:t>、原可供出售金融资产计提减值准备 </w:t>
      </w:r>
      <w:r>
        <w:rPr>
          <w:rFonts w:ascii="Times New Roman" w:hAnsi="Times New Roman" w:cs="Times New Roman" w:eastAsia="Times New Roman" w:hint="default"/>
        </w:rPr>
        <w:t>10,000,000.00</w:t>
      </w:r>
      <w:r>
        <w:rPr>
          <w:rFonts w:ascii="Times New Roman" w:hAnsi="Times New Roman" w:cs="Times New Roman" w:eastAsia="Times New Roman" w:hint="default"/>
          <w:spacing w:val="-32"/>
        </w:rPr>
        <w:t> </w:t>
      </w:r>
      <w:r>
        <w:rPr/>
        <w:t>元，因重分类至其他权益工具投资，这部分减值</w:t>
      </w:r>
      <w:r>
        <w:rPr>
          <w:w w:val="100"/>
        </w:rPr>
        <w:t> </w:t>
      </w:r>
      <w:r>
        <w:rPr>
          <w:spacing w:val="-2"/>
        </w:rPr>
        <w:t>作为公允价值变动计入其他综合收益</w:t>
      </w:r>
      <w:r>
        <w:rPr>
          <w:rFonts w:ascii="Times New Roman" w:hAnsi="Times New Roman" w:cs="Times New Roman" w:eastAsia="Times New Roman" w:hint="default"/>
          <w:spacing w:val="-2"/>
        </w:rPr>
        <w:t>-10,000,000.00</w:t>
      </w:r>
      <w:r>
        <w:rPr>
          <w:rFonts w:ascii="Times New Roman" w:hAnsi="Times New Roman" w:cs="Times New Roman" w:eastAsia="Times New Roman" w:hint="default"/>
          <w:spacing w:val="46"/>
        </w:rPr>
        <w:t> </w:t>
      </w:r>
      <w:r>
        <w:rPr/>
        <w:t>元；</w:t>
      </w:r>
    </w:p>
    <w:p>
      <w:pPr>
        <w:pStyle w:val="BodyText"/>
        <w:spacing w:line="240" w:lineRule="auto" w:before="127"/>
        <w:ind w:left="573" w:right="1127"/>
        <w:jc w:val="left"/>
      </w:pPr>
      <w:r>
        <w:rPr/>
        <w:t>母公司资产负债表</w:t>
      </w:r>
    </w:p>
    <w:p>
      <w:pPr>
        <w:spacing w:line="240" w:lineRule="auto" w:before="12"/>
        <w:rPr>
          <w:rFonts w:ascii="宋体" w:hAnsi="宋体" w:cs="宋体" w:eastAsia="宋体" w:hint="default"/>
          <w:sz w:val="17"/>
          <w:szCs w:val="17"/>
        </w:rPr>
      </w:pPr>
    </w:p>
    <w:p>
      <w:pPr>
        <w:pStyle w:val="BodyText"/>
        <w:spacing w:line="240" w:lineRule="auto"/>
        <w:ind w:left="0" w:right="1130"/>
        <w:jc w:val="right"/>
      </w:pPr>
      <w:r>
        <w:rPr>
          <w:spacing w:val="-1"/>
        </w:rPr>
        <w:t>单位：元</w:t>
      </w:r>
    </w:p>
    <w:p>
      <w:pPr>
        <w:spacing w:line="240" w:lineRule="auto" w:before="10"/>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5"/>
        <w:gridCol w:w="2453"/>
      </w:tblGrid>
      <w:tr>
        <w:trPr>
          <w:trHeight w:val="39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7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7"/>
              <w:ind w:left="636"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6" w:space="0" w:color="D4D4D4"/>
              <w:left w:val="single" w:sz="10" w:space="0" w:color="D4D4D4"/>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1,080,740,432.03</w:t>
            </w:r>
          </w:p>
        </w:tc>
        <w:tc>
          <w:tcPr>
            <w:tcW w:w="2455" w:type="dxa"/>
            <w:tcBorders>
              <w:top w:val="single" w:sz="6" w:space="0" w:color="D4D4D4"/>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1,099,617,686.13</w:t>
            </w:r>
          </w:p>
        </w:tc>
        <w:tc>
          <w:tcPr>
            <w:tcW w:w="2453" w:type="dxa"/>
            <w:tcBorders>
              <w:top w:val="single" w:sz="6" w:space="0" w:color="D4D4D4"/>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pacing w:val="-1"/>
                <w:sz w:val="18"/>
              </w:rPr>
              <w:t>18,877,254.10</w:t>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75"/>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85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96" w:right="9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w:t>
            </w:r>
          </w:p>
          <w:p>
            <w:pPr>
              <w:pStyle w:val="TableParagraph"/>
              <w:spacing w:line="212" w:lineRule="exact"/>
              <w:ind w:left="1"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11,083,098.20</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10,959,918.20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-123,180.00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126,221,458.17</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126,221,458.17</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123,180.00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z w:val="18"/>
              </w:rPr>
              <w:t>123,180.00</w:t>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90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275,686,358.21</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275,686,358.21</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1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354,054,790.48</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335,066,079.43</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-18,988,711.05</w:t>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85"/>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18,877,254.10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-18,877,254.10</w:t>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85"/>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61"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107,540,552.84</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107,540,552.84</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5"/>
        <w:gridCol w:w="2453"/>
      </w:tblGrid>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72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622"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907" w:right="95" w:hanging="452"/>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33,417,582.92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33,417,582.92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9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4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4D4D4"/>
              <w:bottom w:val="single" w:sz="10" w:space="0" w:color="D4D4D4"/>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1,988,744,272.85</w:t>
            </w:r>
          </w:p>
        </w:tc>
        <w:tc>
          <w:tcPr>
            <w:tcW w:w="2455"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1,988,632,815.90</w:t>
            </w:r>
          </w:p>
        </w:tc>
        <w:tc>
          <w:tcPr>
            <w:tcW w:w="2453"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2"/>
                <w:sz w:val="18"/>
              </w:rPr>
              <w:t>-111,456.95</w:t>
            </w:r>
            <w:r>
              <w:rPr>
                <w:rFonts w:ascii="Times New Roman"/>
                <w:sz w:val="18"/>
              </w:rPr>
            </w:r>
          </w:p>
        </w:tc>
      </w:tr>
      <w:tr>
        <w:trPr>
          <w:trHeight w:val="37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7"/>
              <w:ind w:left="54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10" w:space="0" w:color="D4D4D4"/>
              <w:left w:val="single" w:sz="10" w:space="0" w:color="D4D4D4"/>
              <w:bottom w:val="single" w:sz="4" w:space="0" w:color="000000"/>
              <w:right w:val="single" w:sz="4" w:space="0" w:color="000000"/>
            </w:tcBorders>
          </w:tcPr>
          <w:p>
            <w:pPr/>
          </w:p>
        </w:tc>
        <w:tc>
          <w:tcPr>
            <w:tcW w:w="2455" w:type="dxa"/>
            <w:tcBorders>
              <w:top w:val="single" w:sz="10" w:space="0" w:color="D4D4D4"/>
              <w:left w:val="single" w:sz="4" w:space="0" w:color="000000"/>
              <w:bottom w:val="single" w:sz="4" w:space="0" w:color="000000"/>
              <w:right w:val="single" w:sz="4" w:space="0" w:color="000000"/>
            </w:tcBorders>
          </w:tcPr>
          <w:p>
            <w:pPr/>
          </w:p>
        </w:tc>
        <w:tc>
          <w:tcPr>
            <w:tcW w:w="2453" w:type="dxa"/>
            <w:tcBorders>
              <w:top w:val="single" w:sz="10" w:space="0" w:color="D4D4D4"/>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85"/>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185,900,000.00</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-185,900,000.00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636"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16"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2,969,247,162.68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2,969,247,162.68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185"/>
              <w:jc w:val="righ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103,900,000.00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103,900,000.00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95"/>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82,000,000.00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82,000,000.00</w:t>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72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1,604,018.42</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1,604,018.42</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58,664,269.22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58,664,269.22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2,026,439.28</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2,026,439.28</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636"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16"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36,688,113.17</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36,688,113.17</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90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61" w:right="0"/>
              <w:jc w:val="center"/>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63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6,140,743.52</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6,157,462.06</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16,718.54</w:t>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636"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456"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3,260,270,746.29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3,260,287,464.83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16,718.54</w:t>
            </w:r>
          </w:p>
        </w:tc>
      </w:tr>
      <w:tr>
        <w:trPr>
          <w:trHeight w:val="39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4D4D4"/>
              <w:bottom w:val="single" w:sz="10" w:space="0" w:color="D4D4D4"/>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5,249,015,019.14</w:t>
            </w:r>
          </w:p>
        </w:tc>
        <w:tc>
          <w:tcPr>
            <w:tcW w:w="2455"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5,248,920,280.73</w:t>
            </w:r>
          </w:p>
        </w:tc>
        <w:tc>
          <w:tcPr>
            <w:tcW w:w="2453"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w w:val="95"/>
                <w:sz w:val="18"/>
              </w:rPr>
              <w:t>-94,738.41</w:t>
            </w:r>
            <w:r>
              <w:rPr>
                <w:rFonts w:ascii="Times New Roman"/>
                <w:sz w:val="18"/>
              </w:rPr>
            </w:r>
          </w:p>
        </w:tc>
      </w:tr>
      <w:tr>
        <w:trPr>
          <w:trHeight w:val="37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7"/>
              <w:ind w:left="636"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6" w:space="0" w:color="D4D4D4"/>
              <w:left w:val="single" w:sz="10" w:space="0" w:color="D4D4D4"/>
              <w:bottom w:val="single" w:sz="4" w:space="0" w:color="000000"/>
              <w:right w:val="single" w:sz="4" w:space="0" w:color="000000"/>
            </w:tcBorders>
          </w:tcPr>
          <w:p>
            <w:pPr>
              <w:pStyle w:val="TableParagraph"/>
              <w:spacing w:line="240" w:lineRule="auto" w:before="86"/>
              <w:ind w:right="16"/>
              <w:jc w:val="right"/>
              <w:rPr>
                <w:rFonts w:ascii="Times New Roman" w:hAnsi="Times New Roman" w:cs="Times New Roman" w:eastAsia="Times New Roman" w:hint="default"/>
                <w:sz w:val="18"/>
                <w:szCs w:val="18"/>
              </w:rPr>
            </w:pPr>
            <w:r>
              <w:rPr>
                <w:rFonts w:ascii="Times New Roman"/>
                <w:spacing w:val="-1"/>
                <w:sz w:val="18"/>
              </w:rPr>
              <w:t>554,880,000.00</w:t>
            </w:r>
            <w:r>
              <w:rPr>
                <w:rFonts w:ascii="Times New Roman"/>
                <w:sz w:val="18"/>
              </w:rPr>
            </w:r>
          </w:p>
        </w:tc>
        <w:tc>
          <w:tcPr>
            <w:tcW w:w="2455" w:type="dxa"/>
            <w:tcBorders>
              <w:top w:val="single" w:sz="6" w:space="0" w:color="D4D4D4"/>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555,086,403.96</w:t>
            </w:r>
            <w:r>
              <w:rPr>
                <w:rFonts w:ascii="Times New Roman"/>
                <w:sz w:val="18"/>
              </w:rPr>
            </w:r>
          </w:p>
        </w:tc>
        <w:tc>
          <w:tcPr>
            <w:tcW w:w="2453" w:type="dxa"/>
            <w:tcBorders>
              <w:top w:val="single" w:sz="6" w:space="0" w:color="D4D4D4"/>
              <w:left w:val="single" w:sz="4" w:space="0" w:color="000000"/>
              <w:bottom w:val="single" w:sz="4" w:space="0" w:color="000000"/>
              <w:right w:val="single" w:sz="4" w:space="0" w:color="000000"/>
            </w:tcBorders>
          </w:tcPr>
          <w:p>
            <w:pPr>
              <w:pStyle w:val="TableParagraph"/>
              <w:spacing w:line="240" w:lineRule="auto" w:before="86"/>
              <w:ind w:right="16"/>
              <w:jc w:val="right"/>
              <w:rPr>
                <w:rFonts w:ascii="Times New Roman" w:hAnsi="Times New Roman" w:cs="Times New Roman" w:eastAsia="Times New Roman" w:hint="default"/>
                <w:sz w:val="18"/>
                <w:szCs w:val="18"/>
              </w:rPr>
            </w:pPr>
            <w:r>
              <w:rPr>
                <w:rFonts w:ascii="Times New Roman"/>
                <w:sz w:val="18"/>
              </w:rPr>
              <w:t>206,403.96</w:t>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636"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85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96" w:right="9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w:t>
            </w:r>
          </w:p>
          <w:p>
            <w:pPr>
              <w:pStyle w:val="TableParagraph"/>
              <w:spacing w:line="212" w:lineRule="exact"/>
              <w:ind w:left="1"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5"/>
        <w:gridCol w:w="2453"/>
      </w:tblGrid>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55,761,547.48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55,761,547.48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90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69,888,882.99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69,888,882.99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19,806,989.05</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19,806,989.05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2,339,204.42</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2,339,204.42</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1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197,979,727.27</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197,773,323.31</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-206,403.96</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85"/>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z w:val="18"/>
              </w:rPr>
              <w:t>206,403.96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-206,403.96</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85"/>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72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622"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907" w:right="95" w:hanging="452"/>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9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4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4D4D4"/>
              <w:bottom w:val="single" w:sz="10" w:space="0" w:color="D4D4D4"/>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980,656,351.21</w:t>
            </w:r>
            <w:r>
              <w:rPr>
                <w:rFonts w:ascii="Times New Roman"/>
                <w:sz w:val="18"/>
              </w:rPr>
            </w:r>
          </w:p>
        </w:tc>
        <w:tc>
          <w:tcPr>
            <w:tcW w:w="2455"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980,656,351.21</w:t>
            </w:r>
            <w:r>
              <w:rPr>
                <w:rFonts w:ascii="Times New Roman"/>
                <w:sz w:val="18"/>
              </w:rPr>
            </w:r>
          </w:p>
        </w:tc>
        <w:tc>
          <w:tcPr>
            <w:tcW w:w="2453"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7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7"/>
              <w:ind w:left="54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6" w:space="0" w:color="D4D4D4"/>
              <w:left w:val="single" w:sz="10" w:space="0" w:color="D4D4D4"/>
              <w:bottom w:val="single" w:sz="4" w:space="0" w:color="000000"/>
              <w:right w:val="single" w:sz="4" w:space="0" w:color="000000"/>
            </w:tcBorders>
          </w:tcPr>
          <w:p>
            <w:pPr/>
          </w:p>
        </w:tc>
        <w:tc>
          <w:tcPr>
            <w:tcW w:w="2455" w:type="dxa"/>
            <w:tcBorders>
              <w:top w:val="single" w:sz="6" w:space="0" w:color="D4D4D4"/>
              <w:left w:val="single" w:sz="4" w:space="0" w:color="000000"/>
              <w:bottom w:val="single" w:sz="4" w:space="0" w:color="000000"/>
              <w:right w:val="single" w:sz="4" w:space="0" w:color="000000"/>
            </w:tcBorders>
          </w:tcPr>
          <w:p>
            <w:pPr/>
          </w:p>
        </w:tc>
        <w:tc>
          <w:tcPr>
            <w:tcW w:w="2453" w:type="dxa"/>
            <w:tcBorders>
              <w:top w:val="single" w:sz="6" w:space="0" w:color="D4D4D4"/>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90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75"/>
              <w:jc w:val="righ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75"/>
              <w:jc w:val="righ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16"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85"/>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90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75"/>
              <w:jc w:val="righ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75"/>
              <w:jc w:val="righ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456"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95"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4D4D4"/>
              <w:bottom w:val="single" w:sz="5" w:space="0" w:color="D4D4D4"/>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980,656,351.21</w:t>
            </w:r>
            <w:r>
              <w:rPr>
                <w:rFonts w:ascii="Times New Roman"/>
                <w:sz w:val="18"/>
              </w:rPr>
            </w:r>
          </w:p>
        </w:tc>
        <w:tc>
          <w:tcPr>
            <w:tcW w:w="2455" w:type="dxa"/>
            <w:tcBorders>
              <w:top w:val="single" w:sz="4" w:space="0" w:color="000000"/>
              <w:left w:val="single" w:sz="4" w:space="0" w:color="000000"/>
              <w:bottom w:val="single" w:sz="5" w:space="0" w:color="D4D4D4"/>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980,656,351.21</w:t>
            </w:r>
            <w:r>
              <w:rPr>
                <w:rFonts w:ascii="Times New Roman"/>
                <w:sz w:val="18"/>
              </w:rPr>
            </w:r>
          </w:p>
        </w:tc>
        <w:tc>
          <w:tcPr>
            <w:tcW w:w="2453" w:type="dxa"/>
            <w:tcBorders>
              <w:top w:val="single" w:sz="4" w:space="0" w:color="000000"/>
              <w:left w:val="single" w:sz="4" w:space="0" w:color="000000"/>
              <w:bottom w:val="single" w:sz="5" w:space="0" w:color="D4D4D4"/>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7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5"/>
              <w:ind w:left="54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10" w:space="0" w:color="D4D4D4"/>
              <w:left w:val="single" w:sz="10"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1,748,662,113.00</w:t>
            </w:r>
          </w:p>
        </w:tc>
        <w:tc>
          <w:tcPr>
            <w:tcW w:w="2455" w:type="dxa"/>
            <w:tcBorders>
              <w:top w:val="single" w:sz="10" w:space="0" w:color="D4D4D4"/>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1,748,662,113.00</w:t>
            </w:r>
          </w:p>
        </w:tc>
        <w:tc>
          <w:tcPr>
            <w:tcW w:w="2453" w:type="dxa"/>
            <w:tcBorders>
              <w:top w:val="single" w:sz="10" w:space="0" w:color="D4D4D4"/>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72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75"/>
              <w:jc w:val="righ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75"/>
              <w:jc w:val="righ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2,463,851,905.08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2,463,851,905.08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1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194,948,400.37</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194,948,400.37</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2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89"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0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68"/>
          <w:pgSz w:w="11910" w:h="16840"/>
          <w:pgMar w:footer="1134" w:header="882"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4"/>
        <w:gridCol w:w="2453"/>
        <w:gridCol w:w="2455"/>
        <w:gridCol w:w="2453"/>
      </w:tblGrid>
      <w:tr>
        <w:trPr>
          <w:trHeight w:val="386" w:hRule="exact"/>
        </w:trPr>
        <w:tc>
          <w:tcPr>
            <w:tcW w:w="22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1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50,173,507.71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50,173,507.71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22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82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200,619,542.51</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210,524,804.10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9,905,261.59</w:t>
            </w:r>
            <w:r>
              <w:rPr>
                <w:rFonts w:ascii="Times New Roman"/>
                <w:sz w:val="18"/>
              </w:rPr>
            </w:r>
          </w:p>
        </w:tc>
      </w:tr>
      <w:tr>
        <w:trPr>
          <w:trHeight w:val="386" w:hRule="exact"/>
        </w:trPr>
        <w:tc>
          <w:tcPr>
            <w:tcW w:w="22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46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4,268,358,667.93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4,268,263,929.52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w w:val="95"/>
                <w:sz w:val="18"/>
              </w:rPr>
              <w:t>-94,738.41</w:t>
            </w:r>
            <w:r>
              <w:rPr>
                <w:rFonts w:ascii="Times New Roman"/>
                <w:sz w:val="18"/>
              </w:rPr>
            </w:r>
          </w:p>
        </w:tc>
      </w:tr>
      <w:tr>
        <w:trPr>
          <w:trHeight w:val="389" w:hRule="exact"/>
        </w:trPr>
        <w:tc>
          <w:tcPr>
            <w:tcW w:w="22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98"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5,249,015,019.14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5,248,920,280.73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w w:val="95"/>
                <w:sz w:val="18"/>
              </w:rPr>
              <w:t>-94,738.41</w:t>
            </w:r>
            <w:r>
              <w:rPr>
                <w:rFonts w:ascii="Times New Roman"/>
                <w:sz w:val="18"/>
              </w:rPr>
            </w:r>
          </w:p>
        </w:tc>
      </w:tr>
    </w:tbl>
    <w:p>
      <w:pPr>
        <w:pStyle w:val="BodyText"/>
        <w:spacing w:line="240" w:lineRule="auto" w:before="64"/>
        <w:ind w:right="1127"/>
        <w:jc w:val="left"/>
      </w:pPr>
      <w:r>
        <w:rPr/>
        <w:t>调整情况说明</w:t>
      </w:r>
    </w:p>
    <w:p>
      <w:pPr>
        <w:spacing w:line="240" w:lineRule="auto" w:before="12"/>
        <w:rPr>
          <w:rFonts w:ascii="宋体" w:hAnsi="宋体" w:cs="宋体" w:eastAsia="宋体" w:hint="default"/>
          <w:sz w:val="17"/>
          <w:szCs w:val="17"/>
        </w:rPr>
      </w:pPr>
    </w:p>
    <w:p>
      <w:pPr>
        <w:pStyle w:val="BodyText"/>
        <w:spacing w:line="240"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、其他应收款中应收利息为已计提未到期利息，从其他应收款中重分类至货币资金中</w:t>
      </w:r>
      <w:r>
        <w:rPr>
          <w:spacing w:val="24"/>
        </w:rPr>
        <w:t> </w:t>
      </w:r>
      <w:r>
        <w:rPr>
          <w:rFonts w:ascii="Times New Roman" w:hAnsi="Times New Roman" w:cs="Times New Roman" w:eastAsia="Times New Roman" w:hint="default"/>
        </w:rPr>
        <w:t>18,877,254.10</w:t>
      </w:r>
    </w:p>
    <w:p>
      <w:pPr>
        <w:pStyle w:val="BodyText"/>
        <w:spacing w:line="240" w:lineRule="auto" w:before="117"/>
        <w:ind w:left="152" w:right="1127"/>
        <w:jc w:val="left"/>
      </w:pPr>
      <w:r>
        <w:rPr/>
        <w:t>元；</w:t>
      </w:r>
    </w:p>
    <w:p>
      <w:pPr>
        <w:spacing w:line="240" w:lineRule="auto" w:before="1"/>
        <w:rPr>
          <w:rFonts w:ascii="宋体" w:hAnsi="宋体" w:cs="宋体" w:eastAsia="宋体" w:hint="default"/>
          <w:sz w:val="18"/>
          <w:szCs w:val="18"/>
        </w:rPr>
      </w:pPr>
    </w:p>
    <w:p>
      <w:pPr>
        <w:pStyle w:val="BodyText"/>
        <w:spacing w:line="240" w:lineRule="auto"/>
        <w:ind w:left="573" w:right="0"/>
        <w:jc w:val="left"/>
        <w:rPr>
          <w:rFonts w:ascii="Times New Roman" w:hAnsi="Times New Roman" w:cs="Times New Roman" w:eastAsia="Times New Roman" w:hint="default"/>
        </w:rPr>
      </w:pPr>
      <w:r>
        <w:rPr>
          <w:rFonts w:ascii="Times New Roman" w:hAnsi="Times New Roman" w:cs="Times New Roman" w:eastAsia="Times New Roman" w:hint="default"/>
          <w:spacing w:val="-6"/>
        </w:rPr>
        <w:t>2</w:t>
      </w:r>
      <w:r>
        <w:rPr>
          <w:spacing w:val="-6"/>
        </w:rPr>
        <w:t>、按预期信用损失法重新计提坏账，调增期初坏账准备 </w:t>
      </w:r>
      <w:r>
        <w:rPr>
          <w:rFonts w:ascii="Times New Roman" w:hAnsi="Times New Roman" w:cs="Times New Roman" w:eastAsia="Times New Roman" w:hint="default"/>
          <w:spacing w:val="-3"/>
        </w:rPr>
        <w:t>111,456.95 </w:t>
      </w:r>
      <w:r>
        <w:rPr>
          <w:spacing w:val="-6"/>
        </w:rPr>
        <w:t>元，调增递延所得税资产</w:t>
      </w:r>
      <w:r>
        <w:rPr>
          <w:spacing w:val="-44"/>
        </w:rPr>
        <w:t> </w:t>
      </w:r>
      <w:r>
        <w:rPr>
          <w:rFonts w:ascii="Times New Roman" w:hAnsi="Times New Roman" w:cs="Times New Roman" w:eastAsia="Times New Roman" w:hint="default"/>
        </w:rPr>
        <w:t>16,718.54</w:t>
      </w:r>
    </w:p>
    <w:p>
      <w:pPr>
        <w:pStyle w:val="BodyText"/>
        <w:spacing w:line="240" w:lineRule="auto" w:before="115"/>
        <w:ind w:left="153" w:right="1127"/>
        <w:jc w:val="left"/>
      </w:pPr>
      <w:r>
        <w:rPr/>
        <w:t>元；</w:t>
      </w:r>
    </w:p>
    <w:p>
      <w:pPr>
        <w:spacing w:line="240" w:lineRule="auto" w:before="12"/>
        <w:rPr>
          <w:rFonts w:ascii="宋体" w:hAnsi="宋体" w:cs="宋体" w:eastAsia="宋体" w:hint="default"/>
          <w:sz w:val="17"/>
          <w:szCs w:val="17"/>
        </w:rPr>
      </w:pPr>
    </w:p>
    <w:p>
      <w:pPr>
        <w:pStyle w:val="BodyText"/>
        <w:spacing w:line="240" w:lineRule="auto"/>
        <w:ind w:left="573" w:right="1127"/>
        <w:jc w:val="left"/>
      </w:pPr>
      <w:r>
        <w:rPr>
          <w:rFonts w:ascii="Times New Roman" w:hAnsi="Times New Roman" w:cs="Times New Roman" w:eastAsia="Times New Roman" w:hint="default"/>
        </w:rPr>
        <w:t>3</w:t>
      </w:r>
      <w:r>
        <w:rPr/>
        <w:t>、从应收票据重分类至应收款项融资</w:t>
      </w:r>
      <w:r>
        <w:rPr>
          <w:spacing w:val="-55"/>
        </w:rPr>
        <w:t> </w:t>
      </w:r>
      <w:r>
        <w:rPr>
          <w:rFonts w:ascii="Times New Roman" w:hAnsi="Times New Roman" w:cs="Times New Roman" w:eastAsia="Times New Roman" w:hint="default"/>
        </w:rPr>
        <w:t>123,180.00</w:t>
      </w:r>
      <w:r>
        <w:rPr>
          <w:rFonts w:ascii="Times New Roman" w:hAnsi="Times New Roman" w:cs="Times New Roman" w:eastAsia="Times New Roman" w:hint="default"/>
          <w:spacing w:val="-13"/>
        </w:rPr>
        <w:t> </w:t>
      </w:r>
      <w:r>
        <w:rPr>
          <w:spacing w:val="-3"/>
        </w:rPr>
        <w:t>元；</w:t>
      </w:r>
      <w:r>
        <w:rPr/>
      </w:r>
    </w:p>
    <w:p>
      <w:pPr>
        <w:spacing w:line="240" w:lineRule="auto" w:before="11"/>
        <w:rPr>
          <w:rFonts w:ascii="宋体" w:hAnsi="宋体" w:cs="宋体" w:eastAsia="宋体" w:hint="default"/>
          <w:sz w:val="16"/>
          <w:szCs w:val="16"/>
        </w:rPr>
      </w:pPr>
    </w:p>
    <w:p>
      <w:pPr>
        <w:pStyle w:val="BodyText"/>
        <w:spacing w:line="333" w:lineRule="auto"/>
        <w:ind w:left="153" w:right="1127" w:firstLine="420"/>
        <w:jc w:val="left"/>
      </w:pPr>
      <w:r>
        <w:rPr>
          <w:rFonts w:ascii="Times New Roman" w:hAnsi="Times New Roman" w:cs="Times New Roman" w:eastAsia="Times New Roman" w:hint="default"/>
          <w:spacing w:val="-4"/>
        </w:rPr>
        <w:t>4</w:t>
      </w:r>
      <w:r>
        <w:rPr>
          <w:spacing w:val="-4"/>
        </w:rPr>
        <w:t>、本集团指定部分权益投资为</w:t>
      </w:r>
      <w:r>
        <w:rPr>
          <w:rFonts w:ascii="Times New Roman" w:hAnsi="Times New Roman" w:cs="Times New Roman" w:eastAsia="Times New Roman" w:hint="default"/>
          <w:spacing w:val="-4"/>
        </w:rPr>
        <w:t>“</w:t>
      </w:r>
      <w:r>
        <w:rPr>
          <w:spacing w:val="-4"/>
        </w:rPr>
        <w:t>以公允价值计量且变动计入其他综合收益的金融资产</w:t>
      </w:r>
      <w:r>
        <w:rPr>
          <w:rFonts w:ascii="Times New Roman" w:hAnsi="Times New Roman" w:cs="Times New Roman" w:eastAsia="Times New Roman" w:hint="default"/>
          <w:spacing w:val="-4"/>
        </w:rPr>
        <w:t>”</w:t>
      </w:r>
      <w:r>
        <w:rPr>
          <w:spacing w:val="-4"/>
        </w:rPr>
        <w:t>，从其他可供出</w:t>
      </w:r>
      <w:r>
        <w:rPr>
          <w:spacing w:val="-3"/>
          <w:w w:val="100"/>
        </w:rPr>
        <w:t> </w:t>
      </w:r>
      <w:r>
        <w:rPr/>
        <w:t>售金融资产重分类至其他权益工具投资</w:t>
      </w:r>
      <w:r>
        <w:rPr>
          <w:spacing w:val="-55"/>
        </w:rPr>
        <w:t> </w:t>
      </w:r>
      <w:r>
        <w:rPr>
          <w:rFonts w:ascii="Times New Roman" w:hAnsi="Times New Roman" w:cs="Times New Roman" w:eastAsia="Times New Roman" w:hint="default"/>
        </w:rPr>
        <w:t>103,900,000.00</w:t>
      </w:r>
      <w:r>
        <w:rPr>
          <w:rFonts w:ascii="Times New Roman" w:hAnsi="Times New Roman" w:cs="Times New Roman" w:eastAsia="Times New Roman" w:hint="default"/>
          <w:spacing w:val="-12"/>
        </w:rPr>
        <w:t> </w:t>
      </w:r>
      <w:r>
        <w:rPr>
          <w:spacing w:val="-3"/>
        </w:rPr>
        <w:t>元；</w:t>
      </w:r>
      <w:r>
        <w:rPr/>
      </w:r>
    </w:p>
    <w:p>
      <w:pPr>
        <w:pStyle w:val="BodyText"/>
        <w:spacing w:line="333" w:lineRule="auto" w:before="129"/>
        <w:ind w:left="153" w:right="1127" w:firstLine="419"/>
        <w:jc w:val="left"/>
      </w:pPr>
      <w:r>
        <w:rPr>
          <w:rFonts w:ascii="Times New Roman" w:hAnsi="Times New Roman" w:cs="Times New Roman" w:eastAsia="Times New Roman" w:hint="default"/>
          <w:spacing w:val="-2"/>
        </w:rPr>
        <w:t>5</w:t>
      </w:r>
      <w:r>
        <w:rPr>
          <w:spacing w:val="-2"/>
        </w:rPr>
        <w:t>、除指定的权益工具投资外，其余权益金融工具投资分类为</w:t>
      </w:r>
      <w:r>
        <w:rPr>
          <w:rFonts w:ascii="Times New Roman" w:hAnsi="Times New Roman" w:cs="Times New Roman" w:eastAsia="Times New Roman" w:hint="default"/>
          <w:spacing w:val="-2"/>
        </w:rPr>
        <w:t>“</w:t>
      </w:r>
      <w:r>
        <w:rPr>
          <w:spacing w:val="-2"/>
        </w:rPr>
        <w:t>以公允价值计量且变动计入当期损益的</w:t>
      </w:r>
      <w:r>
        <w:rPr>
          <w:spacing w:val="-3"/>
          <w:w w:val="100"/>
        </w:rPr>
        <w:t> </w:t>
      </w:r>
      <w:r>
        <w:rPr/>
        <w:t>金融资产</w:t>
      </w:r>
      <w:r>
        <w:rPr>
          <w:rFonts w:ascii="Times New Roman" w:hAnsi="Times New Roman" w:cs="Times New Roman" w:eastAsia="Times New Roman" w:hint="default"/>
        </w:rPr>
        <w:t>”</w:t>
      </w:r>
      <w:r>
        <w:rPr/>
        <w:t>，从其他可供出售金融资产重分类至其他非流动金融资产</w:t>
      </w:r>
      <w:r>
        <w:rPr>
          <w:spacing w:val="-58"/>
        </w:rPr>
        <w:t> </w:t>
      </w:r>
      <w:r>
        <w:rPr>
          <w:rFonts w:ascii="Times New Roman" w:hAnsi="Times New Roman" w:cs="Times New Roman" w:eastAsia="Times New Roman" w:hint="default"/>
        </w:rPr>
        <w:t>82,000,000.00</w:t>
      </w:r>
      <w:r>
        <w:rPr>
          <w:rFonts w:ascii="Times New Roman" w:hAnsi="Times New Roman" w:cs="Times New Roman" w:eastAsia="Times New Roman" w:hint="default"/>
          <w:spacing w:val="-15"/>
        </w:rPr>
        <w:t> </w:t>
      </w:r>
      <w:r>
        <w:rPr/>
        <w:t>元；</w:t>
      </w:r>
    </w:p>
    <w:p>
      <w:pPr>
        <w:pStyle w:val="BodyText"/>
        <w:spacing w:line="240" w:lineRule="auto" w:before="127"/>
        <w:ind w:left="573" w:right="1127"/>
        <w:jc w:val="left"/>
      </w:pPr>
      <w:r>
        <w:rPr>
          <w:rFonts w:ascii="Times New Roman" w:hAnsi="Times New Roman" w:cs="Times New Roman" w:eastAsia="Times New Roman" w:hint="default"/>
        </w:rPr>
        <w:t>6</w:t>
      </w:r>
      <w:r>
        <w:rPr/>
        <w:t>、其他应付款中的利息重分类至短期借款</w:t>
      </w:r>
      <w:r>
        <w:rPr>
          <w:spacing w:val="-58"/>
        </w:rPr>
        <w:t> </w:t>
      </w:r>
      <w:r>
        <w:rPr>
          <w:rFonts w:ascii="Times New Roman" w:hAnsi="Times New Roman" w:cs="Times New Roman" w:eastAsia="Times New Roman" w:hint="default"/>
        </w:rPr>
        <w:t>206,403.96</w:t>
      </w:r>
      <w:r>
        <w:rPr>
          <w:rFonts w:ascii="Times New Roman" w:hAnsi="Times New Roman" w:cs="Times New Roman" w:eastAsia="Times New Roman" w:hint="default"/>
          <w:spacing w:val="-14"/>
        </w:rPr>
        <w:t> </w:t>
      </w:r>
      <w:r>
        <w:rPr/>
        <w:t>元；</w:t>
      </w:r>
    </w:p>
    <w:p>
      <w:pPr>
        <w:spacing w:line="240" w:lineRule="auto" w:before="11"/>
        <w:rPr>
          <w:rFonts w:ascii="宋体" w:hAnsi="宋体" w:cs="宋体" w:eastAsia="宋体" w:hint="default"/>
          <w:sz w:val="16"/>
          <w:szCs w:val="16"/>
        </w:rPr>
      </w:pPr>
    </w:p>
    <w:p>
      <w:pPr>
        <w:pStyle w:val="BodyText"/>
        <w:spacing w:line="333" w:lineRule="auto"/>
        <w:ind w:left="153" w:right="1130" w:firstLine="420"/>
        <w:jc w:val="left"/>
      </w:pPr>
      <w:r>
        <w:rPr>
          <w:rFonts w:ascii="Times New Roman" w:hAnsi="Times New Roman" w:cs="Times New Roman" w:eastAsia="Times New Roman" w:hint="default"/>
        </w:rPr>
        <w:t>7</w:t>
      </w:r>
      <w:r>
        <w:rPr/>
        <w:t>、原可供出售金融资产计提减值准备 </w:t>
      </w:r>
      <w:r>
        <w:rPr>
          <w:rFonts w:ascii="Times New Roman" w:hAnsi="Times New Roman" w:cs="Times New Roman" w:eastAsia="Times New Roman" w:hint="default"/>
        </w:rPr>
        <w:t>10,000,000.00</w:t>
      </w:r>
      <w:r>
        <w:rPr>
          <w:rFonts w:ascii="Times New Roman" w:hAnsi="Times New Roman" w:cs="Times New Roman" w:eastAsia="Times New Roman" w:hint="default"/>
          <w:spacing w:val="-32"/>
        </w:rPr>
        <w:t> </w:t>
      </w:r>
      <w:r>
        <w:rPr/>
        <w:t>元，因重分类至其他权益工具投资，这部分减值</w:t>
      </w:r>
      <w:r>
        <w:rPr>
          <w:w w:val="100"/>
        </w:rPr>
        <w:t> </w:t>
      </w:r>
      <w:r>
        <w:rPr>
          <w:spacing w:val="-2"/>
        </w:rPr>
        <w:t>作为公允价值变动计入其他综合收益</w:t>
      </w:r>
      <w:r>
        <w:rPr>
          <w:rFonts w:ascii="Times New Roman" w:hAnsi="Times New Roman" w:cs="Times New Roman" w:eastAsia="Times New Roman" w:hint="default"/>
          <w:spacing w:val="-2"/>
        </w:rPr>
        <w:t>-10,000,000.00</w:t>
      </w:r>
      <w:r>
        <w:rPr>
          <w:rFonts w:ascii="Times New Roman" w:hAnsi="Times New Roman" w:cs="Times New Roman" w:eastAsia="Times New Roman" w:hint="default"/>
          <w:spacing w:val="46"/>
        </w:rPr>
        <w:t> </w:t>
      </w:r>
      <w:r>
        <w:rPr/>
        <w:t>元。</w:t>
      </w:r>
    </w:p>
    <w:p>
      <w:pPr>
        <w:spacing w:line="240" w:lineRule="auto" w:before="5"/>
        <w:rPr>
          <w:rFonts w:ascii="宋体" w:hAnsi="宋体" w:cs="宋体" w:eastAsia="宋体" w:hint="default"/>
          <w:sz w:val="25"/>
          <w:szCs w:val="25"/>
        </w:rPr>
      </w:pPr>
    </w:p>
    <w:p>
      <w:pPr>
        <w:pStyle w:val="Heading4"/>
        <w:spacing w:line="240" w:lineRule="auto"/>
        <w:ind w:right="1127"/>
        <w:jc w:val="left"/>
        <w:rPr>
          <w:b w:val="0"/>
          <w:bCs w:val="0"/>
        </w:rPr>
      </w:pPr>
      <w:bookmarkStart w:name="（4）2019年起执行新金融工具准则或新租赁准则追溯调整前期比较数据说明" w:id="341"/>
      <w:bookmarkEnd w:id="341"/>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32"/>
          <w:szCs w:val="32"/>
        </w:rPr>
      </w:pPr>
    </w:p>
    <w:p>
      <w:pPr>
        <w:pStyle w:val="Heading4"/>
        <w:spacing w:line="240" w:lineRule="auto"/>
        <w:ind w:right="1127"/>
        <w:jc w:val="left"/>
        <w:rPr>
          <w:b w:val="0"/>
          <w:bCs w:val="0"/>
        </w:rPr>
      </w:pPr>
      <w:bookmarkStart w:name="45、其他" w:id="342"/>
      <w:bookmarkEnd w:id="342"/>
      <w:r>
        <w:rPr>
          <w:b w:val="0"/>
          <w:bCs w:val="0"/>
        </w:rPr>
      </w:r>
      <w:r>
        <w:rPr>
          <w:rFonts w:ascii="Times New Roman" w:hAnsi="Times New Roman" w:cs="Times New Roman" w:eastAsia="Times New Roman" w:hint="default"/>
        </w:rPr>
        <w:t>45</w:t>
      </w:r>
      <w:r>
        <w:rPr/>
        <w:t>、其他</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left="152" w:right="1127" w:firstLine="420"/>
        <w:jc w:val="left"/>
      </w:pPr>
      <w:r>
        <w:rPr>
          <w:w w:val="100"/>
        </w:rPr>
        <w:t>无</w:t>
      </w:r>
    </w:p>
    <w:p>
      <w:pPr>
        <w:spacing w:line="240" w:lineRule="auto" w:before="0"/>
        <w:rPr>
          <w:rFonts w:ascii="宋体" w:hAnsi="宋体" w:cs="宋体" w:eastAsia="宋体" w:hint="default"/>
          <w:sz w:val="20"/>
          <w:szCs w:val="20"/>
        </w:rPr>
      </w:pPr>
    </w:p>
    <w:p>
      <w:pPr>
        <w:pStyle w:val="Heading2"/>
        <w:spacing w:line="240" w:lineRule="auto" w:before="165"/>
        <w:ind w:right="1127"/>
        <w:jc w:val="left"/>
        <w:rPr>
          <w:b w:val="0"/>
          <w:bCs w:val="0"/>
        </w:rPr>
      </w:pPr>
      <w:bookmarkStart w:name="六、税项" w:id="343"/>
      <w:bookmarkEnd w:id="343"/>
      <w:r>
        <w:rPr>
          <w:b w:val="0"/>
          <w:bCs w:val="0"/>
        </w:rPr>
      </w:r>
      <w:r>
        <w:rPr/>
        <w:t>六、税项</w:t>
      </w:r>
      <w:r>
        <w:rPr>
          <w:b w:val="0"/>
          <w:bCs w:val="0"/>
        </w:rPr>
      </w:r>
    </w:p>
    <w:p>
      <w:pPr>
        <w:spacing w:line="240" w:lineRule="auto" w:before="6"/>
        <w:rPr>
          <w:rFonts w:ascii="宋体" w:hAnsi="宋体" w:cs="宋体" w:eastAsia="宋体" w:hint="default"/>
          <w:b/>
          <w:bCs/>
          <w:sz w:val="23"/>
          <w:szCs w:val="23"/>
        </w:rPr>
      </w:pPr>
    </w:p>
    <w:p>
      <w:pPr>
        <w:pStyle w:val="Heading4"/>
        <w:spacing w:line="240" w:lineRule="auto"/>
        <w:ind w:right="1127"/>
        <w:jc w:val="left"/>
        <w:rPr>
          <w:b w:val="0"/>
          <w:bCs w:val="0"/>
        </w:rPr>
      </w:pPr>
      <w:bookmarkStart w:name="1、主要税种及税率" w:id="344"/>
      <w:bookmarkEnd w:id="34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spacing w:before="0"/>
        <w:ind w:left="0" w:right="1140" w:firstLine="0"/>
        <w:jc w:val="right"/>
        <w:rPr>
          <w:rFonts w:ascii="宋体" w:hAnsi="宋体" w:cs="宋体" w:eastAsia="宋体" w:hint="default"/>
          <w:sz w:val="18"/>
          <w:szCs w:val="18"/>
        </w:rPr>
      </w:pPr>
      <w:r>
        <w:rPr/>
        <w:pict>
          <v:shape style="position:absolute;margin-left:56.400002pt;margin-top:-34.249279pt;width:479.2pt;height:93.65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190"/>
                    <w:gridCol w:w="3190"/>
                  </w:tblGrid>
                  <w:tr>
                    <w:trPr>
                      <w:trHeight w:val="386"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55" w:hRule="exact"/>
                    </w:trPr>
                    <w:tc>
                      <w:tcPr>
                        <w:tcW w:w="3190" w:type="dxa"/>
                        <w:tcBorders>
                          <w:top w:val="single" w:sz="4" w:space="0" w:color="000000"/>
                          <w:left w:val="single" w:sz="4" w:space="0" w:color="000000"/>
                          <w:bottom w:val="nil" w:sz="6" w:space="0" w:color="auto"/>
                          <w:right w:val="single" w:sz="4" w:space="0" w:color="000000"/>
                        </w:tcBorders>
                        <w:shd w:val="clear" w:color="auto" w:fill="D4D4D4"/>
                      </w:tcPr>
                      <w:p>
                        <w:pPr/>
                      </w:p>
                    </w:tc>
                    <w:tc>
                      <w:tcPr>
                        <w:tcW w:w="3190" w:type="dxa"/>
                        <w:vMerge w:val="restart"/>
                        <w:tcBorders>
                          <w:top w:val="single" w:sz="4" w:space="0" w:color="000000"/>
                          <w:left w:val="single" w:sz="9" w:space="0" w:color="D4D4D4"/>
                          <w:right w:val="single" w:sz="4" w:space="0" w:color="000000"/>
                        </w:tcBorders>
                      </w:tcPr>
                      <w:p>
                        <w:pPr>
                          <w:pStyle w:val="TableParagraph"/>
                          <w:spacing w:line="237" w:lineRule="auto" w:before="44"/>
                          <w:ind w:left="53" w:right="59"/>
                          <w:jc w:val="center"/>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8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17%</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16%</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13%</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10%</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9%</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6%</w:t>
                        </w:r>
                        <w:r>
                          <w:rPr>
                            <w:rFonts w:ascii="Times New Roman" w:hAnsi="Times New Roman" w:cs="Times New Roman" w:eastAsia="Times New Roman" w:hint="default"/>
                            <w:sz w:val="18"/>
                            <w:szCs w:val="18"/>
                          </w:rPr>
                        </w:r>
                      </w:p>
                      <w:p>
                        <w:pPr>
                          <w:pStyle w:val="TableParagraph"/>
                          <w:spacing w:line="240" w:lineRule="auto" w:before="9"/>
                          <w:ind w:left="4" w:right="0"/>
                          <w:jc w:val="center"/>
                          <w:rPr>
                            <w:rFonts w:ascii="Times New Roman" w:hAnsi="Times New Roman" w:cs="Times New Roman" w:eastAsia="Times New Roman" w:hint="default"/>
                            <w:sz w:val="18"/>
                            <w:szCs w:val="18"/>
                          </w:rPr>
                        </w:pPr>
                        <w:r>
                          <w:rPr>
                            <w:rFonts w:ascii="Times New Roman"/>
                            <w:sz w:val="18"/>
                          </w:rPr>
                          <w:t>3%</w:t>
                        </w:r>
                      </w:p>
                    </w:tc>
                  </w:tr>
                  <w:tr>
                    <w:trPr>
                      <w:trHeight w:val="377" w:hRule="exact"/>
                    </w:trPr>
                    <w:tc>
                      <w:tcPr>
                        <w:tcW w:w="31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4D4D4"/>
                          <w:right w:val="single" w:sz="4" w:space="0" w:color="000000"/>
                        </w:tcBorders>
                      </w:tcPr>
                      <w:p>
                        <w:pPr/>
                      </w:p>
                    </w:tc>
                    <w:tc>
                      <w:tcPr>
                        <w:tcW w:w="3190" w:type="dxa"/>
                        <w:vMerge/>
                        <w:tcBorders>
                          <w:left w:val="single" w:sz="4" w:space="0" w:color="000000"/>
                          <w:right w:val="single" w:sz="4" w:space="0" w:color="000000"/>
                        </w:tcBorders>
                      </w:tcPr>
                      <w:p>
                        <w:pPr/>
                      </w:p>
                    </w:tc>
                  </w:tr>
                  <w:tr>
                    <w:trPr>
                      <w:trHeight w:val="355" w:hRule="exact"/>
                    </w:trPr>
                    <w:tc>
                      <w:tcPr>
                        <w:tcW w:w="3190"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0" w:type="dxa"/>
                        <w:vMerge/>
                        <w:tcBorders>
                          <w:left w:val="single" w:sz="9" w:space="0" w:color="D4D4D4"/>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389"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footerReference w:type="default" r:id="rId69"/>
          <w:pgSz w:w="11910" w:h="16840"/>
          <w:pgMar w:footer="1134" w:header="882" w:top="1280" w:bottom="1320" w:left="980" w:right="0"/>
          <w:pgNumType w:start="181"/>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386"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38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 w:right="0"/>
              <w:jc w:val="center"/>
              <w:rPr>
                <w:rFonts w:ascii="Times New Roman" w:hAnsi="Times New Roman" w:cs="Times New Roman" w:eastAsia="Times New Roman" w:hint="default"/>
                <w:sz w:val="18"/>
                <w:szCs w:val="18"/>
              </w:rPr>
            </w:pPr>
            <w:r>
              <w:rPr>
                <w:rFonts w:ascii="Times New Roman"/>
                <w:sz w:val="18"/>
              </w:rPr>
              <w:t>3%</w:t>
            </w:r>
          </w:p>
        </w:tc>
      </w:tr>
      <w:tr>
        <w:trPr>
          <w:trHeight w:val="38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 w:right="0"/>
              <w:jc w:val="center"/>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64"/>
        <w:ind w:right="1127"/>
        <w:jc w:val="left"/>
      </w:pPr>
      <w:r>
        <w:rPr/>
        <w:t>存在不同企业所得税税率纳税主体的，披露情况说明</w:t>
      </w:r>
    </w:p>
    <w:p>
      <w:pPr>
        <w:spacing w:line="240" w:lineRule="auto" w:before="9"/>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386"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北京旋极信息技术股份有限公司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center"/>
              <w:rPr>
                <w:rFonts w:ascii="Times New Roman" w:hAnsi="Times New Roman" w:cs="Times New Roman" w:eastAsia="Times New Roman" w:hint="default"/>
                <w:sz w:val="18"/>
                <w:szCs w:val="18"/>
              </w:rPr>
            </w:pPr>
            <w:r>
              <w:rPr>
                <w:rFonts w:ascii="Times New Roman"/>
                <w:sz w:val="18"/>
              </w:rPr>
              <w:t>15.00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北京云网信服信息技术有限公司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center"/>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航泰恒通（北京）科技有限公司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center"/>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成都旋极历通信息技术有限公司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 w:right="0"/>
              <w:jc w:val="center"/>
              <w:rPr>
                <w:rFonts w:ascii="Times New Roman" w:hAnsi="Times New Roman" w:cs="Times New Roman" w:eastAsia="Times New Roman" w:hint="default"/>
                <w:sz w:val="18"/>
                <w:szCs w:val="18"/>
              </w:rPr>
            </w:pPr>
            <w:r>
              <w:rPr>
                <w:rFonts w:ascii="Times New Roman"/>
                <w:sz w:val="18"/>
              </w:rPr>
              <w:t>15.00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成都智奇信息技术有限公司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center"/>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西安西谷微电子有限责任公司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 w:right="0"/>
              <w:jc w:val="center"/>
              <w:rPr>
                <w:rFonts w:ascii="Times New Roman" w:hAnsi="Times New Roman" w:cs="Times New Roman" w:eastAsia="Times New Roman" w:hint="default"/>
                <w:sz w:val="18"/>
                <w:szCs w:val="18"/>
              </w:rPr>
            </w:pPr>
            <w:r>
              <w:rPr>
                <w:rFonts w:ascii="Times New Roman"/>
                <w:sz w:val="18"/>
              </w:rPr>
              <w:t>15.00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西安旋极精密设备有限公司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center"/>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西安西谷投资有限公司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center"/>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西安融军通用标准化研究院有限责任公司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center"/>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西安西谷芯创电子技术有限公司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center"/>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成都西谷蓉新检测技术有限责任公司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 w:right="0"/>
              <w:jc w:val="center"/>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北京中软金卡信息技术有限公司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center"/>
              <w:rPr>
                <w:rFonts w:ascii="Times New Roman" w:hAnsi="Times New Roman" w:cs="Times New Roman" w:eastAsia="Times New Roman" w:hint="default"/>
                <w:sz w:val="18"/>
                <w:szCs w:val="18"/>
              </w:rPr>
            </w:pPr>
            <w:r>
              <w:rPr>
                <w:rFonts w:ascii="Times New Roman"/>
                <w:sz w:val="18"/>
              </w:rPr>
              <w:t>15.00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深圳旋极历通科技有限公司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 w:right="0"/>
              <w:jc w:val="center"/>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旋极国际（香港）有限公司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center"/>
              <w:rPr>
                <w:rFonts w:ascii="Times New Roman" w:hAnsi="Times New Roman" w:cs="Times New Roman" w:eastAsia="Times New Roman" w:hint="default"/>
                <w:sz w:val="18"/>
                <w:szCs w:val="18"/>
              </w:rPr>
            </w:pPr>
            <w:r>
              <w:rPr>
                <w:rFonts w:ascii="Times New Roman"/>
                <w:sz w:val="18"/>
              </w:rPr>
              <w:t>16.50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上海旋极信息技术有限公司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 w:right="0"/>
              <w:jc w:val="center"/>
              <w:rPr>
                <w:rFonts w:ascii="Times New Roman" w:hAnsi="Times New Roman" w:cs="Times New Roman" w:eastAsia="Times New Roman" w:hint="default"/>
                <w:sz w:val="18"/>
                <w:szCs w:val="18"/>
              </w:rPr>
            </w:pPr>
            <w:r>
              <w:rPr>
                <w:rFonts w:ascii="Times New Roman"/>
                <w:sz w:val="18"/>
              </w:rPr>
              <w:t>15.00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郑州众合景轩信息技术有限公司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center"/>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北京伏羲众合投资管理有限公司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center"/>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北京旋极百旺软件技术有限公司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center"/>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厦门百旺金赋信息科技有限公司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center"/>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厦门同舟共创科技有限公司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 w:right="0"/>
              <w:jc w:val="center"/>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吉林省百旺金赋科技有限公司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center"/>
              <w:rPr>
                <w:rFonts w:ascii="Times New Roman" w:hAnsi="Times New Roman" w:cs="Times New Roman" w:eastAsia="Times New Roman" w:hint="default"/>
                <w:sz w:val="18"/>
                <w:szCs w:val="18"/>
              </w:rPr>
            </w:pPr>
            <w:r>
              <w:rPr>
                <w:rFonts w:ascii="Times New Roman"/>
                <w:sz w:val="18"/>
              </w:rPr>
              <w:t>15.00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宁波旋极财税科技有限公司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 w:right="0"/>
              <w:jc w:val="center"/>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海口百旺金赋信息科技有限公司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center"/>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江西旋极共创科技有限公司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center"/>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山西百旺金赋科技有限公司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center"/>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天津百旺金赋科技有限公司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center"/>
              <w:rPr>
                <w:rFonts w:ascii="Times New Roman" w:hAnsi="Times New Roman" w:cs="Times New Roman" w:eastAsia="Times New Roman" w:hint="default"/>
                <w:sz w:val="18"/>
                <w:szCs w:val="18"/>
              </w:rPr>
            </w:pPr>
            <w:r>
              <w:rPr>
                <w:rFonts w:ascii="Times New Roman"/>
                <w:sz w:val="18"/>
              </w:rPr>
              <w:t>15.00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内蒙古百旺金赋信息技术有限公司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 w:right="0"/>
              <w:jc w:val="center"/>
              <w:rPr>
                <w:rFonts w:ascii="Times New Roman" w:hAnsi="Times New Roman" w:cs="Times New Roman" w:eastAsia="Times New Roman" w:hint="default"/>
                <w:sz w:val="18"/>
                <w:szCs w:val="18"/>
              </w:rPr>
            </w:pPr>
            <w:r>
              <w:rPr>
                <w:rFonts w:ascii="Times New Roman"/>
                <w:sz w:val="18"/>
              </w:rPr>
              <w:t>15.00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北京旋极百旺信息技术有限公司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center"/>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杭州百旺金赋科技有限公司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 w:right="0"/>
              <w:jc w:val="center"/>
              <w:rPr>
                <w:rFonts w:ascii="Times New Roman" w:hAnsi="Times New Roman" w:cs="Times New Roman" w:eastAsia="Times New Roman" w:hint="default"/>
                <w:sz w:val="18"/>
                <w:szCs w:val="18"/>
              </w:rPr>
            </w:pPr>
            <w:r>
              <w:rPr>
                <w:rFonts w:ascii="Times New Roman"/>
                <w:sz w:val="18"/>
              </w:rPr>
              <w:t>15.00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宁波百旺金赋信息科技有限公司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center"/>
              <w:rPr>
                <w:rFonts w:ascii="Times New Roman" w:hAnsi="Times New Roman" w:cs="Times New Roman" w:eastAsia="Times New Roman" w:hint="default"/>
                <w:sz w:val="18"/>
                <w:szCs w:val="18"/>
              </w:rPr>
            </w:pPr>
            <w:r>
              <w:rPr>
                <w:rFonts w:ascii="Times New Roman"/>
                <w:sz w:val="18"/>
              </w:rPr>
              <w:t>20.00</w:t>
            </w:r>
          </w:p>
        </w:tc>
      </w:tr>
    </w:tbl>
    <w:p>
      <w:pPr>
        <w:spacing w:after="0" w:line="240" w:lineRule="auto"/>
        <w:jc w:val="center"/>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宁波百旺九赋信息科技有限公司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余姚百旺金赋信息科技有限公司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宁波小望财税科技有限公司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宁海小望科技有限公司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象山小望科技有限公司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宁波海曙小望科技有限公司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慈溪小望财税科技有限公司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余姚小望科技有限公司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乌海市百旺金赋信息技术有限公司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锡林郭勒盟百旺金赋信息技术有限公司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通辽市百旺金赋信息技术有限公司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呼伦贝尔市百旺金赋信息技术有限公司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鄂尔多斯市百旺金赋信息技术有限公司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巴彦淖尔市百旺金赋信息技术有限公司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乌兰察布市百旺金赋信息技术有限公司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兴安盟百旺金赋信息技术有限公司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赤峰市百旺金赋信息技术有限公司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包头市百旺金赋信息技术有限公司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北京百旺金赋科技有限公司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186" w:right="0"/>
              <w:jc w:val="left"/>
              <w:rPr>
                <w:rFonts w:ascii="Times New Roman" w:hAnsi="Times New Roman" w:cs="Times New Roman" w:eastAsia="Times New Roman" w:hint="default"/>
                <w:sz w:val="18"/>
                <w:szCs w:val="18"/>
              </w:rPr>
            </w:pPr>
            <w:r>
              <w:rPr>
                <w:rFonts w:ascii="Times New Roman"/>
                <w:sz w:val="18"/>
              </w:rPr>
              <w:t>15.00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北京百旺金赋</w:t>
            </w:r>
            <w:r>
              <w:rPr>
                <w:rFonts w:ascii="Times New Roman" w:hAnsi="Times New Roman" w:cs="Times New Roman" w:eastAsia="Times New Roman" w:hint="default"/>
                <w:sz w:val="18"/>
                <w:szCs w:val="18"/>
              </w:rPr>
              <w:t>-</w:t>
            </w:r>
            <w:r>
              <w:rPr>
                <w:rFonts w:ascii="宋体" w:hAnsi="宋体" w:cs="宋体" w:eastAsia="宋体" w:hint="default"/>
                <w:sz w:val="18"/>
                <w:szCs w:val="18"/>
              </w:rPr>
              <w:t>西藏分公司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北京百旺中兴通科技有限公司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北京百旺立方科技有限责任公司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北京百旺金赋西部科技服务有限公司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北京百旺中联科技有限公司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北京悦财亿华科技有限公司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北京百旺众联科技有限公司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北京合信财学科技有限公司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宁夏百旺金赋科技有限公司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15.00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上海信业智能科技股份有限公司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186" w:right="0"/>
              <w:jc w:val="left"/>
              <w:rPr>
                <w:rFonts w:ascii="Times New Roman" w:hAnsi="Times New Roman" w:cs="Times New Roman" w:eastAsia="Times New Roman" w:hint="default"/>
                <w:sz w:val="18"/>
                <w:szCs w:val="18"/>
              </w:rPr>
            </w:pPr>
            <w:r>
              <w:rPr>
                <w:rFonts w:ascii="Times New Roman"/>
                <w:sz w:val="18"/>
              </w:rPr>
              <w:t>15.00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北京泰豪新能源科技有限公司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15.00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江西汇水科技有限公司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北京国信恒达智慧城市科技发展有限公司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江西泰恒智城信息技术有限公司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15.00</w:t>
            </w:r>
          </w:p>
        </w:tc>
      </w:tr>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北京泰豪智能科技有限公司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186" w:right="0"/>
              <w:jc w:val="left"/>
              <w:rPr>
                <w:rFonts w:ascii="Times New Roman" w:hAnsi="Times New Roman" w:cs="Times New Roman" w:eastAsia="Times New Roman" w:hint="default"/>
                <w:sz w:val="18"/>
                <w:szCs w:val="18"/>
              </w:rPr>
            </w:pPr>
            <w:r>
              <w:rPr>
                <w:rFonts w:ascii="Times New Roman"/>
                <w:sz w:val="18"/>
              </w:rPr>
              <w:t>15.00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福建百旺金赋信息科技有限公司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12.50</w:t>
            </w:r>
          </w:p>
        </w:tc>
      </w:tr>
    </w:tbl>
    <w:p>
      <w:pPr>
        <w:spacing w:after="0" w:line="240" w:lineRule="auto"/>
        <w:jc w:val="lef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3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江西百旺金赋科技有限公司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31" w:right="0"/>
              <w:jc w:val="left"/>
              <w:rPr>
                <w:rFonts w:ascii="Times New Roman" w:hAnsi="Times New Roman" w:cs="Times New Roman" w:eastAsia="Times New Roman" w:hint="default"/>
                <w:sz w:val="18"/>
                <w:szCs w:val="18"/>
              </w:rPr>
            </w:pPr>
            <w:r>
              <w:rPr>
                <w:rFonts w:ascii="Times New Roman"/>
                <w:sz w:val="18"/>
              </w:rPr>
              <w:t>0.00</w:t>
            </w:r>
          </w:p>
        </w:tc>
      </w:tr>
      <w:tr>
        <w:trPr>
          <w:trHeight w:val="38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86" w:right="0"/>
              <w:jc w:val="left"/>
              <w:rPr>
                <w:rFonts w:ascii="Times New Roman" w:hAnsi="Times New Roman" w:cs="Times New Roman" w:eastAsia="Times New Roman" w:hint="default"/>
                <w:sz w:val="18"/>
                <w:szCs w:val="18"/>
              </w:rPr>
            </w:pPr>
            <w:r>
              <w:rPr>
                <w:rFonts w:ascii="Times New Roman"/>
                <w:sz w:val="18"/>
              </w:rPr>
              <w:t>25.00</w:t>
            </w:r>
          </w:p>
        </w:tc>
      </w:tr>
    </w:tbl>
    <w:p>
      <w:pPr>
        <w:spacing w:line="240" w:lineRule="auto" w:before="11"/>
        <w:rPr>
          <w:rFonts w:ascii="Times New Roman" w:hAnsi="Times New Roman" w:cs="Times New Roman" w:eastAsia="Times New Roman" w:hint="default"/>
          <w:sz w:val="19"/>
          <w:szCs w:val="19"/>
        </w:rPr>
      </w:pPr>
    </w:p>
    <w:p>
      <w:pPr>
        <w:pStyle w:val="Heading4"/>
        <w:spacing w:line="240" w:lineRule="auto" w:before="36"/>
        <w:ind w:right="1127"/>
        <w:jc w:val="left"/>
        <w:rPr>
          <w:b w:val="0"/>
          <w:bCs w:val="0"/>
        </w:rPr>
      </w:pPr>
      <w:bookmarkStart w:name="2、税收优惠" w:id="345"/>
      <w:bookmarkEnd w:id="34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left"/>
      </w:pPr>
      <w:r>
        <w:rPr>
          <w:spacing w:val="-12"/>
        </w:rPr>
        <w:t>（</w:t>
      </w:r>
      <w:r>
        <w:rPr>
          <w:rFonts w:ascii="Times New Roman" w:hAnsi="Times New Roman" w:cs="Times New Roman" w:eastAsia="Times New Roman" w:hint="default"/>
          <w:spacing w:val="-12"/>
        </w:rPr>
        <w:t>1</w:t>
      </w:r>
      <w:r>
        <w:rPr>
          <w:spacing w:val="-12"/>
        </w:rPr>
        <w:t>）本公司于</w:t>
      </w:r>
      <w:r>
        <w:rPr>
          <w:spacing w:val="-3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39"/>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spacing w:val="-6"/>
        </w:rPr>
        <w:t>日时取得高新技术企业证书</w:t>
      </w:r>
      <w:r>
        <w:rPr>
          <w:rFonts w:ascii="Times New Roman" w:hAnsi="Times New Roman" w:cs="Times New Roman" w:eastAsia="Times New Roman" w:hint="default"/>
          <w:spacing w:val="-6"/>
        </w:rPr>
        <w:t>,</w:t>
      </w:r>
      <w:r>
        <w:rPr>
          <w:spacing w:val="-6"/>
        </w:rPr>
        <w:t>有效期三年，证书编号：</w:t>
      </w:r>
      <w:r>
        <w:rPr>
          <w:rFonts w:ascii="Times New Roman" w:hAnsi="Times New Roman" w:cs="Times New Roman" w:eastAsia="Times New Roman" w:hint="default"/>
          <w:spacing w:val="-6"/>
        </w:rPr>
        <w:t>GR201711002712</w:t>
      </w:r>
      <w:r>
        <w:rPr>
          <w:spacing w:val="-6"/>
        </w:rPr>
        <w:t>；</w:t>
      </w:r>
    </w:p>
    <w:p>
      <w:pPr>
        <w:spacing w:line="240" w:lineRule="auto" w:before="11"/>
        <w:rPr>
          <w:rFonts w:ascii="宋体" w:hAnsi="宋体" w:cs="宋体" w:eastAsia="宋体" w:hint="default"/>
          <w:sz w:val="16"/>
          <w:szCs w:val="16"/>
        </w:rPr>
      </w:pPr>
    </w:p>
    <w:p>
      <w:pPr>
        <w:pStyle w:val="BodyText"/>
        <w:spacing w:line="333" w:lineRule="auto"/>
        <w:ind w:left="153" w:right="1127" w:firstLine="419"/>
        <w:jc w:val="left"/>
      </w:pPr>
      <w:r>
        <w:rPr/>
        <w:t>成都旋极历通信息技术有限公司于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4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7"/>
        </w:rPr>
        <w:t> </w:t>
      </w:r>
      <w:r>
        <w:rPr>
          <w:spacing w:val="-6"/>
        </w:rPr>
        <w:t>日重新取得高新技术企业证书，有效期三年，证书</w:t>
      </w:r>
      <w:r>
        <w:rPr>
          <w:w w:val="100"/>
        </w:rPr>
        <w:t> </w:t>
      </w:r>
      <w:r>
        <w:rPr/>
        <w:t>编号</w:t>
      </w:r>
      <w:r>
        <w:rPr>
          <w:rFonts w:ascii="Times New Roman" w:hAnsi="Times New Roman" w:cs="Times New Roman" w:eastAsia="Times New Roman" w:hint="default"/>
        </w:rPr>
        <w:t>:GR201751000264</w:t>
      </w:r>
      <w:r>
        <w:rPr/>
        <w:t>；</w:t>
      </w:r>
    </w:p>
    <w:p>
      <w:pPr>
        <w:pStyle w:val="BodyText"/>
        <w:spacing w:line="240" w:lineRule="auto" w:before="129"/>
        <w:ind w:left="573" w:right="0"/>
        <w:jc w:val="left"/>
      </w:pPr>
      <w:r>
        <w:rPr/>
        <w:t>西安西谷微电子有限责任公司于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13"/>
        </w:rPr>
        <w:t> </w:t>
      </w:r>
      <w:r>
        <w:rPr/>
        <w:t>日取得高新技术企业证书，有效期三年，证书编号：</w:t>
      </w:r>
    </w:p>
    <w:p>
      <w:pPr>
        <w:pStyle w:val="BodyText"/>
        <w:spacing w:line="240" w:lineRule="auto" w:before="115"/>
        <w:ind w:left="153" w:right="1127"/>
        <w:jc w:val="left"/>
      </w:pPr>
      <w:r>
        <w:rPr>
          <w:rFonts w:ascii="Times New Roman" w:hAnsi="Times New Roman" w:cs="Times New Roman" w:eastAsia="Times New Roman" w:hint="default"/>
        </w:rPr>
        <w:t>GR201761000097</w:t>
      </w:r>
      <w:r>
        <w:rPr/>
        <w:t>；</w:t>
      </w:r>
    </w:p>
    <w:p>
      <w:pPr>
        <w:spacing w:line="240" w:lineRule="auto" w:before="11"/>
        <w:rPr>
          <w:rFonts w:ascii="宋体" w:hAnsi="宋体" w:cs="宋体" w:eastAsia="宋体" w:hint="default"/>
          <w:sz w:val="16"/>
          <w:szCs w:val="16"/>
        </w:rPr>
      </w:pPr>
    </w:p>
    <w:p>
      <w:pPr>
        <w:pStyle w:val="BodyText"/>
        <w:spacing w:line="240" w:lineRule="auto"/>
        <w:ind w:left="573" w:right="0"/>
        <w:jc w:val="left"/>
      </w:pPr>
      <w:r>
        <w:rPr/>
        <w:t>北京中软金卡信息技术有限公司于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spacing w:val="-6"/>
        </w:rPr>
        <w:t>日取得高新技术企业证书，有效期三年，证书编号：</w:t>
      </w:r>
    </w:p>
    <w:p>
      <w:pPr>
        <w:pStyle w:val="BodyText"/>
        <w:spacing w:line="240" w:lineRule="auto" w:before="115"/>
        <w:ind w:left="153" w:right="1127"/>
        <w:jc w:val="left"/>
      </w:pPr>
      <w:r>
        <w:rPr>
          <w:rFonts w:ascii="Times New Roman" w:hAnsi="Times New Roman" w:cs="Times New Roman" w:eastAsia="Times New Roman" w:hint="default"/>
        </w:rPr>
        <w:t>GR201711007346</w:t>
      </w:r>
      <w:r>
        <w:rPr/>
        <w:t>；</w:t>
      </w:r>
    </w:p>
    <w:p>
      <w:pPr>
        <w:spacing w:line="240" w:lineRule="auto" w:before="11"/>
        <w:rPr>
          <w:rFonts w:ascii="宋体" w:hAnsi="宋体" w:cs="宋体" w:eastAsia="宋体" w:hint="default"/>
          <w:sz w:val="16"/>
          <w:szCs w:val="16"/>
        </w:rPr>
      </w:pPr>
    </w:p>
    <w:p>
      <w:pPr>
        <w:pStyle w:val="BodyText"/>
        <w:spacing w:line="333" w:lineRule="auto"/>
        <w:ind w:left="153" w:right="1127" w:firstLine="420"/>
        <w:jc w:val="left"/>
      </w:pPr>
      <w:r>
        <w:rPr>
          <w:spacing w:val="3"/>
        </w:rPr>
        <w:t>上海旋极信息技术有限公司于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spacing w:val="3"/>
        </w:rPr>
        <w:t>日取得高新技术企业证书，有效期三年，证书编</w:t>
      </w:r>
      <w:r>
        <w:rPr>
          <w:w w:val="100"/>
        </w:rPr>
        <w:t> </w:t>
      </w:r>
      <w:r>
        <w:rPr/>
        <w:t>号</w:t>
      </w:r>
      <w:r>
        <w:rPr>
          <w:rFonts w:ascii="Times New Roman" w:hAnsi="Times New Roman" w:cs="Times New Roman" w:eastAsia="Times New Roman" w:hint="default"/>
        </w:rPr>
        <w:t>:GR201831003276</w:t>
      </w:r>
      <w:r>
        <w:rPr/>
        <w:t>；</w:t>
      </w:r>
    </w:p>
    <w:p>
      <w:pPr>
        <w:pStyle w:val="BodyText"/>
        <w:spacing w:line="240" w:lineRule="auto" w:before="129"/>
        <w:ind w:left="573" w:right="0"/>
        <w:jc w:val="left"/>
      </w:pPr>
      <w:r>
        <w:rPr/>
        <w:t>北京旋极百旺科技有限公司</w:t>
      </w:r>
      <w:r>
        <w:rPr>
          <w:spacing w:val="-29"/>
        </w:rPr>
        <w:t> </w:t>
      </w:r>
      <w:r>
        <w:rPr>
          <w:rFonts w:ascii="Times New Roman" w:hAnsi="Times New Roman" w:cs="Times New Roman" w:eastAsia="Times New Roman" w:hint="default"/>
        </w:rPr>
        <w:t>2019 </w:t>
      </w:r>
      <w:r>
        <w:rPr/>
        <w:t>年</w:t>
      </w:r>
      <w:r>
        <w:rPr>
          <w:spacing w:val="-29"/>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31"/>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日取得高新技术企业证书，有效期：三年，证书编号为</w:t>
      </w:r>
    </w:p>
    <w:p>
      <w:pPr>
        <w:pStyle w:val="BodyText"/>
        <w:spacing w:line="240" w:lineRule="auto" w:before="115"/>
        <w:ind w:left="153" w:right="1127"/>
        <w:jc w:val="left"/>
      </w:pPr>
      <w:r>
        <w:rPr>
          <w:rFonts w:ascii="Times New Roman" w:hAnsi="Times New Roman" w:cs="Times New Roman" w:eastAsia="Times New Roman" w:hint="default"/>
        </w:rPr>
        <w:t>GR201911002657</w:t>
      </w:r>
      <w:r>
        <w:rPr/>
        <w:t>；</w:t>
      </w:r>
    </w:p>
    <w:p>
      <w:pPr>
        <w:spacing w:line="240" w:lineRule="auto" w:before="11"/>
        <w:rPr>
          <w:rFonts w:ascii="宋体" w:hAnsi="宋体" w:cs="宋体" w:eastAsia="宋体" w:hint="default"/>
          <w:sz w:val="16"/>
          <w:szCs w:val="16"/>
        </w:rPr>
      </w:pPr>
    </w:p>
    <w:p>
      <w:pPr>
        <w:pStyle w:val="BodyText"/>
        <w:spacing w:line="240" w:lineRule="auto"/>
        <w:ind w:left="573" w:right="0"/>
        <w:jc w:val="left"/>
      </w:pPr>
      <w:r>
        <w:rPr>
          <w:w w:val="100"/>
        </w:rPr>
        <w:t>吉林</w:t>
      </w:r>
      <w:r>
        <w:rPr>
          <w:spacing w:val="-3"/>
          <w:w w:val="100"/>
        </w:rPr>
        <w:t>省</w:t>
      </w:r>
      <w:r>
        <w:rPr>
          <w:w w:val="100"/>
        </w:rPr>
        <w:t>百</w:t>
      </w:r>
      <w:r>
        <w:rPr>
          <w:spacing w:val="-3"/>
          <w:w w:val="100"/>
        </w:rPr>
        <w:t>旺</w:t>
      </w:r>
      <w:r>
        <w:rPr>
          <w:w w:val="100"/>
        </w:rPr>
        <w:t>金</w:t>
      </w:r>
      <w:r>
        <w:rPr>
          <w:spacing w:val="-3"/>
          <w:w w:val="100"/>
        </w:rPr>
        <w:t>赋</w:t>
      </w:r>
      <w:r>
        <w:rPr>
          <w:w w:val="100"/>
        </w:rPr>
        <w:t>科</w:t>
      </w:r>
      <w:r>
        <w:rPr>
          <w:spacing w:val="-3"/>
          <w:w w:val="100"/>
        </w:rPr>
        <w:t>技</w:t>
      </w:r>
      <w:r>
        <w:rPr>
          <w:w w:val="100"/>
        </w:rPr>
        <w:t>有</w:t>
      </w:r>
      <w:r>
        <w:rPr>
          <w:spacing w:val="-3"/>
          <w:w w:val="100"/>
        </w:rPr>
        <w:t>限</w:t>
      </w:r>
      <w:r>
        <w:rPr>
          <w:w w:val="100"/>
        </w:rPr>
        <w:t>公</w:t>
      </w:r>
      <w:r>
        <w:rPr>
          <w:spacing w:val="-3"/>
          <w:w w:val="100"/>
        </w:rPr>
        <w:t>司</w:t>
      </w:r>
      <w:r>
        <w:rPr>
          <w:w w:val="100"/>
        </w:rPr>
        <w:t>于</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spacing w:val="-12"/>
        </w:rPr>
        <w:t> </w:t>
      </w:r>
      <w:r>
        <w:rPr>
          <w:w w:val="100"/>
        </w:rPr>
        <w:t>年</w:t>
      </w:r>
      <w:r>
        <w:rPr>
          <w:spacing w:val="-53"/>
        </w:rPr>
        <w:t> </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10"/>
        </w:rPr>
        <w:t> </w:t>
      </w:r>
      <w:r>
        <w:rPr>
          <w:w w:val="100"/>
        </w:rPr>
        <w:t>月</w:t>
      </w:r>
      <w:r>
        <w:rPr>
          <w:spacing w:val="-55"/>
        </w:rPr>
        <w:t> </w:t>
      </w:r>
      <w:r>
        <w:rPr>
          <w:rFonts w:ascii="Times New Roman" w:hAnsi="Times New Roman" w:cs="Times New Roman" w:eastAsia="Times New Roman" w:hint="default"/>
          <w:w w:val="100"/>
        </w:rPr>
        <w:t>18</w:t>
      </w:r>
      <w:r>
        <w:rPr>
          <w:rFonts w:ascii="Times New Roman" w:hAnsi="Times New Roman" w:cs="Times New Roman" w:eastAsia="Times New Roman" w:hint="default"/>
          <w:spacing w:val="-12"/>
        </w:rPr>
        <w:t> </w:t>
      </w:r>
      <w:r>
        <w:rPr>
          <w:spacing w:val="-3"/>
          <w:w w:val="100"/>
        </w:rPr>
        <w:t>日</w:t>
      </w:r>
      <w:r>
        <w:rPr>
          <w:w w:val="100"/>
        </w:rPr>
        <w:t>取得</w:t>
      </w:r>
      <w:r>
        <w:rPr>
          <w:spacing w:val="-3"/>
          <w:w w:val="100"/>
        </w:rPr>
        <w:t>了</w:t>
      </w:r>
      <w:r>
        <w:rPr>
          <w:w w:val="100"/>
        </w:rPr>
        <w:t>高</w:t>
      </w:r>
      <w:r>
        <w:rPr>
          <w:spacing w:val="-3"/>
          <w:w w:val="100"/>
        </w:rPr>
        <w:t>新</w:t>
      </w:r>
      <w:r>
        <w:rPr>
          <w:w w:val="100"/>
        </w:rPr>
        <w:t>技</w:t>
      </w:r>
      <w:r>
        <w:rPr>
          <w:spacing w:val="-3"/>
          <w:w w:val="100"/>
        </w:rPr>
        <w:t>术</w:t>
      </w:r>
      <w:r>
        <w:rPr>
          <w:w w:val="100"/>
        </w:rPr>
        <w:t>企</w:t>
      </w:r>
      <w:r>
        <w:rPr>
          <w:spacing w:val="-3"/>
          <w:w w:val="100"/>
        </w:rPr>
        <w:t>业</w:t>
      </w:r>
      <w:r>
        <w:rPr>
          <w:w w:val="100"/>
        </w:rPr>
        <w:t>证</w:t>
      </w:r>
      <w:r>
        <w:rPr>
          <w:spacing w:val="-3"/>
          <w:w w:val="100"/>
        </w:rPr>
        <w:t>书</w:t>
      </w:r>
      <w:r>
        <w:rPr>
          <w:spacing w:val="-99"/>
          <w:w w:val="100"/>
        </w:rPr>
        <w:t>，</w:t>
      </w:r>
      <w:r>
        <w:rPr>
          <w:w w:val="100"/>
        </w:rPr>
        <w:t>有效</w:t>
      </w:r>
      <w:r>
        <w:rPr>
          <w:spacing w:val="-3"/>
          <w:w w:val="100"/>
        </w:rPr>
        <w:t>期</w:t>
      </w:r>
      <w:r>
        <w:rPr>
          <w:w w:val="100"/>
        </w:rPr>
        <w:t>三</w:t>
      </w:r>
      <w:r>
        <w:rPr>
          <w:spacing w:val="-3"/>
          <w:w w:val="100"/>
        </w:rPr>
        <w:t>年</w:t>
      </w:r>
      <w:r>
        <w:rPr>
          <w:spacing w:val="-99"/>
          <w:w w:val="100"/>
        </w:rPr>
        <w:t>，</w:t>
      </w:r>
      <w:r>
        <w:rPr>
          <w:w w:val="100"/>
        </w:rPr>
        <w:t>证</w:t>
      </w:r>
      <w:r>
        <w:rPr>
          <w:spacing w:val="-3"/>
          <w:w w:val="100"/>
        </w:rPr>
        <w:t>书</w:t>
      </w:r>
      <w:r>
        <w:rPr>
          <w:w w:val="100"/>
        </w:rPr>
        <w:t>编号：</w:t>
      </w:r>
    </w:p>
    <w:p>
      <w:pPr>
        <w:pStyle w:val="BodyText"/>
        <w:spacing w:line="240" w:lineRule="auto" w:before="117"/>
        <w:ind w:left="153" w:right="1127"/>
        <w:jc w:val="left"/>
      </w:pPr>
      <w:r>
        <w:rPr>
          <w:rFonts w:ascii="Times New Roman" w:hAnsi="Times New Roman" w:cs="Times New Roman" w:eastAsia="Times New Roman" w:hint="default"/>
        </w:rPr>
        <w:t>GR201922000928</w:t>
      </w:r>
      <w:r>
        <w:rPr/>
        <w:t>；</w:t>
      </w:r>
    </w:p>
    <w:p>
      <w:pPr>
        <w:spacing w:line="240" w:lineRule="auto" w:before="9"/>
        <w:rPr>
          <w:rFonts w:ascii="宋体" w:hAnsi="宋体" w:cs="宋体" w:eastAsia="宋体" w:hint="default"/>
          <w:sz w:val="16"/>
          <w:szCs w:val="16"/>
        </w:rPr>
      </w:pPr>
    </w:p>
    <w:p>
      <w:pPr>
        <w:pStyle w:val="BodyText"/>
        <w:spacing w:line="336" w:lineRule="auto"/>
        <w:ind w:left="154" w:right="1127" w:firstLine="419"/>
        <w:jc w:val="left"/>
      </w:pPr>
      <w:r>
        <w:rPr/>
        <w:t>内蒙古百旺金赋信息技术有限公司于</w:t>
      </w:r>
      <w:r>
        <w:rPr>
          <w:spacing w:val="-3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spacing w:val="-3"/>
        </w:rPr>
        <w:t>日取得高新技术企业证书，有效期三年，证书编</w:t>
      </w:r>
      <w:r>
        <w:rPr>
          <w:spacing w:val="-3"/>
          <w:w w:val="100"/>
        </w:rPr>
        <w:t> </w:t>
      </w:r>
      <w:r>
        <w:rPr/>
        <w:t>号</w:t>
      </w:r>
      <w:r>
        <w:rPr>
          <w:rFonts w:ascii="Times New Roman" w:hAnsi="Times New Roman" w:cs="Times New Roman" w:eastAsia="Times New Roman" w:hint="default"/>
        </w:rPr>
        <w:t>:GR201915000314</w:t>
      </w:r>
      <w:r>
        <w:rPr/>
        <w:t>；</w:t>
      </w:r>
    </w:p>
    <w:p>
      <w:pPr>
        <w:pStyle w:val="BodyText"/>
        <w:spacing w:line="240" w:lineRule="auto" w:before="127"/>
        <w:ind w:left="574" w:right="0"/>
        <w:jc w:val="left"/>
      </w:pPr>
      <w:r>
        <w:rPr/>
        <w:t>杭州百旺金赋科技有限公司于</w:t>
      </w:r>
      <w:r>
        <w:rPr>
          <w:spacing w:val="-2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2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29"/>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日取得高新技术企业证书，有效期三年，证书编号：</w:t>
      </w:r>
    </w:p>
    <w:p>
      <w:pPr>
        <w:pStyle w:val="BodyText"/>
        <w:spacing w:line="240" w:lineRule="auto" w:before="115"/>
        <w:ind w:left="154" w:right="1127"/>
        <w:jc w:val="left"/>
      </w:pPr>
      <w:r>
        <w:rPr>
          <w:rFonts w:ascii="Times New Roman" w:hAnsi="Times New Roman" w:cs="Times New Roman" w:eastAsia="Times New Roman" w:hint="default"/>
        </w:rPr>
        <w:t>GR201733000691</w:t>
      </w:r>
      <w:r>
        <w:rPr/>
        <w:t>；</w:t>
      </w:r>
    </w:p>
    <w:p>
      <w:pPr>
        <w:spacing w:line="240" w:lineRule="auto" w:before="11"/>
        <w:rPr>
          <w:rFonts w:ascii="宋体" w:hAnsi="宋体" w:cs="宋体" w:eastAsia="宋体" w:hint="default"/>
          <w:sz w:val="16"/>
          <w:szCs w:val="16"/>
        </w:rPr>
      </w:pPr>
    </w:p>
    <w:p>
      <w:pPr>
        <w:pStyle w:val="BodyText"/>
        <w:spacing w:line="333" w:lineRule="auto"/>
        <w:ind w:left="154" w:right="1127" w:firstLine="420"/>
        <w:jc w:val="left"/>
      </w:pPr>
      <w:r>
        <w:rPr>
          <w:spacing w:val="6"/>
        </w:rPr>
        <w:t>北京百旺金赋科技有限公司于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spacing w:val="6"/>
        </w:rPr>
        <w:t>日取得高新技术企业证书，有效期三年，证书编</w:t>
      </w:r>
      <w:r>
        <w:rPr>
          <w:w w:val="100"/>
        </w:rPr>
        <w:t> </w:t>
      </w:r>
      <w:r>
        <w:rPr/>
        <w:t>号</w:t>
      </w:r>
      <w:r>
        <w:rPr>
          <w:rFonts w:ascii="Times New Roman" w:hAnsi="Times New Roman" w:cs="Times New Roman" w:eastAsia="Times New Roman" w:hint="default"/>
        </w:rPr>
        <w:t>:GR201811001815</w:t>
      </w:r>
      <w:r>
        <w:rPr/>
        <w:t>；</w:t>
      </w:r>
    </w:p>
    <w:p>
      <w:pPr>
        <w:pStyle w:val="BodyText"/>
        <w:spacing w:line="240" w:lineRule="auto" w:before="127"/>
        <w:ind w:left="574" w:right="1127"/>
        <w:jc w:val="left"/>
      </w:pPr>
      <w:r>
        <w:rPr/>
        <w:t>根据《企业所得税法》第二十八条规定，以上公司</w:t>
      </w:r>
      <w:r>
        <w:rPr>
          <w:spacing w:val="-5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年度执行</w:t>
      </w:r>
      <w:r>
        <w:rPr>
          <w:spacing w:val="-56"/>
        </w:rPr>
        <w:t> </w:t>
      </w:r>
      <w:r>
        <w:rPr>
          <w:rFonts w:ascii="Times New Roman" w:hAnsi="Times New Roman" w:cs="Times New Roman" w:eastAsia="Times New Roman" w:hint="default"/>
        </w:rPr>
        <w:t>15.00%</w:t>
      </w:r>
      <w:r>
        <w:rPr/>
        <w:t>的企业所得税率。</w:t>
      </w:r>
    </w:p>
    <w:p>
      <w:pPr>
        <w:spacing w:line="240" w:lineRule="auto" w:before="11"/>
        <w:rPr>
          <w:rFonts w:ascii="宋体" w:hAnsi="宋体" w:cs="宋体" w:eastAsia="宋体" w:hint="default"/>
          <w:sz w:val="16"/>
          <w:szCs w:val="16"/>
        </w:rPr>
      </w:pPr>
    </w:p>
    <w:p>
      <w:pPr>
        <w:pStyle w:val="BodyText"/>
        <w:spacing w:line="352" w:lineRule="auto"/>
        <w:ind w:left="153" w:right="1127" w:firstLine="420"/>
        <w:jc w:val="both"/>
      </w:pPr>
      <w:r>
        <w:rPr/>
        <w:t>（</w:t>
      </w:r>
      <w:r>
        <w:rPr>
          <w:rFonts w:ascii="Times New Roman" w:hAnsi="Times New Roman" w:cs="Times New Roman" w:eastAsia="Times New Roman" w:hint="default"/>
        </w:rPr>
        <w:t>2</w:t>
      </w:r>
      <w:r>
        <w:rPr/>
        <w:t>）北京云网信服信息技术有限公司、航泰恒通（北京）科技有限公司、成都智奇信息技术有限公</w:t>
      </w:r>
      <w:r>
        <w:rPr>
          <w:w w:val="100"/>
        </w:rPr>
        <w:t> </w:t>
      </w:r>
      <w:r>
        <w:rPr>
          <w:spacing w:val="-2"/>
        </w:rPr>
        <w:t>司、西安旋极精密设备有限公司、西安西谷投资有限公司、西安融军通用标准化研究院有限责任公司、西</w:t>
      </w:r>
      <w:r>
        <w:rPr>
          <w:spacing w:val="-47"/>
        </w:rPr>
        <w:t> </w:t>
      </w:r>
      <w:r>
        <w:rPr>
          <w:spacing w:val="-47"/>
        </w:rPr>
      </w:r>
      <w:r>
        <w:rPr>
          <w:spacing w:val="-2"/>
        </w:rPr>
        <w:t>安西谷芯创电子技术有限公司、成都西谷蓉新检测技术有限责任公司、深圳市旋极历通科技有限公司、郑</w:t>
      </w:r>
      <w:r>
        <w:rPr>
          <w:spacing w:val="-43"/>
        </w:rPr>
        <w:t> </w:t>
      </w:r>
      <w:r>
        <w:rPr>
          <w:spacing w:val="-43"/>
        </w:rPr>
      </w:r>
      <w:r>
        <w:rPr>
          <w:spacing w:val="-2"/>
        </w:rPr>
        <w:t>州众合景轩信息技术有限公司、北京伏羲众合投资管理有限公司、北京旋极百旺软件技术有限公司、厦门</w:t>
      </w:r>
      <w:r>
        <w:rPr>
          <w:spacing w:val="-44"/>
        </w:rPr>
        <w:t> </w:t>
      </w:r>
      <w:r>
        <w:rPr>
          <w:spacing w:val="-44"/>
        </w:rPr>
      </w:r>
      <w:r>
        <w:rPr>
          <w:spacing w:val="-2"/>
        </w:rPr>
        <w:t>百旺金赋信息科技有限公司、厦门同舟共创科技有限公司、宁波旋极财税科技有限公司、海口百旺金赋信</w:t>
      </w:r>
      <w:r>
        <w:rPr>
          <w:spacing w:val="-42"/>
        </w:rPr>
        <w:t> </w:t>
      </w:r>
      <w:r>
        <w:rPr>
          <w:spacing w:val="-42"/>
        </w:rPr>
      </w:r>
      <w:r>
        <w:rPr>
          <w:spacing w:val="-2"/>
        </w:rPr>
        <w:t>息科技有限公司、江西旋极共创科技有限公司、山西百旺金赋科技有限公司、北京旋极百旺信息技术有限</w:t>
      </w:r>
      <w:r>
        <w:rPr>
          <w:spacing w:val="-48"/>
        </w:rPr>
        <w:t> </w:t>
      </w:r>
      <w:r>
        <w:rPr>
          <w:spacing w:val="-48"/>
        </w:rPr>
      </w:r>
      <w:r>
        <w:rPr>
          <w:spacing w:val="-2"/>
        </w:rPr>
        <w:t>公司、宁波百旺金赋信息科技有限公司、宁波百旺九赋信息科技有限公司、余姚百旺金赋信息科技有限公</w:t>
      </w:r>
    </w:p>
    <w:p>
      <w:pPr>
        <w:spacing w:after="0" w:line="352" w:lineRule="auto"/>
        <w:jc w:val="both"/>
        <w:sectPr>
          <w:pgSz w:w="11910" w:h="16840"/>
          <w:pgMar w:header="882" w:footer="1134" w:top="1280" w:bottom="1320" w:left="980" w:right="0"/>
        </w:sectPr>
      </w:pPr>
    </w:p>
    <w:p>
      <w:pPr>
        <w:pStyle w:val="BodyText"/>
        <w:spacing w:line="355" w:lineRule="auto" w:before="112"/>
        <w:ind w:left="152" w:right="1128"/>
        <w:jc w:val="both"/>
      </w:pPr>
      <w:r>
        <w:rPr>
          <w:spacing w:val="-2"/>
        </w:rPr>
        <w:t>司、宁波小望财税科技有限公司、宁海小望科技有限公司、象山小望科技有限公司、宁波海曙小望科技有</w:t>
      </w:r>
      <w:r>
        <w:rPr>
          <w:spacing w:val="-50"/>
        </w:rPr>
        <w:t> </w:t>
      </w:r>
      <w:r>
        <w:rPr>
          <w:spacing w:val="-50"/>
        </w:rPr>
      </w:r>
      <w:r>
        <w:rPr>
          <w:spacing w:val="-2"/>
        </w:rPr>
        <w:t>限公司、慈溪小望财税科技有限公司、余姚小望科技有限公司、乌海市百旺金赋信息技术有限公司、锡林</w:t>
      </w:r>
      <w:r>
        <w:rPr>
          <w:spacing w:val="-50"/>
        </w:rPr>
        <w:t> </w:t>
      </w:r>
      <w:r>
        <w:rPr>
          <w:spacing w:val="-50"/>
        </w:rPr>
      </w:r>
      <w:r>
        <w:rPr>
          <w:spacing w:val="-2"/>
        </w:rPr>
        <w:t>郭勒盟百旺金赋信息技术有限公司、通辽市百旺金赋信息技术有限公司、呼伦贝尔市百旺金赋信息技术有</w:t>
      </w:r>
      <w:r>
        <w:rPr>
          <w:spacing w:val="-42"/>
        </w:rPr>
        <w:t> </w:t>
      </w:r>
      <w:r>
        <w:rPr>
          <w:spacing w:val="-42"/>
        </w:rPr>
      </w:r>
      <w:r>
        <w:rPr>
          <w:spacing w:val="-2"/>
        </w:rPr>
        <w:t>限公司、鄂尔多斯市百旺金赋信息技术有限公司、巴彦淖尔市百旺金赋信息技术有限公司、乌兰察布市百</w:t>
      </w:r>
      <w:r>
        <w:rPr>
          <w:spacing w:val="-43"/>
        </w:rPr>
        <w:t> </w:t>
      </w:r>
      <w:r>
        <w:rPr>
          <w:spacing w:val="-43"/>
        </w:rPr>
      </w:r>
      <w:r>
        <w:rPr>
          <w:spacing w:val="-2"/>
        </w:rPr>
        <w:t>旺金赋信息技术有限公司、兴安盟百旺金赋信息技术有限公司、赤峰市百旺金赋信息技术有限公司、包头</w:t>
      </w:r>
      <w:r>
        <w:rPr>
          <w:spacing w:val="-43"/>
        </w:rPr>
        <w:t> </w:t>
      </w:r>
      <w:r>
        <w:rPr>
          <w:spacing w:val="-43"/>
        </w:rPr>
      </w:r>
      <w:r>
        <w:rPr/>
        <w:t>市百旺金赋信息技术有限公司、北京百旺中兴通科技有限公司</w:t>
      </w:r>
    </w:p>
    <w:p>
      <w:pPr>
        <w:pStyle w:val="BodyText"/>
        <w:spacing w:line="355" w:lineRule="auto" w:before="135"/>
        <w:ind w:left="152" w:right="0" w:firstLine="420"/>
        <w:jc w:val="left"/>
      </w:pPr>
      <w:r>
        <w:rPr>
          <w:spacing w:val="-5"/>
        </w:rPr>
        <w:t>北京百旺立方科技有限责任公司、北京百旺金赋西部科技服务有限公司、北京百旺中联科技有限公司、</w:t>
      </w:r>
      <w:r>
        <w:rPr>
          <w:w w:val="100"/>
        </w:rPr>
        <w:t> </w:t>
      </w:r>
      <w:r>
        <w:rPr>
          <w:spacing w:val="-2"/>
        </w:rPr>
        <w:t>北京悦财亿华科技有限公司、北京百旺众联科技有限公司、北京合信财学科技有限公司、宁夏百旺金赋科</w:t>
      </w:r>
      <w:r>
        <w:rPr>
          <w:spacing w:val="-42"/>
        </w:rPr>
        <w:t> </w:t>
      </w:r>
      <w:r>
        <w:rPr>
          <w:spacing w:val="-42"/>
        </w:rPr>
      </w:r>
      <w:r>
        <w:rPr/>
        <w:t>技有限公司、江西汇水科技有限公司</w:t>
      </w:r>
    </w:p>
    <w:p>
      <w:pPr>
        <w:pStyle w:val="BodyText"/>
        <w:spacing w:line="336" w:lineRule="auto" w:before="135"/>
        <w:ind w:left="152" w:right="1077" w:firstLine="420"/>
        <w:jc w:val="both"/>
      </w:pPr>
      <w:r>
        <w:rPr>
          <w:spacing w:val="-3"/>
        </w:rPr>
        <w:t>北京国信恒达智慧城市科技发展有限公司为小型微利企业。根据财税〔</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13</w:t>
      </w:r>
      <w:r>
        <w:rPr>
          <w:rFonts w:ascii="Times New Roman" w:hAnsi="Times New Roman" w:cs="Times New Roman" w:eastAsia="Times New Roman" w:hint="default"/>
          <w:spacing w:val="14"/>
        </w:rPr>
        <w:t> </w:t>
      </w:r>
      <w:r>
        <w:rPr>
          <w:spacing w:val="-3"/>
        </w:rPr>
        <w:t>号《关于实施小微企</w:t>
      </w:r>
      <w:r>
        <w:rPr>
          <w:w w:val="100"/>
        </w:rPr>
        <w:t> </w:t>
      </w:r>
      <w:r>
        <w:rPr>
          <w:spacing w:val="-3"/>
        </w:rPr>
        <w:t>业普惠性税收减免政策的通知》对小型微利企业年应纳税所得额不超过</w:t>
      </w:r>
      <w:r>
        <w:rPr>
          <w:spacing w:val="-40"/>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spacing w:val="-5"/>
        </w:rPr>
        <w:t>万元的部分，减按</w:t>
      </w:r>
      <w:r>
        <w:rPr>
          <w:spacing w:val="-42"/>
        </w:rPr>
        <w:t> </w:t>
      </w:r>
      <w:r>
        <w:rPr>
          <w:rFonts w:ascii="Times New Roman" w:hAnsi="Times New Roman" w:cs="Times New Roman" w:eastAsia="Times New Roman" w:hint="default"/>
        </w:rPr>
        <w:t>25</w:t>
      </w:r>
      <w:r>
        <w:rPr/>
        <w:t>％计入应</w:t>
      </w:r>
      <w:r>
        <w:rPr>
          <w:spacing w:val="-84"/>
        </w:rPr>
        <w:t> </w:t>
      </w:r>
      <w:r>
        <w:rPr>
          <w:spacing w:val="-84"/>
        </w:rPr>
      </w:r>
      <w:r>
        <w:rPr/>
        <w:t>纳税所得额，按</w:t>
      </w:r>
      <w:r>
        <w:rPr>
          <w:spacing w:val="-56"/>
        </w:rPr>
        <w:t> </w:t>
      </w:r>
      <w:r>
        <w:rPr>
          <w:rFonts w:ascii="Times New Roman" w:hAnsi="Times New Roman" w:cs="Times New Roman" w:eastAsia="Times New Roman" w:hint="default"/>
        </w:rPr>
        <w:t>20</w:t>
      </w:r>
      <w:r>
        <w:rPr/>
        <w:t>％的税率缴纳企业所得税；对年应纳税所得额超过</w:t>
      </w:r>
      <w:r>
        <w:rPr>
          <w:spacing w:val="-56"/>
        </w:rPr>
        <w:t> </w:t>
      </w:r>
      <w:r>
        <w:rPr>
          <w:rFonts w:ascii="Times New Roman" w:hAnsi="Times New Roman" w:cs="Times New Roman" w:eastAsia="Times New Roman" w:hint="default"/>
        </w:rPr>
        <w:t>100</w:t>
      </w:r>
      <w:r>
        <w:rPr>
          <w:rFonts w:ascii="Times New Roman" w:hAnsi="Times New Roman" w:cs="Times New Roman" w:eastAsia="Times New Roman" w:hint="default"/>
          <w:spacing w:val="-14"/>
        </w:rPr>
        <w:t> </w:t>
      </w:r>
      <w:r>
        <w:rPr/>
        <w:t>万元但不超过</w:t>
      </w:r>
      <w:r>
        <w:rPr>
          <w:spacing w:val="-56"/>
        </w:rPr>
        <w:t> </w:t>
      </w:r>
      <w:r>
        <w:rPr>
          <w:rFonts w:ascii="Times New Roman" w:hAnsi="Times New Roman" w:cs="Times New Roman" w:eastAsia="Times New Roman" w:hint="default"/>
        </w:rPr>
        <w:t>300</w:t>
      </w:r>
      <w:r>
        <w:rPr>
          <w:rFonts w:ascii="Times New Roman" w:hAnsi="Times New Roman" w:cs="Times New Roman" w:eastAsia="Times New Roman" w:hint="default"/>
          <w:spacing w:val="-12"/>
        </w:rPr>
        <w:t> </w:t>
      </w:r>
      <w:r>
        <w:rPr/>
        <w:t>万元的部分，</w:t>
      </w:r>
      <w:r>
        <w:rPr>
          <w:w w:val="100"/>
        </w:rPr>
        <w:t> </w:t>
      </w:r>
      <w:r>
        <w:rPr/>
        <w:t>减按</w:t>
      </w:r>
      <w:r>
        <w:rPr>
          <w:spacing w:val="-57"/>
        </w:rPr>
        <w:t> </w:t>
      </w:r>
      <w:r>
        <w:rPr>
          <w:rFonts w:ascii="Times New Roman" w:hAnsi="Times New Roman" w:cs="Times New Roman" w:eastAsia="Times New Roman" w:hint="default"/>
        </w:rPr>
        <w:t>50</w:t>
      </w:r>
      <w:r>
        <w:rPr/>
        <w:t>％计入应纳税所得额，按</w:t>
      </w:r>
      <w:r>
        <w:rPr>
          <w:spacing w:val="-57"/>
        </w:rPr>
        <w:t> </w:t>
      </w:r>
      <w:r>
        <w:rPr>
          <w:rFonts w:ascii="Times New Roman" w:hAnsi="Times New Roman" w:cs="Times New Roman" w:eastAsia="Times New Roman" w:hint="default"/>
        </w:rPr>
        <w:t>20</w:t>
      </w:r>
      <w:r>
        <w:rPr/>
        <w:t>％的税率缴纳企业所得税。</w:t>
      </w:r>
    </w:p>
    <w:p>
      <w:pPr>
        <w:pStyle w:val="BodyText"/>
        <w:spacing w:line="333" w:lineRule="auto" w:before="127"/>
        <w:ind w:left="152" w:right="0" w:firstLine="420"/>
        <w:jc w:val="left"/>
      </w:pPr>
      <w:r>
        <w:rPr>
          <w:spacing w:val="-6"/>
        </w:rPr>
        <w:t>（</w:t>
      </w:r>
      <w:r>
        <w:rPr>
          <w:rFonts w:ascii="Times New Roman" w:hAnsi="Times New Roman" w:cs="Times New Roman" w:eastAsia="Times New Roman" w:hint="default"/>
          <w:spacing w:val="-6"/>
        </w:rPr>
        <w:t>3</w:t>
      </w:r>
      <w:r>
        <w:rPr>
          <w:spacing w:val="-6"/>
        </w:rPr>
        <w:t>）根据《中华人民共和国企业所得税法》的相关规定，软件企业可享受</w:t>
      </w:r>
      <w:r>
        <w:rPr>
          <w:rFonts w:ascii="Times New Roman" w:hAnsi="Times New Roman" w:cs="Times New Roman" w:eastAsia="Times New Roman" w:hint="default"/>
          <w:spacing w:val="-6"/>
        </w:rPr>
        <w:t>“</w:t>
      </w:r>
      <w:r>
        <w:rPr>
          <w:spacing w:val="-6"/>
        </w:rPr>
        <w:t>两免三减半</w:t>
      </w:r>
      <w:r>
        <w:rPr>
          <w:rFonts w:ascii="Times New Roman" w:hAnsi="Times New Roman" w:cs="Times New Roman" w:eastAsia="Times New Roman" w:hint="default"/>
          <w:spacing w:val="-6"/>
        </w:rPr>
        <w:t>”</w:t>
      </w:r>
      <w:r>
        <w:rPr>
          <w:spacing w:val="-6"/>
        </w:rPr>
        <w:t>的所得税优惠，</w:t>
      </w:r>
      <w:r>
        <w:rPr>
          <w:w w:val="100"/>
        </w:rPr>
        <w:t> </w:t>
      </w:r>
      <w:r>
        <w:rPr/>
        <w:t>即自获利年度起，第一年和第二年免征企业所得税，第三至第五年减半征收企业所得税。</w:t>
      </w:r>
    </w:p>
    <w:p>
      <w:pPr>
        <w:pStyle w:val="BodyText"/>
        <w:spacing w:line="336" w:lineRule="auto" w:before="154"/>
        <w:ind w:left="152" w:right="1123" w:firstLine="419"/>
        <w:jc w:val="both"/>
      </w:pPr>
      <w:r>
        <w:rPr/>
        <w:t>福建百旺金赋信息科技有限公司于</w:t>
      </w:r>
      <w:r>
        <w:rPr>
          <w:spacing w:val="-4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37"/>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37"/>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spacing w:val="-3"/>
        </w:rPr>
        <w:t>日经福建省软件行业协会评估，被评估为软件企业</w:t>
      </w:r>
      <w:r>
        <w:rPr>
          <w:spacing w:val="-3"/>
          <w:w w:val="100"/>
        </w:rPr>
        <w:t> </w:t>
      </w:r>
      <w:r>
        <w:rPr>
          <w:rFonts w:ascii="Times New Roman" w:hAnsi="Times New Roman" w:cs="Times New Roman" w:eastAsia="Times New Roman" w:hint="default"/>
          <w:spacing w:val="-2"/>
        </w:rPr>
        <w:t>(</w:t>
      </w:r>
      <w:r>
        <w:rPr>
          <w:spacing w:val="-2"/>
        </w:rPr>
        <w:t>证书编号：闽</w:t>
      </w:r>
      <w:r>
        <w:rPr/>
        <w:t> </w:t>
      </w:r>
      <w:r>
        <w:rPr>
          <w:rFonts w:ascii="Times New Roman" w:hAnsi="Times New Roman" w:cs="Times New Roman" w:eastAsia="Times New Roman" w:hint="default"/>
          <w:spacing w:val="-2"/>
        </w:rPr>
        <w:t>RH-2019-0037)</w:t>
      </w:r>
      <w:r>
        <w:rPr>
          <w:spacing w:val="-2"/>
        </w:rPr>
        <w:t>，有效期为一年。自获利年度起，第一年和第二年免征企业所得税，第三至</w:t>
      </w:r>
      <w:r>
        <w:rPr>
          <w:spacing w:val="-88"/>
        </w:rPr>
        <w:t> </w:t>
      </w:r>
      <w:r>
        <w:rPr>
          <w:spacing w:val="-88"/>
        </w:rPr>
      </w:r>
      <w:r>
        <w:rPr>
          <w:spacing w:val="4"/>
        </w:rPr>
        <w:t>第五年减半征收企业所得税，</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4"/>
        </w:rPr>
        <w:t> </w:t>
      </w:r>
      <w:r>
        <w:rPr>
          <w:spacing w:val="5"/>
        </w:rPr>
        <w:t>年度属于第一个获利年度，因此</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spacing w:val="6"/>
        </w:rPr>
        <w:t>年执行的企业所得税税率为</w:t>
      </w:r>
      <w:r>
        <w:rPr>
          <w:spacing w:val="-100"/>
        </w:rPr>
        <w:t> </w:t>
      </w:r>
      <w:r>
        <w:rPr>
          <w:rFonts w:ascii="Times New Roman" w:hAnsi="Times New Roman" w:cs="Times New Roman" w:eastAsia="Times New Roman" w:hint="default"/>
        </w:rPr>
        <w:t>12.50%</w:t>
      </w:r>
      <w:r>
        <w:rPr/>
        <w:t>。</w:t>
      </w:r>
    </w:p>
    <w:p>
      <w:pPr>
        <w:pStyle w:val="BodyText"/>
        <w:spacing w:line="336" w:lineRule="auto" w:before="125"/>
        <w:ind w:left="153" w:right="1127" w:firstLine="419"/>
        <w:jc w:val="both"/>
      </w:pPr>
      <w:r>
        <w:rPr/>
        <w:t>江西百旺金赋科技有限公司于</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日经江西省软件行业协会评估，被评估为软件企业</w:t>
      </w:r>
      <w:r>
        <w:rPr>
          <w:rFonts w:ascii="Times New Roman" w:hAnsi="Times New Roman" w:cs="Times New Roman" w:eastAsia="Times New Roman" w:hint="default"/>
        </w:rPr>
        <w:t>(</w:t>
      </w:r>
      <w:r>
        <w:rPr/>
        <w:t>证书</w:t>
      </w:r>
      <w:r>
        <w:rPr>
          <w:spacing w:val="-3"/>
          <w:w w:val="100"/>
        </w:rPr>
        <w:t> </w:t>
      </w:r>
      <w:r>
        <w:rPr/>
        <w:t>编号：闽</w:t>
      </w:r>
      <w:r>
        <w:rPr>
          <w:spacing w:val="-6"/>
        </w:rPr>
        <w:t> </w:t>
      </w:r>
      <w:r>
        <w:rPr>
          <w:rFonts w:ascii="Times New Roman" w:hAnsi="Times New Roman" w:cs="Times New Roman" w:eastAsia="Times New Roman" w:hint="default"/>
        </w:rPr>
        <w:t>RQ-2019-0005)</w:t>
      </w:r>
      <w:r>
        <w:rPr/>
        <w:t>，有效期为一年。自获利年度起，第一年和第二年免征企业所得税，第三至第五</w:t>
      </w:r>
      <w:r>
        <w:rPr>
          <w:w w:val="100"/>
        </w:rPr>
        <w:t> </w:t>
      </w:r>
      <w:r>
        <w:rPr/>
        <w:t>年减半征收企业所得税，</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年度属于第一个获利年度，因此</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年企业所得税免税。</w:t>
      </w:r>
    </w:p>
    <w:p>
      <w:pPr>
        <w:pStyle w:val="BodyText"/>
        <w:spacing w:line="343" w:lineRule="auto" w:before="127"/>
        <w:ind w:left="153" w:right="1127" w:firstLine="419"/>
        <w:jc w:val="both"/>
      </w:pPr>
      <w:r>
        <w:rPr>
          <w:spacing w:val="-3"/>
        </w:rPr>
        <w:t>（</w:t>
      </w:r>
      <w:r>
        <w:rPr>
          <w:rFonts w:ascii="Times New Roman" w:hAnsi="Times New Roman" w:cs="Times New Roman" w:eastAsia="Times New Roman" w:hint="default"/>
          <w:spacing w:val="-3"/>
        </w:rPr>
        <w:t>4</w:t>
      </w:r>
      <w:r>
        <w:rPr>
          <w:spacing w:val="-3"/>
        </w:rPr>
        <w:t>）根据财税</w:t>
      </w:r>
      <w:r>
        <w:rPr>
          <w:rFonts w:ascii="Times New Roman" w:hAnsi="Times New Roman" w:cs="Times New Roman" w:eastAsia="Times New Roman" w:hint="default"/>
          <w:spacing w:val="-3"/>
        </w:rPr>
        <w:t>[2017]34 </w:t>
      </w:r>
      <w:r>
        <w:rPr>
          <w:spacing w:val="-7"/>
        </w:rPr>
        <w:t>号《财政部 </w:t>
      </w:r>
      <w:r>
        <w:rPr/>
        <w:t>国家税务总局</w:t>
      </w:r>
      <w:r>
        <w:rPr>
          <w:spacing w:val="-30"/>
        </w:rPr>
        <w:t> </w:t>
      </w:r>
      <w:r>
        <w:rPr/>
        <w:t>科技部关于提高科技型中小企业研究开发费用税前</w:t>
      </w:r>
      <w:r>
        <w:rPr>
          <w:w w:val="100"/>
        </w:rPr>
        <w:t> </w:t>
      </w:r>
      <w:r>
        <w:rPr>
          <w:spacing w:val="-2"/>
        </w:rPr>
        <w:t>加计扣除比例的通知》科技型中小企业开展研发活动中实际发生的研发费用，未形成无形资产计入当期损</w:t>
      </w:r>
      <w:r>
        <w:rPr>
          <w:spacing w:val="-42"/>
        </w:rPr>
        <w:t> </w:t>
      </w:r>
      <w:r>
        <w:rPr>
          <w:spacing w:val="-42"/>
        </w:rPr>
      </w:r>
      <w:r>
        <w:rPr/>
        <w:t>益的，在按规定据实扣除的基础上，在</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spacing w:val="-3"/>
        </w:rPr>
        <w:t>日期间，再按照实际发生额的</w:t>
      </w:r>
      <w:r>
        <w:rPr>
          <w:spacing w:val="-3"/>
          <w:w w:val="100"/>
        </w:rPr>
        <w:t> </w:t>
      </w:r>
      <w:r>
        <w:rPr>
          <w:rFonts w:ascii="Times New Roman" w:hAnsi="Times New Roman" w:cs="Times New Roman" w:eastAsia="Times New Roman" w:hint="default"/>
          <w:spacing w:val="-2"/>
        </w:rPr>
        <w:t>75%</w:t>
      </w:r>
      <w:r>
        <w:rPr>
          <w:spacing w:val="-2"/>
        </w:rPr>
        <w:t>在税前加计扣除；形成无形资产的，在上述期间按照无形资产成本的</w:t>
      </w:r>
      <w:r>
        <w:rPr>
          <w:spacing w:val="25"/>
        </w:rPr>
        <w:t> </w:t>
      </w:r>
      <w:r>
        <w:rPr>
          <w:rFonts w:ascii="Times New Roman" w:hAnsi="Times New Roman" w:cs="Times New Roman" w:eastAsia="Times New Roman" w:hint="default"/>
          <w:spacing w:val="-2"/>
        </w:rPr>
        <w:t>175%</w:t>
      </w:r>
      <w:r>
        <w:rPr>
          <w:spacing w:val="-2"/>
        </w:rPr>
        <w:t>在税前摊销。</w:t>
      </w:r>
    </w:p>
    <w:p>
      <w:pPr>
        <w:pStyle w:val="BodyText"/>
        <w:spacing w:line="350" w:lineRule="auto" w:before="120"/>
        <w:ind w:left="153" w:right="1017" w:firstLine="420"/>
        <w:jc w:val="left"/>
      </w:pPr>
      <w:r>
        <w:rPr>
          <w:spacing w:val="-10"/>
          <w:w w:val="100"/>
        </w:rPr>
        <w:t>（</w:t>
      </w:r>
      <w:r>
        <w:rPr>
          <w:rFonts w:ascii="Times New Roman" w:hAnsi="Times New Roman" w:cs="Times New Roman" w:eastAsia="Times New Roman" w:hint="default"/>
          <w:spacing w:val="-10"/>
          <w:w w:val="100"/>
        </w:rPr>
        <w:t>5</w:t>
      </w:r>
      <w:r>
        <w:rPr>
          <w:spacing w:val="-10"/>
          <w:w w:val="100"/>
        </w:rPr>
        <w:t>）根据财税【</w:t>
      </w:r>
      <w:r>
        <w:rPr>
          <w:rFonts w:ascii="Times New Roman" w:hAnsi="Times New Roman" w:cs="Times New Roman" w:eastAsia="Times New Roman" w:hint="default"/>
          <w:spacing w:val="-10"/>
          <w:w w:val="100"/>
        </w:rPr>
        <w:t>2012</w:t>
      </w:r>
      <w:r>
        <w:rPr>
          <w:spacing w:val="-10"/>
          <w:w w:val="100"/>
        </w:rPr>
        <w:t>】</w:t>
      </w:r>
      <w:r>
        <w:rPr>
          <w:rFonts w:ascii="Times New Roman" w:hAnsi="Times New Roman" w:cs="Times New Roman" w:eastAsia="Times New Roman" w:hint="default"/>
          <w:spacing w:val="-10"/>
          <w:w w:val="100"/>
        </w:rPr>
        <w:t>27</w:t>
      </w:r>
      <w:r>
        <w:rPr>
          <w:rFonts w:ascii="Times New Roman" w:hAnsi="Times New Roman" w:cs="Times New Roman" w:eastAsia="Times New Roman" w:hint="default"/>
          <w:spacing w:val="-2"/>
          <w:w w:val="100"/>
        </w:rPr>
        <w:t> </w:t>
      </w:r>
      <w:r>
        <w:rPr>
          <w:spacing w:val="-6"/>
          <w:w w:val="100"/>
        </w:rPr>
        <w:t>号《关于进一步鼓励软件产业和集成电路产业发展企业所得税政策的通知》，</w:t>
      </w:r>
      <w:r>
        <w:rPr>
          <w:w w:val="100"/>
        </w:rPr>
        <w:t> </w:t>
      </w:r>
      <w:r>
        <w:rPr>
          <w:spacing w:val="-2"/>
        </w:rPr>
        <w:t>为鼓励软件产业和集成电路产业发展，软件生产企业实行增值税即征即退政策所退还的税款，由企业专项</w:t>
      </w:r>
      <w:r>
        <w:rPr>
          <w:spacing w:val="-42"/>
        </w:rPr>
        <w:t> </w:t>
      </w:r>
      <w:r>
        <w:rPr>
          <w:spacing w:val="-42"/>
        </w:rPr>
      </w:r>
      <w:r>
        <w:rPr>
          <w:spacing w:val="-2"/>
        </w:rPr>
        <w:t>用于软件产品研发和扩大再生产并单独进行核算，可以作为不征税收入，在计算应纳税所得额时从收入总</w:t>
      </w:r>
      <w:r>
        <w:rPr>
          <w:spacing w:val="-42"/>
        </w:rPr>
        <w:t> </w:t>
      </w:r>
      <w:r>
        <w:rPr>
          <w:spacing w:val="-42"/>
        </w:rPr>
      </w:r>
      <w:r>
        <w:rPr/>
        <w:t>额中减除。</w:t>
      </w:r>
    </w:p>
    <w:p>
      <w:pPr>
        <w:pStyle w:val="BodyText"/>
        <w:spacing w:line="336" w:lineRule="auto" w:before="139"/>
        <w:ind w:left="153" w:right="1132" w:firstLine="420"/>
        <w:jc w:val="both"/>
      </w:pPr>
      <w:r>
        <w:rPr/>
        <w:t>（</w:t>
      </w:r>
      <w:r>
        <w:rPr>
          <w:rFonts w:ascii="Times New Roman" w:hAnsi="Times New Roman" w:cs="Times New Roman" w:eastAsia="Times New Roman" w:hint="default"/>
        </w:rPr>
        <w:t>6</w:t>
      </w:r>
      <w:r>
        <w:rPr/>
        <w:t>）公司及其控股子公司成都旋极历通信息技术有限公司、北京中软金卡信息有限公司均被认定为</w:t>
      </w:r>
      <w:r>
        <w:rPr>
          <w:w w:val="100"/>
        </w:rPr>
        <w:t> 软件企业。 </w:t>
      </w:r>
      <w:r>
        <w:rPr>
          <w:spacing w:val="-2"/>
          <w:w w:val="100"/>
        </w:rPr>
        <w:t>根据财税【</w:t>
      </w:r>
      <w:r>
        <w:rPr>
          <w:rFonts w:ascii="Times New Roman" w:hAnsi="Times New Roman" w:cs="Times New Roman" w:eastAsia="Times New Roman" w:hint="default"/>
          <w:spacing w:val="-2"/>
          <w:w w:val="100"/>
        </w:rPr>
        <w:t>2011</w:t>
      </w:r>
      <w:r>
        <w:rPr>
          <w:spacing w:val="-2"/>
          <w:w w:val="100"/>
        </w:rPr>
        <w:t>】</w:t>
      </w:r>
      <w:r>
        <w:rPr>
          <w:rFonts w:ascii="Times New Roman" w:hAnsi="Times New Roman" w:cs="Times New Roman" w:eastAsia="Times New Roman" w:hint="default"/>
          <w:spacing w:val="-2"/>
          <w:w w:val="100"/>
        </w:rPr>
        <w:t>100</w:t>
      </w:r>
      <w:r>
        <w:rPr>
          <w:rFonts w:ascii="Times New Roman" w:hAnsi="Times New Roman" w:cs="Times New Roman" w:eastAsia="Times New Roman" w:hint="default"/>
          <w:spacing w:val="41"/>
          <w:w w:val="100"/>
        </w:rPr>
        <w:t> </w:t>
      </w:r>
      <w:r>
        <w:rPr>
          <w:spacing w:val="-5"/>
          <w:w w:val="100"/>
        </w:rPr>
        <w:t>号《财政部、国家税务总局关于软件产品增值税政策的通知》，增值税</w:t>
      </w:r>
    </w:p>
    <w:p>
      <w:pPr>
        <w:spacing w:after="0" w:line="336" w:lineRule="auto"/>
        <w:jc w:val="both"/>
        <w:sectPr>
          <w:pgSz w:w="11910" w:h="16840"/>
          <w:pgMar w:header="882" w:footer="1134" w:top="1280" w:bottom="1320" w:left="980" w:right="0"/>
        </w:sectPr>
      </w:pPr>
    </w:p>
    <w:p>
      <w:pPr>
        <w:pStyle w:val="BodyText"/>
        <w:spacing w:line="336" w:lineRule="auto" w:before="112"/>
        <w:ind w:left="152" w:right="1130"/>
        <w:jc w:val="both"/>
      </w:pPr>
      <w:r>
        <w:rPr/>
        <w:t>一般纳税人销售其自行开发生产的软件产品，按 </w:t>
      </w:r>
      <w:r>
        <w:rPr>
          <w:rFonts w:ascii="Times New Roman" w:hAnsi="Times New Roman" w:cs="Times New Roman" w:eastAsia="Times New Roman" w:hint="default"/>
        </w:rPr>
        <w:t>17%</w:t>
      </w:r>
      <w:r>
        <w:rPr/>
        <w:t>税率征收增值税后，对其增值税实际税负超过</w:t>
      </w:r>
      <w:r>
        <w:rPr>
          <w:spacing w:val="-68"/>
        </w:rPr>
        <w:t> </w:t>
      </w:r>
      <w:r>
        <w:rPr>
          <w:rFonts w:ascii="Times New Roman" w:hAnsi="Times New Roman" w:cs="Times New Roman" w:eastAsia="Times New Roman" w:hint="default"/>
        </w:rPr>
        <w:t>3%</w:t>
      </w:r>
      <w:r>
        <w:rPr/>
        <w:t>的</w:t>
      </w:r>
      <w:r>
        <w:rPr>
          <w:w w:val="100"/>
        </w:rPr>
        <w:t> </w:t>
      </w:r>
      <w:r>
        <w:rPr/>
        <w:t>部分实行即征即退政策。根据国发【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w:t>
      </w:r>
      <w:r>
        <w:rPr>
          <w:rFonts w:ascii="Times New Roman" w:hAnsi="Times New Roman" w:cs="Times New Roman" w:eastAsia="Times New Roman" w:hint="default"/>
          <w:spacing w:val="20"/>
        </w:rPr>
        <w:t> </w:t>
      </w:r>
      <w:r>
        <w:rPr/>
        <w:t>号《国务院关于印发进一步鼓励软件产业和集成电路产业发</w:t>
      </w:r>
      <w:r>
        <w:rPr>
          <w:w w:val="100"/>
        </w:rPr>
        <w:t> </w:t>
      </w:r>
      <w:r>
        <w:rPr>
          <w:spacing w:val="-6"/>
          <w:w w:val="100"/>
        </w:rPr>
        <w:t>展若干政策的通知》，继续实施软件增值税优惠政策。</w:t>
      </w:r>
    </w:p>
    <w:p>
      <w:pPr>
        <w:pStyle w:val="BodyText"/>
        <w:spacing w:line="336" w:lineRule="auto" w:before="152"/>
        <w:ind w:left="152" w:right="1125" w:firstLine="419"/>
        <w:jc w:val="left"/>
      </w:pPr>
      <w:r>
        <w:rPr>
          <w:spacing w:val="-1"/>
          <w:w w:val="100"/>
        </w:rPr>
        <w:t>（</w:t>
      </w:r>
      <w:r>
        <w:rPr>
          <w:rFonts w:ascii="Times New Roman" w:hAnsi="Times New Roman" w:cs="Times New Roman" w:eastAsia="Times New Roman" w:hint="default"/>
          <w:spacing w:val="-1"/>
          <w:w w:val="100"/>
        </w:rPr>
        <w:t>7</w:t>
      </w:r>
      <w:r>
        <w:rPr>
          <w:spacing w:val="-1"/>
          <w:w w:val="100"/>
        </w:rPr>
        <w:t>）根据财税（</w:t>
      </w:r>
      <w:r>
        <w:rPr>
          <w:rFonts w:ascii="Times New Roman" w:hAnsi="Times New Roman" w:cs="Times New Roman" w:eastAsia="Times New Roman" w:hint="default"/>
          <w:spacing w:val="-1"/>
          <w:w w:val="100"/>
        </w:rPr>
        <w:t>2016)36</w:t>
      </w:r>
      <w:r>
        <w:rPr>
          <w:rFonts w:ascii="Times New Roman" w:hAnsi="Times New Roman" w:cs="Times New Roman" w:eastAsia="Times New Roman" w:hint="default"/>
          <w:spacing w:val="47"/>
          <w:w w:val="100"/>
        </w:rPr>
        <w:t> </w:t>
      </w:r>
      <w:r>
        <w:rPr>
          <w:spacing w:val="-4"/>
          <w:w w:val="100"/>
        </w:rPr>
        <w:t>号《财政部、国家税务总局关于全面推开营业税改征增值税试点的通知》，</w:t>
      </w:r>
      <w:r>
        <w:rPr>
          <w:w w:val="100"/>
        </w:rPr>
        <w:t> </w:t>
      </w:r>
      <w:r>
        <w:rPr/>
        <w:t>对企业提供技术转让、技术开发和与之相关的技术咨询、技术服务，免征增值税。</w:t>
      </w:r>
    </w:p>
    <w:p>
      <w:pPr>
        <w:pStyle w:val="BodyText"/>
        <w:spacing w:line="240" w:lineRule="auto" w:before="150"/>
        <w:ind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8</w:t>
      </w:r>
      <w:r>
        <w:rPr/>
        <w:t>）根据《关于深化增值税改革有关政策的公告》</w:t>
      </w:r>
      <w:r>
        <w:rPr>
          <w:rFonts w:ascii="Times New Roman" w:hAnsi="Times New Roman" w:cs="Times New Roman" w:eastAsia="Times New Roman" w:hint="default"/>
        </w:rPr>
        <w:t>(</w:t>
      </w:r>
      <w:r>
        <w:rPr/>
        <w:t>财政部税务总局海关总署公告 </w:t>
      </w:r>
      <w:r>
        <w:rPr>
          <w:rFonts w:ascii="Times New Roman" w:hAnsi="Times New Roman" w:cs="Times New Roman" w:eastAsia="Times New Roman" w:hint="default"/>
        </w:rPr>
        <w:t>2019 </w:t>
      </w:r>
      <w:r>
        <w:rPr/>
        <w:t>年第 </w:t>
      </w:r>
      <w:r>
        <w:rPr>
          <w:rFonts w:ascii="Times New Roman" w:hAnsi="Times New Roman" w:cs="Times New Roman" w:eastAsia="Times New Roman" w:hint="default"/>
        </w:rPr>
        <w:t>39</w:t>
      </w:r>
      <w:r>
        <w:rPr>
          <w:rFonts w:ascii="Times New Roman" w:hAnsi="Times New Roman" w:cs="Times New Roman" w:eastAsia="Times New Roman" w:hint="default"/>
          <w:spacing w:val="38"/>
        </w:rPr>
        <w:t> </w:t>
      </w:r>
      <w:r>
        <w:rPr/>
        <w:t>号</w:t>
      </w:r>
      <w:r>
        <w:rPr>
          <w:rFonts w:ascii="Times New Roman" w:hAnsi="Times New Roman" w:cs="Times New Roman" w:eastAsia="Times New Roman" w:hint="default"/>
        </w:rPr>
        <w:t>)</w:t>
      </w:r>
    </w:p>
    <w:p>
      <w:pPr>
        <w:pStyle w:val="BodyText"/>
        <w:spacing w:line="333" w:lineRule="auto" w:before="119"/>
        <w:ind w:left="153" w:right="1130" w:hanging="1"/>
        <w:jc w:val="both"/>
      </w:pPr>
      <w:r>
        <w:rPr/>
        <w:t>规定</w:t>
      </w:r>
      <w:r>
        <w:rPr>
          <w:rFonts w:ascii="Times New Roman" w:hAnsi="Times New Roman" w:cs="Times New Roman" w:eastAsia="Times New Roman" w:hint="default"/>
        </w:rPr>
        <w:t>,</w:t>
      </w:r>
      <w:r>
        <w:rPr/>
        <w:t>自</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日至</w:t>
      </w:r>
      <w:r>
        <w:rPr>
          <w:spacing w:val="-50"/>
        </w:rPr>
        <w:t> </w:t>
      </w:r>
      <w:r>
        <w:rPr>
          <w:rFonts w:ascii="Times New Roman" w:hAnsi="Times New Roman" w:cs="Times New Roman" w:eastAsia="Times New Roman" w:hint="default"/>
        </w:rPr>
        <w:t>2021</w:t>
      </w:r>
      <w:r>
        <w:rPr>
          <w:rFonts w:ascii="Times New Roman" w:hAnsi="Times New Roman" w:cs="Times New Roman" w:eastAsia="Times New Roman" w:hint="default"/>
          <w:spacing w:val="-10"/>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spacing w:val="-4"/>
        </w:rPr>
        <w:t>日期间</w:t>
      </w:r>
      <w:r>
        <w:rPr>
          <w:rFonts w:ascii="Times New Roman" w:hAnsi="Times New Roman" w:cs="Times New Roman" w:eastAsia="Times New Roman" w:hint="default"/>
          <w:spacing w:val="-4"/>
        </w:rPr>
        <w:t>,</w:t>
      </w:r>
      <w:r>
        <w:rPr>
          <w:spacing w:val="-4"/>
        </w:rPr>
        <w:t>允许生产、生活性服务业纳税人按照当期可抵扣进项税</w:t>
      </w:r>
      <w:r>
        <w:rPr>
          <w:w w:val="100"/>
        </w:rPr>
        <w:t> </w:t>
      </w:r>
      <w:r>
        <w:rPr/>
        <w:t>额加计</w:t>
      </w:r>
      <w:r>
        <w:rPr>
          <w:spacing w:val="-57"/>
        </w:rPr>
        <w:t> </w:t>
      </w:r>
      <w:r>
        <w:rPr>
          <w:rFonts w:ascii="Times New Roman" w:hAnsi="Times New Roman" w:cs="Times New Roman" w:eastAsia="Times New Roman" w:hint="default"/>
        </w:rPr>
        <w:t>10%,</w:t>
      </w:r>
      <w:r>
        <w:rPr/>
        <w:t>抵减应纳税额</w:t>
      </w:r>
      <w:r>
        <w:rPr>
          <w:rFonts w:ascii="Times New Roman" w:hAnsi="Times New Roman" w:cs="Times New Roman" w:eastAsia="Times New Roman" w:hint="default"/>
        </w:rPr>
        <w:t>(</w:t>
      </w:r>
      <w:r>
        <w:rPr/>
        <w:t>即加计抵减政策</w:t>
      </w:r>
      <w:r>
        <w:rPr>
          <w:rFonts w:ascii="Times New Roman" w:hAnsi="Times New Roman" w:cs="Times New Roman" w:eastAsia="Times New Roman" w:hint="default"/>
        </w:rPr>
        <w:t>)</w:t>
      </w:r>
      <w:r>
        <w:rPr/>
        <w:t>。</w:t>
      </w:r>
    </w:p>
    <w:p>
      <w:pPr>
        <w:pStyle w:val="BodyText"/>
        <w:spacing w:line="333" w:lineRule="auto" w:before="129"/>
        <w:ind w:left="152" w:right="1126" w:firstLine="420"/>
        <w:jc w:val="left"/>
      </w:pPr>
      <w:r>
        <w:rPr/>
        <w:t>（</w:t>
      </w:r>
      <w:r>
        <w:rPr>
          <w:rFonts w:ascii="Times New Roman" w:hAnsi="Times New Roman" w:cs="Times New Roman" w:eastAsia="Times New Roman" w:hint="default"/>
        </w:rPr>
        <w:t>9</w:t>
      </w:r>
      <w:r>
        <w:rPr/>
        <w:t>）根据《关于深化增值税改革有关政策的公告》</w:t>
      </w:r>
      <w:r>
        <w:rPr>
          <w:rFonts w:ascii="Times New Roman" w:hAnsi="Times New Roman" w:cs="Times New Roman" w:eastAsia="Times New Roman" w:hint="default"/>
        </w:rPr>
        <w:t>(</w:t>
      </w:r>
      <w:r>
        <w:rPr/>
        <w:t>财政部税务总局海关总署公告 </w:t>
      </w:r>
      <w:r>
        <w:rPr>
          <w:rFonts w:ascii="Times New Roman" w:hAnsi="Times New Roman" w:cs="Times New Roman" w:eastAsia="Times New Roman" w:hint="default"/>
        </w:rPr>
        <w:t>2019 </w:t>
      </w:r>
      <w:r>
        <w:rPr/>
        <w:t>年第 </w:t>
      </w:r>
      <w:r>
        <w:rPr>
          <w:rFonts w:ascii="Times New Roman" w:hAnsi="Times New Roman" w:cs="Times New Roman" w:eastAsia="Times New Roman" w:hint="default"/>
        </w:rPr>
        <w:t>39</w:t>
      </w:r>
      <w:r>
        <w:rPr>
          <w:rFonts w:ascii="Times New Roman" w:hAnsi="Times New Roman" w:cs="Times New Roman" w:eastAsia="Times New Roman" w:hint="default"/>
          <w:spacing w:val="38"/>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规定，纳税人购进国内旅客运输服务，其进项税额允许从销项税额中抵扣。</w:t>
      </w:r>
    </w:p>
    <w:p>
      <w:pPr>
        <w:pStyle w:val="BodyText"/>
        <w:spacing w:line="333" w:lineRule="auto" w:before="154"/>
        <w:ind w:left="152" w:right="1022" w:firstLine="419"/>
        <w:jc w:val="left"/>
      </w:pPr>
      <w:r>
        <w:rPr>
          <w:spacing w:val="-3"/>
        </w:rPr>
        <w:t>公司需遵守《深圳证券交易所行业信息披露指引第 </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上市公司从事软件与信息技术服务业务》</w:t>
      </w:r>
      <w:r>
        <w:rPr>
          <w:w w:val="100"/>
        </w:rPr>
        <w:t> </w:t>
      </w:r>
      <w:r>
        <w:rPr/>
        <w:t>的披露要求</w:t>
      </w:r>
    </w:p>
    <w:p>
      <w:pPr>
        <w:pStyle w:val="BodyText"/>
        <w:spacing w:line="350" w:lineRule="auto" w:before="154"/>
        <w:ind w:left="152" w:right="1022" w:firstLine="420"/>
        <w:jc w:val="left"/>
      </w:pPr>
      <w:r>
        <w:rPr>
          <w:spacing w:val="-10"/>
          <w:w w:val="100"/>
        </w:rPr>
        <w:t>（</w:t>
      </w:r>
      <w:r>
        <w:rPr>
          <w:rFonts w:ascii="Times New Roman" w:hAnsi="Times New Roman" w:cs="Times New Roman" w:eastAsia="Times New Roman" w:hint="default"/>
          <w:spacing w:val="-10"/>
          <w:w w:val="100"/>
        </w:rPr>
        <w:t>1</w:t>
      </w:r>
      <w:r>
        <w:rPr>
          <w:spacing w:val="-10"/>
          <w:w w:val="100"/>
        </w:rPr>
        <w:t>）根据财税【</w:t>
      </w:r>
      <w:r>
        <w:rPr>
          <w:rFonts w:ascii="Times New Roman" w:hAnsi="Times New Roman" w:cs="Times New Roman" w:eastAsia="Times New Roman" w:hint="default"/>
          <w:spacing w:val="-10"/>
          <w:w w:val="100"/>
        </w:rPr>
        <w:t>2012</w:t>
      </w:r>
      <w:r>
        <w:rPr>
          <w:spacing w:val="-10"/>
          <w:w w:val="100"/>
        </w:rPr>
        <w:t>】</w:t>
      </w:r>
      <w:r>
        <w:rPr>
          <w:rFonts w:ascii="Times New Roman" w:hAnsi="Times New Roman" w:cs="Times New Roman" w:eastAsia="Times New Roman" w:hint="default"/>
          <w:spacing w:val="-10"/>
          <w:w w:val="100"/>
        </w:rPr>
        <w:t>27</w:t>
      </w:r>
      <w:r>
        <w:rPr>
          <w:rFonts w:ascii="Times New Roman" w:hAnsi="Times New Roman" w:cs="Times New Roman" w:eastAsia="Times New Roman" w:hint="default"/>
          <w:spacing w:val="-2"/>
          <w:w w:val="100"/>
        </w:rPr>
        <w:t> </w:t>
      </w:r>
      <w:r>
        <w:rPr>
          <w:spacing w:val="-6"/>
          <w:w w:val="100"/>
        </w:rPr>
        <w:t>号《关于进一步鼓励软件产业和集成电路产业发展企业所得税政策的通知》，</w:t>
      </w:r>
      <w:r>
        <w:rPr>
          <w:w w:val="100"/>
        </w:rPr>
        <w:t> </w:t>
      </w:r>
      <w:r>
        <w:rPr>
          <w:spacing w:val="-2"/>
        </w:rPr>
        <w:t>为鼓励软件产业和集成电路产业发展，软件生产企业实行增值税即征即退政策所退还的税款，由企业专项</w:t>
      </w:r>
      <w:r>
        <w:rPr>
          <w:spacing w:val="-42"/>
        </w:rPr>
        <w:t> </w:t>
      </w:r>
      <w:r>
        <w:rPr>
          <w:spacing w:val="-42"/>
        </w:rPr>
      </w:r>
      <w:r>
        <w:rPr>
          <w:spacing w:val="-2"/>
        </w:rPr>
        <w:t>用于软件产品研发和扩大再生产并单独进行核算，可以作为不征税收入，在计算应纳税所得额时从收入总</w:t>
      </w:r>
      <w:r>
        <w:rPr>
          <w:spacing w:val="-42"/>
        </w:rPr>
        <w:t> </w:t>
      </w:r>
      <w:r>
        <w:rPr>
          <w:spacing w:val="-42"/>
        </w:rPr>
      </w:r>
      <w:r>
        <w:rPr/>
        <w:t>额中减除。</w:t>
      </w:r>
    </w:p>
    <w:p>
      <w:pPr>
        <w:pStyle w:val="BodyText"/>
        <w:spacing w:line="336" w:lineRule="auto" w:before="137"/>
        <w:ind w:left="152" w:right="1131" w:firstLine="420"/>
        <w:jc w:val="both"/>
      </w:pPr>
      <w:r>
        <w:rPr/>
        <w:t>（</w:t>
      </w:r>
      <w:r>
        <w:rPr>
          <w:rFonts w:ascii="Times New Roman" w:hAnsi="Times New Roman" w:cs="Times New Roman" w:eastAsia="Times New Roman" w:hint="default"/>
        </w:rPr>
        <w:t>2</w:t>
      </w:r>
      <w:r>
        <w:rPr/>
        <w:t>）公司及其控股子公司成都旋极历通信息技术有限公司、北京中软金卡信息有限公司均被认定为</w:t>
      </w:r>
      <w:r>
        <w:rPr>
          <w:w w:val="100"/>
        </w:rPr>
        <w:t> 软件企业。</w:t>
      </w:r>
      <w:r>
        <w:rPr>
          <w:spacing w:val="-8"/>
          <w:w w:val="100"/>
        </w:rPr>
        <w:t> </w:t>
      </w:r>
      <w:r>
        <w:rPr>
          <w:spacing w:val="-2"/>
          <w:w w:val="100"/>
        </w:rPr>
        <w:t>根据财税【</w:t>
      </w:r>
      <w:r>
        <w:rPr>
          <w:rFonts w:ascii="Times New Roman" w:hAnsi="Times New Roman" w:cs="Times New Roman" w:eastAsia="Times New Roman" w:hint="default"/>
          <w:spacing w:val="-2"/>
          <w:w w:val="100"/>
        </w:rPr>
        <w:t>2011</w:t>
      </w:r>
      <w:r>
        <w:rPr>
          <w:spacing w:val="-2"/>
          <w:w w:val="100"/>
        </w:rPr>
        <w:t>】</w:t>
      </w:r>
      <w:r>
        <w:rPr>
          <w:rFonts w:ascii="Times New Roman" w:hAnsi="Times New Roman" w:cs="Times New Roman" w:eastAsia="Times New Roman" w:hint="default"/>
          <w:spacing w:val="-2"/>
          <w:w w:val="100"/>
        </w:rPr>
        <w:t>100</w:t>
      </w:r>
      <w:r>
        <w:rPr>
          <w:rFonts w:ascii="Times New Roman" w:hAnsi="Times New Roman" w:cs="Times New Roman" w:eastAsia="Times New Roman" w:hint="default"/>
          <w:spacing w:val="45"/>
          <w:w w:val="100"/>
        </w:rPr>
        <w:t> </w:t>
      </w:r>
      <w:r>
        <w:rPr>
          <w:spacing w:val="-5"/>
          <w:w w:val="100"/>
        </w:rPr>
        <w:t>号《财政部、国家税务总局关于软件产品增值税政策的通知》，增值税</w:t>
      </w:r>
      <w:r>
        <w:rPr>
          <w:spacing w:val="-103"/>
          <w:w w:val="100"/>
        </w:rPr>
        <w:t> </w:t>
      </w:r>
      <w:r>
        <w:rPr>
          <w:spacing w:val="-103"/>
          <w:w w:val="100"/>
        </w:rPr>
      </w:r>
      <w:r>
        <w:rPr/>
        <w:t>一般纳税人销售其自行开发生产的软件产品，按 </w:t>
      </w:r>
      <w:r>
        <w:rPr>
          <w:rFonts w:ascii="Times New Roman" w:hAnsi="Times New Roman" w:cs="Times New Roman" w:eastAsia="Times New Roman" w:hint="default"/>
        </w:rPr>
        <w:t>17%</w:t>
      </w:r>
      <w:r>
        <w:rPr/>
        <w:t>税率征收增值税后，对其增值税实际税负超过</w:t>
      </w:r>
      <w:r>
        <w:rPr>
          <w:spacing w:val="-68"/>
        </w:rPr>
        <w:t> </w:t>
      </w:r>
      <w:r>
        <w:rPr>
          <w:rFonts w:ascii="Times New Roman" w:hAnsi="Times New Roman" w:cs="Times New Roman" w:eastAsia="Times New Roman" w:hint="default"/>
        </w:rPr>
        <w:t>3%</w:t>
      </w:r>
      <w:r>
        <w:rPr/>
        <w:t>的</w:t>
      </w:r>
      <w:r>
        <w:rPr>
          <w:w w:val="100"/>
        </w:rPr>
        <w:t> </w:t>
      </w:r>
      <w:r>
        <w:rPr/>
        <w:t>部分实行即征即退政策。根据国发【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w:t>
      </w:r>
      <w:r>
        <w:rPr>
          <w:rFonts w:ascii="Times New Roman" w:hAnsi="Times New Roman" w:cs="Times New Roman" w:eastAsia="Times New Roman" w:hint="default"/>
          <w:spacing w:val="20"/>
        </w:rPr>
        <w:t> </w:t>
      </w:r>
      <w:r>
        <w:rPr/>
        <w:t>号《国务院关于印发进一步鼓励软件产业和集成电路产业发</w:t>
      </w:r>
      <w:r>
        <w:rPr>
          <w:w w:val="100"/>
        </w:rPr>
        <w:t> </w:t>
      </w:r>
      <w:r>
        <w:rPr>
          <w:spacing w:val="-6"/>
          <w:w w:val="100"/>
        </w:rPr>
        <w:t>展若干政策的通知》，继续实施软件增值税优惠政策。</w:t>
      </w:r>
    </w:p>
    <w:p>
      <w:pPr>
        <w:spacing w:line="240" w:lineRule="auto" w:before="1"/>
        <w:rPr>
          <w:rFonts w:ascii="宋体" w:hAnsi="宋体" w:cs="宋体" w:eastAsia="宋体" w:hint="default"/>
          <w:sz w:val="27"/>
          <w:szCs w:val="27"/>
        </w:rPr>
      </w:pPr>
    </w:p>
    <w:p>
      <w:pPr>
        <w:pStyle w:val="Heading4"/>
        <w:spacing w:line="240" w:lineRule="auto"/>
        <w:ind w:right="0"/>
        <w:jc w:val="both"/>
        <w:rPr>
          <w:b w:val="0"/>
          <w:bCs w:val="0"/>
        </w:rPr>
      </w:pPr>
      <w:bookmarkStart w:name="3、其他" w:id="346"/>
      <w:bookmarkEnd w:id="346"/>
      <w:r>
        <w:rPr>
          <w:b w:val="0"/>
          <w:bCs w:val="0"/>
        </w:rPr>
      </w:r>
      <w:r>
        <w:rPr>
          <w:rFonts w:ascii="Times New Roman" w:hAnsi="Times New Roman" w:cs="Times New Roman" w:eastAsia="Times New Roman" w:hint="default"/>
        </w:rPr>
        <w:t>3</w:t>
      </w:r>
      <w:r>
        <w:rPr/>
        <w:t>、其他</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1127"/>
        <w:jc w:val="left"/>
      </w:pPr>
      <w:r>
        <w:rPr>
          <w:w w:val="100"/>
        </w:rPr>
        <w:t>无</w:t>
      </w:r>
    </w:p>
    <w:p>
      <w:pPr>
        <w:spacing w:line="240" w:lineRule="auto" w:before="0"/>
        <w:rPr>
          <w:rFonts w:ascii="宋体" w:hAnsi="宋体" w:cs="宋体" w:eastAsia="宋体" w:hint="default"/>
          <w:sz w:val="20"/>
          <w:szCs w:val="20"/>
        </w:rPr>
      </w:pPr>
    </w:p>
    <w:p>
      <w:pPr>
        <w:pStyle w:val="Heading2"/>
        <w:spacing w:line="240" w:lineRule="auto" w:before="167"/>
        <w:ind w:right="0"/>
        <w:jc w:val="both"/>
        <w:rPr>
          <w:b w:val="0"/>
          <w:bCs w:val="0"/>
        </w:rPr>
      </w:pPr>
      <w:bookmarkStart w:name="七、合并财务报表项目注释" w:id="347"/>
      <w:bookmarkEnd w:id="347"/>
      <w:r>
        <w:rPr>
          <w:b w:val="0"/>
          <w:bCs w:val="0"/>
        </w:rPr>
      </w:r>
      <w:r>
        <w:rPr/>
        <w:t>七、合并财务报表项目注释</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right="0"/>
        <w:jc w:val="both"/>
        <w:rPr>
          <w:b w:val="0"/>
          <w:bCs w:val="0"/>
        </w:rPr>
      </w:pPr>
      <w:bookmarkStart w:name="1、货币资金" w:id="348"/>
      <w:bookmarkEnd w:id="34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386"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9"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库存现金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392,113.80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z w:val="18"/>
              </w:rPr>
              <w:t>594,956.81</w:t>
            </w:r>
          </w:p>
        </w:tc>
      </w:tr>
      <w:tr>
        <w:trPr>
          <w:trHeight w:val="386"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银行存款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2,016,699,170.09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2,310,262,587.28</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209" w:type="dxa"/>
        <w:tblLayout w:type="fixed"/>
        <w:tblCellMar>
          <w:top w:w="0" w:type="dxa"/>
          <w:left w:w="0" w:type="dxa"/>
          <w:bottom w:w="0" w:type="dxa"/>
          <w:right w:w="0" w:type="dxa"/>
        </w:tblCellMar>
        <w:tblLook w:val="01E0"/>
      </w:tblPr>
      <w:tblGrid>
        <w:gridCol w:w="3188"/>
        <w:gridCol w:w="3190"/>
        <w:gridCol w:w="3190"/>
      </w:tblGrid>
      <w:tr>
        <w:trPr>
          <w:trHeight w:val="386"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47"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69,404,004.21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144,818,164.60</w:t>
            </w:r>
            <w:r>
              <w:rPr>
                <w:rFonts w:ascii="Times New Roman"/>
                <w:sz w:val="18"/>
              </w:rPr>
            </w:r>
          </w:p>
        </w:tc>
      </w:tr>
      <w:tr>
        <w:trPr>
          <w:trHeight w:val="389"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2,086,495,288.10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2,455,675,708.69</w:t>
            </w:r>
          </w:p>
        </w:tc>
      </w:tr>
      <w:tr>
        <w:trPr>
          <w:trHeight w:val="386"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07"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64,154,297.68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40,487,639.50</w:t>
            </w:r>
          </w:p>
        </w:tc>
      </w:tr>
    </w:tbl>
    <w:p>
      <w:pPr>
        <w:pStyle w:val="BodyText"/>
        <w:spacing w:line="240" w:lineRule="auto" w:before="64"/>
        <w:ind w:left="632" w:right="698"/>
        <w:jc w:val="left"/>
      </w:pPr>
      <w:r>
        <w:rPr/>
        <w:t>其他说明</w:t>
      </w:r>
    </w:p>
    <w:p>
      <w:pPr>
        <w:spacing w:line="240" w:lineRule="auto" w:before="1"/>
        <w:rPr>
          <w:rFonts w:ascii="宋体" w:hAnsi="宋体" w:cs="宋体" w:eastAsia="宋体" w:hint="default"/>
          <w:sz w:val="18"/>
          <w:szCs w:val="18"/>
        </w:rPr>
      </w:pPr>
    </w:p>
    <w:p>
      <w:pPr>
        <w:pStyle w:val="BodyText"/>
        <w:spacing w:line="336" w:lineRule="auto"/>
        <w:ind w:left="212" w:right="698" w:firstLine="419"/>
        <w:jc w:val="left"/>
      </w:pPr>
      <w:r>
        <w:rPr>
          <w:spacing w:val="-2"/>
        </w:rPr>
        <w:t>（</w:t>
      </w:r>
      <w:r>
        <w:rPr>
          <w:rFonts w:ascii="Times New Roman" w:hAnsi="Times New Roman" w:cs="Times New Roman" w:eastAsia="Times New Roman" w:hint="default"/>
          <w:spacing w:val="-2"/>
        </w:rPr>
        <w:t>1</w:t>
      </w:r>
      <w:r>
        <w:rPr>
          <w:spacing w:val="-2"/>
        </w:rPr>
        <w:t>）其中因抵押、质押或冻结等对使用有限制，以及放在境外且资金汇回受到限制的货币资金明细</w:t>
      </w:r>
      <w:r>
        <w:rPr>
          <w:w w:val="100"/>
        </w:rPr>
        <w:t> </w:t>
      </w:r>
      <w:r>
        <w:rPr/>
        <w:t>如下：</w:t>
      </w:r>
    </w:p>
    <w:p>
      <w:pPr>
        <w:spacing w:line="240" w:lineRule="auto" w:before="6"/>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4164"/>
        <w:gridCol w:w="2842"/>
        <w:gridCol w:w="2849"/>
      </w:tblGrid>
      <w:tr>
        <w:trPr>
          <w:trHeight w:val="553" w:hRule="exact"/>
        </w:trPr>
        <w:tc>
          <w:tcPr>
            <w:tcW w:w="416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4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4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554" w:hRule="exact"/>
        </w:trPr>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32,418,068.76</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78,180,314.07</w:t>
            </w:r>
          </w:p>
        </w:tc>
      </w:tr>
      <w:tr>
        <w:trPr>
          <w:trHeight w:val="554" w:hRule="exact"/>
        </w:trPr>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农民工保证金</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893,219.18</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573,377.43</w:t>
            </w:r>
          </w:p>
        </w:tc>
      </w:tr>
      <w:tr>
        <w:trPr>
          <w:trHeight w:val="554" w:hRule="exact"/>
        </w:trPr>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保函保证金</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20,486,794.11</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24,264,292.37</w:t>
            </w:r>
          </w:p>
        </w:tc>
      </w:tr>
      <w:tr>
        <w:trPr>
          <w:trHeight w:val="554" w:hRule="exact"/>
        </w:trPr>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存出投资款</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22,922,926.63</w:t>
            </w:r>
          </w:p>
        </w:tc>
      </w:tr>
      <w:tr>
        <w:trPr>
          <w:trHeight w:val="554" w:hRule="exact"/>
        </w:trPr>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53,798,082.05</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125,940,910.50</w:t>
            </w:r>
          </w:p>
        </w:tc>
      </w:tr>
    </w:tbl>
    <w:p>
      <w:pPr>
        <w:pStyle w:val="BodyText"/>
        <w:spacing w:line="257" w:lineRule="exact"/>
        <w:ind w:left="632" w:right="698"/>
        <w:jc w:val="left"/>
      </w:pPr>
      <w:r>
        <w:rPr>
          <w:spacing w:val="-4"/>
        </w:rPr>
        <w:t>（</w:t>
      </w:r>
      <w:r>
        <w:rPr>
          <w:rFonts w:ascii="Times New Roman" w:hAnsi="Times New Roman" w:cs="Times New Roman" w:eastAsia="Times New Roman" w:hint="default"/>
          <w:spacing w:val="-4"/>
        </w:rPr>
        <w:t>2</w:t>
      </w:r>
      <w:r>
        <w:rPr>
          <w:spacing w:val="-4"/>
        </w:rPr>
        <w:t>）截至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日，其他货币资金中人民币</w:t>
      </w:r>
      <w:r>
        <w:rPr>
          <w:rFonts w:ascii="Times New Roman" w:hAnsi="Times New Roman" w:cs="Times New Roman" w:eastAsia="Times New Roman" w:hint="default"/>
          <w:spacing w:val="-4"/>
        </w:rPr>
        <w:t>194,457.19</w:t>
      </w:r>
      <w:r>
        <w:rPr>
          <w:spacing w:val="-4"/>
        </w:rPr>
        <w:t>元为本公司存入第三方支付平台的余额。</w:t>
      </w:r>
      <w:r>
        <w:rPr/>
      </w:r>
    </w:p>
    <w:p>
      <w:pPr>
        <w:pStyle w:val="BodyText"/>
        <w:spacing w:line="240" w:lineRule="auto" w:before="117"/>
        <w:ind w:left="633" w:right="698"/>
        <w:jc w:val="left"/>
      </w:pPr>
      <w:r>
        <w:rPr/>
        <w:t>（</w:t>
      </w:r>
      <w:r>
        <w:rPr>
          <w:rFonts w:ascii="Times New Roman" w:hAnsi="Times New Roman" w:cs="Times New Roman" w:eastAsia="Times New Roman" w:hint="default"/>
        </w:rPr>
        <w:t>3</w:t>
      </w:r>
      <w:r>
        <w:rPr/>
        <w:t>）因执行新金融工具准则，其他货币资金期初、期末余额分别含有应收利息</w:t>
      </w:r>
      <w:r>
        <w:rPr>
          <w:rFonts w:ascii="Times New Roman" w:hAnsi="Times New Roman" w:cs="Times New Roman" w:eastAsia="Times New Roman" w:hint="default"/>
        </w:rPr>
        <w:t>18,877,254.10</w:t>
      </w:r>
      <w:r>
        <w:rPr/>
        <w:t>元，</w:t>
      </w:r>
    </w:p>
    <w:p>
      <w:pPr>
        <w:pStyle w:val="BodyText"/>
        <w:spacing w:line="240" w:lineRule="auto" w:before="117"/>
        <w:ind w:left="212" w:right="698"/>
        <w:jc w:val="left"/>
      </w:pPr>
      <w:r>
        <w:rPr>
          <w:rFonts w:ascii="Times New Roman" w:hAnsi="Times New Roman" w:cs="Times New Roman" w:eastAsia="Times New Roman" w:hint="default"/>
        </w:rPr>
        <w:t>15,411,464.97</w:t>
      </w:r>
      <w:r>
        <w:rPr/>
        <w:t>元。</w:t>
      </w:r>
    </w:p>
    <w:p>
      <w:pPr>
        <w:spacing w:line="240" w:lineRule="auto" w:before="12"/>
        <w:rPr>
          <w:rFonts w:ascii="宋体" w:hAnsi="宋体" w:cs="宋体" w:eastAsia="宋体" w:hint="default"/>
          <w:sz w:val="31"/>
          <w:szCs w:val="31"/>
        </w:rPr>
      </w:pPr>
    </w:p>
    <w:p>
      <w:pPr>
        <w:pStyle w:val="Heading4"/>
        <w:spacing w:line="240" w:lineRule="auto"/>
        <w:ind w:left="212" w:right="698"/>
        <w:jc w:val="left"/>
        <w:rPr>
          <w:b w:val="0"/>
          <w:bCs w:val="0"/>
        </w:rPr>
      </w:pPr>
      <w:bookmarkStart w:name="2、交易性金融资产" w:id="349"/>
      <w:bookmarkEnd w:id="349"/>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207" w:type="dxa"/>
        <w:tblLayout w:type="fixed"/>
        <w:tblCellMar>
          <w:top w:w="0" w:type="dxa"/>
          <w:left w:w="0" w:type="dxa"/>
          <w:bottom w:w="0" w:type="dxa"/>
          <w:right w:w="0" w:type="dxa"/>
        </w:tblCellMar>
        <w:tblLook w:val="01E0"/>
      </w:tblPr>
      <w:tblGrid>
        <w:gridCol w:w="3190"/>
        <w:gridCol w:w="3190"/>
        <w:gridCol w:w="3190"/>
      </w:tblGrid>
      <w:tr>
        <w:trPr>
          <w:trHeight w:val="389"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40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626"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140" w:right="59" w:hanging="108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9" w:space="0" w:color="D4D4D4"/>
              <w:bottom w:val="single" w:sz="6" w:space="0" w:color="D4D4D4"/>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6" w:space="0" w:color="D4D4D4"/>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23,620,000.00</w:t>
            </w:r>
          </w:p>
        </w:tc>
      </w:tr>
      <w:tr>
        <w:trPr>
          <w:trHeight w:val="374"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4"/>
              <w:ind w:left="140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6" w:space="0" w:color="D4D4D4"/>
              <w:left w:val="single" w:sz="4" w:space="0" w:color="000000"/>
              <w:bottom w:val="single" w:sz="10" w:space="0" w:color="D4D4D4"/>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6" w:space="0" w:color="D4D4D4"/>
              <w:left w:val="single" w:sz="4" w:space="0" w:color="000000"/>
              <w:bottom w:val="single" w:sz="10" w:space="0" w:color="D4D4D4"/>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23,620,000.00</w:t>
            </w:r>
          </w:p>
        </w:tc>
      </w:tr>
      <w:tr>
        <w:trPr>
          <w:trHeight w:val="374"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4"/>
              <w:ind w:left="140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4"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10" w:space="0" w:color="D4D4D4"/>
              <w:left w:val="single" w:sz="9" w:space="0" w:color="D4D4D4"/>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10" w:space="0" w:color="D4D4D4"/>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23,620,000.00</w:t>
            </w:r>
          </w:p>
        </w:tc>
      </w:tr>
    </w:tbl>
    <w:p>
      <w:pPr>
        <w:pStyle w:val="BodyText"/>
        <w:spacing w:line="240" w:lineRule="auto" w:before="64"/>
        <w:ind w:left="632" w:right="698"/>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left="212" w:right="698"/>
        <w:jc w:val="left"/>
        <w:rPr>
          <w:b w:val="0"/>
          <w:bCs w:val="0"/>
        </w:rPr>
      </w:pPr>
      <w:bookmarkStart w:name="3、衍生金融资产" w:id="350"/>
      <w:bookmarkEnd w:id="350"/>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6"/>
        <w:rPr>
          <w:rFonts w:ascii="宋体" w:hAnsi="宋体" w:cs="宋体" w:eastAsia="宋体" w:hint="default"/>
          <w:b/>
          <w:bCs/>
          <w:sz w:val="18"/>
          <w:szCs w:val="18"/>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209" w:type="dxa"/>
        <w:tblLayout w:type="fixed"/>
        <w:tblCellMar>
          <w:top w:w="0" w:type="dxa"/>
          <w:left w:w="0" w:type="dxa"/>
          <w:bottom w:w="0" w:type="dxa"/>
          <w:right w:w="0" w:type="dxa"/>
        </w:tblCellMar>
        <w:tblLook w:val="01E0"/>
      </w:tblPr>
      <w:tblGrid>
        <w:gridCol w:w="3188"/>
        <w:gridCol w:w="3190"/>
        <w:gridCol w:w="3190"/>
      </w:tblGrid>
      <w:tr>
        <w:trPr>
          <w:trHeight w:val="386"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64"/>
        <w:ind w:left="632" w:right="698"/>
        <w:jc w:val="left"/>
      </w:pPr>
      <w:r>
        <w:rPr/>
        <w:t>其他说明：</w:t>
      </w:r>
    </w:p>
    <w:p>
      <w:pPr>
        <w:spacing w:after="0" w:line="240" w:lineRule="auto"/>
        <w:jc w:val="left"/>
        <w:sectPr>
          <w:pgSz w:w="11910" w:h="16840"/>
          <w:pgMar w:header="882" w:footer="1134" w:top="1280" w:bottom="1320" w:left="920" w:right="0"/>
        </w:sectPr>
      </w:pPr>
    </w:p>
    <w:p>
      <w:pPr>
        <w:pStyle w:val="Heading4"/>
        <w:spacing w:line="240" w:lineRule="auto" w:before="115"/>
        <w:ind w:right="1127"/>
        <w:jc w:val="left"/>
        <w:rPr>
          <w:b w:val="0"/>
          <w:bCs w:val="0"/>
        </w:rPr>
      </w:pPr>
      <w:bookmarkStart w:name="4、应收票据" w:id="351"/>
      <w:bookmarkEnd w:id="351"/>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1127"/>
        <w:jc w:val="left"/>
        <w:rPr>
          <w:b w:val="0"/>
          <w:bCs w:val="0"/>
        </w:rPr>
      </w:pPr>
      <w:bookmarkStart w:name="（1）应收票据分类列示" w:id="352"/>
      <w:bookmarkEnd w:id="352"/>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386"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9"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商业承兑票据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149,529,532.39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77,198,272.09</w:t>
            </w:r>
          </w:p>
        </w:tc>
      </w:tr>
      <w:tr>
        <w:trPr>
          <w:trHeight w:val="386"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149,529,532.39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77,198,272.09</w:t>
            </w:r>
          </w:p>
        </w:tc>
      </w:tr>
    </w:tbl>
    <w:p>
      <w:pPr>
        <w:pStyle w:val="BodyText"/>
        <w:spacing w:line="240" w:lineRule="auto" w:before="64"/>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3"/>
        <w:gridCol w:w="761"/>
        <w:gridCol w:w="763"/>
        <w:gridCol w:w="790"/>
        <w:gridCol w:w="775"/>
        <w:gridCol w:w="797"/>
        <w:gridCol w:w="931"/>
        <w:gridCol w:w="797"/>
        <w:gridCol w:w="792"/>
      </w:tblGrid>
      <w:tr>
        <w:trPr>
          <w:trHeight w:val="382" w:hRule="exact"/>
        </w:trPr>
        <w:tc>
          <w:tcPr>
            <w:tcW w:w="1624" w:type="dxa"/>
            <w:vMerge w:val="restart"/>
            <w:tcBorders>
              <w:top w:val="single" w:sz="4" w:space="0" w:color="000000"/>
              <w:left w:val="single" w:sz="4" w:space="0" w:color="000000"/>
              <w:right w:val="single" w:sz="4" w:space="0" w:color="000000"/>
            </w:tcBorders>
            <w:shd w:val="clear" w:color="auto" w:fill="D4D4D4"/>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2"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7" w:hRule="exact"/>
        </w:trPr>
        <w:tc>
          <w:tcPr>
            <w:tcW w:w="1624" w:type="dxa"/>
            <w:vMerge/>
            <w:tcBorders>
              <w:left w:val="single" w:sz="4" w:space="0" w:color="000000"/>
              <w:bottom w:val="nil" w:sz="6" w:space="0" w:color="auto"/>
              <w:right w:val="single" w:sz="4" w:space="0" w:color="000000"/>
            </w:tcBorders>
            <w:shd w:val="clear" w:color="auto" w:fill="D4D4D4"/>
          </w:tcPr>
          <w:p>
            <w:pPr/>
          </w:p>
        </w:tc>
        <w:tc>
          <w:tcPr>
            <w:tcW w:w="153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4D4D4"/>
          </w:tcPr>
          <w:p>
            <w:pPr/>
          </w:p>
        </w:tc>
        <w:tc>
          <w:tcPr>
            <w:tcW w:w="157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6"/>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6"/>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4D4D4"/>
          </w:tcPr>
          <w:p>
            <w:pPr/>
          </w:p>
        </w:tc>
      </w:tr>
      <w:tr>
        <w:trPr>
          <w:trHeight w:val="194" w:hRule="exact"/>
        </w:trPr>
        <w:tc>
          <w:tcPr>
            <w:tcW w:w="162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right w:val="single" w:sz="4" w:space="0" w:color="000000"/>
            </w:tcBorders>
            <w:shd w:val="clear" w:color="auto" w:fill="D4D4D4"/>
          </w:tcPr>
          <w:p>
            <w:pPr/>
          </w:p>
        </w:tc>
        <w:tc>
          <w:tcPr>
            <w:tcW w:w="1524" w:type="dxa"/>
            <w:gridSpan w:val="2"/>
            <w:vMerge/>
            <w:tcBorders>
              <w:left w:val="single" w:sz="4" w:space="0" w:color="000000"/>
              <w:right w:val="single" w:sz="4" w:space="0" w:color="000000"/>
            </w:tcBorders>
            <w:shd w:val="clear" w:color="auto" w:fill="D4D4D4"/>
          </w:tcPr>
          <w:p>
            <w:pPr/>
          </w:p>
        </w:tc>
        <w:tc>
          <w:tcPr>
            <w:tcW w:w="790" w:type="dxa"/>
            <w:vMerge/>
            <w:tcBorders>
              <w:left w:val="single" w:sz="4" w:space="0" w:color="000000"/>
              <w:bottom w:val="nil" w:sz="6" w:space="0" w:color="auto"/>
              <w:right w:val="single" w:sz="4" w:space="0" w:color="000000"/>
            </w:tcBorders>
            <w:shd w:val="clear" w:color="auto" w:fill="D4D4D4"/>
          </w:tcPr>
          <w:p>
            <w:pPr/>
          </w:p>
        </w:tc>
        <w:tc>
          <w:tcPr>
            <w:tcW w:w="1572" w:type="dxa"/>
            <w:gridSpan w:val="2"/>
            <w:vMerge/>
            <w:tcBorders>
              <w:left w:val="single" w:sz="4" w:space="0" w:color="000000"/>
              <w:right w:val="single" w:sz="4" w:space="0" w:color="000000"/>
            </w:tcBorders>
            <w:shd w:val="clear" w:color="auto" w:fill="D4D4D4"/>
          </w:tcPr>
          <w:p>
            <w:pPr/>
          </w:p>
        </w:tc>
        <w:tc>
          <w:tcPr>
            <w:tcW w:w="1728" w:type="dxa"/>
            <w:gridSpan w:val="2"/>
            <w:vMerge/>
            <w:tcBorders>
              <w:left w:val="single" w:sz="4" w:space="0" w:color="000000"/>
              <w:right w:val="single" w:sz="4" w:space="0" w:color="000000"/>
            </w:tcBorders>
            <w:shd w:val="clear" w:color="auto" w:fill="D4D4D4"/>
          </w:tcPr>
          <w:p>
            <w:pPr/>
          </w:p>
        </w:tc>
        <w:tc>
          <w:tcPr>
            <w:tcW w:w="792" w:type="dxa"/>
            <w:vMerge/>
            <w:tcBorders>
              <w:left w:val="single" w:sz="4" w:space="0" w:color="000000"/>
              <w:bottom w:val="nil" w:sz="6" w:space="0" w:color="auto"/>
              <w:right w:val="single" w:sz="4" w:space="0" w:color="000000"/>
            </w:tcBorders>
            <w:shd w:val="clear" w:color="auto" w:fill="D4D4D4"/>
          </w:tcPr>
          <w:p>
            <w:pPr/>
          </w:p>
        </w:tc>
      </w:tr>
      <w:tr>
        <w:trPr>
          <w:trHeight w:val="130" w:hRule="exact"/>
        </w:trPr>
        <w:tc>
          <w:tcPr>
            <w:tcW w:w="1624" w:type="dxa"/>
            <w:vMerge/>
            <w:tcBorders>
              <w:left w:val="single" w:sz="4" w:space="0" w:color="000000"/>
              <w:bottom w:val="nil" w:sz="6" w:space="0" w:color="auto"/>
              <w:right w:val="single" w:sz="4" w:space="0" w:color="000000"/>
            </w:tcBorders>
            <w:shd w:val="clear" w:color="auto" w:fill="D4D4D4"/>
          </w:tcPr>
          <w:p>
            <w:pPr/>
          </w:p>
        </w:tc>
        <w:tc>
          <w:tcPr>
            <w:tcW w:w="1537" w:type="dxa"/>
            <w:gridSpan w:val="2"/>
            <w:vMerge/>
            <w:tcBorders>
              <w:left w:val="single" w:sz="4" w:space="0" w:color="000000"/>
              <w:bottom w:val="single" w:sz="4" w:space="0" w:color="000000"/>
              <w:right w:val="single" w:sz="4" w:space="0" w:color="000000"/>
            </w:tcBorders>
            <w:shd w:val="clear" w:color="auto" w:fill="D4D4D4"/>
          </w:tcPr>
          <w:p>
            <w:pPr/>
          </w:p>
        </w:tc>
        <w:tc>
          <w:tcPr>
            <w:tcW w:w="1524" w:type="dxa"/>
            <w:gridSpan w:val="2"/>
            <w:vMerge/>
            <w:tcBorders>
              <w:left w:val="single" w:sz="4" w:space="0" w:color="000000"/>
              <w:bottom w:val="single" w:sz="4" w:space="0" w:color="000000"/>
              <w:right w:val="single" w:sz="4" w:space="0" w:color="000000"/>
            </w:tcBorders>
            <w:shd w:val="clear" w:color="auto" w:fill="D4D4D4"/>
          </w:tcPr>
          <w:p>
            <w:pPr/>
          </w:p>
        </w:tc>
        <w:tc>
          <w:tcPr>
            <w:tcW w:w="79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vMerge/>
            <w:tcBorders>
              <w:left w:val="single" w:sz="4" w:space="0" w:color="000000"/>
              <w:bottom w:val="single" w:sz="4" w:space="0" w:color="000000"/>
              <w:right w:val="single" w:sz="4" w:space="0" w:color="000000"/>
            </w:tcBorders>
            <w:shd w:val="clear" w:color="auto" w:fill="D4D4D4"/>
          </w:tcPr>
          <w:p>
            <w:pPr/>
          </w:p>
        </w:tc>
        <w:tc>
          <w:tcPr>
            <w:tcW w:w="1728" w:type="dxa"/>
            <w:gridSpan w:val="2"/>
            <w:vMerge/>
            <w:tcBorders>
              <w:left w:val="single" w:sz="4" w:space="0" w:color="000000"/>
              <w:bottom w:val="single" w:sz="4" w:space="0" w:color="000000"/>
              <w:right w:val="single" w:sz="4" w:space="0" w:color="000000"/>
            </w:tcBorders>
            <w:shd w:val="clear" w:color="auto" w:fill="D4D4D4"/>
          </w:tcPr>
          <w:p>
            <w:pPr/>
          </w:p>
        </w:tc>
        <w:tc>
          <w:tcPr>
            <w:tcW w:w="79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7" w:hRule="exact"/>
        </w:trPr>
        <w:tc>
          <w:tcPr>
            <w:tcW w:w="1624" w:type="dxa"/>
            <w:vMerge w:val="restart"/>
            <w:tcBorders>
              <w:top w:val="nil" w:sz="6" w:space="0" w:color="auto"/>
              <w:left w:val="single" w:sz="4" w:space="0" w:color="000000"/>
              <w:right w:val="single" w:sz="4" w:space="0" w:color="000000"/>
            </w:tcBorders>
            <w:shd w:val="clear" w:color="auto" w:fill="D4D4D4"/>
          </w:tcPr>
          <w:p>
            <w:pPr/>
          </w:p>
        </w:tc>
        <w:tc>
          <w:tcPr>
            <w:tcW w:w="77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nil" w:sz="6" w:space="0" w:color="auto"/>
              <w:right w:val="single" w:sz="4" w:space="0" w:color="000000"/>
            </w:tcBorders>
            <w:shd w:val="clear" w:color="auto" w:fill="D4D4D4"/>
          </w:tcPr>
          <w:p>
            <w:pPr/>
          </w:p>
        </w:tc>
        <w:tc>
          <w:tcPr>
            <w:tcW w:w="77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9"/>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9"/>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9"/>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nil" w:sz="6" w:space="0" w:color="auto"/>
              <w:right w:val="single" w:sz="4" w:space="0" w:color="000000"/>
            </w:tcBorders>
            <w:shd w:val="clear" w:color="auto" w:fill="D4D4D4"/>
          </w:tcPr>
          <w:p>
            <w:pPr/>
          </w:p>
        </w:tc>
      </w:tr>
      <w:tr>
        <w:trPr>
          <w:trHeight w:val="322" w:hRule="exact"/>
        </w:trPr>
        <w:tc>
          <w:tcPr>
            <w:tcW w:w="1624" w:type="dxa"/>
            <w:vMerge/>
            <w:tcBorders>
              <w:left w:val="single" w:sz="4" w:space="0" w:color="000000"/>
              <w:bottom w:val="single" w:sz="4" w:space="0" w:color="000000"/>
              <w:right w:val="single" w:sz="4" w:space="0" w:color="000000"/>
            </w:tcBorders>
            <w:shd w:val="clear" w:color="auto" w:fill="D4D4D4"/>
          </w:tcPr>
          <w:p>
            <w:pPr/>
          </w:p>
        </w:tc>
        <w:tc>
          <w:tcPr>
            <w:tcW w:w="774" w:type="dxa"/>
            <w:vMerge/>
            <w:tcBorders>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61" w:type="dxa"/>
            <w:vMerge/>
            <w:tcBorders>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90" w:type="dxa"/>
            <w:tcBorders>
              <w:top w:val="nil" w:sz="6" w:space="0" w:color="auto"/>
              <w:left w:val="single" w:sz="4" w:space="0" w:color="000000"/>
              <w:bottom w:val="single" w:sz="4" w:space="0" w:color="000000"/>
              <w:right w:val="single" w:sz="4" w:space="0" w:color="000000"/>
            </w:tcBorders>
            <w:shd w:val="clear" w:color="auto" w:fill="D4D4D4"/>
          </w:tcPr>
          <w:p>
            <w:pPr/>
          </w:p>
        </w:tc>
        <w:tc>
          <w:tcPr>
            <w:tcW w:w="775"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74"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7"/>
              <w:ind w:left="63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634"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73"/>
              <w:ind w:left="273" w:right="78" w:hanging="180"/>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74" w:type="dxa"/>
            <w:tcBorders>
              <w:top w:val="single" w:sz="6" w:space="0" w:color="D4D4D4"/>
              <w:left w:val="single" w:sz="10" w:space="0" w:color="D4D4D4"/>
              <w:bottom w:val="single" w:sz="10" w:space="0" w:color="D4D4D4"/>
              <w:right w:val="single" w:sz="4" w:space="0" w:color="000000"/>
            </w:tcBorders>
          </w:tcPr>
          <w:p>
            <w:pPr>
              <w:pStyle w:val="TableParagraph"/>
              <w:spacing w:line="207" w:lineRule="exact" w:before="98"/>
              <w:ind w:left="86" w:right="0"/>
              <w:jc w:val="center"/>
              <w:rPr>
                <w:rFonts w:ascii="Times New Roman" w:hAnsi="Times New Roman" w:cs="Times New Roman" w:eastAsia="Times New Roman" w:hint="default"/>
                <w:sz w:val="18"/>
                <w:szCs w:val="18"/>
              </w:rPr>
            </w:pPr>
            <w:r>
              <w:rPr>
                <w:rFonts w:ascii="Times New Roman"/>
                <w:sz w:val="18"/>
              </w:rPr>
              <w:t>149,529,</w:t>
            </w:r>
          </w:p>
          <w:p>
            <w:pPr>
              <w:pStyle w:val="TableParagraph"/>
              <w:spacing w:line="207" w:lineRule="exact"/>
              <w:ind w:left="219" w:right="0"/>
              <w:jc w:val="center"/>
              <w:rPr>
                <w:rFonts w:ascii="Times New Roman" w:hAnsi="Times New Roman" w:cs="Times New Roman" w:eastAsia="Times New Roman" w:hint="default"/>
                <w:sz w:val="18"/>
                <w:szCs w:val="18"/>
              </w:rPr>
            </w:pPr>
            <w:r>
              <w:rPr>
                <w:rFonts w:ascii="Times New Roman"/>
                <w:sz w:val="18"/>
              </w:rPr>
              <w:t>532.39</w:t>
            </w:r>
          </w:p>
        </w:tc>
        <w:tc>
          <w:tcPr>
            <w:tcW w:w="763" w:type="dxa"/>
            <w:tcBorders>
              <w:top w:val="single" w:sz="6" w:space="0" w:color="D4D4D4"/>
              <w:left w:val="single" w:sz="4" w:space="0" w:color="000000"/>
              <w:bottom w:val="single" w:sz="10" w:space="0" w:color="D4D4D4"/>
              <w:right w:val="single" w:sz="4" w:space="0" w:color="000000"/>
            </w:tcBorders>
          </w:tcPr>
          <w:p>
            <w:pPr/>
          </w:p>
        </w:tc>
        <w:tc>
          <w:tcPr>
            <w:tcW w:w="761" w:type="dxa"/>
            <w:tcBorders>
              <w:top w:val="single" w:sz="6" w:space="0" w:color="D4D4D4"/>
              <w:left w:val="single" w:sz="4" w:space="0" w:color="000000"/>
              <w:bottom w:val="single" w:sz="10" w:space="0" w:color="D4D4D4"/>
              <w:right w:val="single" w:sz="4" w:space="0" w:color="000000"/>
            </w:tcBorders>
          </w:tcPr>
          <w:p>
            <w:pPr/>
          </w:p>
        </w:tc>
        <w:tc>
          <w:tcPr>
            <w:tcW w:w="763" w:type="dxa"/>
            <w:tcBorders>
              <w:top w:val="single" w:sz="6" w:space="0" w:color="D4D4D4"/>
              <w:left w:val="single" w:sz="4" w:space="0" w:color="000000"/>
              <w:bottom w:val="single" w:sz="10" w:space="0" w:color="D4D4D4"/>
              <w:right w:val="single" w:sz="4" w:space="0" w:color="000000"/>
            </w:tcBorders>
          </w:tcPr>
          <w:p>
            <w:pPr/>
          </w:p>
        </w:tc>
        <w:tc>
          <w:tcPr>
            <w:tcW w:w="790" w:type="dxa"/>
            <w:tcBorders>
              <w:top w:val="single" w:sz="6" w:space="0" w:color="D4D4D4"/>
              <w:left w:val="single" w:sz="4" w:space="0" w:color="000000"/>
              <w:bottom w:val="single" w:sz="10" w:space="0" w:color="D4D4D4"/>
              <w:right w:val="single" w:sz="4" w:space="0" w:color="000000"/>
            </w:tcBorders>
          </w:tcPr>
          <w:p>
            <w:pPr>
              <w:pStyle w:val="TableParagraph"/>
              <w:spacing w:line="207" w:lineRule="exact" w:before="98"/>
              <w:ind w:left="35" w:right="0"/>
              <w:jc w:val="left"/>
              <w:rPr>
                <w:rFonts w:ascii="Times New Roman" w:hAnsi="Times New Roman" w:cs="Times New Roman" w:eastAsia="Times New Roman" w:hint="default"/>
                <w:sz w:val="18"/>
                <w:szCs w:val="18"/>
              </w:rPr>
            </w:pPr>
            <w:r>
              <w:rPr>
                <w:rFonts w:ascii="Times New Roman"/>
                <w:sz w:val="18"/>
              </w:rPr>
              <w:t>149,529,5</w:t>
            </w:r>
          </w:p>
          <w:p>
            <w:pPr>
              <w:pStyle w:val="TableParagraph"/>
              <w:spacing w:line="207" w:lineRule="exact"/>
              <w:ind w:left="350" w:right="0"/>
              <w:jc w:val="left"/>
              <w:rPr>
                <w:rFonts w:ascii="Times New Roman" w:hAnsi="Times New Roman" w:cs="Times New Roman" w:eastAsia="Times New Roman" w:hint="default"/>
                <w:sz w:val="18"/>
                <w:szCs w:val="18"/>
              </w:rPr>
            </w:pPr>
            <w:r>
              <w:rPr>
                <w:rFonts w:ascii="Times New Roman"/>
                <w:sz w:val="18"/>
              </w:rPr>
              <w:t>32.39</w:t>
            </w:r>
          </w:p>
        </w:tc>
        <w:tc>
          <w:tcPr>
            <w:tcW w:w="775" w:type="dxa"/>
            <w:tcBorders>
              <w:top w:val="single" w:sz="6" w:space="0" w:color="D4D4D4"/>
              <w:left w:val="single" w:sz="4" w:space="0" w:color="000000"/>
              <w:bottom w:val="single" w:sz="10" w:space="0" w:color="D4D4D4"/>
              <w:right w:val="single" w:sz="4" w:space="0" w:color="000000"/>
            </w:tcBorders>
          </w:tcPr>
          <w:p>
            <w:pPr>
              <w:pStyle w:val="TableParagraph"/>
              <w:spacing w:line="207" w:lineRule="exact" w:before="98"/>
              <w:ind w:left="23" w:right="0"/>
              <w:jc w:val="left"/>
              <w:rPr>
                <w:rFonts w:ascii="Times New Roman" w:hAnsi="Times New Roman" w:cs="Times New Roman" w:eastAsia="Times New Roman" w:hint="default"/>
                <w:sz w:val="18"/>
                <w:szCs w:val="18"/>
              </w:rPr>
            </w:pPr>
            <w:r>
              <w:rPr>
                <w:rFonts w:ascii="Times New Roman"/>
                <w:sz w:val="18"/>
              </w:rPr>
              <w:t>78,358,08</w:t>
            </w:r>
          </w:p>
          <w:p>
            <w:pPr>
              <w:pStyle w:val="TableParagraph"/>
              <w:spacing w:line="207" w:lineRule="exact"/>
              <w:ind w:left="429" w:right="0"/>
              <w:jc w:val="left"/>
              <w:rPr>
                <w:rFonts w:ascii="Times New Roman" w:hAnsi="Times New Roman" w:cs="Times New Roman" w:eastAsia="Times New Roman" w:hint="default"/>
                <w:sz w:val="18"/>
                <w:szCs w:val="18"/>
              </w:rPr>
            </w:pPr>
            <w:r>
              <w:rPr>
                <w:rFonts w:ascii="Times New Roman"/>
                <w:sz w:val="18"/>
              </w:rPr>
              <w:t>6.03</w:t>
            </w:r>
          </w:p>
        </w:tc>
        <w:tc>
          <w:tcPr>
            <w:tcW w:w="797" w:type="dxa"/>
            <w:tcBorders>
              <w:top w:val="single" w:sz="6" w:space="0" w:color="D4D4D4"/>
              <w:left w:val="single" w:sz="4" w:space="0" w:color="000000"/>
              <w:bottom w:val="single" w:sz="10" w:space="0" w:color="D4D4D4"/>
              <w:right w:val="single" w:sz="4" w:space="0" w:color="000000"/>
            </w:tcBorders>
          </w:tcPr>
          <w:p>
            <w:pPr/>
          </w:p>
        </w:tc>
        <w:tc>
          <w:tcPr>
            <w:tcW w:w="931" w:type="dxa"/>
            <w:tcBorders>
              <w:top w:val="single" w:sz="6" w:space="0" w:color="D4D4D4"/>
              <w:left w:val="single" w:sz="4" w:space="0" w:color="000000"/>
              <w:bottom w:val="single" w:sz="10" w:space="0" w:color="D4D4D4"/>
              <w:right w:val="single" w:sz="4" w:space="0" w:color="000000"/>
            </w:tcBorders>
          </w:tcPr>
          <w:p>
            <w:pPr>
              <w:pStyle w:val="TableParagraph"/>
              <w:spacing w:line="207" w:lineRule="exact" w:before="98"/>
              <w:ind w:right="20"/>
              <w:jc w:val="right"/>
              <w:rPr>
                <w:rFonts w:ascii="Times New Roman" w:hAnsi="Times New Roman" w:cs="Times New Roman" w:eastAsia="Times New Roman" w:hint="default"/>
                <w:sz w:val="18"/>
                <w:szCs w:val="18"/>
              </w:rPr>
            </w:pPr>
            <w:r>
              <w:rPr>
                <w:rFonts w:ascii="Times New Roman"/>
                <w:spacing w:val="-1"/>
                <w:sz w:val="18"/>
              </w:rPr>
              <w:t>1,159,813.9</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6" w:space="0" w:color="D4D4D4"/>
              <w:left w:val="single" w:sz="4" w:space="0" w:color="000000"/>
              <w:bottom w:val="single" w:sz="10" w:space="0" w:color="D4D4D4"/>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1.48%</w:t>
            </w:r>
          </w:p>
        </w:tc>
        <w:tc>
          <w:tcPr>
            <w:tcW w:w="792" w:type="dxa"/>
            <w:tcBorders>
              <w:top w:val="single" w:sz="6" w:space="0" w:color="D4D4D4"/>
              <w:left w:val="single" w:sz="4" w:space="0" w:color="000000"/>
              <w:bottom w:val="single" w:sz="10" w:space="0" w:color="D4D4D4"/>
              <w:right w:val="single" w:sz="4" w:space="0" w:color="000000"/>
            </w:tcBorders>
          </w:tcPr>
          <w:p>
            <w:pPr>
              <w:pStyle w:val="TableParagraph"/>
              <w:spacing w:line="207" w:lineRule="exact" w:before="98"/>
              <w:ind w:left="40" w:right="0"/>
              <w:jc w:val="left"/>
              <w:rPr>
                <w:rFonts w:ascii="Times New Roman" w:hAnsi="Times New Roman" w:cs="Times New Roman" w:eastAsia="Times New Roman" w:hint="default"/>
                <w:sz w:val="18"/>
                <w:szCs w:val="18"/>
              </w:rPr>
            </w:pPr>
            <w:r>
              <w:rPr>
                <w:rFonts w:ascii="Times New Roman"/>
                <w:sz w:val="18"/>
              </w:rPr>
              <w:t>77,198,27</w:t>
            </w:r>
          </w:p>
          <w:p>
            <w:pPr>
              <w:pStyle w:val="TableParagraph"/>
              <w:spacing w:line="207" w:lineRule="exact"/>
              <w:ind w:left="446" w:right="0"/>
              <w:jc w:val="left"/>
              <w:rPr>
                <w:rFonts w:ascii="Times New Roman" w:hAnsi="Times New Roman" w:cs="Times New Roman" w:eastAsia="Times New Roman" w:hint="default"/>
                <w:sz w:val="18"/>
                <w:szCs w:val="18"/>
              </w:rPr>
            </w:pPr>
            <w:r>
              <w:rPr>
                <w:rFonts w:ascii="Times New Roman"/>
                <w:sz w:val="18"/>
              </w:rPr>
              <w:t>2.09</w:t>
            </w:r>
          </w:p>
        </w:tc>
      </w:tr>
      <w:tr>
        <w:trPr>
          <w:trHeight w:val="374"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7"/>
              <w:ind w:left="63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576"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0"/>
              <w:ind w:left="63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6" w:space="0" w:color="D4D4D4"/>
              <w:left w:val="single" w:sz="10" w:space="0" w:color="D4D4D4"/>
              <w:bottom w:val="single" w:sz="4" w:space="0" w:color="000000"/>
              <w:right w:val="single" w:sz="4" w:space="0" w:color="000000"/>
            </w:tcBorders>
          </w:tcPr>
          <w:p>
            <w:pPr>
              <w:pStyle w:val="TableParagraph"/>
              <w:spacing w:line="207" w:lineRule="exact" w:before="72"/>
              <w:ind w:left="86" w:right="0"/>
              <w:jc w:val="center"/>
              <w:rPr>
                <w:rFonts w:ascii="Times New Roman" w:hAnsi="Times New Roman" w:cs="Times New Roman" w:eastAsia="Times New Roman" w:hint="default"/>
                <w:sz w:val="18"/>
                <w:szCs w:val="18"/>
              </w:rPr>
            </w:pPr>
            <w:r>
              <w:rPr>
                <w:rFonts w:ascii="Times New Roman"/>
                <w:sz w:val="18"/>
              </w:rPr>
              <w:t>149,529,</w:t>
            </w:r>
          </w:p>
          <w:p>
            <w:pPr>
              <w:pStyle w:val="TableParagraph"/>
              <w:spacing w:line="207" w:lineRule="exact"/>
              <w:ind w:left="219" w:right="0"/>
              <w:jc w:val="center"/>
              <w:rPr>
                <w:rFonts w:ascii="Times New Roman" w:hAnsi="Times New Roman" w:cs="Times New Roman" w:eastAsia="Times New Roman" w:hint="default"/>
                <w:sz w:val="18"/>
                <w:szCs w:val="18"/>
              </w:rPr>
            </w:pPr>
            <w:r>
              <w:rPr>
                <w:rFonts w:ascii="Times New Roman"/>
                <w:sz w:val="18"/>
              </w:rPr>
              <w:t>532.39</w:t>
            </w:r>
          </w:p>
        </w:tc>
        <w:tc>
          <w:tcPr>
            <w:tcW w:w="763" w:type="dxa"/>
            <w:tcBorders>
              <w:top w:val="single" w:sz="6" w:space="0" w:color="D4D4D4"/>
              <w:left w:val="single" w:sz="4" w:space="0" w:color="000000"/>
              <w:bottom w:val="single" w:sz="4" w:space="0" w:color="000000"/>
              <w:right w:val="single" w:sz="4" w:space="0" w:color="000000"/>
            </w:tcBorders>
          </w:tcPr>
          <w:p>
            <w:pPr/>
          </w:p>
        </w:tc>
        <w:tc>
          <w:tcPr>
            <w:tcW w:w="761" w:type="dxa"/>
            <w:tcBorders>
              <w:top w:val="single" w:sz="6" w:space="0" w:color="D4D4D4"/>
              <w:left w:val="single" w:sz="4" w:space="0" w:color="000000"/>
              <w:bottom w:val="single" w:sz="4" w:space="0" w:color="000000"/>
              <w:right w:val="single" w:sz="4" w:space="0" w:color="000000"/>
            </w:tcBorders>
          </w:tcPr>
          <w:p>
            <w:pPr/>
          </w:p>
        </w:tc>
        <w:tc>
          <w:tcPr>
            <w:tcW w:w="763" w:type="dxa"/>
            <w:tcBorders>
              <w:top w:val="single" w:sz="6" w:space="0" w:color="D4D4D4"/>
              <w:left w:val="single" w:sz="4" w:space="0" w:color="000000"/>
              <w:bottom w:val="single" w:sz="4" w:space="0" w:color="000000"/>
              <w:right w:val="single" w:sz="4" w:space="0" w:color="000000"/>
            </w:tcBorders>
          </w:tcPr>
          <w:p>
            <w:pPr/>
          </w:p>
        </w:tc>
        <w:tc>
          <w:tcPr>
            <w:tcW w:w="790" w:type="dxa"/>
            <w:tcBorders>
              <w:top w:val="single" w:sz="6" w:space="0" w:color="D4D4D4"/>
              <w:left w:val="single" w:sz="4" w:space="0" w:color="000000"/>
              <w:bottom w:val="single" w:sz="4" w:space="0" w:color="000000"/>
              <w:right w:val="single" w:sz="4" w:space="0" w:color="000000"/>
            </w:tcBorders>
          </w:tcPr>
          <w:p>
            <w:pPr>
              <w:pStyle w:val="TableParagraph"/>
              <w:spacing w:line="207" w:lineRule="exact" w:before="72"/>
              <w:ind w:left="35" w:right="0"/>
              <w:jc w:val="left"/>
              <w:rPr>
                <w:rFonts w:ascii="Times New Roman" w:hAnsi="Times New Roman" w:cs="Times New Roman" w:eastAsia="Times New Roman" w:hint="default"/>
                <w:sz w:val="18"/>
                <w:szCs w:val="18"/>
              </w:rPr>
            </w:pPr>
            <w:r>
              <w:rPr>
                <w:rFonts w:ascii="Times New Roman"/>
                <w:sz w:val="18"/>
              </w:rPr>
              <w:t>149,529,5</w:t>
            </w:r>
          </w:p>
          <w:p>
            <w:pPr>
              <w:pStyle w:val="TableParagraph"/>
              <w:spacing w:line="207" w:lineRule="exact"/>
              <w:ind w:left="350" w:right="0"/>
              <w:jc w:val="left"/>
              <w:rPr>
                <w:rFonts w:ascii="Times New Roman" w:hAnsi="Times New Roman" w:cs="Times New Roman" w:eastAsia="Times New Roman" w:hint="default"/>
                <w:sz w:val="18"/>
                <w:szCs w:val="18"/>
              </w:rPr>
            </w:pPr>
            <w:r>
              <w:rPr>
                <w:rFonts w:ascii="Times New Roman"/>
                <w:sz w:val="18"/>
              </w:rPr>
              <w:t>32.39</w:t>
            </w:r>
          </w:p>
        </w:tc>
        <w:tc>
          <w:tcPr>
            <w:tcW w:w="775" w:type="dxa"/>
            <w:tcBorders>
              <w:top w:val="single" w:sz="6" w:space="0" w:color="D4D4D4"/>
              <w:left w:val="single" w:sz="4" w:space="0" w:color="000000"/>
              <w:bottom w:val="single" w:sz="4" w:space="0" w:color="000000"/>
              <w:right w:val="single" w:sz="4" w:space="0" w:color="000000"/>
            </w:tcBorders>
          </w:tcPr>
          <w:p>
            <w:pPr>
              <w:pStyle w:val="TableParagraph"/>
              <w:spacing w:line="207" w:lineRule="exact" w:before="72"/>
              <w:ind w:left="23" w:right="0"/>
              <w:jc w:val="left"/>
              <w:rPr>
                <w:rFonts w:ascii="Times New Roman" w:hAnsi="Times New Roman" w:cs="Times New Roman" w:eastAsia="Times New Roman" w:hint="default"/>
                <w:sz w:val="18"/>
                <w:szCs w:val="18"/>
              </w:rPr>
            </w:pPr>
            <w:r>
              <w:rPr>
                <w:rFonts w:ascii="Times New Roman"/>
                <w:sz w:val="18"/>
              </w:rPr>
              <w:t>78,358,08</w:t>
            </w:r>
          </w:p>
          <w:p>
            <w:pPr>
              <w:pStyle w:val="TableParagraph"/>
              <w:spacing w:line="207" w:lineRule="exact"/>
              <w:ind w:left="429" w:right="0"/>
              <w:jc w:val="left"/>
              <w:rPr>
                <w:rFonts w:ascii="Times New Roman" w:hAnsi="Times New Roman" w:cs="Times New Roman" w:eastAsia="Times New Roman" w:hint="default"/>
                <w:sz w:val="18"/>
                <w:szCs w:val="18"/>
              </w:rPr>
            </w:pPr>
            <w:r>
              <w:rPr>
                <w:rFonts w:ascii="Times New Roman"/>
                <w:sz w:val="18"/>
              </w:rPr>
              <w:t>6.03</w:t>
            </w:r>
          </w:p>
        </w:tc>
        <w:tc>
          <w:tcPr>
            <w:tcW w:w="797" w:type="dxa"/>
            <w:tcBorders>
              <w:top w:val="single" w:sz="6" w:space="0" w:color="D4D4D4"/>
              <w:left w:val="single" w:sz="4" w:space="0" w:color="000000"/>
              <w:bottom w:val="single" w:sz="4" w:space="0" w:color="000000"/>
              <w:right w:val="single" w:sz="4" w:space="0" w:color="000000"/>
            </w:tcBorders>
          </w:tcPr>
          <w:p>
            <w:pPr/>
          </w:p>
        </w:tc>
        <w:tc>
          <w:tcPr>
            <w:tcW w:w="931" w:type="dxa"/>
            <w:tcBorders>
              <w:top w:val="single" w:sz="6" w:space="0" w:color="D4D4D4"/>
              <w:left w:val="single" w:sz="4" w:space="0" w:color="000000"/>
              <w:bottom w:val="single" w:sz="4" w:space="0" w:color="000000"/>
              <w:right w:val="single" w:sz="4" w:space="0" w:color="000000"/>
            </w:tcBorders>
          </w:tcPr>
          <w:p>
            <w:pPr>
              <w:pStyle w:val="TableParagraph"/>
              <w:spacing w:line="207" w:lineRule="exact" w:before="72"/>
              <w:ind w:right="20"/>
              <w:jc w:val="right"/>
              <w:rPr>
                <w:rFonts w:ascii="Times New Roman" w:hAnsi="Times New Roman" w:cs="Times New Roman" w:eastAsia="Times New Roman" w:hint="default"/>
                <w:sz w:val="18"/>
                <w:szCs w:val="18"/>
              </w:rPr>
            </w:pPr>
            <w:r>
              <w:rPr>
                <w:rFonts w:ascii="Times New Roman"/>
                <w:spacing w:val="-1"/>
                <w:sz w:val="18"/>
              </w:rPr>
              <w:t>1,159,813.9</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6" w:space="0" w:color="D4D4D4"/>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1.48%</w:t>
            </w:r>
          </w:p>
        </w:tc>
        <w:tc>
          <w:tcPr>
            <w:tcW w:w="792" w:type="dxa"/>
            <w:tcBorders>
              <w:top w:val="single" w:sz="6" w:space="0" w:color="D4D4D4"/>
              <w:left w:val="single" w:sz="4" w:space="0" w:color="000000"/>
              <w:bottom w:val="single" w:sz="4" w:space="0" w:color="000000"/>
              <w:right w:val="single" w:sz="4" w:space="0" w:color="000000"/>
            </w:tcBorders>
          </w:tcPr>
          <w:p>
            <w:pPr>
              <w:pStyle w:val="TableParagraph"/>
              <w:spacing w:line="207" w:lineRule="exact" w:before="72"/>
              <w:ind w:left="40" w:right="0"/>
              <w:jc w:val="left"/>
              <w:rPr>
                <w:rFonts w:ascii="Times New Roman" w:hAnsi="Times New Roman" w:cs="Times New Roman" w:eastAsia="Times New Roman" w:hint="default"/>
                <w:sz w:val="18"/>
                <w:szCs w:val="18"/>
              </w:rPr>
            </w:pPr>
            <w:r>
              <w:rPr>
                <w:rFonts w:ascii="Times New Roman"/>
                <w:sz w:val="18"/>
              </w:rPr>
              <w:t>77,198,27</w:t>
            </w:r>
          </w:p>
          <w:p>
            <w:pPr>
              <w:pStyle w:val="TableParagraph"/>
              <w:spacing w:line="207" w:lineRule="exact"/>
              <w:ind w:left="446" w:right="0"/>
              <w:jc w:val="left"/>
              <w:rPr>
                <w:rFonts w:ascii="Times New Roman" w:hAnsi="Times New Roman" w:cs="Times New Roman" w:eastAsia="Times New Roman" w:hint="default"/>
                <w:sz w:val="18"/>
                <w:szCs w:val="18"/>
              </w:rPr>
            </w:pPr>
            <w:r>
              <w:rPr>
                <w:rFonts w:ascii="Times New Roman"/>
                <w:sz w:val="18"/>
              </w:rPr>
              <w:t>2.09</w:t>
            </w:r>
          </w:p>
        </w:tc>
      </w:tr>
    </w:tbl>
    <w:p>
      <w:pPr>
        <w:pStyle w:val="BodyText"/>
        <w:spacing w:line="240" w:lineRule="auto" w:before="64"/>
        <w:ind w:right="1127"/>
        <w:jc w:val="left"/>
      </w:pPr>
      <w:r>
        <w:rPr/>
        <w:t>按单项计提坏账准备：</w:t>
      </w:r>
    </w:p>
    <w:p>
      <w:pPr>
        <w:spacing w:line="240" w:lineRule="auto" w:before="12"/>
        <w:rPr>
          <w:rFonts w:ascii="宋体" w:hAnsi="宋体" w:cs="宋体" w:eastAsia="宋体" w:hint="default"/>
          <w:sz w:val="14"/>
          <w:szCs w:val="14"/>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389" w:hRule="exact"/>
        </w:trPr>
        <w:tc>
          <w:tcPr>
            <w:tcW w:w="191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6" w:hRule="exact"/>
        </w:trPr>
        <w:tc>
          <w:tcPr>
            <w:tcW w:w="1912"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64"/>
        <w:ind w:right="1127"/>
        <w:jc w:val="left"/>
      </w:pPr>
      <w:r>
        <w:rPr/>
        <w:t>按组合计提坏账准备：</w:t>
      </w:r>
    </w:p>
    <w:p>
      <w:pPr>
        <w:spacing w:line="240" w:lineRule="auto" w:before="1"/>
        <w:rPr>
          <w:rFonts w:ascii="宋体" w:hAnsi="宋体" w:cs="宋体" w:eastAsia="宋体" w:hint="default"/>
          <w:sz w:val="15"/>
          <w:szCs w:val="15"/>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386" w:hRule="exact"/>
        </w:trPr>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9" w:hRule="exact"/>
        </w:trPr>
        <w:tc>
          <w:tcPr>
            <w:tcW w:w="2392" w:type="dxa"/>
            <w:vMerge/>
            <w:tcBorders>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444" w:lineRule="auto" w:before="64"/>
        <w:ind w:right="1127"/>
        <w:jc w:val="left"/>
      </w:pPr>
      <w:r>
        <w:rPr/>
        <w:t>确定该组合依据的说明：</w:t>
      </w:r>
      <w:r>
        <w:rPr>
          <w:w w:val="100"/>
        </w:rPr>
        <w:t> </w:t>
      </w:r>
      <w:r>
        <w:rPr>
          <w:spacing w:val="-2"/>
        </w:rPr>
        <w:t>如是按照预期信用损失一般模型计提应收票据坏账准备，请参照其他应收款的披露方式披露坏账准备</w:t>
      </w:r>
    </w:p>
    <w:p>
      <w:pPr>
        <w:pStyle w:val="BodyText"/>
        <w:spacing w:line="227" w:lineRule="exact"/>
        <w:ind w:left="152" w:right="1127"/>
        <w:jc w:val="left"/>
      </w:pPr>
      <w:r>
        <w:rPr/>
        <w:t>的相关信息：</w:t>
      </w:r>
    </w:p>
    <w:p>
      <w:pPr>
        <w:spacing w:line="240" w:lineRule="auto" w:before="12"/>
        <w:rPr>
          <w:rFonts w:ascii="宋体" w:hAnsi="宋体" w:cs="宋体" w:eastAsia="宋体" w:hint="default"/>
          <w:sz w:val="17"/>
          <w:szCs w:val="17"/>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32"/>
          <w:szCs w:val="32"/>
        </w:rPr>
      </w:pPr>
    </w:p>
    <w:p>
      <w:pPr>
        <w:spacing w:line="470" w:lineRule="auto" w:before="0"/>
        <w:ind w:left="572" w:right="5512" w:hanging="421"/>
        <w:jc w:val="left"/>
        <w:rPr>
          <w:rFonts w:ascii="宋体" w:hAnsi="宋体" w:cs="宋体" w:eastAsia="宋体" w:hint="default"/>
          <w:sz w:val="21"/>
          <w:szCs w:val="21"/>
        </w:rPr>
      </w:pPr>
      <w:bookmarkStart w:name="（2）本期计提、收回或转回的坏账准备情况" w:id="353"/>
      <w:bookmarkEnd w:id="353"/>
      <w:r>
        <w:rPr/>
      </w: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）本期计提、收回或转回的坏账准备情况</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本期计提坏账准备情况：</w:t>
      </w:r>
    </w:p>
    <w:p>
      <w:pPr>
        <w:spacing w:after="0" w:line="470" w:lineRule="auto"/>
        <w:jc w:val="left"/>
        <w:rPr>
          <w:rFonts w:ascii="宋体" w:hAnsi="宋体" w:cs="宋体" w:eastAsia="宋体" w:hint="default"/>
          <w:sz w:val="21"/>
          <w:szCs w:val="21"/>
        </w:rPr>
        <w:sectPr>
          <w:pgSz w:w="11910" w:h="16840"/>
          <w:pgMar w:header="882" w:footer="1134" w:top="1280" w:bottom="1320" w:left="980" w:right="0"/>
        </w:sectPr>
      </w:pPr>
    </w:p>
    <w:p>
      <w:pPr>
        <w:pStyle w:val="BodyText"/>
        <w:spacing w:line="240" w:lineRule="auto" w:before="110"/>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386"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9"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4D4D4"/>
          </w:tcPr>
          <w:p>
            <w:pPr/>
          </w:p>
        </w:tc>
      </w:tr>
    </w:tbl>
    <w:p>
      <w:pPr>
        <w:pStyle w:val="BodyText"/>
        <w:spacing w:line="240" w:lineRule="auto" w:before="64"/>
        <w:ind w:right="1127"/>
        <w:jc w:val="left"/>
      </w:pPr>
      <w:r>
        <w:rPr/>
        <w:t>其中本期坏账准备收回或转回金额重要的：</w:t>
      </w:r>
    </w:p>
    <w:p>
      <w:pPr>
        <w:spacing w:line="240" w:lineRule="auto" w:before="9"/>
        <w:rPr>
          <w:rFonts w:ascii="宋体" w:hAnsi="宋体" w:cs="宋体" w:eastAsia="宋体" w:hint="default"/>
          <w:sz w:val="17"/>
          <w:szCs w:val="17"/>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32"/>
          <w:szCs w:val="32"/>
        </w:rPr>
      </w:pPr>
    </w:p>
    <w:p>
      <w:pPr>
        <w:pStyle w:val="Heading4"/>
        <w:spacing w:line="240" w:lineRule="auto"/>
        <w:ind w:right="1127"/>
        <w:jc w:val="left"/>
        <w:rPr>
          <w:b w:val="0"/>
          <w:bCs w:val="0"/>
        </w:rPr>
      </w:pPr>
      <w:bookmarkStart w:name="（3）期末公司已质押的应收票据" w:id="354"/>
      <w:bookmarkEnd w:id="354"/>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386"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4）期末公司已背书或贴现且在资产负债表日尚未到期的应收票据" w:id="355"/>
      <w:bookmarkEnd w:id="355"/>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3179"/>
        <w:gridCol w:w="3188"/>
        <w:gridCol w:w="3190"/>
      </w:tblGrid>
      <w:tr>
        <w:trPr>
          <w:trHeight w:val="386" w:hRule="exact"/>
        </w:trPr>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389" w:hRule="exact"/>
        </w:trPr>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商业承兑票据</w:t>
            </w:r>
          </w:p>
        </w:tc>
        <w:tc>
          <w:tcPr>
            <w:tcW w:w="318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37,286,993.08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13"/>
              <w:jc w:val="center"/>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37,286,993.08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5）期末公司因出票人未履约而将其转应收账款的票据" w:id="356"/>
      <w:bookmarkEnd w:id="356"/>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389"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4"/>
        <w:ind w:right="1127"/>
        <w:jc w:val="left"/>
        <w:rPr>
          <w:b w:val="0"/>
          <w:bCs w:val="0"/>
        </w:rPr>
      </w:pPr>
      <w:bookmarkStart w:name="（6）本期实际核销的应收票据情况" w:id="357"/>
      <w:bookmarkEnd w:id="357"/>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386"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64"/>
        <w:ind w:right="1127"/>
        <w:jc w:val="left"/>
      </w:pPr>
      <w:r>
        <w:rPr/>
        <w:t>其中重要的应收票据核销情况：</w:t>
      </w:r>
    </w:p>
    <w:p>
      <w:pPr>
        <w:spacing w:line="240" w:lineRule="auto" w:before="1"/>
        <w:rPr>
          <w:rFonts w:ascii="宋体" w:hAnsi="宋体" w:cs="宋体" w:eastAsia="宋体" w:hint="default"/>
          <w:sz w:val="15"/>
          <w:szCs w:val="15"/>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619"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7"/>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7"/>
              <w:ind w:left="251"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7"/>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7"/>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7"/>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523" w:right="59"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64"/>
        <w:ind w:right="1127"/>
        <w:jc w:val="left"/>
      </w:pPr>
      <w:r>
        <w:rPr/>
        <w:t>应收票据核销说明：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5、应收账款" w:id="358"/>
      <w:bookmarkEnd w:id="358"/>
      <w:r>
        <w:rPr>
          <w:b w:val="0"/>
          <w:bCs w:val="0"/>
        </w:rPr>
      </w:r>
      <w:r>
        <w:rPr>
          <w:rFonts w:ascii="Times New Roman" w:hAnsi="Times New Roman" w:cs="Times New Roman" w:eastAsia="Times New Roman" w:hint="default"/>
        </w:rPr>
        <w:t>5</w:t>
      </w:r>
      <w:r>
        <w:rPr/>
        <w:t>、应收账款</w:t>
      </w:r>
      <w:r>
        <w:rPr>
          <w:b w:val="0"/>
          <w:bCs w:val="0"/>
        </w:rPr>
      </w:r>
    </w:p>
    <w:p>
      <w:pPr>
        <w:spacing w:after="0" w:line="240" w:lineRule="auto"/>
        <w:jc w:val="left"/>
        <w:sectPr>
          <w:pgSz w:w="11910" w:h="16840"/>
          <w:pgMar w:header="882" w:footer="1134" w:top="1280" w:bottom="1320" w:left="980" w:right="0"/>
        </w:sectPr>
      </w:pPr>
    </w:p>
    <w:p>
      <w:pPr>
        <w:pStyle w:val="Heading4"/>
        <w:spacing w:line="240" w:lineRule="auto" w:before="112"/>
        <w:ind w:right="1127"/>
        <w:jc w:val="left"/>
        <w:rPr>
          <w:b w:val="0"/>
          <w:bCs w:val="0"/>
        </w:rPr>
      </w:pPr>
      <w:bookmarkStart w:name="（1）应收账款分类披露" w:id="359"/>
      <w:bookmarkEnd w:id="35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3"/>
        <w:gridCol w:w="761"/>
        <w:gridCol w:w="763"/>
        <w:gridCol w:w="790"/>
        <w:gridCol w:w="775"/>
        <w:gridCol w:w="797"/>
        <w:gridCol w:w="799"/>
        <w:gridCol w:w="790"/>
        <w:gridCol w:w="931"/>
      </w:tblGrid>
      <w:tr>
        <w:trPr>
          <w:trHeight w:val="382" w:hRule="exact"/>
        </w:trPr>
        <w:tc>
          <w:tcPr>
            <w:tcW w:w="1624" w:type="dxa"/>
            <w:vMerge w:val="restart"/>
            <w:tcBorders>
              <w:top w:val="single" w:sz="4" w:space="0" w:color="000000"/>
              <w:left w:val="single" w:sz="4" w:space="0" w:color="000000"/>
              <w:right w:val="single" w:sz="4" w:space="0" w:color="000000"/>
            </w:tcBorders>
            <w:shd w:val="clear" w:color="auto" w:fill="D4D4D4"/>
          </w:tcPr>
          <w:p>
            <w:pPr/>
          </w:p>
        </w:tc>
        <w:tc>
          <w:tcPr>
            <w:tcW w:w="3851" w:type="dxa"/>
            <w:gridSpan w:val="5"/>
            <w:tcBorders>
              <w:top w:val="single" w:sz="4" w:space="0" w:color="000000"/>
              <w:left w:val="single" w:sz="4" w:space="0" w:color="000000"/>
              <w:bottom w:val="single" w:sz="4" w:space="0" w:color="000000"/>
              <w:right w:val="single" w:sz="4" w:space="0" w:color="FFFFFF"/>
            </w:tcBorders>
            <w:shd w:val="clear" w:color="auto" w:fill="D4D4D4"/>
          </w:tcPr>
          <w:p>
            <w:pPr>
              <w:pStyle w:val="TableParagraph"/>
              <w:spacing w:line="240" w:lineRule="auto" w:before="4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2" w:type="dxa"/>
            <w:gridSpan w:val="5"/>
            <w:tcBorders>
              <w:top w:val="single" w:sz="4" w:space="0" w:color="000000"/>
              <w:left w:val="single" w:sz="4" w:space="0" w:color="FFFFFF"/>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7" w:hRule="exact"/>
        </w:trPr>
        <w:tc>
          <w:tcPr>
            <w:tcW w:w="1624" w:type="dxa"/>
            <w:vMerge/>
            <w:tcBorders>
              <w:left w:val="single" w:sz="4" w:space="0" w:color="000000"/>
              <w:bottom w:val="nil" w:sz="6" w:space="0" w:color="auto"/>
              <w:right w:val="single" w:sz="4" w:space="0" w:color="000000"/>
            </w:tcBorders>
            <w:shd w:val="clear" w:color="auto" w:fill="D4D4D4"/>
          </w:tcPr>
          <w:p>
            <w:pPr/>
          </w:p>
        </w:tc>
        <w:tc>
          <w:tcPr>
            <w:tcW w:w="153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FFFFFF"/>
            </w:tcBorders>
            <w:shd w:val="clear" w:color="auto" w:fill="D4D4D4"/>
          </w:tcPr>
          <w:p>
            <w:pPr/>
          </w:p>
        </w:tc>
        <w:tc>
          <w:tcPr>
            <w:tcW w:w="1572" w:type="dxa"/>
            <w:gridSpan w:val="2"/>
            <w:vMerge w:val="restart"/>
            <w:tcBorders>
              <w:top w:val="single" w:sz="4" w:space="0" w:color="000000"/>
              <w:left w:val="single" w:sz="4" w:space="0" w:color="FFFFFF"/>
              <w:right w:val="single" w:sz="4" w:space="0" w:color="000000"/>
            </w:tcBorders>
            <w:shd w:val="clear" w:color="auto" w:fill="D4D4D4"/>
          </w:tcPr>
          <w:p>
            <w:pPr>
              <w:pStyle w:val="TableParagraph"/>
              <w:spacing w:line="240" w:lineRule="auto" w:before="46"/>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6"/>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194" w:hRule="exact"/>
        </w:trPr>
        <w:tc>
          <w:tcPr>
            <w:tcW w:w="162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right w:val="single" w:sz="4" w:space="0" w:color="000000"/>
            </w:tcBorders>
            <w:shd w:val="clear" w:color="auto" w:fill="D4D4D4"/>
          </w:tcPr>
          <w:p>
            <w:pPr/>
          </w:p>
        </w:tc>
        <w:tc>
          <w:tcPr>
            <w:tcW w:w="1524" w:type="dxa"/>
            <w:gridSpan w:val="2"/>
            <w:vMerge/>
            <w:tcBorders>
              <w:left w:val="single" w:sz="4" w:space="0" w:color="000000"/>
              <w:right w:val="single" w:sz="4" w:space="0" w:color="000000"/>
            </w:tcBorders>
            <w:shd w:val="clear" w:color="auto" w:fill="D4D4D4"/>
          </w:tcPr>
          <w:p>
            <w:pPr/>
          </w:p>
        </w:tc>
        <w:tc>
          <w:tcPr>
            <w:tcW w:w="790" w:type="dxa"/>
            <w:vMerge/>
            <w:tcBorders>
              <w:left w:val="single" w:sz="4" w:space="0" w:color="000000"/>
              <w:bottom w:val="nil" w:sz="6" w:space="0" w:color="auto"/>
              <w:right w:val="single" w:sz="4" w:space="0" w:color="FFFFFF"/>
            </w:tcBorders>
            <w:shd w:val="clear" w:color="auto" w:fill="D4D4D4"/>
          </w:tcPr>
          <w:p>
            <w:pPr/>
          </w:p>
        </w:tc>
        <w:tc>
          <w:tcPr>
            <w:tcW w:w="1572" w:type="dxa"/>
            <w:gridSpan w:val="2"/>
            <w:vMerge/>
            <w:tcBorders>
              <w:left w:val="single" w:sz="4" w:space="0" w:color="FFFFFF"/>
              <w:right w:val="single" w:sz="4" w:space="0" w:color="000000"/>
            </w:tcBorders>
            <w:shd w:val="clear" w:color="auto" w:fill="D4D4D4"/>
          </w:tcPr>
          <w:p>
            <w:pPr/>
          </w:p>
        </w:tc>
        <w:tc>
          <w:tcPr>
            <w:tcW w:w="1589" w:type="dxa"/>
            <w:gridSpan w:val="2"/>
            <w:vMerge/>
            <w:tcBorders>
              <w:left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30" w:hRule="exact"/>
        </w:trPr>
        <w:tc>
          <w:tcPr>
            <w:tcW w:w="1624" w:type="dxa"/>
            <w:vMerge/>
            <w:tcBorders>
              <w:left w:val="single" w:sz="4" w:space="0" w:color="000000"/>
              <w:bottom w:val="nil" w:sz="6" w:space="0" w:color="auto"/>
              <w:right w:val="single" w:sz="4" w:space="0" w:color="000000"/>
            </w:tcBorders>
            <w:shd w:val="clear" w:color="auto" w:fill="D4D4D4"/>
          </w:tcPr>
          <w:p>
            <w:pPr/>
          </w:p>
        </w:tc>
        <w:tc>
          <w:tcPr>
            <w:tcW w:w="1537" w:type="dxa"/>
            <w:gridSpan w:val="2"/>
            <w:vMerge/>
            <w:tcBorders>
              <w:left w:val="single" w:sz="4" w:space="0" w:color="000000"/>
              <w:bottom w:val="single" w:sz="4" w:space="0" w:color="000000"/>
              <w:right w:val="single" w:sz="4" w:space="0" w:color="000000"/>
            </w:tcBorders>
            <w:shd w:val="clear" w:color="auto" w:fill="D4D4D4"/>
          </w:tcPr>
          <w:p>
            <w:pPr/>
          </w:p>
        </w:tc>
        <w:tc>
          <w:tcPr>
            <w:tcW w:w="1524" w:type="dxa"/>
            <w:gridSpan w:val="2"/>
            <w:vMerge/>
            <w:tcBorders>
              <w:left w:val="single" w:sz="4" w:space="0" w:color="000000"/>
              <w:bottom w:val="single" w:sz="4" w:space="0" w:color="000000"/>
              <w:right w:val="single" w:sz="4" w:space="0" w:color="000000"/>
            </w:tcBorders>
            <w:shd w:val="clear" w:color="auto" w:fill="D4D4D4"/>
          </w:tcPr>
          <w:p>
            <w:pPr/>
          </w:p>
        </w:tc>
        <w:tc>
          <w:tcPr>
            <w:tcW w:w="790" w:type="dxa"/>
            <w:vMerge w:val="restart"/>
            <w:tcBorders>
              <w:top w:val="nil" w:sz="6" w:space="0" w:color="auto"/>
              <w:left w:val="single" w:sz="4" w:space="0" w:color="000000"/>
              <w:right w:val="single" w:sz="4" w:space="0" w:color="FFFFFF"/>
            </w:tcBorders>
            <w:shd w:val="clear" w:color="auto" w:fill="D4D4D4"/>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vMerge/>
            <w:tcBorders>
              <w:left w:val="single" w:sz="4" w:space="0" w:color="FFFFFF"/>
              <w:bottom w:val="single" w:sz="4" w:space="0" w:color="000000"/>
              <w:right w:val="single" w:sz="4" w:space="0" w:color="000000"/>
            </w:tcBorders>
            <w:shd w:val="clear" w:color="auto" w:fill="D4D4D4"/>
          </w:tcPr>
          <w:p>
            <w:pPr/>
          </w:p>
        </w:tc>
        <w:tc>
          <w:tcPr>
            <w:tcW w:w="1589"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7" w:hRule="exact"/>
        </w:trPr>
        <w:tc>
          <w:tcPr>
            <w:tcW w:w="1624" w:type="dxa"/>
            <w:vMerge w:val="restart"/>
            <w:tcBorders>
              <w:top w:val="nil" w:sz="6" w:space="0" w:color="auto"/>
              <w:left w:val="single" w:sz="4" w:space="0" w:color="000000"/>
              <w:right w:val="single" w:sz="4" w:space="0" w:color="000000"/>
            </w:tcBorders>
            <w:shd w:val="clear" w:color="auto" w:fill="D4D4D4"/>
          </w:tcPr>
          <w:p>
            <w:pPr/>
          </w:p>
        </w:tc>
        <w:tc>
          <w:tcPr>
            <w:tcW w:w="77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8"/>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nil" w:sz="6" w:space="0" w:color="auto"/>
              <w:right w:val="single" w:sz="4" w:space="0" w:color="FFFFFF"/>
            </w:tcBorders>
            <w:shd w:val="clear" w:color="auto" w:fill="D4D4D4"/>
          </w:tcPr>
          <w:p>
            <w:pPr/>
          </w:p>
        </w:tc>
        <w:tc>
          <w:tcPr>
            <w:tcW w:w="775" w:type="dxa"/>
            <w:vMerge w:val="restart"/>
            <w:tcBorders>
              <w:top w:val="single" w:sz="4" w:space="0" w:color="000000"/>
              <w:left w:val="single" w:sz="4" w:space="0" w:color="FFFFFF"/>
              <w:right w:val="single" w:sz="4" w:space="0" w:color="000000"/>
            </w:tcBorders>
            <w:shd w:val="clear" w:color="auto" w:fill="D4D4D4"/>
          </w:tcPr>
          <w:p>
            <w:pPr>
              <w:pStyle w:val="TableParagraph"/>
              <w:spacing w:line="240" w:lineRule="auto" w:before="99"/>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9"/>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9"/>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314" w:hRule="exact"/>
        </w:trPr>
        <w:tc>
          <w:tcPr>
            <w:tcW w:w="1624" w:type="dxa"/>
            <w:vMerge/>
            <w:tcBorders>
              <w:left w:val="single" w:sz="4" w:space="0" w:color="000000"/>
              <w:bottom w:val="single" w:sz="4" w:space="0" w:color="000000"/>
              <w:right w:val="single" w:sz="4" w:space="0" w:color="000000"/>
            </w:tcBorders>
            <w:shd w:val="clear" w:color="auto" w:fill="D4D4D4"/>
          </w:tcPr>
          <w:p>
            <w:pPr/>
          </w:p>
        </w:tc>
        <w:tc>
          <w:tcPr>
            <w:tcW w:w="774" w:type="dxa"/>
            <w:vMerge/>
            <w:tcBorders>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61" w:type="dxa"/>
            <w:vMerge/>
            <w:tcBorders>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90" w:type="dxa"/>
            <w:tcBorders>
              <w:top w:val="nil" w:sz="6" w:space="0" w:color="auto"/>
              <w:left w:val="single" w:sz="4" w:space="0" w:color="000000"/>
              <w:bottom w:val="single" w:sz="4" w:space="0" w:color="000000"/>
              <w:right w:val="single" w:sz="4" w:space="0" w:color="FFFFFF"/>
            </w:tcBorders>
            <w:shd w:val="clear" w:color="auto" w:fill="D4D4D4"/>
          </w:tcPr>
          <w:p>
            <w:pPr/>
          </w:p>
        </w:tc>
        <w:tc>
          <w:tcPr>
            <w:tcW w:w="775" w:type="dxa"/>
            <w:vMerge/>
            <w:tcBorders>
              <w:left w:val="single" w:sz="4" w:space="0" w:color="FFFFFF"/>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vMerge/>
            <w:tcBorders>
              <w:left w:val="single" w:sz="4" w:space="0" w:color="000000"/>
              <w:bottom w:val="single" w:sz="4" w:space="0" w:color="000000"/>
              <w:right w:val="single" w:sz="4" w:space="0" w:color="000000"/>
            </w:tcBorders>
            <w:shd w:val="clear" w:color="auto" w:fill="D4D4D4"/>
          </w:tcPr>
          <w:p>
            <w:pPr/>
          </w:p>
        </w:tc>
        <w:tc>
          <w:tcPr>
            <w:tcW w:w="790" w:type="dxa"/>
            <w:vMerge/>
            <w:tcBorders>
              <w:left w:val="single" w:sz="4" w:space="0" w:color="000000"/>
              <w:bottom w:val="single" w:sz="4" w:space="0" w:color="000000"/>
              <w:right w:val="single" w:sz="4" w:space="0" w:color="000000"/>
            </w:tcBorders>
            <w:shd w:val="clear" w:color="auto" w:fill="D4D4D4"/>
          </w:tcPr>
          <w:p>
            <w:pPr/>
          </w:p>
        </w:tc>
        <w:tc>
          <w:tcPr>
            <w:tcW w:w="931"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629"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8"/>
              <w:ind w:left="273" w:right="78" w:hanging="180"/>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4" w:type="dxa"/>
            <w:tcBorders>
              <w:top w:val="single" w:sz="46" w:space="0" w:color="D4D4D4"/>
              <w:left w:val="single" w:sz="10" w:space="0" w:color="D4D4D4"/>
              <w:bottom w:val="single" w:sz="10" w:space="0" w:color="D4D4D4"/>
              <w:right w:val="single" w:sz="4" w:space="0" w:color="000000"/>
            </w:tcBorders>
          </w:tcPr>
          <w:p>
            <w:pPr>
              <w:pStyle w:val="TableParagraph"/>
              <w:spacing w:line="207" w:lineRule="exact" w:before="43"/>
              <w:ind w:right="16"/>
              <w:jc w:val="right"/>
              <w:rPr>
                <w:rFonts w:ascii="Times New Roman" w:hAnsi="Times New Roman" w:cs="Times New Roman" w:eastAsia="Times New Roman" w:hint="default"/>
                <w:sz w:val="18"/>
                <w:szCs w:val="18"/>
              </w:rPr>
            </w:pPr>
            <w:r>
              <w:rPr>
                <w:rFonts w:ascii="Times New Roman"/>
                <w:sz w:val="18"/>
              </w:rPr>
              <w:t>285,000.</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6" w:space="0" w:color="D4D4D4"/>
              <w:left w:val="single" w:sz="4" w:space="0" w:color="000000"/>
              <w:bottom w:val="single" w:sz="10" w:space="0" w:color="D4D4D4"/>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z w:val="18"/>
              </w:rPr>
              <w:t>0.03%</w:t>
            </w:r>
          </w:p>
        </w:tc>
        <w:tc>
          <w:tcPr>
            <w:tcW w:w="761" w:type="dxa"/>
            <w:tcBorders>
              <w:top w:val="single" w:sz="46" w:space="0" w:color="D4D4D4"/>
              <w:left w:val="single" w:sz="4" w:space="0" w:color="000000"/>
              <w:bottom w:val="single" w:sz="10" w:space="0" w:color="D4D4D4"/>
              <w:right w:val="single" w:sz="4" w:space="0" w:color="000000"/>
            </w:tcBorders>
          </w:tcPr>
          <w:p>
            <w:pPr>
              <w:pStyle w:val="TableParagraph"/>
              <w:spacing w:line="207" w:lineRule="exact" w:before="43"/>
              <w:ind w:right="16"/>
              <w:jc w:val="right"/>
              <w:rPr>
                <w:rFonts w:ascii="Times New Roman" w:hAnsi="Times New Roman" w:cs="Times New Roman" w:eastAsia="Times New Roman" w:hint="default"/>
                <w:sz w:val="18"/>
                <w:szCs w:val="18"/>
              </w:rPr>
            </w:pPr>
            <w:r>
              <w:rPr>
                <w:rFonts w:ascii="Times New Roman"/>
                <w:sz w:val="18"/>
              </w:rPr>
              <w:t>285,000.</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10" w:space="0" w:color="D4D4D4"/>
              <w:right w:val="single" w:sz="4" w:space="0" w:color="FFFFFF"/>
            </w:tcBorders>
          </w:tcPr>
          <w:p>
            <w:pPr/>
          </w:p>
        </w:tc>
        <w:tc>
          <w:tcPr>
            <w:tcW w:w="775" w:type="dxa"/>
            <w:tcBorders>
              <w:top w:val="single" w:sz="46" w:space="0" w:color="D4D4D4"/>
              <w:left w:val="single" w:sz="4" w:space="0" w:color="FFFFFF"/>
              <w:bottom w:val="single" w:sz="10" w:space="0" w:color="D4D4D4"/>
              <w:right w:val="single" w:sz="4" w:space="0" w:color="000000"/>
            </w:tcBorders>
          </w:tcPr>
          <w:p>
            <w:pPr/>
          </w:p>
        </w:tc>
        <w:tc>
          <w:tcPr>
            <w:tcW w:w="797" w:type="dxa"/>
            <w:tcBorders>
              <w:top w:val="single" w:sz="46" w:space="0" w:color="D4D4D4"/>
              <w:left w:val="single" w:sz="4" w:space="0" w:color="000000"/>
              <w:bottom w:val="single" w:sz="10" w:space="0" w:color="D4D4D4"/>
              <w:right w:val="single" w:sz="4" w:space="0" w:color="000000"/>
            </w:tcBorders>
          </w:tcPr>
          <w:p>
            <w:pPr/>
          </w:p>
        </w:tc>
        <w:tc>
          <w:tcPr>
            <w:tcW w:w="799" w:type="dxa"/>
            <w:tcBorders>
              <w:top w:val="single" w:sz="46" w:space="0" w:color="D4D4D4"/>
              <w:left w:val="single" w:sz="4" w:space="0" w:color="000000"/>
              <w:bottom w:val="single" w:sz="10" w:space="0" w:color="D4D4D4"/>
              <w:right w:val="single" w:sz="4" w:space="0" w:color="000000"/>
            </w:tcBorders>
          </w:tcPr>
          <w:p>
            <w:pPr/>
          </w:p>
        </w:tc>
        <w:tc>
          <w:tcPr>
            <w:tcW w:w="790" w:type="dxa"/>
            <w:tcBorders>
              <w:top w:val="single" w:sz="46" w:space="0" w:color="D4D4D4"/>
              <w:left w:val="single" w:sz="4" w:space="0" w:color="000000"/>
              <w:bottom w:val="single" w:sz="10" w:space="0" w:color="D4D4D4"/>
              <w:right w:val="single" w:sz="4" w:space="0" w:color="000000"/>
            </w:tcBorders>
          </w:tcPr>
          <w:p>
            <w:pPr/>
          </w:p>
        </w:tc>
        <w:tc>
          <w:tcPr>
            <w:tcW w:w="931" w:type="dxa"/>
            <w:tcBorders>
              <w:top w:val="single" w:sz="4" w:space="0" w:color="000000"/>
              <w:left w:val="single" w:sz="4" w:space="0" w:color="000000"/>
              <w:bottom w:val="single" w:sz="10" w:space="0" w:color="D4D4D4"/>
              <w:right w:val="single" w:sz="4" w:space="0" w:color="000000"/>
            </w:tcBorders>
          </w:tcPr>
          <w:p>
            <w:pPr/>
          </w:p>
        </w:tc>
      </w:tr>
      <w:tr>
        <w:trPr>
          <w:trHeight w:val="374"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4"/>
              <w:ind w:left="10" w:right="0"/>
              <w:jc w:val="center"/>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0" w:type="dxa"/>
            <w:tcBorders>
              <w:top w:val="single" w:sz="4" w:space="0" w:color="000000"/>
              <w:left w:val="single" w:sz="4" w:space="0" w:color="000000"/>
              <w:bottom w:val="single" w:sz="4" w:space="0" w:color="000000"/>
              <w:right w:val="single" w:sz="4" w:space="0" w:color="FFFFFF"/>
            </w:tcBorders>
            <w:shd w:val="clear" w:color="auto" w:fill="D4D4D4"/>
          </w:tcPr>
          <w:p>
            <w:pPr/>
          </w:p>
        </w:tc>
        <w:tc>
          <w:tcPr>
            <w:tcW w:w="775" w:type="dxa"/>
            <w:tcBorders>
              <w:top w:val="single" w:sz="4" w:space="0" w:color="000000"/>
              <w:left w:val="single" w:sz="4" w:space="0" w:color="FFFFFF"/>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634"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73"/>
              <w:ind w:left="273" w:right="78" w:hanging="180"/>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6" w:space="0" w:color="D4D4D4"/>
              <w:left w:val="single" w:sz="10" w:space="0" w:color="D4D4D4"/>
              <w:bottom w:val="single" w:sz="10" w:space="0" w:color="D4D4D4"/>
              <w:right w:val="single" w:sz="4" w:space="0" w:color="000000"/>
            </w:tcBorders>
          </w:tcPr>
          <w:p>
            <w:pPr>
              <w:pStyle w:val="TableParagraph"/>
              <w:spacing w:line="207" w:lineRule="exact" w:before="98"/>
              <w:ind w:left="104" w:right="0"/>
              <w:jc w:val="left"/>
              <w:rPr>
                <w:rFonts w:ascii="Times New Roman" w:hAnsi="Times New Roman" w:cs="Times New Roman" w:eastAsia="Times New Roman" w:hint="default"/>
                <w:sz w:val="18"/>
                <w:szCs w:val="18"/>
              </w:rPr>
            </w:pPr>
            <w:r>
              <w:rPr>
                <w:rFonts w:ascii="Times New Roman"/>
                <w:sz w:val="18"/>
              </w:rPr>
              <w:t>1,080,10</w:t>
            </w:r>
          </w:p>
          <w:p>
            <w:pPr>
              <w:pStyle w:val="TableParagraph"/>
              <w:spacing w:line="207" w:lineRule="exact"/>
              <w:ind w:left="104" w:right="0"/>
              <w:jc w:val="left"/>
              <w:rPr>
                <w:rFonts w:ascii="Times New Roman" w:hAnsi="Times New Roman" w:cs="Times New Roman" w:eastAsia="Times New Roman" w:hint="default"/>
                <w:sz w:val="18"/>
                <w:szCs w:val="18"/>
              </w:rPr>
            </w:pPr>
            <w:r>
              <w:rPr>
                <w:rFonts w:ascii="Times New Roman"/>
                <w:sz w:val="18"/>
              </w:rPr>
              <w:t>2,971.06</w:t>
            </w:r>
          </w:p>
        </w:tc>
        <w:tc>
          <w:tcPr>
            <w:tcW w:w="763" w:type="dxa"/>
            <w:tcBorders>
              <w:top w:val="single" w:sz="6" w:space="0" w:color="D4D4D4"/>
              <w:left w:val="single" w:sz="4" w:space="0" w:color="000000"/>
              <w:bottom w:val="single" w:sz="10" w:space="0" w:color="D4D4D4"/>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99.97%</w:t>
            </w:r>
          </w:p>
        </w:tc>
        <w:tc>
          <w:tcPr>
            <w:tcW w:w="761" w:type="dxa"/>
            <w:tcBorders>
              <w:top w:val="single" w:sz="6" w:space="0" w:color="D4D4D4"/>
              <w:left w:val="single" w:sz="4" w:space="0" w:color="000000"/>
              <w:bottom w:val="single" w:sz="10" w:space="0" w:color="D4D4D4"/>
              <w:right w:val="single" w:sz="4" w:space="0" w:color="000000"/>
            </w:tcBorders>
          </w:tcPr>
          <w:p>
            <w:pPr>
              <w:pStyle w:val="TableParagraph"/>
              <w:spacing w:line="207" w:lineRule="exact" w:before="98"/>
              <w:ind w:left="80" w:right="0"/>
              <w:jc w:val="center"/>
              <w:rPr>
                <w:rFonts w:ascii="Times New Roman" w:hAnsi="Times New Roman" w:cs="Times New Roman" w:eastAsia="Times New Roman" w:hint="default"/>
                <w:sz w:val="18"/>
                <w:szCs w:val="18"/>
              </w:rPr>
            </w:pPr>
            <w:r>
              <w:rPr>
                <w:rFonts w:ascii="Times New Roman"/>
                <w:sz w:val="18"/>
              </w:rPr>
              <w:t>126,441,</w:t>
            </w:r>
          </w:p>
          <w:p>
            <w:pPr>
              <w:pStyle w:val="TableParagraph"/>
              <w:spacing w:line="207" w:lineRule="exact"/>
              <w:ind w:left="213" w:right="0"/>
              <w:jc w:val="center"/>
              <w:rPr>
                <w:rFonts w:ascii="Times New Roman" w:hAnsi="Times New Roman" w:cs="Times New Roman" w:eastAsia="Times New Roman" w:hint="default"/>
                <w:sz w:val="18"/>
                <w:szCs w:val="18"/>
              </w:rPr>
            </w:pPr>
            <w:r>
              <w:rPr>
                <w:rFonts w:ascii="Times New Roman"/>
                <w:sz w:val="18"/>
              </w:rPr>
              <w:t>920.90</w:t>
            </w:r>
          </w:p>
        </w:tc>
        <w:tc>
          <w:tcPr>
            <w:tcW w:w="763" w:type="dxa"/>
            <w:tcBorders>
              <w:top w:val="single" w:sz="6" w:space="0" w:color="D4D4D4"/>
              <w:left w:val="single" w:sz="4" w:space="0" w:color="000000"/>
              <w:bottom w:val="single" w:sz="10" w:space="0" w:color="D4D4D4"/>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11.71%</w:t>
            </w:r>
            <w:r>
              <w:rPr>
                <w:rFonts w:ascii="Times New Roman"/>
                <w:sz w:val="18"/>
              </w:rPr>
            </w:r>
          </w:p>
        </w:tc>
        <w:tc>
          <w:tcPr>
            <w:tcW w:w="790" w:type="dxa"/>
            <w:tcBorders>
              <w:top w:val="single" w:sz="6" w:space="0" w:color="D4D4D4"/>
              <w:left w:val="single" w:sz="4" w:space="0" w:color="000000"/>
              <w:bottom w:val="single" w:sz="10" w:space="0" w:color="D4D4D4"/>
              <w:right w:val="single" w:sz="4" w:space="0" w:color="FFFFFF"/>
            </w:tcBorders>
          </w:tcPr>
          <w:p>
            <w:pPr>
              <w:pStyle w:val="TableParagraph"/>
              <w:spacing w:line="207" w:lineRule="exact" w:before="98"/>
              <w:ind w:left="35" w:right="0"/>
              <w:jc w:val="left"/>
              <w:rPr>
                <w:rFonts w:ascii="Times New Roman" w:hAnsi="Times New Roman" w:cs="Times New Roman" w:eastAsia="Times New Roman" w:hint="default"/>
                <w:sz w:val="18"/>
                <w:szCs w:val="18"/>
              </w:rPr>
            </w:pPr>
            <w:r>
              <w:rPr>
                <w:rFonts w:ascii="Times New Roman"/>
                <w:sz w:val="18"/>
              </w:rPr>
              <w:t>953,661,0</w:t>
            </w:r>
          </w:p>
          <w:p>
            <w:pPr>
              <w:pStyle w:val="TableParagraph"/>
              <w:spacing w:line="207" w:lineRule="exact"/>
              <w:ind w:left="350" w:right="0"/>
              <w:jc w:val="left"/>
              <w:rPr>
                <w:rFonts w:ascii="Times New Roman" w:hAnsi="Times New Roman" w:cs="Times New Roman" w:eastAsia="Times New Roman" w:hint="default"/>
                <w:sz w:val="18"/>
                <w:szCs w:val="18"/>
              </w:rPr>
            </w:pPr>
            <w:r>
              <w:rPr>
                <w:rFonts w:ascii="Times New Roman"/>
                <w:sz w:val="18"/>
              </w:rPr>
              <w:t>50.16</w:t>
            </w:r>
          </w:p>
        </w:tc>
        <w:tc>
          <w:tcPr>
            <w:tcW w:w="775" w:type="dxa"/>
            <w:tcBorders>
              <w:top w:val="single" w:sz="6" w:space="0" w:color="D4D4D4"/>
              <w:left w:val="single" w:sz="4" w:space="0" w:color="FFFFFF"/>
              <w:bottom w:val="single" w:sz="10" w:space="0" w:color="D4D4D4"/>
              <w:right w:val="single" w:sz="4" w:space="0" w:color="000000"/>
            </w:tcBorders>
          </w:tcPr>
          <w:p>
            <w:pPr>
              <w:pStyle w:val="TableParagraph"/>
              <w:spacing w:line="207" w:lineRule="exact" w:before="98"/>
              <w:ind w:left="3" w:right="0"/>
              <w:jc w:val="center"/>
              <w:rPr>
                <w:rFonts w:ascii="Times New Roman" w:hAnsi="Times New Roman" w:cs="Times New Roman" w:eastAsia="Times New Roman" w:hint="default"/>
                <w:sz w:val="18"/>
                <w:szCs w:val="18"/>
              </w:rPr>
            </w:pPr>
            <w:r>
              <w:rPr>
                <w:rFonts w:ascii="Times New Roman"/>
                <w:sz w:val="18"/>
              </w:rPr>
              <w:t>1,226,219</w:t>
            </w:r>
          </w:p>
          <w:p>
            <w:pPr>
              <w:pStyle w:val="TableParagraph"/>
              <w:spacing w:line="207" w:lineRule="exact"/>
              <w:ind w:left="182" w:right="0"/>
              <w:jc w:val="center"/>
              <w:rPr>
                <w:rFonts w:ascii="Times New Roman" w:hAnsi="Times New Roman" w:cs="Times New Roman" w:eastAsia="Times New Roman" w:hint="default"/>
                <w:sz w:val="18"/>
                <w:szCs w:val="18"/>
              </w:rPr>
            </w:pPr>
            <w:r>
              <w:rPr>
                <w:rFonts w:ascii="Times New Roman"/>
                <w:sz w:val="18"/>
              </w:rPr>
              <w:t>,712.33</w:t>
            </w:r>
          </w:p>
        </w:tc>
        <w:tc>
          <w:tcPr>
            <w:tcW w:w="797" w:type="dxa"/>
            <w:tcBorders>
              <w:top w:val="single" w:sz="6" w:space="0" w:color="D4D4D4"/>
              <w:left w:val="single" w:sz="4" w:space="0" w:color="000000"/>
              <w:bottom w:val="single" w:sz="10" w:space="0" w:color="D4D4D4"/>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6" w:space="0" w:color="D4D4D4"/>
              <w:left w:val="single" w:sz="4" w:space="0" w:color="000000"/>
              <w:bottom w:val="single" w:sz="10" w:space="0" w:color="D4D4D4"/>
              <w:right w:val="single" w:sz="4" w:space="0" w:color="000000"/>
            </w:tcBorders>
          </w:tcPr>
          <w:p>
            <w:pPr>
              <w:pStyle w:val="TableParagraph"/>
              <w:spacing w:line="207" w:lineRule="exact" w:before="98"/>
              <w:ind w:left="45" w:right="0"/>
              <w:jc w:val="left"/>
              <w:rPr>
                <w:rFonts w:ascii="Times New Roman" w:hAnsi="Times New Roman" w:cs="Times New Roman" w:eastAsia="Times New Roman" w:hint="default"/>
                <w:sz w:val="18"/>
                <w:szCs w:val="18"/>
              </w:rPr>
            </w:pPr>
            <w:r>
              <w:rPr>
                <w:rFonts w:ascii="Times New Roman"/>
                <w:sz w:val="18"/>
              </w:rPr>
              <w:t>107,419,5</w:t>
            </w:r>
          </w:p>
          <w:p>
            <w:pPr>
              <w:pStyle w:val="TableParagraph"/>
              <w:spacing w:line="207" w:lineRule="exact"/>
              <w:ind w:left="359" w:right="0"/>
              <w:jc w:val="left"/>
              <w:rPr>
                <w:rFonts w:ascii="Times New Roman" w:hAnsi="Times New Roman" w:cs="Times New Roman" w:eastAsia="Times New Roman" w:hint="default"/>
                <w:sz w:val="18"/>
                <w:szCs w:val="18"/>
              </w:rPr>
            </w:pPr>
            <w:r>
              <w:rPr>
                <w:rFonts w:ascii="Times New Roman"/>
                <w:sz w:val="18"/>
              </w:rPr>
              <w:t>29.42</w:t>
            </w:r>
          </w:p>
        </w:tc>
        <w:tc>
          <w:tcPr>
            <w:tcW w:w="790" w:type="dxa"/>
            <w:tcBorders>
              <w:top w:val="single" w:sz="6" w:space="0" w:color="D4D4D4"/>
              <w:left w:val="single" w:sz="4" w:space="0" w:color="000000"/>
              <w:bottom w:val="single" w:sz="10" w:space="0" w:color="D4D4D4"/>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8.76%</w:t>
            </w:r>
          </w:p>
        </w:tc>
        <w:tc>
          <w:tcPr>
            <w:tcW w:w="931" w:type="dxa"/>
            <w:tcBorders>
              <w:top w:val="single" w:sz="6" w:space="0" w:color="D4D4D4"/>
              <w:left w:val="single" w:sz="4" w:space="0" w:color="000000"/>
              <w:bottom w:val="single" w:sz="10" w:space="0" w:color="D4D4D4"/>
              <w:right w:val="single" w:sz="4" w:space="0" w:color="000000"/>
            </w:tcBorders>
          </w:tcPr>
          <w:p>
            <w:pPr>
              <w:pStyle w:val="TableParagraph"/>
              <w:spacing w:line="207" w:lineRule="exact" w:before="98"/>
              <w:ind w:left="52" w:right="0"/>
              <w:jc w:val="left"/>
              <w:rPr>
                <w:rFonts w:ascii="Times New Roman" w:hAnsi="Times New Roman" w:cs="Times New Roman" w:eastAsia="Times New Roman" w:hint="default"/>
                <w:sz w:val="18"/>
                <w:szCs w:val="18"/>
              </w:rPr>
            </w:pPr>
            <w:r>
              <w:rPr>
                <w:rFonts w:ascii="Times New Roman"/>
                <w:sz w:val="18"/>
              </w:rPr>
              <w:t>1,118,800,1</w:t>
            </w:r>
          </w:p>
          <w:p>
            <w:pPr>
              <w:pStyle w:val="TableParagraph"/>
              <w:spacing w:line="207" w:lineRule="exact"/>
              <w:ind w:left="494" w:right="0"/>
              <w:jc w:val="left"/>
              <w:rPr>
                <w:rFonts w:ascii="Times New Roman" w:hAnsi="Times New Roman" w:cs="Times New Roman" w:eastAsia="Times New Roman" w:hint="default"/>
                <w:sz w:val="18"/>
                <w:szCs w:val="18"/>
              </w:rPr>
            </w:pPr>
            <w:r>
              <w:rPr>
                <w:rFonts w:ascii="Times New Roman"/>
                <w:sz w:val="18"/>
              </w:rPr>
              <w:t>82.91</w:t>
            </w:r>
          </w:p>
        </w:tc>
      </w:tr>
      <w:tr>
        <w:trPr>
          <w:trHeight w:val="374"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4"/>
              <w:ind w:left="10" w:right="0"/>
              <w:jc w:val="center"/>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0" w:type="dxa"/>
            <w:tcBorders>
              <w:top w:val="single" w:sz="4" w:space="0" w:color="000000"/>
              <w:left w:val="single" w:sz="4" w:space="0" w:color="000000"/>
              <w:bottom w:val="single" w:sz="4" w:space="0" w:color="000000"/>
              <w:right w:val="single" w:sz="4" w:space="0" w:color="FFFFFF"/>
            </w:tcBorders>
            <w:shd w:val="clear" w:color="auto" w:fill="D4D4D4"/>
          </w:tcPr>
          <w:p>
            <w:pPr/>
          </w:p>
        </w:tc>
        <w:tc>
          <w:tcPr>
            <w:tcW w:w="775" w:type="dxa"/>
            <w:tcBorders>
              <w:top w:val="single" w:sz="4" w:space="0" w:color="000000"/>
              <w:left w:val="single" w:sz="4" w:space="0" w:color="FFFFFF"/>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626"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3"/>
              <w:ind w:left="722" w:right="49" w:hanging="660"/>
              <w:jc w:val="left"/>
              <w:rPr>
                <w:rFonts w:ascii="宋体" w:hAnsi="宋体" w:cs="宋体" w:eastAsia="宋体" w:hint="default"/>
                <w:sz w:val="18"/>
                <w:szCs w:val="18"/>
              </w:rPr>
            </w:pPr>
            <w:r>
              <w:rPr>
                <w:rFonts w:ascii="宋体" w:hAnsi="宋体" w:cs="宋体" w:eastAsia="宋体" w:hint="default"/>
                <w:sz w:val="18"/>
                <w:szCs w:val="18"/>
              </w:rPr>
              <w:t>账龄组合</w:t>
            </w:r>
            <w:r>
              <w:rPr>
                <w:rFonts w:ascii="Times New Roman" w:hAnsi="Times New Roman" w:cs="Times New Roman" w:eastAsia="Times New Roman" w:hint="default"/>
                <w:sz w:val="18"/>
                <w:szCs w:val="18"/>
              </w:rPr>
              <w:t>-</w:t>
            </w:r>
            <w:r>
              <w:rPr>
                <w:rFonts w:ascii="宋体" w:hAnsi="宋体" w:cs="宋体" w:eastAsia="宋体" w:hint="default"/>
                <w:sz w:val="18"/>
                <w:szCs w:val="18"/>
              </w:rPr>
              <w:t>除泰豪之 外</w:t>
            </w:r>
          </w:p>
        </w:tc>
        <w:tc>
          <w:tcPr>
            <w:tcW w:w="774" w:type="dxa"/>
            <w:tcBorders>
              <w:top w:val="single" w:sz="10" w:space="0" w:color="D4D4D4"/>
              <w:left w:val="single" w:sz="4" w:space="0" w:color="000000"/>
              <w:bottom w:val="single" w:sz="4" w:space="0" w:color="000000"/>
              <w:right w:val="single" w:sz="4" w:space="0" w:color="000000"/>
            </w:tcBorders>
          </w:tcPr>
          <w:p>
            <w:pPr>
              <w:pStyle w:val="TableParagraph"/>
              <w:spacing w:line="207" w:lineRule="exact" w:before="93"/>
              <w:ind w:left="93" w:right="0"/>
              <w:jc w:val="center"/>
              <w:rPr>
                <w:rFonts w:ascii="Times New Roman" w:hAnsi="Times New Roman" w:cs="Times New Roman" w:eastAsia="Times New Roman" w:hint="default"/>
                <w:sz w:val="18"/>
                <w:szCs w:val="18"/>
              </w:rPr>
            </w:pPr>
            <w:r>
              <w:rPr>
                <w:rFonts w:ascii="Times New Roman"/>
                <w:sz w:val="18"/>
              </w:rPr>
              <w:t>375,034,</w:t>
            </w:r>
          </w:p>
          <w:p>
            <w:pPr>
              <w:pStyle w:val="TableParagraph"/>
              <w:spacing w:line="207" w:lineRule="exact"/>
              <w:ind w:left="226" w:right="0"/>
              <w:jc w:val="center"/>
              <w:rPr>
                <w:rFonts w:ascii="Times New Roman" w:hAnsi="Times New Roman" w:cs="Times New Roman" w:eastAsia="Times New Roman" w:hint="default"/>
                <w:sz w:val="18"/>
                <w:szCs w:val="18"/>
              </w:rPr>
            </w:pPr>
            <w:r>
              <w:rPr>
                <w:rFonts w:ascii="Times New Roman"/>
                <w:sz w:val="18"/>
              </w:rPr>
              <w:t>688.34</w:t>
            </w:r>
          </w:p>
        </w:tc>
        <w:tc>
          <w:tcPr>
            <w:tcW w:w="763" w:type="dxa"/>
            <w:tcBorders>
              <w:top w:val="single" w:sz="10" w:space="0" w:color="D4D4D4"/>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34.71%</w:t>
            </w:r>
          </w:p>
        </w:tc>
        <w:tc>
          <w:tcPr>
            <w:tcW w:w="761" w:type="dxa"/>
            <w:tcBorders>
              <w:top w:val="single" w:sz="10" w:space="0" w:color="D4D4D4"/>
              <w:left w:val="single" w:sz="4" w:space="0" w:color="000000"/>
              <w:bottom w:val="single" w:sz="4" w:space="0" w:color="000000"/>
              <w:right w:val="single" w:sz="4" w:space="0" w:color="000000"/>
            </w:tcBorders>
          </w:tcPr>
          <w:p>
            <w:pPr>
              <w:pStyle w:val="TableParagraph"/>
              <w:spacing w:line="207" w:lineRule="exact" w:before="93"/>
              <w:ind w:left="98" w:right="0"/>
              <w:jc w:val="left"/>
              <w:rPr>
                <w:rFonts w:ascii="Times New Roman" w:hAnsi="Times New Roman" w:cs="Times New Roman" w:eastAsia="Times New Roman" w:hint="default"/>
                <w:sz w:val="18"/>
                <w:szCs w:val="18"/>
              </w:rPr>
            </w:pPr>
            <w:r>
              <w:rPr>
                <w:rFonts w:ascii="Times New Roman"/>
                <w:sz w:val="18"/>
              </w:rPr>
              <w:t>49,906,2</w:t>
            </w:r>
          </w:p>
          <w:p>
            <w:pPr>
              <w:pStyle w:val="TableParagraph"/>
              <w:spacing w:line="207" w:lineRule="exact"/>
              <w:ind w:left="323" w:right="0"/>
              <w:jc w:val="left"/>
              <w:rPr>
                <w:rFonts w:ascii="Times New Roman" w:hAnsi="Times New Roman" w:cs="Times New Roman" w:eastAsia="Times New Roman" w:hint="default"/>
                <w:sz w:val="18"/>
                <w:szCs w:val="18"/>
              </w:rPr>
            </w:pPr>
            <w:r>
              <w:rPr>
                <w:rFonts w:ascii="Times New Roman"/>
                <w:sz w:val="18"/>
              </w:rPr>
              <w:t>34.12</w:t>
            </w:r>
          </w:p>
        </w:tc>
        <w:tc>
          <w:tcPr>
            <w:tcW w:w="763" w:type="dxa"/>
            <w:tcBorders>
              <w:top w:val="single" w:sz="10" w:space="0" w:color="D4D4D4"/>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13.31%</w:t>
            </w:r>
          </w:p>
        </w:tc>
        <w:tc>
          <w:tcPr>
            <w:tcW w:w="790" w:type="dxa"/>
            <w:tcBorders>
              <w:top w:val="single" w:sz="10" w:space="0" w:color="D4D4D4"/>
              <w:left w:val="single" w:sz="4" w:space="0" w:color="000000"/>
              <w:bottom w:val="single" w:sz="4" w:space="0" w:color="000000"/>
              <w:right w:val="single" w:sz="4" w:space="0" w:color="FFFFFF"/>
            </w:tcBorders>
          </w:tcPr>
          <w:p>
            <w:pPr>
              <w:pStyle w:val="TableParagraph"/>
              <w:spacing w:line="207" w:lineRule="exact" w:before="93"/>
              <w:ind w:left="35" w:right="0"/>
              <w:jc w:val="left"/>
              <w:rPr>
                <w:rFonts w:ascii="Times New Roman" w:hAnsi="Times New Roman" w:cs="Times New Roman" w:eastAsia="Times New Roman" w:hint="default"/>
                <w:sz w:val="18"/>
                <w:szCs w:val="18"/>
              </w:rPr>
            </w:pPr>
            <w:r>
              <w:rPr>
                <w:rFonts w:ascii="Times New Roman"/>
                <w:sz w:val="18"/>
              </w:rPr>
              <w:t>325,128,4</w:t>
            </w:r>
          </w:p>
          <w:p>
            <w:pPr>
              <w:pStyle w:val="TableParagraph"/>
              <w:spacing w:line="207" w:lineRule="exact"/>
              <w:ind w:left="350" w:right="0"/>
              <w:jc w:val="left"/>
              <w:rPr>
                <w:rFonts w:ascii="Times New Roman" w:hAnsi="Times New Roman" w:cs="Times New Roman" w:eastAsia="Times New Roman" w:hint="default"/>
                <w:sz w:val="18"/>
                <w:szCs w:val="18"/>
              </w:rPr>
            </w:pPr>
            <w:r>
              <w:rPr>
                <w:rFonts w:ascii="Times New Roman"/>
                <w:sz w:val="18"/>
              </w:rPr>
              <w:t>54.22</w:t>
            </w:r>
          </w:p>
        </w:tc>
        <w:tc>
          <w:tcPr>
            <w:tcW w:w="775" w:type="dxa"/>
            <w:tcBorders>
              <w:top w:val="single" w:sz="10" w:space="0" w:color="D4D4D4"/>
              <w:left w:val="single" w:sz="4" w:space="0" w:color="FFFFFF"/>
              <w:bottom w:val="single" w:sz="4" w:space="0" w:color="000000"/>
              <w:right w:val="single" w:sz="4" w:space="0" w:color="000000"/>
            </w:tcBorders>
          </w:tcPr>
          <w:p>
            <w:pPr/>
          </w:p>
        </w:tc>
        <w:tc>
          <w:tcPr>
            <w:tcW w:w="797" w:type="dxa"/>
            <w:tcBorders>
              <w:top w:val="single" w:sz="10" w:space="0" w:color="D4D4D4"/>
              <w:left w:val="single" w:sz="4" w:space="0" w:color="000000"/>
              <w:bottom w:val="single" w:sz="4" w:space="0" w:color="000000"/>
              <w:right w:val="single" w:sz="4" w:space="0" w:color="000000"/>
            </w:tcBorders>
          </w:tcPr>
          <w:p>
            <w:pPr/>
          </w:p>
        </w:tc>
        <w:tc>
          <w:tcPr>
            <w:tcW w:w="799" w:type="dxa"/>
            <w:tcBorders>
              <w:top w:val="single" w:sz="10" w:space="0" w:color="D4D4D4"/>
              <w:left w:val="single" w:sz="4" w:space="0" w:color="000000"/>
              <w:bottom w:val="single" w:sz="4" w:space="0" w:color="000000"/>
              <w:right w:val="single" w:sz="4" w:space="0" w:color="000000"/>
            </w:tcBorders>
          </w:tcPr>
          <w:p>
            <w:pPr/>
          </w:p>
        </w:tc>
        <w:tc>
          <w:tcPr>
            <w:tcW w:w="790" w:type="dxa"/>
            <w:tcBorders>
              <w:top w:val="single" w:sz="10" w:space="0" w:color="D4D4D4"/>
              <w:left w:val="single" w:sz="4" w:space="0" w:color="000000"/>
              <w:bottom w:val="single" w:sz="4" w:space="0" w:color="000000"/>
              <w:right w:val="single" w:sz="4" w:space="0" w:color="000000"/>
            </w:tcBorders>
          </w:tcPr>
          <w:p>
            <w:pPr/>
          </w:p>
        </w:tc>
        <w:tc>
          <w:tcPr>
            <w:tcW w:w="931" w:type="dxa"/>
            <w:tcBorders>
              <w:top w:val="single" w:sz="10" w:space="0" w:color="D4D4D4"/>
              <w:left w:val="single" w:sz="4" w:space="0" w:color="000000"/>
              <w:bottom w:val="single" w:sz="4" w:space="0" w:color="000000"/>
              <w:right w:val="single" w:sz="4" w:space="0" w:color="000000"/>
            </w:tcBorders>
          </w:tcPr>
          <w:p>
            <w:pPr/>
          </w:p>
        </w:tc>
      </w:tr>
      <w:tr>
        <w:trPr>
          <w:trHeight w:val="569"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 w:right="0"/>
              <w:jc w:val="center"/>
              <w:rPr>
                <w:rFonts w:ascii="宋体" w:hAnsi="宋体" w:cs="宋体" w:eastAsia="宋体" w:hint="default"/>
                <w:sz w:val="18"/>
                <w:szCs w:val="18"/>
              </w:rPr>
            </w:pPr>
            <w:r>
              <w:rPr>
                <w:rFonts w:ascii="宋体" w:hAnsi="宋体" w:cs="宋体" w:eastAsia="宋体" w:hint="default"/>
                <w:sz w:val="18"/>
                <w:szCs w:val="18"/>
              </w:rPr>
              <w:t>账龄组合</w:t>
            </w:r>
            <w:r>
              <w:rPr>
                <w:rFonts w:ascii="Times New Roman" w:hAnsi="Times New Roman" w:cs="Times New Roman" w:eastAsia="Times New Roman" w:hint="default"/>
                <w:sz w:val="18"/>
                <w:szCs w:val="18"/>
              </w:rPr>
              <w:t>-</w:t>
            </w:r>
            <w:r>
              <w:rPr>
                <w:rFonts w:ascii="宋体" w:hAnsi="宋体" w:cs="宋体" w:eastAsia="宋体" w:hint="default"/>
                <w:sz w:val="18"/>
                <w:szCs w:val="18"/>
              </w:rPr>
              <w:t>泰豪</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9"/>
              <w:ind w:left="93" w:right="0"/>
              <w:jc w:val="center"/>
              <w:rPr>
                <w:rFonts w:ascii="Times New Roman" w:hAnsi="Times New Roman" w:cs="Times New Roman" w:eastAsia="Times New Roman" w:hint="default"/>
                <w:sz w:val="18"/>
                <w:szCs w:val="18"/>
              </w:rPr>
            </w:pPr>
            <w:r>
              <w:rPr>
                <w:rFonts w:ascii="Times New Roman"/>
                <w:sz w:val="18"/>
              </w:rPr>
              <w:t>705,068,</w:t>
            </w:r>
          </w:p>
          <w:p>
            <w:pPr>
              <w:pStyle w:val="TableParagraph"/>
              <w:spacing w:line="207" w:lineRule="exact"/>
              <w:ind w:left="226" w:right="0"/>
              <w:jc w:val="center"/>
              <w:rPr>
                <w:rFonts w:ascii="Times New Roman" w:hAnsi="Times New Roman" w:cs="Times New Roman" w:eastAsia="Times New Roman" w:hint="default"/>
                <w:sz w:val="18"/>
                <w:szCs w:val="18"/>
              </w:rPr>
            </w:pPr>
            <w:r>
              <w:rPr>
                <w:rFonts w:ascii="Times New Roman"/>
                <w:sz w:val="18"/>
              </w:rPr>
              <w:t>282.72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65.26%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9"/>
              <w:ind w:left="98" w:right="0"/>
              <w:jc w:val="left"/>
              <w:rPr>
                <w:rFonts w:ascii="Times New Roman" w:hAnsi="Times New Roman" w:cs="Times New Roman" w:eastAsia="Times New Roman" w:hint="default"/>
                <w:sz w:val="18"/>
                <w:szCs w:val="18"/>
              </w:rPr>
            </w:pPr>
            <w:r>
              <w:rPr>
                <w:rFonts w:ascii="Times New Roman"/>
                <w:sz w:val="18"/>
              </w:rPr>
              <w:t>76,535,6</w:t>
            </w:r>
          </w:p>
          <w:p>
            <w:pPr>
              <w:pStyle w:val="TableParagraph"/>
              <w:spacing w:line="207" w:lineRule="exact"/>
              <w:ind w:left="323" w:right="0"/>
              <w:jc w:val="left"/>
              <w:rPr>
                <w:rFonts w:ascii="Times New Roman" w:hAnsi="Times New Roman" w:cs="Times New Roman" w:eastAsia="Times New Roman" w:hint="default"/>
                <w:sz w:val="18"/>
                <w:szCs w:val="18"/>
              </w:rPr>
            </w:pPr>
            <w:r>
              <w:rPr>
                <w:rFonts w:ascii="Times New Roman"/>
                <w:sz w:val="18"/>
              </w:rPr>
              <w:t>86.78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10.86%</w:t>
            </w:r>
          </w:p>
        </w:tc>
        <w:tc>
          <w:tcPr>
            <w:tcW w:w="790" w:type="dxa"/>
            <w:tcBorders>
              <w:top w:val="single" w:sz="4" w:space="0" w:color="000000"/>
              <w:left w:val="single" w:sz="4" w:space="0" w:color="000000"/>
              <w:bottom w:val="single" w:sz="4" w:space="0" w:color="000000"/>
              <w:right w:val="single" w:sz="4" w:space="0" w:color="FFFFFF"/>
            </w:tcBorders>
          </w:tcPr>
          <w:p>
            <w:pPr>
              <w:pStyle w:val="TableParagraph"/>
              <w:spacing w:line="207" w:lineRule="exact" w:before="69"/>
              <w:ind w:left="35" w:right="0"/>
              <w:jc w:val="left"/>
              <w:rPr>
                <w:rFonts w:ascii="Times New Roman" w:hAnsi="Times New Roman" w:cs="Times New Roman" w:eastAsia="Times New Roman" w:hint="default"/>
                <w:sz w:val="18"/>
                <w:szCs w:val="18"/>
              </w:rPr>
            </w:pPr>
            <w:r>
              <w:rPr>
                <w:rFonts w:ascii="Times New Roman"/>
                <w:sz w:val="18"/>
              </w:rPr>
              <w:t>628,532,5</w:t>
            </w:r>
          </w:p>
          <w:p>
            <w:pPr>
              <w:pStyle w:val="TableParagraph"/>
              <w:spacing w:line="207" w:lineRule="exact"/>
              <w:ind w:left="350" w:right="0"/>
              <w:jc w:val="left"/>
              <w:rPr>
                <w:rFonts w:ascii="Times New Roman" w:hAnsi="Times New Roman" w:cs="Times New Roman" w:eastAsia="Times New Roman" w:hint="default"/>
                <w:sz w:val="18"/>
                <w:szCs w:val="18"/>
              </w:rPr>
            </w:pPr>
            <w:r>
              <w:rPr>
                <w:rFonts w:ascii="Times New Roman"/>
                <w:sz w:val="18"/>
              </w:rPr>
              <w:t>95.94</w:t>
            </w:r>
          </w:p>
        </w:tc>
        <w:tc>
          <w:tcPr>
            <w:tcW w:w="77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3"/>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left="111" w:right="0"/>
              <w:jc w:val="left"/>
              <w:rPr>
                <w:rFonts w:ascii="Times New Roman" w:hAnsi="Times New Roman" w:cs="Times New Roman" w:eastAsia="Times New Roman" w:hint="default"/>
                <w:sz w:val="18"/>
                <w:szCs w:val="18"/>
              </w:rPr>
            </w:pPr>
            <w:r>
              <w:rPr>
                <w:rFonts w:ascii="Times New Roman"/>
                <w:sz w:val="18"/>
              </w:rPr>
              <w:t>1,080,38</w:t>
            </w:r>
          </w:p>
          <w:p>
            <w:pPr>
              <w:pStyle w:val="TableParagraph"/>
              <w:spacing w:line="207" w:lineRule="exact"/>
              <w:ind w:left="111" w:right="0"/>
              <w:jc w:val="left"/>
              <w:rPr>
                <w:rFonts w:ascii="Times New Roman" w:hAnsi="Times New Roman" w:cs="Times New Roman" w:eastAsia="Times New Roman" w:hint="default"/>
                <w:sz w:val="18"/>
                <w:szCs w:val="18"/>
              </w:rPr>
            </w:pPr>
            <w:r>
              <w:rPr>
                <w:rFonts w:ascii="Times New Roman"/>
                <w:sz w:val="18"/>
              </w:rPr>
              <w:t>7,971.06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left="80" w:right="0"/>
              <w:jc w:val="center"/>
              <w:rPr>
                <w:rFonts w:ascii="Times New Roman" w:hAnsi="Times New Roman" w:cs="Times New Roman" w:eastAsia="Times New Roman" w:hint="default"/>
                <w:sz w:val="18"/>
                <w:szCs w:val="18"/>
              </w:rPr>
            </w:pPr>
            <w:r>
              <w:rPr>
                <w:rFonts w:ascii="Times New Roman"/>
                <w:sz w:val="18"/>
              </w:rPr>
              <w:t>126,726,</w:t>
            </w:r>
          </w:p>
          <w:p>
            <w:pPr>
              <w:pStyle w:val="TableParagraph"/>
              <w:spacing w:line="207" w:lineRule="exact"/>
              <w:ind w:left="213" w:right="0"/>
              <w:jc w:val="center"/>
              <w:rPr>
                <w:rFonts w:ascii="Times New Roman" w:hAnsi="Times New Roman" w:cs="Times New Roman" w:eastAsia="Times New Roman" w:hint="default"/>
                <w:sz w:val="18"/>
                <w:szCs w:val="18"/>
              </w:rPr>
            </w:pPr>
            <w:r>
              <w:rPr>
                <w:rFonts w:ascii="Times New Roman"/>
                <w:sz w:val="18"/>
              </w:rPr>
              <w:t>920.90</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FFFFFF"/>
            </w:tcBorders>
          </w:tcPr>
          <w:p>
            <w:pPr>
              <w:pStyle w:val="TableParagraph"/>
              <w:spacing w:line="207" w:lineRule="exact" w:before="67"/>
              <w:ind w:left="35" w:right="0"/>
              <w:jc w:val="left"/>
              <w:rPr>
                <w:rFonts w:ascii="Times New Roman" w:hAnsi="Times New Roman" w:cs="Times New Roman" w:eastAsia="Times New Roman" w:hint="default"/>
                <w:sz w:val="18"/>
                <w:szCs w:val="18"/>
              </w:rPr>
            </w:pPr>
            <w:r>
              <w:rPr>
                <w:rFonts w:ascii="Times New Roman"/>
                <w:sz w:val="18"/>
              </w:rPr>
              <w:t>953,661,0</w:t>
            </w:r>
          </w:p>
          <w:p>
            <w:pPr>
              <w:pStyle w:val="TableParagraph"/>
              <w:spacing w:line="207" w:lineRule="exact"/>
              <w:ind w:left="350" w:right="0"/>
              <w:jc w:val="left"/>
              <w:rPr>
                <w:rFonts w:ascii="Times New Roman" w:hAnsi="Times New Roman" w:cs="Times New Roman" w:eastAsia="Times New Roman" w:hint="default"/>
                <w:sz w:val="18"/>
                <w:szCs w:val="18"/>
              </w:rPr>
            </w:pPr>
            <w:r>
              <w:rPr>
                <w:rFonts w:ascii="Times New Roman"/>
                <w:sz w:val="18"/>
              </w:rPr>
              <w:t>50.16</w:t>
            </w:r>
          </w:p>
        </w:tc>
        <w:tc>
          <w:tcPr>
            <w:tcW w:w="775" w:type="dxa"/>
            <w:tcBorders>
              <w:top w:val="single" w:sz="4" w:space="0" w:color="000000"/>
              <w:left w:val="single" w:sz="4" w:space="0" w:color="FFFFFF"/>
              <w:bottom w:val="single" w:sz="4" w:space="0" w:color="000000"/>
              <w:right w:val="single" w:sz="4" w:space="0" w:color="000000"/>
            </w:tcBorders>
          </w:tcPr>
          <w:p>
            <w:pPr>
              <w:pStyle w:val="TableParagraph"/>
              <w:spacing w:line="207" w:lineRule="exact" w:before="67"/>
              <w:ind w:left="3" w:right="0"/>
              <w:jc w:val="center"/>
              <w:rPr>
                <w:rFonts w:ascii="Times New Roman" w:hAnsi="Times New Roman" w:cs="Times New Roman" w:eastAsia="Times New Roman" w:hint="default"/>
                <w:sz w:val="18"/>
                <w:szCs w:val="18"/>
              </w:rPr>
            </w:pPr>
            <w:r>
              <w:rPr>
                <w:rFonts w:ascii="Times New Roman"/>
                <w:sz w:val="18"/>
              </w:rPr>
              <w:t>1,226,219</w:t>
            </w:r>
          </w:p>
          <w:p>
            <w:pPr>
              <w:pStyle w:val="TableParagraph"/>
              <w:spacing w:line="207" w:lineRule="exact"/>
              <w:ind w:left="182" w:right="0"/>
              <w:jc w:val="center"/>
              <w:rPr>
                <w:rFonts w:ascii="Times New Roman" w:hAnsi="Times New Roman" w:cs="Times New Roman" w:eastAsia="Times New Roman" w:hint="default"/>
                <w:sz w:val="18"/>
                <w:szCs w:val="18"/>
              </w:rPr>
            </w:pPr>
            <w:r>
              <w:rPr>
                <w:rFonts w:ascii="Times New Roman"/>
                <w:sz w:val="18"/>
              </w:rPr>
              <w:t>,712.33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left="45" w:right="0"/>
              <w:jc w:val="left"/>
              <w:rPr>
                <w:rFonts w:ascii="Times New Roman" w:hAnsi="Times New Roman" w:cs="Times New Roman" w:eastAsia="Times New Roman" w:hint="default"/>
                <w:sz w:val="18"/>
                <w:szCs w:val="18"/>
              </w:rPr>
            </w:pPr>
            <w:r>
              <w:rPr>
                <w:rFonts w:ascii="Times New Roman"/>
                <w:sz w:val="18"/>
              </w:rPr>
              <w:t>107,419,5</w:t>
            </w:r>
          </w:p>
          <w:p>
            <w:pPr>
              <w:pStyle w:val="TableParagraph"/>
              <w:spacing w:line="207" w:lineRule="exact"/>
              <w:ind w:left="359" w:right="0"/>
              <w:jc w:val="left"/>
              <w:rPr>
                <w:rFonts w:ascii="Times New Roman" w:hAnsi="Times New Roman" w:cs="Times New Roman" w:eastAsia="Times New Roman" w:hint="default"/>
                <w:sz w:val="18"/>
                <w:szCs w:val="18"/>
              </w:rPr>
            </w:pPr>
            <w:r>
              <w:rPr>
                <w:rFonts w:ascii="Times New Roman"/>
                <w:sz w:val="18"/>
              </w:rPr>
              <w:t>29.42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8.76%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left="52" w:right="0"/>
              <w:jc w:val="left"/>
              <w:rPr>
                <w:rFonts w:ascii="Times New Roman" w:hAnsi="Times New Roman" w:cs="Times New Roman" w:eastAsia="Times New Roman" w:hint="default"/>
                <w:sz w:val="18"/>
                <w:szCs w:val="18"/>
              </w:rPr>
            </w:pPr>
            <w:r>
              <w:rPr>
                <w:rFonts w:ascii="Times New Roman"/>
                <w:sz w:val="18"/>
              </w:rPr>
              <w:t>1,118,800,1</w:t>
            </w:r>
          </w:p>
          <w:p>
            <w:pPr>
              <w:pStyle w:val="TableParagraph"/>
              <w:spacing w:line="207" w:lineRule="exact"/>
              <w:ind w:left="494" w:right="0"/>
              <w:jc w:val="left"/>
              <w:rPr>
                <w:rFonts w:ascii="Times New Roman" w:hAnsi="Times New Roman" w:cs="Times New Roman" w:eastAsia="Times New Roman" w:hint="default"/>
                <w:sz w:val="18"/>
                <w:szCs w:val="18"/>
              </w:rPr>
            </w:pPr>
            <w:r>
              <w:rPr>
                <w:rFonts w:ascii="Times New Roman"/>
                <w:sz w:val="18"/>
              </w:rPr>
              <w:t>82.91</w:t>
            </w:r>
          </w:p>
        </w:tc>
      </w:tr>
    </w:tbl>
    <w:p>
      <w:pPr>
        <w:pStyle w:val="BodyText"/>
        <w:spacing w:line="240" w:lineRule="auto" w:before="64"/>
        <w:ind w:right="1127"/>
        <w:jc w:val="left"/>
      </w:pPr>
      <w:r>
        <w:rPr/>
        <w:t>按单项计提坏账准备：</w:t>
      </w:r>
    </w:p>
    <w:p>
      <w:pPr>
        <w:spacing w:line="240" w:lineRule="auto" w:before="12"/>
        <w:rPr>
          <w:rFonts w:ascii="宋体" w:hAnsi="宋体" w:cs="宋体" w:eastAsia="宋体" w:hint="default"/>
          <w:sz w:val="14"/>
          <w:szCs w:val="14"/>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389"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6"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6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72" w:right="48" w:hanging="720"/>
              <w:jc w:val="left"/>
              <w:rPr>
                <w:rFonts w:ascii="宋体" w:hAnsi="宋体" w:cs="宋体" w:eastAsia="宋体" w:hint="default"/>
                <w:sz w:val="18"/>
                <w:szCs w:val="18"/>
              </w:rPr>
            </w:pPr>
            <w:r>
              <w:rPr>
                <w:rFonts w:ascii="宋体" w:hAnsi="宋体" w:cs="宋体" w:eastAsia="宋体" w:hint="default"/>
                <w:sz w:val="18"/>
                <w:szCs w:val="18"/>
              </w:rPr>
              <w:t>成都成电世希科技有限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72" w:right="0"/>
              <w:jc w:val="left"/>
              <w:rPr>
                <w:rFonts w:ascii="Times New Roman" w:hAnsi="Times New Roman" w:cs="Times New Roman" w:eastAsia="Times New Roman" w:hint="default"/>
                <w:sz w:val="18"/>
                <w:szCs w:val="18"/>
              </w:rPr>
            </w:pPr>
            <w:r>
              <w:rPr>
                <w:rFonts w:ascii="Times New Roman"/>
                <w:sz w:val="18"/>
              </w:rPr>
              <w:t>285,000.00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285,000.00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35"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801" w:right="0"/>
              <w:jc w:val="left"/>
              <w:rPr>
                <w:rFonts w:ascii="宋体" w:hAnsi="宋体" w:cs="宋体" w:eastAsia="宋体" w:hint="default"/>
                <w:sz w:val="18"/>
                <w:szCs w:val="18"/>
              </w:rPr>
            </w:pPr>
            <w:r>
              <w:rPr>
                <w:rFonts w:ascii="宋体" w:hAnsi="宋体" w:cs="宋体" w:eastAsia="宋体" w:hint="default"/>
                <w:sz w:val="18"/>
                <w:szCs w:val="18"/>
              </w:rPr>
              <w:t>无法收回款项</w:t>
            </w:r>
          </w:p>
        </w:tc>
      </w:tr>
    </w:tbl>
    <w:p>
      <w:pPr>
        <w:pStyle w:val="BodyText"/>
        <w:spacing w:line="240" w:lineRule="auto" w:before="64"/>
        <w:ind w:right="1127"/>
        <w:jc w:val="left"/>
      </w:pPr>
      <w:r>
        <w:rPr/>
        <w:t>按单项计提坏账准备：</w:t>
      </w:r>
    </w:p>
    <w:p>
      <w:pPr>
        <w:spacing w:line="240" w:lineRule="auto" w:before="1"/>
        <w:rPr>
          <w:rFonts w:ascii="宋体" w:hAnsi="宋体" w:cs="宋体" w:eastAsia="宋体" w:hint="default"/>
          <w:sz w:val="15"/>
          <w:szCs w:val="15"/>
        </w:rPr>
      </w:pPr>
    </w:p>
    <w:p>
      <w:pPr>
        <w:pStyle w:val="BodyText"/>
        <w:spacing w:line="240" w:lineRule="auto" w:before="36"/>
        <w:ind w:left="0" w:right="1130"/>
        <w:jc w:val="right"/>
      </w:pPr>
      <w:r>
        <w:rPr/>
        <w:t>单位：</w:t>
      </w:r>
      <w:r>
        <w:rPr>
          <w:spacing w:val="2"/>
        </w:rPr>
        <w:t> </w:t>
      </w:r>
      <w:r>
        <w:rPr/>
        <w:t>元</w:t>
      </w:r>
    </w:p>
    <w:p>
      <w:pPr>
        <w:spacing w:line="240" w:lineRule="auto" w:before="8"/>
        <w:rPr>
          <w:rFonts w:ascii="宋体" w:hAnsi="宋体" w:cs="宋体" w:eastAsia="宋体"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388" w:hRule="exact"/>
        </w:trPr>
        <w:tc>
          <w:tcPr>
            <w:tcW w:w="191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6" w:hRule="exact"/>
        </w:trPr>
        <w:tc>
          <w:tcPr>
            <w:tcW w:w="1912"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64"/>
        <w:ind w:right="1127"/>
        <w:jc w:val="left"/>
      </w:pPr>
      <w:r>
        <w:rPr/>
        <w:t>按组合计提坏账准备：按组合（除泰豪之外）计提坏账准备：</w:t>
      </w:r>
    </w:p>
    <w:p>
      <w:pPr>
        <w:spacing w:line="240" w:lineRule="auto" w:before="1"/>
        <w:rPr>
          <w:rFonts w:ascii="宋体" w:hAnsi="宋体" w:cs="宋体" w:eastAsia="宋体" w:hint="default"/>
          <w:sz w:val="15"/>
          <w:szCs w:val="15"/>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386" w:hRule="exact"/>
        </w:trPr>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9" w:hRule="exact"/>
        </w:trPr>
        <w:tc>
          <w:tcPr>
            <w:tcW w:w="2393" w:type="dxa"/>
            <w:vMerge/>
            <w:tcBorders>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61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830" w:right="22" w:hanging="807"/>
              <w:jc w:val="left"/>
              <w:rPr>
                <w:rFonts w:ascii="宋体" w:hAnsi="宋体" w:cs="宋体" w:eastAsia="宋体" w:hint="default"/>
                <w:sz w:val="18"/>
                <w:szCs w:val="18"/>
              </w:rPr>
            </w:pPr>
            <w:r>
              <w:rPr>
                <w:rFonts w:ascii="宋体" w:hAnsi="宋体" w:cs="宋体" w:eastAsia="宋体" w:hint="default"/>
                <w:sz w:val="18"/>
                <w:szCs w:val="18"/>
              </w:rPr>
              <w:t>按组合（除泰豪之外）计提坏 账准备：</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年，下同）</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233" w:right="0"/>
              <w:jc w:val="left"/>
              <w:rPr>
                <w:rFonts w:ascii="Times New Roman" w:hAnsi="Times New Roman" w:cs="Times New Roman" w:eastAsia="Times New Roman" w:hint="default"/>
                <w:sz w:val="18"/>
                <w:szCs w:val="18"/>
              </w:rPr>
            </w:pPr>
            <w:r>
              <w:rPr>
                <w:rFonts w:ascii="Times New Roman"/>
                <w:sz w:val="18"/>
              </w:rPr>
              <w:t>238,579,955.58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329" w:right="0"/>
              <w:jc w:val="left"/>
              <w:rPr>
                <w:rFonts w:ascii="Times New Roman" w:hAnsi="Times New Roman" w:cs="Times New Roman" w:eastAsia="Times New Roman" w:hint="default"/>
                <w:sz w:val="18"/>
                <w:szCs w:val="18"/>
              </w:rPr>
            </w:pPr>
            <w:r>
              <w:rPr>
                <w:rFonts w:ascii="Times New Roman"/>
                <w:sz w:val="18"/>
              </w:rPr>
              <w:t>11,928,997.78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footerReference w:type="default" r:id="rId70"/>
          <w:pgSz w:w="11910" w:h="16840"/>
          <w:pgMar w:footer="1134" w:header="882" w:top="1280" w:bottom="1320" w:left="980" w:right="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38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57,862,799.42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5,786,279.95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z w:val="18"/>
              </w:rPr>
              <w:t>10.00%</w:t>
            </w:r>
          </w:p>
        </w:tc>
      </w:tr>
      <w:tr>
        <w:trPr>
          <w:trHeight w:val="38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42,580,508.55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8,516,101.72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z w:val="18"/>
              </w:rPr>
              <w:t>20.00%</w:t>
            </w:r>
          </w:p>
        </w:tc>
      </w:tr>
      <w:tr>
        <w:trPr>
          <w:trHeight w:val="38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17,309,299.33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8,654,649.68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z w:val="18"/>
              </w:rPr>
              <w:t>50.00%</w:t>
            </w:r>
          </w:p>
        </w:tc>
      </w:tr>
      <w:tr>
        <w:trPr>
          <w:trHeight w:val="38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7,363,840.96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3,681,920.49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z w:val="18"/>
              </w:rPr>
              <w:t>50.00%</w:t>
            </w:r>
          </w:p>
        </w:tc>
      </w:tr>
      <w:tr>
        <w:trPr>
          <w:trHeight w:val="38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11,338,284.50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11,338,284.50</w:t>
            </w:r>
            <w:r>
              <w:rPr>
                <w:rFonts w:ascii="Times New Roman"/>
                <w:sz w:val="18"/>
              </w:rPr>
            </w:r>
          </w:p>
        </w:tc>
        <w:tc>
          <w:tcPr>
            <w:tcW w:w="2393"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89"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375,034,688.34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49,906,234.12</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441" w:lineRule="auto" w:before="64"/>
        <w:ind w:right="4340"/>
        <w:jc w:val="left"/>
      </w:pPr>
      <w:r>
        <w:rPr/>
        <w:t>确定该组合依据的说明：</w:t>
      </w:r>
      <w:r>
        <w:rPr>
          <w:w w:val="100"/>
        </w:rPr>
        <w:t> </w:t>
      </w:r>
      <w:r>
        <w:rPr>
          <w:spacing w:val="-2"/>
        </w:rPr>
        <w:t>按组合计提坏账准备：按组合（泰豪）计提坏账准备：</w:t>
      </w:r>
    </w:p>
    <w:p>
      <w:pPr>
        <w:pStyle w:val="BodyText"/>
        <w:spacing w:line="240" w:lineRule="auto" w:before="57"/>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389" w:hRule="exact"/>
        </w:trPr>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6" w:hRule="exact"/>
        </w:trPr>
        <w:tc>
          <w:tcPr>
            <w:tcW w:w="2393" w:type="dxa"/>
            <w:vMerge/>
            <w:tcBorders>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8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年，下同）</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419,083,048.65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12,572,491.45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3.00%</w:t>
            </w:r>
          </w:p>
        </w:tc>
      </w:tr>
      <w:tr>
        <w:trPr>
          <w:trHeight w:val="38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131,369,258.47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13,136,925.85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z w:val="18"/>
              </w:rPr>
              <w:t>10.00%</w:t>
            </w:r>
          </w:p>
        </w:tc>
      </w:tr>
      <w:tr>
        <w:trPr>
          <w:trHeight w:val="38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107,620,730.71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21,524,146.14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z w:val="18"/>
              </w:rPr>
              <w:t>20.00%</w:t>
            </w:r>
          </w:p>
        </w:tc>
      </w:tr>
      <w:tr>
        <w:trPr>
          <w:trHeight w:val="38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31,279,768.02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15,639,884.03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z w:val="18"/>
              </w:rPr>
              <w:t>50.00%</w:t>
            </w:r>
          </w:p>
        </w:tc>
      </w:tr>
      <w:tr>
        <w:trPr>
          <w:trHeight w:val="38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10,266,187.82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8,212,950.26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z w:val="18"/>
              </w:rPr>
              <w:t>80.00%</w:t>
            </w:r>
          </w:p>
        </w:tc>
      </w:tr>
      <w:tr>
        <w:trPr>
          <w:trHeight w:val="38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5,449,289.05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5,449,289.05</w:t>
            </w:r>
            <w:r>
              <w:rPr>
                <w:rFonts w:ascii="Times New Roman"/>
                <w:sz w:val="18"/>
              </w:rPr>
            </w:r>
          </w:p>
        </w:tc>
        <w:tc>
          <w:tcPr>
            <w:tcW w:w="2393" w:type="dxa"/>
            <w:tcBorders>
              <w:top w:val="single" w:sz="4" w:space="0" w:color="000000"/>
              <w:left w:val="single" w:sz="4" w:space="0" w:color="000000"/>
              <w:bottom w:val="single" w:sz="5" w:space="0" w:color="D4D4D4"/>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86"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705,068,282.72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76,535,686.78</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444" w:lineRule="auto" w:before="64"/>
        <w:ind w:right="7290"/>
        <w:jc w:val="left"/>
      </w:pPr>
      <w:r>
        <w:rPr>
          <w:spacing w:val="-2"/>
        </w:rPr>
        <w:t>确定该组合依据的说明：</w:t>
      </w:r>
      <w:r>
        <w:rPr>
          <w:spacing w:val="-82"/>
        </w:rPr>
        <w:t> </w:t>
      </w:r>
      <w:r>
        <w:rPr>
          <w:spacing w:val="-82"/>
        </w:rPr>
      </w:r>
      <w:r>
        <w:rPr/>
        <w:t>按组合计提坏账准备：</w:t>
      </w:r>
    </w:p>
    <w:p>
      <w:pPr>
        <w:pStyle w:val="BodyText"/>
        <w:spacing w:line="240" w:lineRule="auto" w:before="55"/>
        <w:ind w:left="0" w:right="1130"/>
        <w:jc w:val="right"/>
      </w:pPr>
      <w:r>
        <w:rPr/>
        <w:t>单位：</w:t>
      </w:r>
      <w:r>
        <w:rPr>
          <w:spacing w:val="2"/>
        </w:rPr>
        <w:t> </w:t>
      </w:r>
      <w:r>
        <w:rPr/>
        <w:t>元</w:t>
      </w:r>
    </w:p>
    <w:p>
      <w:pPr>
        <w:spacing w:line="240" w:lineRule="auto" w:before="8"/>
        <w:rPr>
          <w:rFonts w:ascii="宋体" w:hAnsi="宋体" w:cs="宋体" w:eastAsia="宋体"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5"/>
      </w:tblGrid>
      <w:tr>
        <w:trPr>
          <w:trHeight w:val="388" w:hRule="exact"/>
        </w:trPr>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6" w:hRule="exact"/>
        </w:trPr>
        <w:tc>
          <w:tcPr>
            <w:tcW w:w="2392" w:type="dxa"/>
            <w:vMerge/>
            <w:tcBorders>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446" w:lineRule="auto" w:before="64"/>
        <w:ind w:right="1127"/>
        <w:jc w:val="left"/>
      </w:pPr>
      <w:r>
        <w:rPr/>
        <w:t>确定该组合依据的说明：</w:t>
      </w:r>
      <w:r>
        <w:rPr>
          <w:w w:val="100"/>
        </w:rPr>
        <w:t> </w:t>
      </w:r>
      <w:r>
        <w:rPr>
          <w:spacing w:val="-2"/>
        </w:rPr>
        <w:t>如是按照预期信用损失一般模型计提应收账款坏账准备，请参照其他应收款的披露方式披露坏账准备</w:t>
      </w:r>
    </w:p>
    <w:p>
      <w:pPr>
        <w:pStyle w:val="BodyText"/>
        <w:spacing w:line="225" w:lineRule="exact"/>
        <w:ind w:left="152" w:right="1127"/>
        <w:jc w:val="left"/>
      </w:pPr>
      <w:r>
        <w:rPr/>
        <w:t>的相关信息：</w:t>
      </w:r>
    </w:p>
    <w:p>
      <w:pPr>
        <w:spacing w:line="240" w:lineRule="auto" w:before="12"/>
        <w:rPr>
          <w:rFonts w:ascii="宋体" w:hAnsi="宋体" w:cs="宋体" w:eastAsia="宋体" w:hint="default"/>
          <w:sz w:val="17"/>
          <w:szCs w:val="17"/>
        </w:rPr>
      </w:pPr>
    </w:p>
    <w:p>
      <w:pPr>
        <w:pStyle w:val="BodyText"/>
        <w:spacing w:line="420" w:lineRule="auto"/>
        <w:ind w:right="8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100"/>
        </w:rPr>
        <w:t> </w:t>
      </w:r>
      <w:r>
        <w:rPr/>
        <w:t>按账龄披露</w:t>
      </w:r>
    </w:p>
    <w:p>
      <w:pPr>
        <w:pStyle w:val="BodyText"/>
        <w:spacing w:line="240" w:lineRule="auto" w:before="7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4760"/>
        <w:gridCol w:w="4796"/>
      </w:tblGrid>
      <w:tr>
        <w:trPr>
          <w:trHeight w:val="386"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89"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657,948,004.23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71"/>
          <w:pgSz w:w="11910" w:h="16840"/>
          <w:pgMar w:footer="1134" w:header="882" w:top="1280" w:bottom="1320" w:left="980" w:right="0"/>
          <w:pgNumType w:start="191"/>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388"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0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189,232,057.89</w:t>
            </w:r>
            <w:r>
              <w:rPr>
                <w:rFonts w:ascii="Times New Roman"/>
                <w:sz w:val="18"/>
              </w:rPr>
            </w:r>
          </w:p>
        </w:tc>
      </w:tr>
      <w:tr>
        <w:trPr>
          <w:trHeight w:val="388"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left="20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150,201,239.26</w:t>
            </w:r>
            <w:r>
              <w:rPr>
                <w:rFonts w:ascii="Times New Roman"/>
                <w:sz w:val="18"/>
              </w:rPr>
            </w:r>
          </w:p>
        </w:tc>
      </w:tr>
      <w:tr>
        <w:trPr>
          <w:trHeight w:val="386"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0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83,006,669.68</w:t>
            </w:r>
          </w:p>
        </w:tc>
      </w:tr>
      <w:tr>
        <w:trPr>
          <w:trHeight w:val="389"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95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48,589,067.35</w:t>
            </w:r>
          </w:p>
        </w:tc>
      </w:tr>
      <w:tr>
        <w:trPr>
          <w:trHeight w:val="386"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95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17,630,028.78</w:t>
            </w:r>
          </w:p>
        </w:tc>
      </w:tr>
      <w:tr>
        <w:trPr>
          <w:trHeight w:val="389"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955"/>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16,787,573.55</w:t>
            </w:r>
          </w:p>
        </w:tc>
      </w:tr>
      <w:tr>
        <w:trPr>
          <w:trHeight w:val="386"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1,080,387,971.06</w:t>
            </w:r>
          </w:p>
        </w:tc>
      </w:tr>
    </w:tbl>
    <w:p>
      <w:pPr>
        <w:pStyle w:val="BodyText"/>
        <w:spacing w:line="336" w:lineRule="auto" w:before="64"/>
        <w:ind w:left="152" w:right="1211" w:firstLine="419"/>
        <w:jc w:val="left"/>
      </w:pPr>
      <w:r>
        <w:rPr/>
        <w:t>公司需要遵守《深圳证券交易所行业信息披露指引第</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r>
        <w:rPr/>
        <w:t>上市公司从事软件与信息技术服务业</w:t>
      </w:r>
      <w:r>
        <w:rPr>
          <w:spacing w:val="-3"/>
          <w:w w:val="100"/>
        </w:rPr>
        <w:t> </w:t>
      </w:r>
      <w:r>
        <w:rPr/>
        <w:t>务》的披露要求</w:t>
      </w:r>
    </w:p>
    <w:p>
      <w:pPr>
        <w:spacing w:line="240" w:lineRule="auto" w:before="1"/>
        <w:rPr>
          <w:rFonts w:ascii="宋体" w:hAnsi="宋体" w:cs="宋体" w:eastAsia="宋体" w:hint="default"/>
          <w:sz w:val="27"/>
          <w:szCs w:val="27"/>
        </w:rPr>
      </w:pPr>
    </w:p>
    <w:p>
      <w:pPr>
        <w:spacing w:line="470" w:lineRule="auto" w:before="0"/>
        <w:ind w:left="572" w:right="5512" w:hanging="421"/>
        <w:jc w:val="left"/>
        <w:rPr>
          <w:rFonts w:ascii="宋体" w:hAnsi="宋体" w:cs="宋体" w:eastAsia="宋体" w:hint="default"/>
          <w:sz w:val="21"/>
          <w:szCs w:val="21"/>
        </w:rPr>
      </w:pPr>
      <w:bookmarkStart w:name="（2）本期计提、收回或转回的坏账准备情况" w:id="360"/>
      <w:bookmarkEnd w:id="360"/>
      <w:r>
        <w:rPr/>
      </w: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）本期计提、收回或转回的坏账准备情况</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本期计提坏账准备情况：</w:t>
      </w:r>
    </w:p>
    <w:p>
      <w:pPr>
        <w:pStyle w:val="BodyText"/>
        <w:spacing w:line="240" w:lineRule="auto" w:before="32"/>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388"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8"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8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4"/>
              <w:ind w:left="50" w:right="47"/>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107,419,529.43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19,313,437.92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8,502.92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2,456.47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126,726,920.90</w:t>
            </w:r>
            <w:r>
              <w:rPr>
                <w:rFonts w:ascii="Times New Roman"/>
                <w:sz w:val="18"/>
              </w:rPr>
            </w:r>
          </w:p>
        </w:tc>
      </w:tr>
      <w:tr>
        <w:trPr>
          <w:trHeight w:val="386"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107,419,529.43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19,313,437.92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8,502.92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z w:val="18"/>
              </w:rPr>
              <w:t>2,456.47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126,726,920.90</w:t>
            </w:r>
            <w:r>
              <w:rPr>
                <w:rFonts w:ascii="Times New Roman"/>
                <w:sz w:val="18"/>
              </w:rPr>
            </w:r>
          </w:p>
        </w:tc>
      </w:tr>
    </w:tbl>
    <w:p>
      <w:pPr>
        <w:pStyle w:val="BodyText"/>
        <w:spacing w:line="240" w:lineRule="auto" w:before="64"/>
        <w:ind w:right="1127"/>
        <w:jc w:val="left"/>
      </w:pPr>
      <w:r>
        <w:rPr/>
        <w:t>其中本期坏账准备收回或转回金额重要的：</w:t>
      </w:r>
    </w:p>
    <w:p>
      <w:pPr>
        <w:spacing w:line="240" w:lineRule="auto" w:before="1"/>
        <w:rPr>
          <w:rFonts w:ascii="宋体" w:hAnsi="宋体" w:cs="宋体" w:eastAsia="宋体" w:hint="default"/>
          <w:sz w:val="15"/>
          <w:szCs w:val="15"/>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386"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1" w:lineRule="exact"/>
        <w:ind w:right="1127"/>
        <w:jc w:val="left"/>
      </w:pPr>
      <w:r>
        <w:rPr/>
        <w:t>说明：</w:t>
      </w:r>
    </w:p>
    <w:p>
      <w:pPr>
        <w:pStyle w:val="BodyText"/>
        <w:spacing w:line="336" w:lineRule="auto" w:before="135"/>
        <w:ind w:left="152" w:right="1127" w:firstLine="419"/>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月北京泰豪智能工程有限公司收购不构成业务的北京泰豪智能科技有限公司，并表时点北京</w:t>
      </w:r>
      <w:r>
        <w:rPr>
          <w:spacing w:val="-3"/>
          <w:w w:val="100"/>
        </w:rPr>
        <w:t> </w:t>
      </w:r>
      <w:r>
        <w:rPr/>
        <w:t>泰豪智能科技有限公司应收账款坏账为</w:t>
      </w:r>
      <w:r>
        <w:rPr>
          <w:rFonts w:ascii="Times New Roman" w:hAnsi="Times New Roman" w:cs="Times New Roman" w:eastAsia="Times New Roman" w:hint="default"/>
        </w:rPr>
        <w:t>2,456.47</w:t>
      </w:r>
      <w:r>
        <w:rPr/>
        <w:t>元。</w:t>
      </w:r>
    </w:p>
    <w:p>
      <w:pPr>
        <w:spacing w:line="240" w:lineRule="auto" w:before="10"/>
        <w:rPr>
          <w:rFonts w:ascii="宋体" w:hAnsi="宋体" w:cs="宋体" w:eastAsia="宋体" w:hint="default"/>
          <w:sz w:val="24"/>
          <w:szCs w:val="24"/>
        </w:rPr>
      </w:pPr>
    </w:p>
    <w:p>
      <w:pPr>
        <w:pStyle w:val="Heading4"/>
        <w:spacing w:line="240" w:lineRule="auto"/>
        <w:ind w:right="1127"/>
        <w:jc w:val="left"/>
        <w:rPr>
          <w:b w:val="0"/>
          <w:bCs w:val="0"/>
        </w:rPr>
      </w:pPr>
      <w:bookmarkStart w:name="（3）本期实际核销的应收账款情况" w:id="361"/>
      <w:bookmarkEnd w:id="36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388"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65"/>
        <w:ind w:right="1127"/>
        <w:jc w:val="left"/>
      </w:pPr>
      <w:r>
        <w:rPr/>
        <w:t>其中重要的应收账款核销情况：</w:t>
      </w:r>
    </w:p>
    <w:p>
      <w:pPr>
        <w:spacing w:line="240" w:lineRule="auto" w:before="12"/>
        <w:rPr>
          <w:rFonts w:ascii="宋体" w:hAnsi="宋体" w:cs="宋体" w:eastAsia="宋体" w:hint="default"/>
          <w:sz w:val="14"/>
          <w:szCs w:val="14"/>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622"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523" w:right="59"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232" w:lineRule="exact"/>
        <w:jc w:val="left"/>
        <w:rPr>
          <w:rFonts w:ascii="宋体" w:hAnsi="宋体" w:cs="宋体" w:eastAsia="宋体" w:hint="default"/>
          <w:sz w:val="18"/>
          <w:szCs w:val="18"/>
        </w:rPr>
        <w:sectPr>
          <w:pgSz w:w="11910" w:h="16840"/>
          <w:pgMar w:header="882" w:footer="1134" w:top="1280" w:bottom="1320" w:left="980" w:right="0"/>
        </w:sectPr>
      </w:pPr>
    </w:p>
    <w:p>
      <w:pPr>
        <w:pStyle w:val="BodyText"/>
        <w:spacing w:line="240" w:lineRule="auto" w:before="110"/>
        <w:ind w:right="1127"/>
        <w:jc w:val="left"/>
      </w:pPr>
      <w:r>
        <w:rPr/>
        <w:t>应收账款核销说明：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4）按欠款方归集的期末余额前五名的应收账款情况" w:id="362"/>
      <w:bookmarkEnd w:id="36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宋体" w:hAnsi="宋体" w:cs="宋体" w:eastAsia="宋体" w:hint="default"/>
          <w:b/>
          <w:bCs/>
          <w:sz w:val="18"/>
          <w:szCs w:val="18"/>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7"/>
      </w:tblGrid>
      <w:tr>
        <w:trPr>
          <w:trHeight w:val="622" w:hRule="exact"/>
        </w:trPr>
        <w:tc>
          <w:tcPr>
            <w:tcW w:w="19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8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96,006,100.19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z w:val="18"/>
              </w:rPr>
              <w:t>8.89%</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10,660,771.80</w:t>
            </w:r>
          </w:p>
        </w:tc>
      </w:tr>
      <w:tr>
        <w:trPr>
          <w:trHeight w:val="389"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39,931,567.98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3.70%</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1,197,947.04</w:t>
            </w:r>
            <w:r>
              <w:rPr>
                <w:rFonts w:ascii="Times New Roman"/>
                <w:sz w:val="18"/>
              </w:rPr>
            </w:r>
          </w:p>
        </w:tc>
      </w:tr>
      <w:tr>
        <w:trPr>
          <w:trHeight w:val="38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21,961,350.00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z w:val="18"/>
              </w:rPr>
              <w:t>2.03%</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1,360,439.79</w:t>
            </w:r>
            <w:r>
              <w:rPr>
                <w:rFonts w:ascii="Times New Roman"/>
                <w:sz w:val="18"/>
              </w:rPr>
            </w:r>
          </w:p>
        </w:tc>
      </w:tr>
      <w:tr>
        <w:trPr>
          <w:trHeight w:val="38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21,576,146.97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2.00%</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z w:val="18"/>
              </w:rPr>
              <w:t>647,284.41</w:t>
            </w:r>
          </w:p>
        </w:tc>
      </w:tr>
      <w:tr>
        <w:trPr>
          <w:trHeight w:val="389"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20,156,260.00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1.87%</w:t>
            </w:r>
          </w:p>
        </w:tc>
        <w:tc>
          <w:tcPr>
            <w:tcW w:w="2527"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3,340,754.00</w:t>
            </w:r>
            <w:r>
              <w:rPr>
                <w:rFonts w:ascii="Times New Roman"/>
                <w:sz w:val="18"/>
              </w:rPr>
            </w:r>
          </w:p>
        </w:tc>
      </w:tr>
      <w:tr>
        <w:trPr>
          <w:trHeight w:val="389" w:hRule="exact"/>
        </w:trPr>
        <w:tc>
          <w:tcPr>
            <w:tcW w:w="19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199,631,425.14</w:t>
            </w:r>
            <w:r>
              <w:rPr>
                <w:rFonts w:ascii="Times New Roman"/>
                <w:sz w:val="18"/>
              </w:rPr>
            </w:r>
          </w:p>
        </w:tc>
        <w:tc>
          <w:tcPr>
            <w:tcW w:w="2530"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81"/>
              <w:ind w:right="9"/>
              <w:jc w:val="right"/>
              <w:rPr>
                <w:rFonts w:ascii="Times New Roman" w:hAnsi="Times New Roman" w:cs="Times New Roman" w:eastAsia="Times New Roman" w:hint="default"/>
                <w:sz w:val="18"/>
                <w:szCs w:val="18"/>
              </w:rPr>
            </w:pPr>
            <w:r>
              <w:rPr>
                <w:rFonts w:ascii="Times New Roman"/>
                <w:sz w:val="18"/>
              </w:rPr>
              <w:t>18.49%</w:t>
            </w:r>
          </w:p>
        </w:tc>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5）因金融资产转移而终止确认的应收账款" w:id="363"/>
      <w:bookmarkEnd w:id="36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6"/>
        <w:rPr>
          <w:rFonts w:ascii="宋体" w:hAnsi="宋体" w:cs="宋体" w:eastAsia="宋体" w:hint="default"/>
          <w:b/>
          <w:bCs/>
          <w:sz w:val="21"/>
          <w:szCs w:val="21"/>
        </w:rPr>
      </w:pPr>
    </w:p>
    <w:p>
      <w:pPr>
        <w:pStyle w:val="Heading4"/>
        <w:spacing w:line="472" w:lineRule="auto"/>
        <w:ind w:left="572" w:right="5512" w:hanging="420"/>
        <w:jc w:val="left"/>
        <w:rPr>
          <w:rFonts w:ascii="宋体" w:hAnsi="宋体" w:cs="宋体" w:eastAsia="宋体" w:hint="default"/>
          <w:b w:val="0"/>
          <w:bCs w:val="0"/>
        </w:rPr>
      </w:pPr>
      <w:bookmarkStart w:name="（6）转移应收账款且继续涉入形成的资产、负债金额" w:id="364"/>
      <w:bookmarkEnd w:id="364"/>
      <w:r>
        <w:rPr>
          <w:b w:val="0"/>
          <w:bCs w:val="0"/>
        </w:rPr>
      </w:r>
      <w:r>
        <w:rPr>
          <w:spacing w:val="-1"/>
        </w:rPr>
        <w:t>（</w:t>
      </w:r>
      <w:r>
        <w:rPr>
          <w:rFonts w:ascii="Times New Roman" w:hAnsi="Times New Roman" w:cs="Times New Roman" w:eastAsia="Times New Roman" w:hint="default"/>
          <w:spacing w:val="-1"/>
        </w:rPr>
        <w:t>6</w:t>
      </w:r>
      <w:r>
        <w:rPr>
          <w:spacing w:val="-1"/>
        </w:rPr>
        <w:t>）转移应收账款且继续涉入形成的资产、负债金额</w:t>
      </w:r>
      <w:r>
        <w:rPr>
          <w:spacing w:val="-86"/>
        </w:rPr>
        <w:t> </w:t>
      </w:r>
      <w:r>
        <w:rPr>
          <w:spacing w:val="-86"/>
        </w:rPr>
      </w:r>
      <w:r>
        <w:rPr>
          <w:rFonts w:ascii="宋体" w:hAnsi="宋体" w:cs="宋体" w:eastAsia="宋体" w:hint="default"/>
          <w:b w:val="0"/>
          <w:bCs w:val="0"/>
        </w:rPr>
        <w:t>其他说明：</w:t>
      </w:r>
    </w:p>
    <w:p>
      <w:pPr>
        <w:spacing w:line="240" w:lineRule="auto" w:before="12"/>
        <w:rPr>
          <w:rFonts w:ascii="宋体" w:hAnsi="宋体" w:cs="宋体" w:eastAsia="宋体" w:hint="default"/>
          <w:sz w:val="17"/>
          <w:szCs w:val="17"/>
        </w:rPr>
      </w:pPr>
    </w:p>
    <w:p>
      <w:pPr>
        <w:pStyle w:val="Heading4"/>
        <w:spacing w:line="240" w:lineRule="auto"/>
        <w:ind w:right="1127"/>
        <w:jc w:val="left"/>
        <w:rPr>
          <w:b w:val="0"/>
          <w:bCs w:val="0"/>
        </w:rPr>
      </w:pPr>
      <w:bookmarkStart w:name="6、应收款项融资" w:id="365"/>
      <w:bookmarkEnd w:id="365"/>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36"/>
        <w:ind w:left="0" w:right="1130"/>
        <w:jc w:val="right"/>
      </w:pPr>
      <w:r>
        <w:rPr/>
        <w:t>单位：</w:t>
      </w:r>
      <w:r>
        <w:rPr>
          <w:spacing w:val="2"/>
        </w:rPr>
        <w:t> </w:t>
      </w:r>
      <w:r>
        <w:rPr/>
        <w:t>元</w:t>
      </w:r>
    </w:p>
    <w:p>
      <w:pPr>
        <w:spacing w:line="240" w:lineRule="auto" w:before="7"/>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388"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17,216,553.84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4,361,789.14</w:t>
            </w:r>
            <w:r>
              <w:rPr>
                <w:rFonts w:ascii="Times New Roman"/>
                <w:sz w:val="18"/>
              </w:rPr>
            </w:r>
          </w:p>
        </w:tc>
      </w:tr>
      <w:tr>
        <w:trPr>
          <w:trHeight w:val="389"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17,216,553.84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4,361,789.14</w:t>
            </w:r>
            <w:r>
              <w:rPr>
                <w:rFonts w:ascii="Times New Roman"/>
                <w:sz w:val="18"/>
              </w:rPr>
            </w:r>
          </w:p>
        </w:tc>
      </w:tr>
    </w:tbl>
    <w:p>
      <w:pPr>
        <w:pStyle w:val="BodyText"/>
        <w:spacing w:line="240" w:lineRule="auto" w:before="64"/>
        <w:ind w:right="1127"/>
        <w:jc w:val="left"/>
      </w:pPr>
      <w:r>
        <w:rPr/>
        <w:t>应收款项融资本期增减变动及公允价值变动情况</w:t>
      </w:r>
    </w:p>
    <w:p>
      <w:pPr>
        <w:spacing w:line="240" w:lineRule="auto" w:before="9"/>
        <w:rPr>
          <w:rFonts w:ascii="宋体" w:hAnsi="宋体" w:cs="宋体" w:eastAsia="宋体" w:hint="default"/>
          <w:sz w:val="17"/>
          <w:szCs w:val="17"/>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19"/>
          <w:szCs w:val="19"/>
        </w:rPr>
      </w:pPr>
    </w:p>
    <w:tbl>
      <w:tblPr>
        <w:tblW w:w="0" w:type="auto"/>
        <w:jc w:val="left"/>
        <w:tblInd w:w="138" w:type="dxa"/>
        <w:tblLayout w:type="fixed"/>
        <w:tblCellMar>
          <w:top w:w="0" w:type="dxa"/>
          <w:left w:w="0" w:type="dxa"/>
          <w:bottom w:w="0" w:type="dxa"/>
          <w:right w:w="0" w:type="dxa"/>
        </w:tblCellMar>
        <w:tblLook w:val="01E0"/>
      </w:tblPr>
      <w:tblGrid>
        <w:gridCol w:w="1558"/>
        <w:gridCol w:w="2599"/>
        <w:gridCol w:w="1975"/>
        <w:gridCol w:w="3526"/>
      </w:tblGrid>
      <w:tr>
        <w:trPr>
          <w:trHeight w:val="408" w:hRule="exact"/>
        </w:trPr>
        <w:tc>
          <w:tcPr>
            <w:tcW w:w="155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9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97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2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累计在其他综合收益中确认的损失准备</w:t>
            </w:r>
          </w:p>
        </w:tc>
      </w:tr>
      <w:tr>
        <w:trPr>
          <w:trHeight w:val="40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 w:right="0"/>
              <w:jc w:val="center"/>
              <w:rPr>
                <w:rFonts w:ascii="Times New Roman" w:hAnsi="Times New Roman" w:cs="Times New Roman" w:eastAsia="Times New Roman" w:hint="default"/>
                <w:sz w:val="18"/>
                <w:szCs w:val="18"/>
              </w:rPr>
            </w:pPr>
            <w:r>
              <w:rPr>
                <w:rFonts w:ascii="Times New Roman"/>
                <w:sz w:val="18"/>
              </w:rPr>
              <w:t>4,361,789.14</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 w:right="0"/>
              <w:jc w:val="center"/>
              <w:rPr>
                <w:rFonts w:ascii="Times New Roman" w:hAnsi="Times New Roman" w:cs="Times New Roman" w:eastAsia="Times New Roman" w:hint="default"/>
                <w:sz w:val="18"/>
                <w:szCs w:val="18"/>
              </w:rPr>
            </w:pPr>
            <w:r>
              <w:rPr>
                <w:rFonts w:ascii="Times New Roman"/>
                <w:sz w:val="18"/>
              </w:rPr>
              <w:t>17,216,553.84</w:t>
            </w:r>
          </w:p>
        </w:tc>
        <w:tc>
          <w:tcPr>
            <w:tcW w:w="352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 w:right="0"/>
              <w:jc w:val="center"/>
              <w:rPr>
                <w:rFonts w:ascii="Times New Roman" w:hAnsi="Times New Roman" w:cs="Times New Roman" w:eastAsia="Times New Roman" w:hint="default"/>
                <w:sz w:val="18"/>
                <w:szCs w:val="18"/>
              </w:rPr>
            </w:pPr>
            <w:r>
              <w:rPr>
                <w:rFonts w:ascii="Times New Roman"/>
                <w:sz w:val="18"/>
              </w:rPr>
              <w:t>4,361,789.14</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 w:right="0"/>
              <w:jc w:val="center"/>
              <w:rPr>
                <w:rFonts w:ascii="Times New Roman" w:hAnsi="Times New Roman" w:cs="Times New Roman" w:eastAsia="Times New Roman" w:hint="default"/>
                <w:sz w:val="18"/>
                <w:szCs w:val="18"/>
              </w:rPr>
            </w:pPr>
            <w:r>
              <w:rPr>
                <w:rFonts w:ascii="Times New Roman"/>
                <w:sz w:val="18"/>
              </w:rPr>
              <w:t>17,216,553.84</w:t>
            </w:r>
          </w:p>
        </w:tc>
        <w:tc>
          <w:tcPr>
            <w:tcW w:w="35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5" w:lineRule="auto" w:before="64"/>
        <w:ind w:left="152" w:right="1127" w:firstLine="420"/>
        <w:jc w:val="left"/>
      </w:pPr>
      <w:r>
        <w:rPr>
          <w:spacing w:val="-2"/>
        </w:rPr>
        <w:t>如是按照预期信用损失一般模型计提应收款项融资减值准备，请参照其他应收款的披露方式披露减值</w:t>
      </w:r>
      <w:r>
        <w:rPr>
          <w:w w:val="100"/>
        </w:rPr>
        <w:t> </w:t>
      </w:r>
      <w:r>
        <w:rPr/>
        <w:t>准备的相关信息：</w:t>
      </w:r>
    </w:p>
    <w:p>
      <w:pPr>
        <w:pStyle w:val="BodyText"/>
        <w:spacing w:line="417" w:lineRule="auto" w:before="133"/>
        <w:ind w:right="8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100"/>
        </w:rPr>
        <w:t> </w:t>
      </w:r>
      <w:r>
        <w:rPr/>
        <w:t>其他说明：</w:t>
      </w:r>
    </w:p>
    <w:p>
      <w:pPr>
        <w:pStyle w:val="Heading4"/>
        <w:spacing w:line="240" w:lineRule="auto" w:before="81"/>
        <w:ind w:left="572" w:right="1127"/>
        <w:jc w:val="left"/>
        <w:rPr>
          <w:b w:val="0"/>
          <w:bCs w:val="0"/>
        </w:rPr>
      </w:pPr>
      <w:r>
        <w:rPr/>
        <w:t>期末公司已背书或贴现且在资产负债表日尚未到期的应收票据</w:t>
      </w:r>
      <w:r>
        <w:rPr>
          <w:b w:val="0"/>
          <w:bCs w:val="0"/>
        </w:rPr>
      </w:r>
    </w:p>
    <w:p>
      <w:pPr>
        <w:spacing w:after="0" w:line="240" w:lineRule="auto"/>
        <w:jc w:val="left"/>
        <w:sectPr>
          <w:pgSz w:w="11910" w:h="16840"/>
          <w:pgMar w:header="882" w:footer="1134" w:top="1280" w:bottom="1320" w:left="980" w:right="0"/>
        </w:sectPr>
      </w:pPr>
    </w:p>
    <w:p>
      <w:pPr>
        <w:spacing w:line="240" w:lineRule="auto" w:before="2"/>
        <w:rPr>
          <w:rFonts w:ascii="宋体" w:hAnsi="宋体" w:cs="宋体" w:eastAsia="宋体" w:hint="default"/>
          <w:b/>
          <w:bCs/>
          <w:sz w:val="11"/>
          <w:szCs w:val="11"/>
        </w:rPr>
      </w:pPr>
    </w:p>
    <w:tbl>
      <w:tblPr>
        <w:tblW w:w="0" w:type="auto"/>
        <w:jc w:val="left"/>
        <w:tblInd w:w="138" w:type="dxa"/>
        <w:tblLayout w:type="fixed"/>
        <w:tblCellMar>
          <w:top w:w="0" w:type="dxa"/>
          <w:left w:w="0" w:type="dxa"/>
          <w:bottom w:w="0" w:type="dxa"/>
          <w:right w:w="0" w:type="dxa"/>
        </w:tblCellMar>
        <w:tblLook w:val="01E0"/>
      </w:tblPr>
      <w:tblGrid>
        <w:gridCol w:w="3682"/>
        <w:gridCol w:w="3007"/>
        <w:gridCol w:w="2969"/>
      </w:tblGrid>
      <w:tr>
        <w:trPr>
          <w:trHeight w:val="408" w:hRule="exact"/>
        </w:trPr>
        <w:tc>
          <w:tcPr>
            <w:tcW w:w="368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0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期末终止确认金额</w:t>
            </w:r>
          </w:p>
        </w:tc>
        <w:tc>
          <w:tcPr>
            <w:tcW w:w="296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671"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8"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18"/>
                <w:szCs w:val="18"/>
              </w:rPr>
            </w:pPr>
            <w:r>
              <w:rPr>
                <w:rFonts w:ascii="Times New Roman"/>
                <w:sz w:val="18"/>
              </w:rPr>
              <w:t>50,520,383.35</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18"/>
                <w:szCs w:val="18"/>
              </w:rPr>
            </w:pPr>
            <w:r>
              <w:rPr>
                <w:rFonts w:ascii="Times New Roman"/>
                <w:sz w:val="18"/>
              </w:rPr>
              <w:t>50,520,383.35</w:t>
            </w: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17"/>
          <w:szCs w:val="17"/>
        </w:rPr>
      </w:pPr>
    </w:p>
    <w:p>
      <w:pPr>
        <w:pStyle w:val="Heading4"/>
        <w:spacing w:line="240" w:lineRule="auto" w:before="36"/>
        <w:ind w:right="1127"/>
        <w:jc w:val="left"/>
        <w:rPr>
          <w:b w:val="0"/>
          <w:bCs w:val="0"/>
        </w:rPr>
      </w:pPr>
      <w:bookmarkStart w:name="7、预付款项" w:id="366"/>
      <w:bookmarkEnd w:id="366"/>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1）预付款项按账龄列示" w:id="367"/>
      <w:bookmarkEnd w:id="36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3"/>
        <w:gridCol w:w="1915"/>
        <w:gridCol w:w="1915"/>
      </w:tblGrid>
      <w:tr>
        <w:trPr>
          <w:trHeight w:val="199" w:hRule="exact"/>
        </w:trPr>
        <w:tc>
          <w:tcPr>
            <w:tcW w:w="18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84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5" w:hRule="exact"/>
        </w:trPr>
        <w:tc>
          <w:tcPr>
            <w:tcW w:w="188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0" w:type="dxa"/>
            <w:gridSpan w:val="2"/>
            <w:vMerge/>
            <w:tcBorders>
              <w:left w:val="single" w:sz="4" w:space="0" w:color="000000"/>
              <w:bottom w:val="single" w:sz="4" w:space="0" w:color="000000"/>
              <w:right w:val="single" w:sz="4" w:space="0" w:color="000000"/>
            </w:tcBorders>
            <w:shd w:val="clear" w:color="auto" w:fill="D4D4D4"/>
          </w:tcPr>
          <w:p>
            <w:pPr/>
          </w:p>
        </w:tc>
        <w:tc>
          <w:tcPr>
            <w:tcW w:w="3830" w:type="dxa"/>
            <w:gridSpan w:val="2"/>
            <w:vMerge/>
            <w:tcBorders>
              <w:left w:val="single" w:sz="4" w:space="0" w:color="000000"/>
              <w:bottom w:val="single" w:sz="4" w:space="0" w:color="000000"/>
              <w:right w:val="single" w:sz="4" w:space="0" w:color="000000"/>
            </w:tcBorders>
            <w:shd w:val="clear" w:color="auto" w:fill="D4D4D4"/>
          </w:tcPr>
          <w:p>
            <w:pPr/>
          </w:p>
        </w:tc>
      </w:tr>
      <w:tr>
        <w:trPr>
          <w:trHeight w:val="192" w:hRule="exact"/>
        </w:trPr>
        <w:tc>
          <w:tcPr>
            <w:tcW w:w="1889" w:type="dxa"/>
            <w:vMerge/>
            <w:tcBorders>
              <w:left w:val="single" w:sz="4" w:space="0" w:color="000000"/>
              <w:bottom w:val="nil" w:sz="6" w:space="0" w:color="auto"/>
              <w:right w:val="single" w:sz="4" w:space="0" w:color="000000"/>
            </w:tcBorders>
            <w:shd w:val="clear" w:color="auto" w:fill="D4D4D4"/>
          </w:tcPr>
          <w:p>
            <w:pPr/>
          </w:p>
        </w:tc>
        <w:tc>
          <w:tcPr>
            <w:tcW w:w="19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1889"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7"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389"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77,769,538.55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4"/>
              <w:jc w:val="right"/>
              <w:rPr>
                <w:rFonts w:ascii="Times New Roman" w:hAnsi="Times New Roman" w:cs="Times New Roman" w:eastAsia="Times New Roman" w:hint="default"/>
                <w:sz w:val="18"/>
                <w:szCs w:val="18"/>
              </w:rPr>
            </w:pPr>
            <w:r>
              <w:rPr>
                <w:rFonts w:ascii="Times New Roman"/>
                <w:sz w:val="18"/>
              </w:rPr>
              <w:t>84.40%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352,563,080.71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4"/>
              <w:jc w:val="right"/>
              <w:rPr>
                <w:rFonts w:ascii="Times New Roman" w:hAnsi="Times New Roman" w:cs="Times New Roman" w:eastAsia="Times New Roman" w:hint="default"/>
                <w:sz w:val="18"/>
                <w:szCs w:val="18"/>
              </w:rPr>
            </w:pPr>
            <w:r>
              <w:rPr>
                <w:rFonts w:ascii="Times New Roman"/>
                <w:sz w:val="18"/>
              </w:rPr>
              <w:t>97.75%</w:t>
            </w:r>
          </w:p>
        </w:tc>
      </w:tr>
      <w:tr>
        <w:trPr>
          <w:trHeight w:val="386"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9,503,081.93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4"/>
              <w:jc w:val="right"/>
              <w:rPr>
                <w:rFonts w:ascii="Times New Roman" w:hAnsi="Times New Roman" w:cs="Times New Roman" w:eastAsia="Times New Roman" w:hint="default"/>
                <w:sz w:val="18"/>
                <w:szCs w:val="18"/>
              </w:rPr>
            </w:pPr>
            <w:r>
              <w:rPr>
                <w:rFonts w:ascii="Times New Roman"/>
                <w:sz w:val="18"/>
              </w:rPr>
              <w:t>10.31%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4,171,914.48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7"/>
              <w:jc w:val="right"/>
              <w:rPr>
                <w:rFonts w:ascii="Times New Roman" w:hAnsi="Times New Roman" w:cs="Times New Roman" w:eastAsia="Times New Roman" w:hint="default"/>
                <w:sz w:val="18"/>
                <w:szCs w:val="18"/>
              </w:rPr>
            </w:pPr>
            <w:r>
              <w:rPr>
                <w:rFonts w:ascii="Times New Roman"/>
                <w:sz w:val="18"/>
              </w:rPr>
              <w:t>1.16%</w:t>
            </w:r>
          </w:p>
        </w:tc>
      </w:tr>
      <w:tr>
        <w:trPr>
          <w:trHeight w:val="386"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1,122,116.45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1.22%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1,271,728.54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0.35%</w:t>
            </w:r>
          </w:p>
        </w:tc>
      </w:tr>
      <w:tr>
        <w:trPr>
          <w:trHeight w:val="389"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3,754,484.71</w:t>
            </w:r>
            <w:r>
              <w:rPr>
                <w:rFonts w:ascii="Times New Roman"/>
                <w:sz w:val="18"/>
              </w:rPr>
            </w:r>
          </w:p>
        </w:tc>
        <w:tc>
          <w:tcPr>
            <w:tcW w:w="1913"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4.07%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2,681,277.81</w:t>
            </w:r>
            <w:r>
              <w:rPr>
                <w:rFonts w:ascii="Times New Roman"/>
                <w:sz w:val="18"/>
              </w:rPr>
            </w:r>
          </w:p>
        </w:tc>
        <w:tc>
          <w:tcPr>
            <w:tcW w:w="1915"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0.74%</w:t>
            </w:r>
          </w:p>
        </w:tc>
      </w:tr>
      <w:tr>
        <w:trPr>
          <w:trHeight w:val="386"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10" w:space="0" w:color="D4D4D4"/>
            </w:tcBorders>
          </w:tcPr>
          <w:p>
            <w:pPr>
              <w:pStyle w:val="TableParagraph"/>
              <w:spacing w:line="240" w:lineRule="auto" w:before="81"/>
              <w:ind w:right="10"/>
              <w:jc w:val="right"/>
              <w:rPr>
                <w:rFonts w:ascii="Times New Roman" w:hAnsi="Times New Roman" w:cs="Times New Roman" w:eastAsia="Times New Roman" w:hint="default"/>
                <w:sz w:val="18"/>
                <w:szCs w:val="18"/>
              </w:rPr>
            </w:pPr>
            <w:r>
              <w:rPr>
                <w:rFonts w:ascii="Times New Roman"/>
                <w:spacing w:val="-1"/>
                <w:sz w:val="18"/>
              </w:rPr>
              <w:t>92,149,221.64</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81"/>
              <w:ind w:right="11"/>
              <w:jc w:val="right"/>
              <w:rPr>
                <w:rFonts w:ascii="Times New Roman" w:hAnsi="Times New Roman" w:cs="Times New Roman" w:eastAsia="Times New Roman" w:hint="default"/>
                <w:sz w:val="18"/>
                <w:szCs w:val="18"/>
              </w:rPr>
            </w:pPr>
            <w:r>
              <w:rPr>
                <w:rFonts w:ascii="Times New Roman"/>
                <w:spacing w:val="-1"/>
                <w:sz w:val="18"/>
              </w:rPr>
              <w:t>360,688,001.54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4"/>
        <w:ind w:right="1127"/>
        <w:jc w:val="left"/>
      </w:pP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年且金额重要的预付款项未及时结算原因的说明：</w:t>
      </w:r>
    </w:p>
    <w:p>
      <w:pPr>
        <w:spacing w:line="240" w:lineRule="auto" w:before="3"/>
        <w:rPr>
          <w:rFonts w:ascii="宋体" w:hAnsi="宋体" w:cs="宋体" w:eastAsia="宋体" w:hint="default"/>
          <w:sz w:val="32"/>
          <w:szCs w:val="32"/>
        </w:rPr>
      </w:pPr>
    </w:p>
    <w:p>
      <w:pPr>
        <w:pStyle w:val="Heading4"/>
        <w:spacing w:line="240" w:lineRule="auto"/>
        <w:ind w:right="1127"/>
        <w:jc w:val="left"/>
        <w:rPr>
          <w:b w:val="0"/>
          <w:bCs w:val="0"/>
        </w:rPr>
      </w:pPr>
      <w:bookmarkStart w:name="（2）按预付对象归集的期末余额前五名的预付款情况" w:id="368"/>
      <w:bookmarkEnd w:id="36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4339"/>
        <w:gridCol w:w="2674"/>
        <w:gridCol w:w="2645"/>
      </w:tblGrid>
      <w:tr>
        <w:trPr>
          <w:trHeight w:val="635" w:hRule="exact"/>
        </w:trPr>
        <w:tc>
          <w:tcPr>
            <w:tcW w:w="433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67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4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32" w:lineRule="exact" w:before="72"/>
              <w:ind w:left="1091" w:right="55" w:hanging="1035"/>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占预付款项期末余额合计数的比 例</w:t>
            </w:r>
            <w:r>
              <w:rPr>
                <w:rFonts w:ascii="Times New Roman" w:hAnsi="Times New Roman" w:cs="Times New Roman" w:eastAsia="Times New Roman" w:hint="default"/>
                <w:sz w:val="18"/>
                <w:szCs w:val="18"/>
              </w:rPr>
              <w:t>(%)</w:t>
            </w:r>
          </w:p>
        </w:tc>
      </w:tr>
      <w:tr>
        <w:trPr>
          <w:trHeight w:val="408"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sz w:val="18"/>
              </w:rPr>
              <w:t>6,098,637.17</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159" w:right="0"/>
              <w:jc w:val="left"/>
              <w:rPr>
                <w:rFonts w:ascii="Times New Roman" w:hAnsi="Times New Roman" w:cs="Times New Roman" w:eastAsia="Times New Roman" w:hint="default"/>
                <w:sz w:val="18"/>
                <w:szCs w:val="18"/>
              </w:rPr>
            </w:pPr>
            <w:r>
              <w:rPr>
                <w:rFonts w:ascii="Times New Roman"/>
                <w:sz w:val="18"/>
              </w:rPr>
              <w:t>6.62</w:t>
            </w:r>
          </w:p>
        </w:tc>
      </w:tr>
      <w:tr>
        <w:trPr>
          <w:trHeight w:val="408"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8"/>
                <w:szCs w:val="18"/>
              </w:rPr>
            </w:pPr>
            <w:r>
              <w:rPr>
                <w:rFonts w:ascii="Times New Roman"/>
                <w:sz w:val="18"/>
              </w:rPr>
              <w:t>5,940,000.00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9" w:right="0"/>
              <w:jc w:val="left"/>
              <w:rPr>
                <w:rFonts w:ascii="Times New Roman" w:hAnsi="Times New Roman" w:cs="Times New Roman" w:eastAsia="Times New Roman" w:hint="default"/>
                <w:sz w:val="18"/>
                <w:szCs w:val="18"/>
              </w:rPr>
            </w:pPr>
            <w:r>
              <w:rPr>
                <w:rFonts w:ascii="Times New Roman"/>
                <w:sz w:val="18"/>
              </w:rPr>
              <w:t>6.45</w:t>
            </w:r>
          </w:p>
        </w:tc>
      </w:tr>
      <w:tr>
        <w:trPr>
          <w:trHeight w:val="408"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8"/>
                <w:szCs w:val="18"/>
              </w:rPr>
            </w:pPr>
            <w:r>
              <w:rPr>
                <w:rFonts w:ascii="Times New Roman"/>
                <w:sz w:val="18"/>
              </w:rPr>
              <w:t>5,909,677.20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9" w:right="0"/>
              <w:jc w:val="left"/>
              <w:rPr>
                <w:rFonts w:ascii="Times New Roman" w:hAnsi="Times New Roman" w:cs="Times New Roman" w:eastAsia="Times New Roman" w:hint="default"/>
                <w:sz w:val="18"/>
                <w:szCs w:val="18"/>
              </w:rPr>
            </w:pPr>
            <w:r>
              <w:rPr>
                <w:rFonts w:ascii="Times New Roman"/>
                <w:sz w:val="18"/>
              </w:rPr>
              <w:t>6.41</w:t>
            </w:r>
          </w:p>
        </w:tc>
      </w:tr>
      <w:tr>
        <w:trPr>
          <w:trHeight w:val="406"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8"/>
                <w:szCs w:val="18"/>
              </w:rPr>
            </w:pPr>
            <w:r>
              <w:rPr>
                <w:rFonts w:ascii="Times New Roman"/>
                <w:sz w:val="18"/>
              </w:rPr>
              <w:t>4,500,000.00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9" w:right="0"/>
              <w:jc w:val="left"/>
              <w:rPr>
                <w:rFonts w:ascii="Times New Roman" w:hAnsi="Times New Roman" w:cs="Times New Roman" w:eastAsia="Times New Roman" w:hint="default"/>
                <w:sz w:val="18"/>
                <w:szCs w:val="18"/>
              </w:rPr>
            </w:pPr>
            <w:r>
              <w:rPr>
                <w:rFonts w:ascii="Times New Roman"/>
                <w:sz w:val="18"/>
              </w:rPr>
              <w:t>4.88</w:t>
            </w:r>
          </w:p>
        </w:tc>
      </w:tr>
      <w:tr>
        <w:trPr>
          <w:trHeight w:val="408"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sz w:val="18"/>
              </w:rPr>
              <w:t>2,704,837.14</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159" w:right="0"/>
              <w:jc w:val="left"/>
              <w:rPr>
                <w:rFonts w:ascii="Times New Roman" w:hAnsi="Times New Roman" w:cs="Times New Roman" w:eastAsia="Times New Roman" w:hint="default"/>
                <w:sz w:val="18"/>
                <w:szCs w:val="18"/>
              </w:rPr>
            </w:pPr>
            <w:r>
              <w:rPr>
                <w:rFonts w:ascii="Times New Roman"/>
                <w:sz w:val="18"/>
              </w:rPr>
              <w:t>2.94</w:t>
            </w:r>
          </w:p>
        </w:tc>
      </w:tr>
      <w:tr>
        <w:trPr>
          <w:trHeight w:val="408"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sz w:val="18"/>
              </w:rPr>
              <w:t>25,153,151.51</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13" w:right="0"/>
              <w:jc w:val="left"/>
              <w:rPr>
                <w:rFonts w:ascii="Times New Roman" w:hAnsi="Times New Roman" w:cs="Times New Roman" w:eastAsia="Times New Roman" w:hint="default"/>
                <w:sz w:val="18"/>
                <w:szCs w:val="18"/>
              </w:rPr>
            </w:pPr>
            <w:r>
              <w:rPr>
                <w:rFonts w:ascii="Times New Roman"/>
                <w:sz w:val="18"/>
              </w:rPr>
              <w:t>27.30</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8、其他应收款" w:id="369"/>
      <w:bookmarkEnd w:id="369"/>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6"/>
        <w:rPr>
          <w:rFonts w:ascii="宋体" w:hAnsi="宋体" w:cs="宋体" w:eastAsia="宋体" w:hint="default"/>
          <w:b/>
          <w:bCs/>
          <w:sz w:val="18"/>
          <w:szCs w:val="18"/>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386"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9"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应收利息</w:t>
            </w:r>
          </w:p>
        </w:tc>
        <w:tc>
          <w:tcPr>
            <w:tcW w:w="3200"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6"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4,416,962.36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89"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94,213,020.00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417,291,033.69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2"/>
      </w:tblGrid>
      <w:tr>
        <w:trPr>
          <w:trHeight w:val="389"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98,629,982.36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032" w:right="0"/>
              <w:jc w:val="left"/>
              <w:rPr>
                <w:rFonts w:ascii="Times New Roman" w:hAnsi="Times New Roman" w:cs="Times New Roman" w:eastAsia="Times New Roman" w:hint="default"/>
                <w:sz w:val="18"/>
                <w:szCs w:val="18"/>
              </w:rPr>
            </w:pPr>
            <w:r>
              <w:rPr>
                <w:rFonts w:ascii="Times New Roman"/>
                <w:sz w:val="18"/>
              </w:rPr>
              <w:t>417,291,033.69</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1）应收利息" w:id="370"/>
      <w:bookmarkEnd w:id="370"/>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1）应收利息分类" w:id="371"/>
      <w:bookmarkEnd w:id="371"/>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6"/>
        <w:rPr>
          <w:rFonts w:ascii="宋体" w:hAnsi="宋体" w:cs="宋体" w:eastAsia="宋体" w:hint="default"/>
          <w:b/>
          <w:bCs/>
          <w:sz w:val="18"/>
          <w:szCs w:val="18"/>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389"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6"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0"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0.00</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2）重要逾期利息" w:id="372"/>
      <w:bookmarkEnd w:id="372"/>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62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64"/>
        <w:ind w:left="152" w:right="1127" w:firstLine="420"/>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3）坏账准备计提情况" w:id="373"/>
      <w:bookmarkEnd w:id="373"/>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32"/>
          <w:szCs w:val="32"/>
        </w:rPr>
      </w:pPr>
    </w:p>
    <w:p>
      <w:pPr>
        <w:pStyle w:val="Heading4"/>
        <w:spacing w:line="240" w:lineRule="auto"/>
        <w:ind w:right="1127"/>
        <w:jc w:val="left"/>
        <w:rPr>
          <w:b w:val="0"/>
          <w:bCs w:val="0"/>
        </w:rPr>
      </w:pPr>
      <w:bookmarkStart w:name="（2）应收股利" w:id="374"/>
      <w:bookmarkEnd w:id="374"/>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1127"/>
        <w:jc w:val="left"/>
        <w:rPr>
          <w:b w:val="0"/>
          <w:bCs w:val="0"/>
        </w:rPr>
      </w:pPr>
      <w:bookmarkStart w:name="1）应收股利分类" w:id="375"/>
      <w:bookmarkEnd w:id="375"/>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386"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北京博大网信科技发展有限公司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center"/>
              <w:rPr>
                <w:rFonts w:ascii="Times New Roman" w:hAnsi="Times New Roman" w:cs="Times New Roman" w:eastAsia="Times New Roman" w:hint="default"/>
                <w:sz w:val="18"/>
                <w:szCs w:val="18"/>
              </w:rPr>
            </w:pPr>
            <w:r>
              <w:rPr>
                <w:rFonts w:ascii="Times New Roman"/>
                <w:sz w:val="18"/>
              </w:rPr>
              <w:t>4,416,962.36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 w:right="0"/>
              <w:jc w:val="center"/>
              <w:rPr>
                <w:rFonts w:ascii="Times New Roman" w:hAnsi="Times New Roman" w:cs="Times New Roman" w:eastAsia="Times New Roman" w:hint="default"/>
                <w:sz w:val="18"/>
                <w:szCs w:val="18"/>
              </w:rPr>
            </w:pPr>
            <w:r>
              <w:rPr>
                <w:rFonts w:ascii="Times New Roman"/>
                <w:sz w:val="18"/>
              </w:rPr>
              <w:t>4,416,962.36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0.00</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2）重要的账龄超过1年的应收股利" w:id="376"/>
      <w:bookmarkEnd w:id="376"/>
      <w:r>
        <w:rPr>
          <w:b w:val="0"/>
          <w:bCs w:val="0"/>
        </w:rPr>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62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3）坏账准备计提情况" w:id="377"/>
      <w:bookmarkEnd w:id="377"/>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6"/>
        <w:rPr>
          <w:rFonts w:ascii="宋体" w:hAnsi="宋体" w:cs="宋体" w:eastAsia="宋体" w:hint="default"/>
          <w:b/>
          <w:bCs/>
          <w:sz w:val="21"/>
          <w:szCs w:val="21"/>
        </w:rPr>
      </w:pPr>
    </w:p>
    <w:p>
      <w:pPr>
        <w:pStyle w:val="BodyText"/>
        <w:spacing w:line="420" w:lineRule="auto"/>
        <w:ind w:right="8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100"/>
        </w:rPr>
        <w:t> </w:t>
      </w:r>
      <w:r>
        <w:rPr/>
        <w:t>其他说明：</w:t>
      </w:r>
    </w:p>
    <w:p>
      <w:pPr>
        <w:spacing w:after="0" w:line="420" w:lineRule="auto"/>
        <w:jc w:val="left"/>
        <w:sectPr>
          <w:pgSz w:w="11910" w:h="16840"/>
          <w:pgMar w:header="882" w:footer="1134" w:top="1280" w:bottom="1320" w:left="980" w:right="0"/>
        </w:sectPr>
      </w:pPr>
    </w:p>
    <w:p>
      <w:pPr>
        <w:pStyle w:val="Heading4"/>
        <w:spacing w:line="240" w:lineRule="auto" w:before="114"/>
        <w:ind w:right="1127"/>
        <w:jc w:val="left"/>
        <w:rPr>
          <w:b w:val="0"/>
          <w:bCs w:val="0"/>
        </w:rPr>
      </w:pPr>
      <w:bookmarkStart w:name="（3）其他应收款" w:id="378"/>
      <w:bookmarkEnd w:id="37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1127"/>
        <w:jc w:val="left"/>
        <w:rPr>
          <w:b w:val="0"/>
          <w:bCs w:val="0"/>
        </w:rPr>
      </w:pPr>
      <w:bookmarkStart w:name="1）其他应收款按款项性质分类情况" w:id="379"/>
      <w:bookmarkEnd w:id="379"/>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86"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049"/>
              <w:jc w:val="righ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8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71"/>
              <w:jc w:val="right"/>
              <w:rPr>
                <w:rFonts w:ascii="Times New Roman" w:hAnsi="Times New Roman" w:cs="Times New Roman" w:eastAsia="Times New Roman" w:hint="default"/>
                <w:sz w:val="18"/>
                <w:szCs w:val="18"/>
              </w:rPr>
            </w:pPr>
            <w:r>
              <w:rPr>
                <w:rFonts w:ascii="Times New Roman"/>
                <w:spacing w:val="-1"/>
                <w:sz w:val="18"/>
              </w:rPr>
              <w:t>75,693,230.57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72" w:right="0"/>
              <w:jc w:val="left"/>
              <w:rPr>
                <w:rFonts w:ascii="Times New Roman" w:hAnsi="Times New Roman" w:cs="Times New Roman" w:eastAsia="Times New Roman" w:hint="default"/>
                <w:sz w:val="18"/>
                <w:szCs w:val="18"/>
              </w:rPr>
            </w:pPr>
            <w:r>
              <w:rPr>
                <w:rFonts w:ascii="Times New Roman"/>
                <w:sz w:val="18"/>
              </w:rPr>
              <w:t>67,194,590.94</w:t>
            </w:r>
          </w:p>
        </w:tc>
      </w:tr>
      <w:tr>
        <w:trPr>
          <w:trHeight w:val="386"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单位往来借款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71"/>
              <w:jc w:val="right"/>
              <w:rPr>
                <w:rFonts w:ascii="Times New Roman" w:hAnsi="Times New Roman" w:cs="Times New Roman" w:eastAsia="Times New Roman" w:hint="default"/>
                <w:sz w:val="18"/>
                <w:szCs w:val="18"/>
              </w:rPr>
            </w:pPr>
            <w:r>
              <w:rPr>
                <w:rFonts w:ascii="Times New Roman"/>
                <w:spacing w:val="-1"/>
                <w:sz w:val="18"/>
              </w:rPr>
              <w:t>28,054,792.55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72" w:right="0"/>
              <w:jc w:val="left"/>
              <w:rPr>
                <w:rFonts w:ascii="Times New Roman" w:hAnsi="Times New Roman" w:cs="Times New Roman" w:eastAsia="Times New Roman" w:hint="default"/>
                <w:sz w:val="18"/>
                <w:szCs w:val="18"/>
              </w:rPr>
            </w:pPr>
            <w:r>
              <w:rPr>
                <w:rFonts w:ascii="Times New Roman"/>
                <w:sz w:val="18"/>
              </w:rPr>
              <w:t>15,541,358.51</w:t>
            </w:r>
          </w:p>
        </w:tc>
      </w:tr>
      <w:tr>
        <w:trPr>
          <w:trHeight w:val="38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实际控制人资金占用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27" w:right="0"/>
              <w:jc w:val="left"/>
              <w:rPr>
                <w:rFonts w:ascii="Times New Roman" w:hAnsi="Times New Roman" w:cs="Times New Roman" w:eastAsia="Times New Roman" w:hint="default"/>
                <w:sz w:val="18"/>
                <w:szCs w:val="18"/>
              </w:rPr>
            </w:pPr>
            <w:r>
              <w:rPr>
                <w:rFonts w:ascii="Times New Roman"/>
                <w:sz w:val="18"/>
              </w:rPr>
              <w:t>254,750,540.00</w:t>
            </w:r>
          </w:p>
        </w:tc>
      </w:tr>
      <w:tr>
        <w:trPr>
          <w:trHeight w:val="386"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合作意向金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27" w:right="0"/>
              <w:jc w:val="left"/>
              <w:rPr>
                <w:rFonts w:ascii="Times New Roman" w:hAnsi="Times New Roman" w:cs="Times New Roman" w:eastAsia="Times New Roman" w:hint="default"/>
                <w:sz w:val="18"/>
                <w:szCs w:val="18"/>
              </w:rPr>
            </w:pPr>
            <w:r>
              <w:rPr>
                <w:rFonts w:ascii="Times New Roman"/>
                <w:sz w:val="18"/>
              </w:rPr>
              <w:t>100,000,000.00</w:t>
            </w:r>
          </w:p>
        </w:tc>
      </w:tr>
      <w:tr>
        <w:trPr>
          <w:trHeight w:val="386"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备用金借款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113"/>
              <w:jc w:val="right"/>
              <w:rPr>
                <w:rFonts w:ascii="Times New Roman" w:hAnsi="Times New Roman" w:cs="Times New Roman" w:eastAsia="Times New Roman" w:hint="default"/>
                <w:sz w:val="18"/>
                <w:szCs w:val="18"/>
              </w:rPr>
            </w:pPr>
            <w:r>
              <w:rPr>
                <w:rFonts w:ascii="Times New Roman"/>
                <w:spacing w:val="-1"/>
                <w:sz w:val="18"/>
              </w:rPr>
              <w:t>2,442,653.42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118" w:right="0"/>
              <w:jc w:val="left"/>
              <w:rPr>
                <w:rFonts w:ascii="Times New Roman" w:hAnsi="Times New Roman" w:cs="Times New Roman" w:eastAsia="Times New Roman" w:hint="default"/>
                <w:sz w:val="18"/>
                <w:szCs w:val="18"/>
              </w:rPr>
            </w:pPr>
            <w:r>
              <w:rPr>
                <w:rFonts w:ascii="Times New Roman"/>
                <w:sz w:val="18"/>
              </w:rPr>
              <w:t>4,934,662.39</w:t>
            </w:r>
          </w:p>
        </w:tc>
      </w:tr>
      <w:tr>
        <w:trPr>
          <w:trHeight w:val="38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代扣代缴款项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113"/>
              <w:jc w:val="right"/>
              <w:rPr>
                <w:rFonts w:ascii="Times New Roman" w:hAnsi="Times New Roman" w:cs="Times New Roman" w:eastAsia="Times New Roman" w:hint="default"/>
                <w:sz w:val="18"/>
                <w:szCs w:val="18"/>
              </w:rPr>
            </w:pPr>
            <w:r>
              <w:rPr>
                <w:rFonts w:ascii="Times New Roman"/>
                <w:spacing w:val="-1"/>
                <w:sz w:val="18"/>
              </w:rPr>
              <w:t>1,425,596.46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118" w:right="0"/>
              <w:jc w:val="left"/>
              <w:rPr>
                <w:rFonts w:ascii="Times New Roman" w:hAnsi="Times New Roman" w:cs="Times New Roman" w:eastAsia="Times New Roman" w:hint="default"/>
                <w:sz w:val="18"/>
                <w:szCs w:val="18"/>
              </w:rPr>
            </w:pPr>
            <w:r>
              <w:rPr>
                <w:rFonts w:ascii="Times New Roman"/>
                <w:sz w:val="18"/>
              </w:rPr>
              <w:t>1,508,806.32</w:t>
            </w:r>
          </w:p>
        </w:tc>
      </w:tr>
      <w:tr>
        <w:trPr>
          <w:trHeight w:val="386"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113"/>
              <w:jc w:val="right"/>
              <w:rPr>
                <w:rFonts w:ascii="Times New Roman" w:hAnsi="Times New Roman" w:cs="Times New Roman" w:eastAsia="Times New Roman" w:hint="default"/>
                <w:sz w:val="18"/>
                <w:szCs w:val="18"/>
              </w:rPr>
            </w:pPr>
            <w:r>
              <w:rPr>
                <w:rFonts w:ascii="Times New Roman"/>
                <w:spacing w:val="-1"/>
                <w:sz w:val="18"/>
              </w:rPr>
              <w:t>5,635,500.82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118" w:right="0"/>
              <w:jc w:val="left"/>
              <w:rPr>
                <w:rFonts w:ascii="Times New Roman" w:hAnsi="Times New Roman" w:cs="Times New Roman" w:eastAsia="Times New Roman" w:hint="default"/>
                <w:sz w:val="18"/>
                <w:szCs w:val="18"/>
              </w:rPr>
            </w:pPr>
            <w:r>
              <w:rPr>
                <w:rFonts w:ascii="Times New Roman"/>
                <w:sz w:val="18"/>
              </w:rPr>
              <w:t>3,481,003.06</w:t>
            </w:r>
          </w:p>
        </w:tc>
      </w:tr>
      <w:tr>
        <w:trPr>
          <w:trHeight w:val="389"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8"/>
              <w:jc w:val="right"/>
              <w:rPr>
                <w:rFonts w:ascii="Times New Roman" w:hAnsi="Times New Roman" w:cs="Times New Roman" w:eastAsia="Times New Roman" w:hint="default"/>
                <w:sz w:val="18"/>
                <w:szCs w:val="18"/>
              </w:rPr>
            </w:pPr>
            <w:r>
              <w:rPr>
                <w:rFonts w:ascii="Times New Roman"/>
                <w:spacing w:val="-1"/>
                <w:sz w:val="18"/>
              </w:rPr>
              <w:t>113,251,773.82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27" w:right="0"/>
              <w:jc w:val="left"/>
              <w:rPr>
                <w:rFonts w:ascii="Times New Roman" w:hAnsi="Times New Roman" w:cs="Times New Roman" w:eastAsia="Times New Roman" w:hint="default"/>
                <w:sz w:val="18"/>
                <w:szCs w:val="18"/>
              </w:rPr>
            </w:pPr>
            <w:r>
              <w:rPr>
                <w:rFonts w:ascii="Times New Roman"/>
                <w:sz w:val="18"/>
              </w:rPr>
              <w:t>447,410,961.22</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2）坏账准备计提情况" w:id="380"/>
      <w:bookmarkEnd w:id="380"/>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1892"/>
        <w:gridCol w:w="1662"/>
        <w:gridCol w:w="2098"/>
        <w:gridCol w:w="2100"/>
        <w:gridCol w:w="1805"/>
      </w:tblGrid>
      <w:tr>
        <w:trPr>
          <w:trHeight w:val="350" w:hRule="exact"/>
        </w:trPr>
        <w:tc>
          <w:tcPr>
            <w:tcW w:w="1892" w:type="dxa"/>
            <w:tcBorders>
              <w:top w:val="single" w:sz="4" w:space="0" w:color="000000"/>
              <w:left w:val="single" w:sz="4" w:space="0" w:color="000000"/>
              <w:bottom w:val="nil" w:sz="6" w:space="0" w:color="auto"/>
              <w:right w:val="single" w:sz="4" w:space="0" w:color="000000"/>
            </w:tcBorders>
            <w:shd w:val="clear" w:color="auto" w:fill="D4D4D4"/>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41" w:hRule="exact"/>
        </w:trPr>
        <w:tc>
          <w:tcPr>
            <w:tcW w:w="189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4D4D4"/>
          </w:tcPr>
          <w:p>
            <w:pPr>
              <w:pStyle w:val="TableParagraph"/>
              <w:spacing w:line="236" w:lineRule="exact" w:before="99"/>
              <w:ind w:left="56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4D4D4"/>
          </w:tcPr>
          <w:p>
            <w:pPr>
              <w:pStyle w:val="TableParagraph"/>
              <w:spacing w:line="235" w:lineRule="exact" w:before="77"/>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vMerge w:val="restart"/>
            <w:tcBorders>
              <w:top w:val="single" w:sz="4" w:space="0" w:color="000000"/>
              <w:left w:val="single" w:sz="4" w:space="0" w:color="000000"/>
              <w:right w:val="single" w:sz="4" w:space="0" w:color="000000"/>
            </w:tcBorders>
            <w:shd w:val="clear" w:color="auto" w:fill="D4D4D4"/>
          </w:tcPr>
          <w:p>
            <w:pPr>
              <w:pStyle w:val="TableParagraph"/>
              <w:spacing w:line="235" w:lineRule="exact" w:before="77"/>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17" w:hRule="exact"/>
        </w:trPr>
        <w:tc>
          <w:tcPr>
            <w:tcW w:w="1892" w:type="dxa"/>
            <w:tcBorders>
              <w:top w:val="nil" w:sz="6" w:space="0" w:color="auto"/>
              <w:left w:val="single" w:sz="4" w:space="0" w:color="000000"/>
              <w:bottom w:val="single" w:sz="4" w:space="0" w:color="000000"/>
              <w:right w:val="single" w:sz="4" w:space="0" w:color="000000"/>
            </w:tcBorders>
            <w:shd w:val="clear" w:color="auto" w:fill="D4D4D4"/>
          </w:tcPr>
          <w:p>
            <w:pPr/>
          </w:p>
        </w:tc>
        <w:tc>
          <w:tcPr>
            <w:tcW w:w="1662" w:type="dxa"/>
            <w:vMerge/>
            <w:tcBorders>
              <w:left w:val="single" w:sz="4" w:space="0" w:color="000000"/>
              <w:bottom w:val="single" w:sz="4" w:space="0" w:color="000000"/>
              <w:right w:val="single" w:sz="4" w:space="0" w:color="000000"/>
            </w:tcBorders>
            <w:shd w:val="clear" w:color="auto" w:fill="D4D4D4"/>
          </w:tcPr>
          <w:p>
            <w:pPr/>
          </w:p>
        </w:tc>
        <w:tc>
          <w:tcPr>
            <w:tcW w:w="2098" w:type="dxa"/>
            <w:vMerge/>
            <w:tcBorders>
              <w:left w:val="single" w:sz="4" w:space="0" w:color="000000"/>
              <w:bottom w:val="single" w:sz="4" w:space="0" w:color="000000"/>
              <w:right w:val="single" w:sz="4" w:space="0" w:color="000000"/>
            </w:tcBorders>
            <w:shd w:val="clear" w:color="auto" w:fill="D4D4D4"/>
          </w:tcPr>
          <w:p>
            <w:pPr/>
          </w:p>
        </w:tc>
        <w:tc>
          <w:tcPr>
            <w:tcW w:w="2100" w:type="dxa"/>
            <w:vMerge/>
            <w:tcBorders>
              <w:left w:val="single" w:sz="4" w:space="0" w:color="000000"/>
              <w:bottom w:val="single" w:sz="4" w:space="0" w:color="000000"/>
              <w:right w:val="single" w:sz="4" w:space="0" w:color="000000"/>
            </w:tcBorders>
            <w:shd w:val="clear" w:color="auto" w:fill="D4D4D4"/>
          </w:tcPr>
          <w:p>
            <w:pPr/>
          </w:p>
        </w:tc>
        <w:tc>
          <w:tcPr>
            <w:tcW w:w="180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52"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2" w:type="dxa"/>
            <w:tcBorders>
              <w:top w:val="single" w:sz="4" w:space="0" w:color="000000"/>
              <w:left w:val="single" w:sz="10" w:space="0" w:color="D4D4D4"/>
              <w:bottom w:val="single" w:sz="53" w:space="0" w:color="D4D4D4"/>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2"/>
                <w:sz w:val="18"/>
              </w:rPr>
              <w:t>30,111,243.08</w:t>
            </w:r>
            <w:r>
              <w:rPr>
                <w:rFonts w:ascii="Times New Roman"/>
                <w:sz w:val="18"/>
              </w:rPr>
            </w:r>
          </w:p>
        </w:tc>
        <w:tc>
          <w:tcPr>
            <w:tcW w:w="2098" w:type="dxa"/>
            <w:tcBorders>
              <w:top w:val="single" w:sz="4" w:space="0" w:color="000000"/>
              <w:left w:val="single" w:sz="4" w:space="0" w:color="000000"/>
              <w:bottom w:val="single" w:sz="53" w:space="0" w:color="D4D4D4"/>
              <w:right w:val="single" w:sz="4" w:space="0" w:color="000000"/>
            </w:tcBorders>
          </w:tcPr>
          <w:p>
            <w:pPr/>
          </w:p>
        </w:tc>
        <w:tc>
          <w:tcPr>
            <w:tcW w:w="2100" w:type="dxa"/>
            <w:tcBorders>
              <w:top w:val="single" w:sz="4" w:space="0" w:color="000000"/>
              <w:left w:val="single" w:sz="4" w:space="0" w:color="000000"/>
              <w:bottom w:val="single" w:sz="53" w:space="0" w:color="D4D4D4"/>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z w:val="18"/>
              </w:rPr>
              <w:t>8,684.45</w:t>
            </w:r>
          </w:p>
        </w:tc>
        <w:tc>
          <w:tcPr>
            <w:tcW w:w="1805" w:type="dxa"/>
            <w:tcBorders>
              <w:top w:val="single" w:sz="4" w:space="0" w:color="000000"/>
              <w:left w:val="single" w:sz="4" w:space="0" w:color="000000"/>
              <w:bottom w:val="single" w:sz="53" w:space="0" w:color="D4D4D4"/>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30,119,927.53</w:t>
            </w:r>
            <w:r>
              <w:rPr>
                <w:rFonts w:ascii="Times New Roman"/>
                <w:sz w:val="18"/>
              </w:rPr>
            </w:r>
          </w:p>
        </w:tc>
      </w:tr>
      <w:tr>
        <w:trPr>
          <w:trHeight w:val="491"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18" w:lineRule="exact"/>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w:t>
            </w:r>
          </w:p>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1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3"/>
              <w:ind w:right="2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3"/>
              <w:ind w:right="1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3"/>
              <w:ind w:right="1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3"/>
              <w:ind w:right="2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51"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本期转回</w:t>
            </w:r>
          </w:p>
        </w:tc>
        <w:tc>
          <w:tcPr>
            <w:tcW w:w="1662" w:type="dxa"/>
            <w:tcBorders>
              <w:top w:val="single" w:sz="56" w:space="0" w:color="D4D4D4"/>
              <w:left w:val="single" w:sz="10" w:space="0" w:color="D4D4D4"/>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11,146,458.60</w:t>
            </w:r>
            <w:r>
              <w:rPr>
                <w:rFonts w:ascii="Times New Roman"/>
                <w:sz w:val="18"/>
              </w:rPr>
            </w:r>
          </w:p>
        </w:tc>
        <w:tc>
          <w:tcPr>
            <w:tcW w:w="2098" w:type="dxa"/>
            <w:tcBorders>
              <w:top w:val="single" w:sz="56" w:space="0" w:color="D4D4D4"/>
              <w:left w:val="single" w:sz="4" w:space="0" w:color="000000"/>
              <w:bottom w:val="single" w:sz="4" w:space="0" w:color="000000"/>
              <w:right w:val="single" w:sz="4" w:space="0" w:color="000000"/>
            </w:tcBorders>
          </w:tcPr>
          <w:p>
            <w:pPr/>
          </w:p>
        </w:tc>
        <w:tc>
          <w:tcPr>
            <w:tcW w:w="2100" w:type="dxa"/>
            <w:tcBorders>
              <w:top w:val="single" w:sz="56" w:space="0" w:color="D4D4D4"/>
              <w:left w:val="single" w:sz="4" w:space="0" w:color="000000"/>
              <w:bottom w:val="single" w:sz="4" w:space="0" w:color="000000"/>
              <w:right w:val="single" w:sz="4" w:space="0" w:color="000000"/>
            </w:tcBorders>
          </w:tcPr>
          <w:p>
            <w:pPr/>
          </w:p>
        </w:tc>
        <w:tc>
          <w:tcPr>
            <w:tcW w:w="1805" w:type="dxa"/>
            <w:tcBorders>
              <w:top w:val="single" w:sz="56" w:space="0" w:color="D4D4D4"/>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11,146,458.60</w:t>
            </w:r>
            <w:r>
              <w:rPr>
                <w:rFonts w:ascii="Times New Roman"/>
                <w:sz w:val="18"/>
              </w:rPr>
            </w:r>
          </w:p>
        </w:tc>
      </w:tr>
      <w:tr>
        <w:trPr>
          <w:trHeight w:val="389"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本期核销</w:t>
            </w:r>
          </w:p>
        </w:tc>
        <w:tc>
          <w:tcPr>
            <w:tcW w:w="1662" w:type="dxa"/>
            <w:tcBorders>
              <w:top w:val="single" w:sz="4" w:space="0" w:color="000000"/>
              <w:left w:val="single" w:sz="10" w:space="0" w:color="D4D4D4"/>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z w:val="18"/>
              </w:rPr>
              <w:t>8,684.45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8,684.45</w:t>
            </w:r>
          </w:p>
        </w:tc>
      </w:tr>
      <w:tr>
        <w:trPr>
          <w:trHeight w:val="386"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其他变动</w:t>
            </w:r>
          </w:p>
        </w:tc>
        <w:tc>
          <w:tcPr>
            <w:tcW w:w="166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73,969.34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73,969.34</w:t>
            </w:r>
          </w:p>
        </w:tc>
      </w:tr>
      <w:tr>
        <w:trPr>
          <w:trHeight w:val="389"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19,038,753.82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19,038,753.82</w:t>
            </w:r>
          </w:p>
        </w:tc>
      </w:tr>
    </w:tbl>
    <w:p>
      <w:pPr>
        <w:pStyle w:val="BodyText"/>
        <w:spacing w:line="240" w:lineRule="auto" w:before="64"/>
        <w:ind w:right="1127"/>
        <w:jc w:val="left"/>
      </w:pPr>
      <w:r>
        <w:rPr/>
        <w:t>损失准备本期变动金额重大的账面余额变动情况</w:t>
      </w:r>
    </w:p>
    <w:p>
      <w:pPr>
        <w:spacing w:line="240" w:lineRule="auto" w:before="9"/>
        <w:rPr>
          <w:rFonts w:ascii="宋体" w:hAnsi="宋体" w:cs="宋体" w:eastAsia="宋体" w:hint="default"/>
          <w:sz w:val="17"/>
          <w:szCs w:val="17"/>
        </w:rPr>
      </w:pPr>
    </w:p>
    <w:p>
      <w:pPr>
        <w:pStyle w:val="BodyText"/>
        <w:spacing w:line="420" w:lineRule="auto"/>
        <w:ind w:right="8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100"/>
        </w:rPr>
        <w:t> </w:t>
      </w:r>
      <w:r>
        <w:rPr/>
        <w:t>按账龄披露</w:t>
      </w:r>
    </w:p>
    <w:p>
      <w:pPr>
        <w:pStyle w:val="BodyText"/>
        <w:spacing w:line="240" w:lineRule="auto" w:before="7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4760"/>
        <w:gridCol w:w="4796"/>
      </w:tblGrid>
      <w:tr>
        <w:trPr>
          <w:trHeight w:val="388"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88"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60,246,153.88</w:t>
            </w:r>
          </w:p>
        </w:tc>
      </w:tr>
      <w:tr>
        <w:trPr>
          <w:trHeight w:val="388"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26,044,946.21</w:t>
            </w:r>
          </w:p>
        </w:tc>
      </w:tr>
      <w:tr>
        <w:trPr>
          <w:trHeight w:val="388"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9,621,343.53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388"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17,339,330.20</w:t>
            </w:r>
          </w:p>
        </w:tc>
      </w:tr>
      <w:tr>
        <w:trPr>
          <w:trHeight w:val="388"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right="195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9,584,190.44</w:t>
            </w:r>
            <w:r>
              <w:rPr>
                <w:rFonts w:ascii="Times New Roman"/>
                <w:sz w:val="18"/>
              </w:rPr>
            </w:r>
          </w:p>
        </w:tc>
      </w:tr>
      <w:tr>
        <w:trPr>
          <w:trHeight w:val="386"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95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4,114,186.96</w:t>
            </w:r>
            <w:r>
              <w:rPr>
                <w:rFonts w:ascii="Times New Roman"/>
                <w:sz w:val="18"/>
              </w:rPr>
            </w:r>
          </w:p>
        </w:tc>
      </w:tr>
      <w:tr>
        <w:trPr>
          <w:trHeight w:val="389"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955"/>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3,640,952.80</w:t>
            </w:r>
            <w:r>
              <w:rPr>
                <w:rFonts w:ascii="Times New Roman"/>
                <w:sz w:val="18"/>
              </w:rPr>
            </w:r>
          </w:p>
        </w:tc>
      </w:tr>
      <w:tr>
        <w:trPr>
          <w:trHeight w:val="386"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113,251,773.82</w:t>
            </w:r>
          </w:p>
        </w:tc>
      </w:tr>
    </w:tbl>
    <w:p>
      <w:pPr>
        <w:spacing w:line="240" w:lineRule="auto" w:before="7"/>
        <w:rPr>
          <w:rFonts w:ascii="宋体" w:hAnsi="宋体" w:cs="宋体" w:eastAsia="宋体" w:hint="default"/>
          <w:sz w:val="17"/>
          <w:szCs w:val="17"/>
        </w:rPr>
      </w:pPr>
    </w:p>
    <w:p>
      <w:pPr>
        <w:spacing w:line="472" w:lineRule="auto" w:before="36"/>
        <w:ind w:left="572" w:right="5512" w:hanging="421"/>
        <w:jc w:val="left"/>
        <w:rPr>
          <w:rFonts w:ascii="宋体" w:hAnsi="宋体" w:cs="宋体" w:eastAsia="宋体" w:hint="default"/>
          <w:sz w:val="21"/>
          <w:szCs w:val="21"/>
        </w:rPr>
      </w:pPr>
      <w:bookmarkStart w:name="3）本期计提、收回或转回的坏账准备情况" w:id="381"/>
      <w:bookmarkEnd w:id="381"/>
      <w:r>
        <w:rPr/>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）本期计提、收回或转回的坏账准备情况</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z w:val="21"/>
          <w:szCs w:val="21"/>
        </w:rPr>
        <w:t>本期计提坏账准备情况：</w:t>
      </w:r>
    </w:p>
    <w:p>
      <w:pPr>
        <w:pStyle w:val="BodyText"/>
        <w:spacing w:line="240" w:lineRule="auto" w:before="30"/>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39"/>
        <w:gridCol w:w="1332"/>
        <w:gridCol w:w="1332"/>
        <w:gridCol w:w="1325"/>
        <w:gridCol w:w="1726"/>
      </w:tblGrid>
      <w:tr>
        <w:trPr>
          <w:trHeight w:val="388" w:hRule="exact"/>
        </w:trPr>
        <w:tc>
          <w:tcPr>
            <w:tcW w:w="141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8" w:hRule="exact"/>
        </w:trPr>
        <w:tc>
          <w:tcPr>
            <w:tcW w:w="1416" w:type="dxa"/>
            <w:vMerge/>
            <w:tcBorders>
              <w:left w:val="single" w:sz="4" w:space="0" w:color="000000"/>
              <w:bottom w:val="single" w:sz="4" w:space="0" w:color="000000"/>
              <w:right w:val="single" w:sz="4" w:space="0" w:color="000000"/>
            </w:tcBorders>
            <w:shd w:val="clear" w:color="auto" w:fill="D4D4D4"/>
          </w:tcPr>
          <w:p>
            <w:pPr/>
          </w:p>
        </w:tc>
        <w:tc>
          <w:tcPr>
            <w:tcW w:w="1097" w:type="dxa"/>
            <w:vMerge/>
            <w:tcBorders>
              <w:left w:val="single" w:sz="4" w:space="0" w:color="000000"/>
              <w:bottom w:val="single" w:sz="4" w:space="0" w:color="000000"/>
              <w:right w:val="single" w:sz="4" w:space="0" w:color="000000"/>
            </w:tcBorders>
            <w:shd w:val="clear" w:color="auto" w:fill="D4D4D4"/>
          </w:tcPr>
          <w:p>
            <w:pPr/>
          </w:p>
        </w:tc>
        <w:tc>
          <w:tcPr>
            <w:tcW w:w="13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4D4D4"/>
          </w:tcPr>
          <w:p>
            <w:pPr/>
          </w:p>
        </w:tc>
      </w:tr>
      <w:tr>
        <w:trPr>
          <w:trHeight w:val="38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账龄组合</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5" w:right="0"/>
              <w:jc w:val="left"/>
              <w:rPr>
                <w:rFonts w:ascii="Times New Roman" w:hAnsi="Times New Roman" w:cs="Times New Roman" w:eastAsia="Times New Roman" w:hint="default"/>
                <w:sz w:val="18"/>
                <w:szCs w:val="18"/>
              </w:rPr>
            </w:pPr>
            <w:r>
              <w:rPr>
                <w:rFonts w:ascii="Times New Roman"/>
                <w:sz w:val="18"/>
              </w:rPr>
              <w:t>30,119,927.53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w w:val="95"/>
                <w:sz w:val="18"/>
              </w:rPr>
              <w:t>-11,146,458.60</w:t>
            </w:r>
            <w:r>
              <w:rPr>
                <w:rFonts w:ascii="Times New Roman"/>
                <w:sz w:val="18"/>
              </w:rPr>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z w:val="18"/>
              </w:rPr>
              <w:t>8,684.45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73,969.34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19,038,753.82</w:t>
            </w:r>
            <w:r>
              <w:rPr>
                <w:rFonts w:ascii="Times New Roman"/>
                <w:sz w:val="18"/>
              </w:rPr>
            </w:r>
          </w:p>
        </w:tc>
      </w:tr>
      <w:tr>
        <w:trPr>
          <w:trHeight w:val="389" w:hRule="exact"/>
        </w:trPr>
        <w:tc>
          <w:tcPr>
            <w:tcW w:w="1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5" w:right="0"/>
              <w:jc w:val="left"/>
              <w:rPr>
                <w:rFonts w:ascii="Times New Roman" w:hAnsi="Times New Roman" w:cs="Times New Roman" w:eastAsia="Times New Roman" w:hint="default"/>
                <w:sz w:val="18"/>
                <w:szCs w:val="18"/>
              </w:rPr>
            </w:pPr>
            <w:r>
              <w:rPr>
                <w:rFonts w:ascii="Times New Roman"/>
                <w:sz w:val="18"/>
              </w:rPr>
              <w:t>30,119,927.53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w w:val="95"/>
                <w:sz w:val="18"/>
              </w:rPr>
              <w:t>-11,146,458.60</w:t>
            </w:r>
            <w:r>
              <w:rPr>
                <w:rFonts w:ascii="Times New Roman"/>
                <w:sz w:val="18"/>
              </w:rPr>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z w:val="18"/>
              </w:rPr>
              <w:t>8,684.45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73,969.34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19,038,753.82</w:t>
            </w:r>
          </w:p>
        </w:tc>
      </w:tr>
    </w:tbl>
    <w:p>
      <w:pPr>
        <w:pStyle w:val="BodyText"/>
        <w:spacing w:line="336" w:lineRule="auto" w:before="64"/>
        <w:ind w:left="152" w:right="1123" w:firstLine="420"/>
        <w:jc w:val="left"/>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16"/>
        </w:rPr>
        <w:t> </w:t>
      </w:r>
      <w:r>
        <w:rPr/>
        <w:t>年</w:t>
      </w:r>
      <w:r>
        <w:rPr>
          <w:spacing w:val="-6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6"/>
        </w:rPr>
        <w:t> </w:t>
      </w:r>
      <w:r>
        <w:rPr/>
        <w:t>月北京泰豪智能工程有限公司收购不构成业务的北京泰豪智能科技有限公司，并表时点</w:t>
      </w:r>
      <w:r>
        <w:rPr>
          <w:w w:val="100"/>
        </w:rPr>
        <w:t> </w:t>
      </w:r>
      <w:r>
        <w:rPr/>
        <w:t>北京泰豪智能科技有限公司其他应收款坏账为</w:t>
      </w:r>
      <w:r>
        <w:rPr>
          <w:spacing w:val="-56"/>
        </w:rPr>
        <w:t> </w:t>
      </w:r>
      <w:r>
        <w:rPr>
          <w:rFonts w:ascii="Times New Roman" w:hAnsi="Times New Roman" w:cs="Times New Roman" w:eastAsia="Times New Roman" w:hint="default"/>
        </w:rPr>
        <w:t>129,749.74</w:t>
      </w:r>
      <w:r>
        <w:rPr>
          <w:rFonts w:ascii="Times New Roman" w:hAnsi="Times New Roman" w:cs="Times New Roman" w:eastAsia="Times New Roman" w:hint="default"/>
          <w:spacing w:val="-12"/>
        </w:rPr>
        <w:t> </w:t>
      </w:r>
      <w:r>
        <w:rPr>
          <w:spacing w:val="-3"/>
        </w:rPr>
        <w:t>元。</w:t>
      </w:r>
      <w:r>
        <w:rPr/>
      </w:r>
    </w:p>
    <w:p>
      <w:pPr>
        <w:pStyle w:val="BodyText"/>
        <w:spacing w:line="333" w:lineRule="auto" w:before="127"/>
        <w:ind w:left="152" w:right="1125" w:firstLine="42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月公司将三级子公司浙江小望科技有限公司</w:t>
      </w:r>
      <w:r>
        <w:rPr>
          <w:spacing w:val="-40"/>
        </w:rPr>
        <w:t> </w:t>
      </w:r>
      <w:r>
        <w:rPr>
          <w:rFonts w:ascii="Times New Roman" w:hAnsi="Times New Roman" w:cs="Times New Roman" w:eastAsia="Times New Roman" w:hint="default"/>
        </w:rPr>
        <w:t>40%</w:t>
      </w:r>
      <w:r>
        <w:rPr/>
        <w:t>股权处置，处置时点浙江小望科技有限</w:t>
      </w:r>
      <w:r>
        <w:rPr>
          <w:w w:val="100"/>
        </w:rPr>
        <w:t> </w:t>
      </w:r>
      <w:r>
        <w:rPr/>
        <w:t>公司其他应收款坏账准备金额为</w:t>
      </w:r>
      <w:r>
        <w:rPr>
          <w:spacing w:val="-53"/>
        </w:rPr>
        <w:t> </w:t>
      </w:r>
      <w:r>
        <w:rPr>
          <w:rFonts w:ascii="Times New Roman" w:hAnsi="Times New Roman" w:cs="Times New Roman" w:eastAsia="Times New Roman" w:hint="default"/>
        </w:rPr>
        <w:t>32,224.94</w:t>
      </w:r>
      <w:r>
        <w:rPr>
          <w:rFonts w:ascii="Times New Roman" w:hAnsi="Times New Roman" w:cs="Times New Roman" w:eastAsia="Times New Roman" w:hint="default"/>
          <w:spacing w:val="-12"/>
        </w:rPr>
        <w:t> </w:t>
      </w:r>
      <w:r>
        <w:rPr/>
        <w:t>元。</w:t>
      </w:r>
    </w:p>
    <w:p>
      <w:pPr>
        <w:pStyle w:val="BodyText"/>
        <w:spacing w:line="333" w:lineRule="auto" w:before="129"/>
        <w:ind w:left="152" w:right="1127" w:firstLine="420"/>
        <w:jc w:val="left"/>
      </w:pP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2019 </w:t>
      </w:r>
      <w:r>
        <w:rPr/>
        <w:t>年 </w:t>
      </w:r>
      <w:r>
        <w:rPr>
          <w:rFonts w:ascii="Times New Roman" w:hAnsi="Times New Roman" w:cs="Times New Roman" w:eastAsia="Times New Roman" w:hint="default"/>
        </w:rPr>
        <w:t>1 </w:t>
      </w:r>
      <w:r>
        <w:rPr>
          <w:spacing w:val="-3"/>
        </w:rPr>
        <w:t>月，公司将三级子公司郑州众合景轩信息技术有限公司</w:t>
      </w:r>
      <w:r>
        <w:rPr>
          <w:spacing w:val="-59"/>
        </w:rPr>
        <w:t> </w:t>
      </w:r>
      <w:r>
        <w:rPr>
          <w:rFonts w:ascii="Times New Roman" w:hAnsi="Times New Roman" w:cs="Times New Roman" w:eastAsia="Times New Roman" w:hint="default"/>
          <w:spacing w:val="-3"/>
        </w:rPr>
        <w:t>100%</w:t>
      </w:r>
      <w:r>
        <w:rPr>
          <w:spacing w:val="-3"/>
        </w:rPr>
        <w:t>股权处置，处置时点郑州众</w:t>
      </w:r>
      <w:r>
        <w:rPr>
          <w:w w:val="100"/>
        </w:rPr>
        <w:t> </w:t>
      </w:r>
      <w:r>
        <w:rPr/>
        <w:t>合景轩信息技术有限公司其他应收款坏账准备金额为</w:t>
      </w:r>
      <w:r>
        <w:rPr>
          <w:spacing w:val="-54"/>
        </w:rPr>
        <w:t> </w:t>
      </w:r>
      <w:r>
        <w:rPr>
          <w:rFonts w:ascii="Times New Roman" w:hAnsi="Times New Roman" w:cs="Times New Roman" w:eastAsia="Times New Roman" w:hint="default"/>
        </w:rPr>
        <w:t>23,555.46</w:t>
      </w:r>
      <w:r>
        <w:rPr>
          <w:rFonts w:ascii="Times New Roman" w:hAnsi="Times New Roman" w:cs="Times New Roman" w:eastAsia="Times New Roman" w:hint="default"/>
          <w:spacing w:val="-13"/>
        </w:rPr>
        <w:t> </w:t>
      </w:r>
      <w:r>
        <w:rPr/>
        <w:t>元。</w:t>
      </w:r>
    </w:p>
    <w:p>
      <w:pPr>
        <w:pStyle w:val="Heading3"/>
        <w:spacing w:line="240" w:lineRule="auto" w:before="124"/>
        <w:ind w:right="1127"/>
        <w:jc w:val="left"/>
        <w:rPr>
          <w:rFonts w:ascii="宋体" w:hAnsi="宋体" w:cs="宋体" w:eastAsia="宋体" w:hint="default"/>
        </w:rPr>
      </w:pPr>
      <w:r>
        <w:rPr>
          <w:rFonts w:ascii="宋体" w:hAnsi="宋体" w:cs="宋体" w:eastAsia="宋体" w:hint="default"/>
        </w:rPr>
        <w:t>其中本期坏账准备转回或收回金额重要的：</w:t>
      </w:r>
    </w:p>
    <w:p>
      <w:pPr>
        <w:spacing w:line="240" w:lineRule="auto" w:before="8"/>
        <w:rPr>
          <w:rFonts w:ascii="宋体" w:hAnsi="宋体" w:cs="宋体" w:eastAsia="宋体" w:hint="default"/>
          <w:sz w:val="19"/>
          <w:szCs w:val="19"/>
        </w:rPr>
      </w:pPr>
    </w:p>
    <w:p>
      <w:pPr>
        <w:pStyle w:val="BodyText"/>
        <w:spacing w:line="240" w:lineRule="auto"/>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86"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38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12,737,527.00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15"/>
              <w:jc w:val="center"/>
              <w:rPr>
                <w:rFonts w:ascii="宋体" w:hAnsi="宋体" w:cs="宋体" w:eastAsia="宋体" w:hint="default"/>
                <w:sz w:val="18"/>
                <w:szCs w:val="18"/>
              </w:rPr>
            </w:pPr>
            <w:r>
              <w:rPr>
                <w:rFonts w:ascii="宋体" w:hAnsi="宋体" w:cs="宋体" w:eastAsia="宋体" w:hint="default"/>
                <w:sz w:val="18"/>
                <w:szCs w:val="18"/>
              </w:rPr>
              <w:t>资金收回</w:t>
            </w:r>
          </w:p>
        </w:tc>
      </w:tr>
      <w:tr>
        <w:trPr>
          <w:trHeight w:val="386"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常州燕璐资本管理有限公司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5,000,000.00</w:t>
            </w:r>
          </w:p>
        </w:tc>
        <w:tc>
          <w:tcPr>
            <w:tcW w:w="3190" w:type="dxa"/>
            <w:tcBorders>
              <w:top w:val="single" w:sz="4" w:space="0" w:color="000000"/>
              <w:left w:val="single" w:sz="4" w:space="0" w:color="000000"/>
              <w:bottom w:val="single" w:sz="6" w:space="0" w:color="D4D4D4"/>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资金收回</w:t>
            </w:r>
          </w:p>
        </w:tc>
      </w:tr>
      <w:tr>
        <w:trPr>
          <w:trHeight w:val="389"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81"/>
              <w:ind w:left="6" w:right="0"/>
              <w:jc w:val="center"/>
              <w:rPr>
                <w:rFonts w:ascii="Times New Roman" w:hAnsi="Times New Roman" w:cs="Times New Roman" w:eastAsia="Times New Roman" w:hint="default"/>
                <w:sz w:val="18"/>
                <w:szCs w:val="18"/>
              </w:rPr>
            </w:pPr>
            <w:r>
              <w:rPr>
                <w:rFonts w:ascii="Times New Roman"/>
                <w:sz w:val="18"/>
              </w:rPr>
              <w:t>17,737,527.00</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4）本期实际核销的其他应收款情况" w:id="382"/>
      <w:bookmarkEnd w:id="382"/>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386"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64"/>
        <w:ind w:right="1127"/>
        <w:jc w:val="left"/>
      </w:pPr>
      <w:r>
        <w:rPr/>
        <w:t>其中重要的其他应收款核销情况：</w:t>
      </w:r>
    </w:p>
    <w:p>
      <w:pPr>
        <w:spacing w:line="240" w:lineRule="auto" w:before="1"/>
        <w:rPr>
          <w:rFonts w:ascii="宋体" w:hAnsi="宋体" w:cs="宋体" w:eastAsia="宋体" w:hint="default"/>
          <w:sz w:val="15"/>
          <w:szCs w:val="15"/>
        </w:rPr>
      </w:pPr>
    </w:p>
    <w:p>
      <w:pPr>
        <w:pStyle w:val="BodyText"/>
        <w:spacing w:line="240" w:lineRule="auto" w:before="36"/>
        <w:ind w:left="0" w:right="1130"/>
        <w:jc w:val="right"/>
      </w:pPr>
      <w:r>
        <w:rPr/>
        <w:t>单位：</w:t>
      </w:r>
      <w:r>
        <w:rPr>
          <w:spacing w:val="2"/>
        </w:rPr>
        <w:t> </w:t>
      </w:r>
      <w:r>
        <w:rPr/>
        <w:t>元</w:t>
      </w:r>
    </w:p>
    <w:p>
      <w:pPr>
        <w:spacing w:after="0" w:line="240" w:lineRule="auto"/>
        <w:jc w:val="right"/>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85"/>
      </w:tblGrid>
      <w:tr>
        <w:trPr>
          <w:trHeight w:val="622"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523" w:right="6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64"/>
        <w:ind w:right="1127"/>
        <w:jc w:val="left"/>
      </w:pPr>
      <w:r>
        <w:rPr/>
        <w:t>其他应收款核销说明：</w:t>
      </w:r>
    </w:p>
    <w:p>
      <w:pPr>
        <w:spacing w:line="240" w:lineRule="auto" w:before="0"/>
        <w:rPr>
          <w:rFonts w:ascii="宋体" w:hAnsi="宋体" w:cs="宋体" w:eastAsia="宋体" w:hint="default"/>
          <w:sz w:val="20"/>
          <w:szCs w:val="20"/>
        </w:rPr>
      </w:pPr>
    </w:p>
    <w:p>
      <w:pPr>
        <w:pStyle w:val="Heading4"/>
        <w:spacing w:line="240" w:lineRule="auto" w:before="174"/>
        <w:ind w:right="1127"/>
        <w:jc w:val="left"/>
        <w:rPr>
          <w:b w:val="0"/>
          <w:bCs w:val="0"/>
        </w:rPr>
      </w:pPr>
      <w:bookmarkStart w:name="5）按欠款方归集的期末余额前五名的其他应收款情况" w:id="383"/>
      <w:bookmarkEnd w:id="383"/>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619"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7"/>
              <w:ind w:left="2"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7"/>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7"/>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8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10,185,200.00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z w:val="18"/>
              </w:rPr>
              <w:t>8.99%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509,260.00</w:t>
            </w:r>
          </w:p>
        </w:tc>
      </w:tr>
      <w:tr>
        <w:trPr>
          <w:trHeight w:val="38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6,200,219.60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z w:val="18"/>
              </w:rPr>
              <w:t>5.47%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z w:val="18"/>
              </w:rPr>
              <w:t>620,021.96</w:t>
            </w:r>
          </w:p>
        </w:tc>
      </w:tr>
      <w:tr>
        <w:trPr>
          <w:trHeight w:val="85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3,178,545.55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4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945,357.65</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2,233,187.90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1,881,086.09</w:t>
            </w:r>
            <w:r>
              <w:rPr>
                <w:rFonts w:ascii="Times New Roman"/>
                <w:sz w:val="18"/>
              </w:rPr>
            </w:r>
          </w:p>
        </w:tc>
      </w:tr>
      <w:tr>
        <w:trPr>
          <w:trHeight w:val="85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3,169,945.16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4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834,140.00</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2,335,805.16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1,718,477.61</w:t>
            </w:r>
            <w:r>
              <w:rPr>
                <w:rFonts w:ascii="Times New Roman"/>
                <w:sz w:val="18"/>
              </w:rPr>
            </w:r>
          </w:p>
        </w:tc>
      </w:tr>
      <w:tr>
        <w:trPr>
          <w:trHeight w:val="38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2,953,800.00</w:t>
            </w:r>
            <w:r>
              <w:rPr>
                <w:rFonts w:ascii="Times New Roman"/>
                <w:sz w:val="18"/>
              </w:rPr>
            </w:r>
          </w:p>
        </w:tc>
        <w:tc>
          <w:tcPr>
            <w:tcW w:w="1594"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2.61%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295,380.00</w:t>
            </w:r>
          </w:p>
        </w:tc>
      </w:tr>
      <w:tr>
        <w:trPr>
          <w:trHeight w:val="386"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25,687,710.31</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5"/>
              <w:jc w:val="right"/>
              <w:rPr>
                <w:rFonts w:ascii="Times New Roman" w:hAnsi="Times New Roman" w:cs="Times New Roman" w:eastAsia="Times New Roman" w:hint="default"/>
                <w:sz w:val="18"/>
                <w:szCs w:val="18"/>
              </w:rPr>
            </w:pPr>
            <w:r>
              <w:rPr>
                <w:rFonts w:ascii="Times New Roman"/>
                <w:sz w:val="18"/>
              </w:rPr>
              <w:t>22.68%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5,024,225.66</w:t>
            </w:r>
            <w:r>
              <w:rPr>
                <w:rFonts w:ascii="Times New Roman"/>
                <w:sz w:val="18"/>
              </w:rPr>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6）涉及政府补助的应收款项" w:id="384"/>
      <w:bookmarkEnd w:id="384"/>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36"/>
        <w:ind w:left="0" w:right="1130"/>
        <w:jc w:val="right"/>
      </w:pPr>
      <w:r>
        <w:rPr/>
        <w:t>单位：</w:t>
      </w:r>
      <w:r>
        <w:rPr>
          <w:spacing w:val="2"/>
        </w:rPr>
        <w:t> </w:t>
      </w:r>
      <w:r>
        <w:rPr/>
        <w:t>元</w:t>
      </w:r>
    </w:p>
    <w:p>
      <w:pPr>
        <w:spacing w:line="240" w:lineRule="auto" w:before="9"/>
        <w:rPr>
          <w:rFonts w:ascii="宋体" w:hAnsi="宋体" w:cs="宋体" w:eastAsia="宋体"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6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66"/>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7）因金融资产转移而终止确认的其他应收款" w:id="385"/>
      <w:bookmarkEnd w:id="385"/>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1"/>
          <w:szCs w:val="21"/>
        </w:rPr>
      </w:pPr>
    </w:p>
    <w:p>
      <w:pPr>
        <w:pStyle w:val="Heading4"/>
        <w:spacing w:line="472" w:lineRule="auto"/>
        <w:ind w:left="572" w:right="5512" w:hanging="420"/>
        <w:jc w:val="left"/>
        <w:rPr>
          <w:rFonts w:ascii="宋体" w:hAnsi="宋体" w:cs="宋体" w:eastAsia="宋体" w:hint="default"/>
          <w:b w:val="0"/>
          <w:bCs w:val="0"/>
        </w:rPr>
      </w:pPr>
      <w:bookmarkStart w:name="8）转移其他应收款且继续涉入形成的资产、负债金额" w:id="386"/>
      <w:bookmarkEnd w:id="386"/>
      <w:r>
        <w:rPr>
          <w:b w:val="0"/>
          <w:bCs w:val="0"/>
        </w:rPr>
      </w:r>
      <w:r>
        <w:rPr>
          <w:rFonts w:ascii="Times New Roman" w:hAnsi="Times New Roman" w:cs="Times New Roman" w:eastAsia="Times New Roman" w:hint="default"/>
          <w:spacing w:val="-1"/>
        </w:rPr>
        <w:t>8</w:t>
      </w:r>
      <w:r>
        <w:rPr>
          <w:spacing w:val="-1"/>
        </w:rPr>
        <w:t>）转移其他应收款且继续涉入形成的资产、负债金额</w:t>
      </w:r>
      <w:r>
        <w:rPr>
          <w:spacing w:val="-85"/>
        </w:rPr>
        <w:t> </w:t>
      </w:r>
      <w:r>
        <w:rPr>
          <w:spacing w:val="-85"/>
        </w:rPr>
      </w:r>
      <w:r>
        <w:rPr>
          <w:rFonts w:ascii="宋体" w:hAnsi="宋体" w:cs="宋体" w:eastAsia="宋体" w:hint="default"/>
          <w:b w:val="0"/>
          <w:bCs w:val="0"/>
        </w:rPr>
        <w:t>其他说明：</w:t>
      </w:r>
    </w:p>
    <w:p>
      <w:pPr>
        <w:spacing w:line="240" w:lineRule="auto" w:before="12"/>
        <w:rPr>
          <w:rFonts w:ascii="宋体" w:hAnsi="宋体" w:cs="宋体" w:eastAsia="宋体" w:hint="default"/>
          <w:sz w:val="17"/>
          <w:szCs w:val="17"/>
        </w:rPr>
      </w:pPr>
    </w:p>
    <w:p>
      <w:pPr>
        <w:pStyle w:val="Heading4"/>
        <w:spacing w:line="240" w:lineRule="auto"/>
        <w:ind w:right="1127"/>
        <w:jc w:val="left"/>
        <w:rPr>
          <w:b w:val="0"/>
          <w:bCs w:val="0"/>
        </w:rPr>
      </w:pPr>
      <w:bookmarkStart w:name="9、存货" w:id="387"/>
      <w:bookmarkEnd w:id="387"/>
      <w:r>
        <w:rPr>
          <w:b w:val="0"/>
          <w:bCs w:val="0"/>
        </w:rPr>
      </w:r>
      <w:r>
        <w:rPr>
          <w:rFonts w:ascii="Times New Roman" w:hAnsi="Times New Roman" w:cs="Times New Roman" w:eastAsia="Times New Roman" w:hint="default"/>
        </w:rPr>
        <w:t>9</w:t>
      </w:r>
      <w:r>
        <w:rPr/>
        <w:t>、存货</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right="1127"/>
        <w:jc w:val="left"/>
      </w:pPr>
      <w:r>
        <w:rPr/>
        <w:t>是否已执行新收入准则</w:t>
      </w:r>
    </w:p>
    <w:p>
      <w:pPr>
        <w:spacing w:line="240" w:lineRule="auto" w:before="12"/>
        <w:rPr>
          <w:rFonts w:ascii="宋体" w:hAnsi="宋体" w:cs="宋体" w:eastAsia="宋体" w:hint="default"/>
          <w:sz w:val="17"/>
          <w:szCs w:val="17"/>
        </w:rPr>
      </w:pPr>
    </w:p>
    <w:p>
      <w:pPr>
        <w:pStyle w:val="BodyText"/>
        <w:spacing w:line="240" w:lineRule="auto"/>
        <w:ind w:right="11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3"/>
        <w:rPr>
          <w:rFonts w:ascii="宋体" w:hAnsi="宋体" w:cs="宋体" w:eastAsia="宋体" w:hint="default"/>
          <w:sz w:val="32"/>
          <w:szCs w:val="32"/>
        </w:rPr>
      </w:pPr>
    </w:p>
    <w:p>
      <w:pPr>
        <w:pStyle w:val="Heading4"/>
        <w:spacing w:line="240" w:lineRule="auto"/>
        <w:ind w:right="1127"/>
        <w:jc w:val="left"/>
        <w:rPr>
          <w:b w:val="0"/>
          <w:bCs w:val="0"/>
        </w:rPr>
      </w:pPr>
      <w:bookmarkStart w:name="（1）存货分类" w:id="388"/>
      <w:bookmarkEnd w:id="38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4102"/>
        <w:gridCol w:w="4091"/>
      </w:tblGrid>
      <w:tr>
        <w:trPr>
          <w:trHeight w:val="386"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8"/>
        <w:gridCol w:w="1366"/>
        <w:gridCol w:w="1368"/>
      </w:tblGrid>
      <w:tr>
        <w:trPr>
          <w:trHeight w:val="386"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89"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16,058,745.08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1,823,991.97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14,234,753.11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15,838,136.50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1,925,652.84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13,912,483.66</w:t>
            </w:r>
          </w:p>
        </w:tc>
      </w:tr>
      <w:tr>
        <w:trPr>
          <w:trHeight w:val="386"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151,990,620.04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2,432,055.57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149,558,564.47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184,597,965.59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1,961,860.32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182,636,105.27</w:t>
            </w:r>
            <w:r>
              <w:rPr>
                <w:rFonts w:ascii="Times New Roman"/>
                <w:sz w:val="18"/>
              </w:rPr>
            </w:r>
          </w:p>
        </w:tc>
      </w:tr>
      <w:tr>
        <w:trPr>
          <w:trHeight w:val="854"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44"/>
              <w:ind w:left="12" w:right="61"/>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665,314,487.41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665,314,487.41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582,713,512.31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582,713,512.31</w:t>
            </w:r>
            <w:r>
              <w:rPr>
                <w:rFonts w:ascii="Times New Roman"/>
                <w:sz w:val="18"/>
              </w:rPr>
            </w:r>
          </w:p>
        </w:tc>
      </w:tr>
      <w:tr>
        <w:trPr>
          <w:trHeight w:val="389"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7,458,937.41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7,458,937.41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54,815,974.07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54,815,974.07</w:t>
            </w:r>
          </w:p>
        </w:tc>
      </w:tr>
      <w:tr>
        <w:trPr>
          <w:trHeight w:val="386" w:hRule="exact"/>
        </w:trPr>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9,881,490.06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9,881,490.06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12,279,702.68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12,279,702.68</w:t>
            </w:r>
          </w:p>
        </w:tc>
      </w:tr>
      <w:tr>
        <w:trPr>
          <w:trHeight w:val="389"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850,704,280.00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4,256,047.54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846,448,232.46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850,245,291.15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3,887,513.16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846,357,777.99</w:t>
            </w:r>
            <w:r>
              <w:rPr>
                <w:rFonts w:ascii="Times New Roman"/>
                <w:sz w:val="18"/>
              </w:rPr>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2）存货跌价准备" w:id="389"/>
      <w:bookmarkEnd w:id="38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182"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27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70" w:hRule="exact"/>
        </w:trPr>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4D4D4"/>
          </w:tcPr>
          <w:p>
            <w:pPr/>
          </w:p>
        </w:tc>
        <w:tc>
          <w:tcPr>
            <w:tcW w:w="2734" w:type="dxa"/>
            <w:gridSpan w:val="2"/>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right w:val="single" w:sz="4" w:space="0" w:color="000000"/>
            </w:tcBorders>
            <w:shd w:val="clear" w:color="auto" w:fill="D4D4D4"/>
          </w:tcPr>
          <w:p>
            <w:pPr/>
          </w:p>
        </w:tc>
      </w:tr>
      <w:tr>
        <w:trPr>
          <w:trHeight w:val="180"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1368"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right w:val="single" w:sz="4" w:space="0" w:color="000000"/>
            </w:tcBorders>
            <w:shd w:val="clear" w:color="auto" w:fill="D4D4D4"/>
          </w:tcPr>
          <w:p>
            <w:pPr/>
          </w:p>
        </w:tc>
      </w:tr>
      <w:tr>
        <w:trPr>
          <w:trHeight w:val="182"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360"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1,925,652.84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101,660.87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1,823,991.97</w:t>
            </w:r>
            <w:r>
              <w:rPr>
                <w:rFonts w:ascii="Times New Roman"/>
                <w:sz w:val="18"/>
              </w:rPr>
            </w:r>
          </w:p>
        </w:tc>
      </w:tr>
      <w:tr>
        <w:trPr>
          <w:trHeight w:val="358"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1,961,860.32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470,195.25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2,432,055.57</w:t>
            </w:r>
            <w:r>
              <w:rPr>
                <w:rFonts w:ascii="Times New Roman"/>
                <w:sz w:val="18"/>
              </w:rPr>
            </w:r>
          </w:p>
        </w:tc>
      </w:tr>
      <w:tr>
        <w:trPr>
          <w:trHeight w:val="360"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3,887,513.16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470,195.25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101,660.87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4,256,047.54</w:t>
            </w:r>
            <w:r>
              <w:rPr>
                <w:rFonts w:ascii="Times New Roman"/>
                <w:sz w:val="18"/>
              </w:rPr>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3）存货期末余额含有借款费用资本化金额的说明" w:id="390"/>
      <w:bookmarkEnd w:id="39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4）期末建造合同形成的已完工未结算资产情况" w:id="391"/>
      <w:bookmarkEnd w:id="39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60"/>
        <w:gridCol w:w="4796"/>
      </w:tblGrid>
      <w:tr>
        <w:trPr>
          <w:trHeight w:val="360"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58"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3,503,598,036.00</w:t>
            </w:r>
          </w:p>
        </w:tc>
      </w:tr>
      <w:tr>
        <w:trPr>
          <w:trHeight w:val="359"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785,913,780.65</w:t>
            </w:r>
            <w:r>
              <w:rPr>
                <w:rFonts w:ascii="Times New Roman"/>
                <w:sz w:val="18"/>
              </w:rPr>
            </w:r>
          </w:p>
        </w:tc>
      </w:tr>
      <w:tr>
        <w:trPr>
          <w:trHeight w:val="359"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37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3,624,197,329.24</w:t>
            </w:r>
          </w:p>
        </w:tc>
      </w:tr>
      <w:tr>
        <w:trPr>
          <w:trHeight w:val="358"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665,314,487.41</w:t>
            </w:r>
            <w:r>
              <w:rPr>
                <w:rFonts w:ascii="Times New Roman"/>
                <w:sz w:val="18"/>
              </w:rPr>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10、合同资产" w:id="392"/>
      <w:bookmarkEnd w:id="392"/>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130"/>
        <w:gridCol w:w="1198"/>
        <w:gridCol w:w="1327"/>
        <w:gridCol w:w="1195"/>
        <w:gridCol w:w="1198"/>
        <w:gridCol w:w="1195"/>
        <w:gridCol w:w="1327"/>
      </w:tblGrid>
      <w:tr>
        <w:trPr>
          <w:trHeight w:val="324" w:hRule="exact"/>
        </w:trPr>
        <w:tc>
          <w:tcPr>
            <w:tcW w:w="213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2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2130" w:type="dxa"/>
            <w:vMerge/>
            <w:tcBorders>
              <w:left w:val="single" w:sz="4" w:space="0" w:color="000000"/>
              <w:bottom w:val="single" w:sz="4" w:space="0" w:color="000000"/>
              <w:right w:val="single" w:sz="4" w:space="0" w:color="000000"/>
            </w:tcBorders>
            <w:shd w:val="clear" w:color="auto" w:fill="D4D4D4"/>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64"/>
        <w:ind w:right="1127"/>
        <w:jc w:val="left"/>
      </w:pPr>
      <w:r>
        <w:rPr/>
        <w:t>合同资产的账面价值在本期内发生的重大变动金额和原因：</w:t>
      </w:r>
    </w:p>
    <w:p>
      <w:pPr>
        <w:spacing w:line="240" w:lineRule="auto" w:before="8"/>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204"/>
        <w:gridCol w:w="2419"/>
        <w:gridCol w:w="4932"/>
      </w:tblGrid>
      <w:tr>
        <w:trPr>
          <w:trHeight w:val="324" w:hRule="exact"/>
        </w:trPr>
        <w:tc>
          <w:tcPr>
            <w:tcW w:w="22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pStyle w:val="BodyText"/>
        <w:spacing w:line="240" w:lineRule="auto" w:before="64"/>
        <w:ind w:right="0"/>
        <w:jc w:val="left"/>
      </w:pPr>
      <w:r>
        <w:rPr/>
        <w:t>如是按照预期信用损失一般模型计提合同资产坏账准备，请参照其他应收款的披露方式披露坏账准备</w:t>
      </w:r>
    </w:p>
    <w:p>
      <w:pPr>
        <w:spacing w:after="0" w:line="240" w:lineRule="auto"/>
        <w:jc w:val="left"/>
        <w:sectPr>
          <w:pgSz w:w="11910" w:h="16840"/>
          <w:pgMar w:header="882" w:footer="1134" w:top="1280" w:bottom="1320" w:left="980" w:right="0"/>
        </w:sectPr>
      </w:pPr>
    </w:p>
    <w:p>
      <w:pPr>
        <w:pStyle w:val="BodyText"/>
        <w:spacing w:line="240" w:lineRule="auto" w:before="110"/>
        <w:ind w:left="152" w:right="1127"/>
        <w:jc w:val="left"/>
      </w:pPr>
      <w:r>
        <w:rPr/>
        <w:t>的相关信息：</w:t>
      </w:r>
    </w:p>
    <w:p>
      <w:pPr>
        <w:spacing w:line="240" w:lineRule="auto" w:before="12"/>
        <w:rPr>
          <w:rFonts w:ascii="宋体" w:hAnsi="宋体" w:cs="宋体" w:eastAsia="宋体" w:hint="default"/>
          <w:sz w:val="17"/>
          <w:szCs w:val="17"/>
        </w:rPr>
      </w:pPr>
    </w:p>
    <w:p>
      <w:pPr>
        <w:pStyle w:val="BodyText"/>
        <w:spacing w:line="420" w:lineRule="auto"/>
        <w:ind w:left="573" w:right="72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本期合同资产计提减值准备情况</w:t>
      </w:r>
    </w:p>
    <w:p>
      <w:pPr>
        <w:spacing w:before="8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pStyle w:val="BodyText"/>
        <w:spacing w:line="240" w:lineRule="auto" w:before="65"/>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4"/>
        <w:ind w:right="1127"/>
        <w:jc w:val="left"/>
        <w:rPr>
          <w:b w:val="0"/>
          <w:bCs w:val="0"/>
        </w:rPr>
      </w:pPr>
      <w:bookmarkStart w:name="11、持有待售资产" w:id="393"/>
      <w:bookmarkEnd w:id="393"/>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6"/>
        <w:gridCol w:w="1368"/>
        <w:gridCol w:w="1366"/>
        <w:gridCol w:w="1368"/>
        <w:gridCol w:w="1357"/>
      </w:tblGrid>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12、一年内到期的非流动资产" w:id="394"/>
      <w:bookmarkEnd w:id="394"/>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324"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64"/>
        <w:ind w:right="1127"/>
        <w:jc w:val="left"/>
      </w:pPr>
      <w:r>
        <w:rPr/>
        <w:t>重要的债权投资</w:t>
      </w:r>
      <w:r>
        <w:rPr>
          <w:rFonts w:ascii="Times New Roman" w:hAnsi="Times New Roman" w:cs="Times New Roman" w:eastAsia="Times New Roman" w:hint="default"/>
        </w:rPr>
        <w:t>/</w:t>
      </w:r>
      <w:r>
        <w:rPr/>
        <w:t>其他债权投资</w:t>
      </w:r>
    </w:p>
    <w:p>
      <w:pPr>
        <w:spacing w:line="240" w:lineRule="auto" w:before="5"/>
        <w:rPr>
          <w:rFonts w:ascii="宋体" w:hAnsi="宋体" w:cs="宋体" w:eastAsia="宋体" w:hint="default"/>
          <w:sz w:val="13"/>
          <w:szCs w:val="1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5"/>
        <w:gridCol w:w="958"/>
        <w:gridCol w:w="955"/>
        <w:gridCol w:w="958"/>
        <w:gridCol w:w="958"/>
      </w:tblGrid>
      <w:tr>
        <w:trPr>
          <w:trHeight w:val="323" w:hRule="exact"/>
        </w:trPr>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1914" w:type="dxa"/>
            <w:vMerge/>
            <w:tcBorders>
              <w:left w:val="single" w:sz="4" w:space="0" w:color="000000"/>
              <w:bottom w:val="single" w:sz="4" w:space="0" w:color="000000"/>
              <w:right w:val="single" w:sz="4" w:space="0" w:color="000000"/>
            </w:tcBorders>
            <w:shd w:val="clear" w:color="auto" w:fill="D4D4D4"/>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spacing w:line="470" w:lineRule="auto" w:before="176"/>
        <w:ind w:left="572" w:right="7290" w:hanging="420"/>
        <w:jc w:val="left"/>
        <w:rPr>
          <w:rFonts w:ascii="宋体" w:hAnsi="宋体" w:cs="宋体" w:eastAsia="宋体" w:hint="default"/>
          <w:sz w:val="21"/>
          <w:szCs w:val="21"/>
        </w:rPr>
      </w:pPr>
      <w:bookmarkStart w:name="13、其他流动资产" w:id="395"/>
      <w:bookmarkEnd w:id="395"/>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、其他流动资产</w:t>
      </w:r>
      <w:r>
        <w:rPr>
          <w:rFonts w:ascii="宋体" w:hAnsi="宋体" w:cs="宋体" w:eastAsia="宋体" w:hint="default"/>
          <w:b/>
          <w:bCs/>
          <w:w w:val="100"/>
          <w:sz w:val="21"/>
          <w:szCs w:val="21"/>
        </w:rPr>
        <w:t> </w:t>
      </w:r>
      <w:r>
        <w:rPr>
          <w:rFonts w:ascii="宋体" w:hAnsi="宋体" w:cs="宋体" w:eastAsia="宋体" w:hint="default"/>
          <w:spacing w:val="-2"/>
          <w:sz w:val="21"/>
          <w:szCs w:val="21"/>
        </w:rPr>
        <w:t>是否已执行新收入准则</w:t>
      </w:r>
    </w:p>
    <w:p>
      <w:pPr>
        <w:pStyle w:val="BodyText"/>
        <w:spacing w:line="240" w:lineRule="auto" w:before="32"/>
        <w:ind w:right="11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13"/>
          <w:szCs w:val="1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增值税重分类</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37,114,221.33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59,442,720.94</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11,140,325.63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26,512,949.82</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待摊房租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105,456.43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805,648.55</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13,635.33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48,373,638.72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86,761,319.31</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14、债权投资" w:id="396"/>
      <w:bookmarkEnd w:id="396"/>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footerReference w:type="default" r:id="rId72"/>
          <w:pgSz w:w="11910" w:h="16840"/>
          <w:pgMar w:footer="1134" w:header="882" w:top="1280" w:bottom="1320" w:left="980" w:right="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324"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64"/>
        <w:ind w:right="1127"/>
        <w:jc w:val="left"/>
      </w:pPr>
      <w:r>
        <w:rPr/>
        <w:t>重要的债权投资</w:t>
      </w:r>
    </w:p>
    <w:p>
      <w:pPr>
        <w:spacing w:line="240" w:lineRule="auto" w:before="8"/>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5"/>
        <w:gridCol w:w="958"/>
        <w:gridCol w:w="955"/>
        <w:gridCol w:w="958"/>
        <w:gridCol w:w="958"/>
      </w:tblGrid>
      <w:tr>
        <w:trPr>
          <w:trHeight w:val="324" w:hRule="exact"/>
        </w:trPr>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1914" w:type="dxa"/>
            <w:vMerge/>
            <w:tcBorders>
              <w:left w:val="single" w:sz="4" w:space="0" w:color="000000"/>
              <w:bottom w:val="single" w:sz="4" w:space="0" w:color="000000"/>
              <w:right w:val="single" w:sz="4" w:space="0" w:color="000000"/>
            </w:tcBorders>
            <w:shd w:val="clear" w:color="auto" w:fill="D4D4D4"/>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64"/>
        <w:ind w:right="1127"/>
        <w:jc w:val="left"/>
      </w:pPr>
      <w:r>
        <w:rPr/>
        <w:t>减值准备计提情况</w:t>
      </w:r>
    </w:p>
    <w:p>
      <w:pPr>
        <w:spacing w:line="240" w:lineRule="auto" w:before="8"/>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1651"/>
        <w:gridCol w:w="2098"/>
        <w:gridCol w:w="2100"/>
        <w:gridCol w:w="1805"/>
      </w:tblGrid>
      <w:tr>
        <w:trPr>
          <w:trHeight w:val="323" w:hRule="exact"/>
        </w:trPr>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57" w:hRule="exact"/>
        </w:trPr>
        <w:tc>
          <w:tcPr>
            <w:tcW w:w="1914" w:type="dxa"/>
            <w:vMerge/>
            <w:tcBorders>
              <w:left w:val="single" w:sz="4" w:space="0" w:color="000000"/>
              <w:bottom w:val="single" w:sz="4" w:space="0" w:color="000000"/>
              <w:right w:val="single" w:sz="4" w:space="0" w:color="000000"/>
            </w:tcBorders>
            <w:shd w:val="clear" w:color="auto" w:fill="D4D4D4"/>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8"/>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8"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8"/>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8" w:lineRule="exact"/>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4D4D4"/>
          </w:tcPr>
          <w:p>
            <w:pPr/>
          </w:p>
        </w:tc>
      </w:tr>
      <w:tr>
        <w:trPr>
          <w:trHeight w:val="557"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64"/>
        <w:ind w:right="1127"/>
        <w:jc w:val="left"/>
      </w:pPr>
      <w:r>
        <w:rPr/>
        <w:t>损失准备本期变动金额重大的账面余额变动情况</w:t>
      </w:r>
    </w:p>
    <w:p>
      <w:pPr>
        <w:spacing w:line="240" w:lineRule="auto" w:before="12"/>
        <w:rPr>
          <w:rFonts w:ascii="宋体" w:hAnsi="宋体" w:cs="宋体" w:eastAsia="宋体" w:hint="default"/>
          <w:sz w:val="17"/>
          <w:szCs w:val="17"/>
        </w:rPr>
      </w:pPr>
    </w:p>
    <w:p>
      <w:pPr>
        <w:pStyle w:val="BodyText"/>
        <w:spacing w:line="420" w:lineRule="auto"/>
        <w:ind w:right="8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100"/>
        </w:rPr>
        <w:t> </w:t>
      </w:r>
      <w:r>
        <w:rPr/>
        <w:t>其他说明：</w:t>
      </w:r>
    </w:p>
    <w:p>
      <w:pPr>
        <w:spacing w:line="240" w:lineRule="auto" w:before="6"/>
        <w:rPr>
          <w:rFonts w:ascii="宋体" w:hAnsi="宋体" w:cs="宋体" w:eastAsia="宋体" w:hint="default"/>
          <w:sz w:val="21"/>
          <w:szCs w:val="21"/>
        </w:rPr>
      </w:pPr>
    </w:p>
    <w:p>
      <w:pPr>
        <w:pStyle w:val="Heading4"/>
        <w:spacing w:line="240" w:lineRule="auto"/>
        <w:ind w:right="1127"/>
        <w:jc w:val="left"/>
        <w:rPr>
          <w:b w:val="0"/>
          <w:bCs w:val="0"/>
        </w:rPr>
      </w:pPr>
      <w:bookmarkStart w:name="15、其他债权投资" w:id="397"/>
      <w:bookmarkEnd w:id="397"/>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295"/>
        <w:gridCol w:w="1034"/>
        <w:gridCol w:w="1034"/>
        <w:gridCol w:w="1034"/>
        <w:gridCol w:w="1034"/>
        <w:gridCol w:w="1034"/>
        <w:gridCol w:w="1032"/>
        <w:gridCol w:w="1034"/>
        <w:gridCol w:w="1037"/>
      </w:tblGrid>
      <w:tr>
        <w:trPr>
          <w:trHeight w:val="1024" w:hRule="exact"/>
        </w:trPr>
        <w:tc>
          <w:tcPr>
            <w:tcW w:w="1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51"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42" w:right="60" w:hanging="180"/>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42" w:right="59" w:hanging="180"/>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
              <w:ind w:left="64" w:right="59"/>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3"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65"/>
        <w:ind w:right="1127"/>
        <w:jc w:val="left"/>
      </w:pPr>
      <w:r>
        <w:rPr/>
        <w:t>重要的其他债权投资</w:t>
      </w:r>
    </w:p>
    <w:p>
      <w:pPr>
        <w:spacing w:line="240" w:lineRule="auto" w:before="8"/>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5"/>
        <w:gridCol w:w="958"/>
        <w:gridCol w:w="955"/>
        <w:gridCol w:w="958"/>
        <w:gridCol w:w="958"/>
      </w:tblGrid>
      <w:tr>
        <w:trPr>
          <w:trHeight w:val="324" w:hRule="exact"/>
        </w:trPr>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1914" w:type="dxa"/>
            <w:vMerge/>
            <w:tcBorders>
              <w:left w:val="single" w:sz="4" w:space="0" w:color="000000"/>
              <w:bottom w:val="single" w:sz="4" w:space="0" w:color="000000"/>
              <w:right w:val="single" w:sz="4" w:space="0" w:color="000000"/>
            </w:tcBorders>
            <w:shd w:val="clear" w:color="auto" w:fill="D4D4D4"/>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64"/>
        <w:ind w:right="1127"/>
        <w:jc w:val="left"/>
      </w:pPr>
      <w:r>
        <w:rPr/>
        <w:t>减值准备计提情况</w:t>
      </w:r>
    </w:p>
    <w:p>
      <w:pPr>
        <w:spacing w:line="240" w:lineRule="auto" w:before="8"/>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1651"/>
        <w:gridCol w:w="2098"/>
        <w:gridCol w:w="2100"/>
        <w:gridCol w:w="1805"/>
      </w:tblGrid>
      <w:tr>
        <w:trPr>
          <w:trHeight w:val="324" w:hRule="exact"/>
        </w:trPr>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57" w:hRule="exact"/>
        </w:trPr>
        <w:tc>
          <w:tcPr>
            <w:tcW w:w="1914" w:type="dxa"/>
            <w:vMerge/>
            <w:tcBorders>
              <w:left w:val="single" w:sz="4" w:space="0" w:color="000000"/>
              <w:bottom w:val="single" w:sz="4" w:space="0" w:color="000000"/>
              <w:right w:val="single" w:sz="4" w:space="0" w:color="000000"/>
            </w:tcBorders>
            <w:shd w:val="clear" w:color="auto" w:fill="D4D4D4"/>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8"/>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8"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8"/>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8" w:lineRule="exact"/>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4D4D4"/>
          </w:tcPr>
          <w:p>
            <w:pPr/>
          </w:p>
        </w:tc>
      </w:tr>
      <w:tr>
        <w:trPr>
          <w:trHeight w:val="557"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64"/>
        <w:ind w:right="1127"/>
        <w:jc w:val="left"/>
      </w:pPr>
      <w:r>
        <w:rPr/>
        <w:t>损失准备本期变动金额重大的账面余额变动情况</w:t>
      </w:r>
    </w:p>
    <w:p>
      <w:pPr>
        <w:spacing w:line="240" w:lineRule="auto" w:before="12"/>
        <w:rPr>
          <w:rFonts w:ascii="宋体" w:hAnsi="宋体" w:cs="宋体" w:eastAsia="宋体" w:hint="default"/>
          <w:sz w:val="17"/>
          <w:szCs w:val="17"/>
        </w:rPr>
      </w:pPr>
    </w:p>
    <w:p>
      <w:pPr>
        <w:pStyle w:val="BodyText"/>
        <w:spacing w:line="420" w:lineRule="auto"/>
        <w:ind w:right="8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100"/>
        </w:rPr>
        <w:t> </w:t>
      </w:r>
      <w:r>
        <w:rPr/>
        <w:t>其他说明：</w:t>
      </w:r>
    </w:p>
    <w:p>
      <w:pPr>
        <w:spacing w:after="0" w:line="420" w:lineRule="auto"/>
        <w:jc w:val="left"/>
        <w:sectPr>
          <w:footerReference w:type="default" r:id="rId73"/>
          <w:pgSz w:w="11910" w:h="16840"/>
          <w:pgMar w:footer="1134" w:header="882" w:top="1280" w:bottom="1320" w:left="980" w:right="0"/>
          <w:pgNumType w:start="201"/>
        </w:sectPr>
      </w:pPr>
    </w:p>
    <w:p>
      <w:pPr>
        <w:pStyle w:val="Heading4"/>
        <w:spacing w:line="240" w:lineRule="auto" w:before="115"/>
        <w:ind w:right="1127"/>
        <w:jc w:val="left"/>
        <w:rPr>
          <w:b w:val="0"/>
          <w:bCs w:val="0"/>
        </w:rPr>
      </w:pPr>
      <w:bookmarkStart w:name="16、长期应收款" w:id="398"/>
      <w:bookmarkEnd w:id="398"/>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1127"/>
        <w:jc w:val="left"/>
        <w:rPr>
          <w:b w:val="0"/>
          <w:bCs w:val="0"/>
        </w:rPr>
      </w:pPr>
      <w:bookmarkStart w:name="（1）长期应收款情况" w:id="399"/>
      <w:bookmarkEnd w:id="399"/>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6"/>
        <w:gridCol w:w="1166"/>
        <w:gridCol w:w="1169"/>
        <w:gridCol w:w="1166"/>
        <w:gridCol w:w="1166"/>
        <w:gridCol w:w="1164"/>
      </w:tblGrid>
      <w:tr>
        <w:trPr>
          <w:trHeight w:val="324" w:hRule="exact"/>
        </w:trPr>
        <w:tc>
          <w:tcPr>
            <w:tcW w:w="140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323" w:hRule="exact"/>
        </w:trPr>
        <w:tc>
          <w:tcPr>
            <w:tcW w:w="1403" w:type="dxa"/>
            <w:vMerge/>
            <w:tcBorders>
              <w:left w:val="single" w:sz="4" w:space="0" w:color="000000"/>
              <w:bottom w:val="single" w:sz="4" w:space="0" w:color="000000"/>
              <w:right w:val="single" w:sz="4" w:space="0" w:color="000000"/>
            </w:tcBorders>
            <w:shd w:val="clear" w:color="auto" w:fill="D4D4D4"/>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4D4D4"/>
          </w:tcPr>
          <w:p>
            <w:pPr/>
          </w:p>
        </w:tc>
      </w:tr>
    </w:tbl>
    <w:p>
      <w:pPr>
        <w:pStyle w:val="BodyText"/>
        <w:spacing w:line="240" w:lineRule="auto" w:before="65"/>
        <w:ind w:right="1127"/>
        <w:jc w:val="left"/>
      </w:pPr>
      <w:r>
        <w:rPr/>
        <w:t>坏账准备减值情况</w:t>
      </w:r>
    </w:p>
    <w:p>
      <w:pPr>
        <w:spacing w:line="240" w:lineRule="auto" w:before="8"/>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1651"/>
        <w:gridCol w:w="2098"/>
        <w:gridCol w:w="2100"/>
        <w:gridCol w:w="1805"/>
      </w:tblGrid>
      <w:tr>
        <w:trPr>
          <w:trHeight w:val="324" w:hRule="exact"/>
        </w:trPr>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57" w:hRule="exact"/>
        </w:trPr>
        <w:tc>
          <w:tcPr>
            <w:tcW w:w="1914" w:type="dxa"/>
            <w:vMerge/>
            <w:tcBorders>
              <w:left w:val="single" w:sz="4" w:space="0" w:color="000000"/>
              <w:bottom w:val="single" w:sz="4" w:space="0" w:color="000000"/>
              <w:right w:val="single" w:sz="4" w:space="0" w:color="000000"/>
            </w:tcBorders>
            <w:shd w:val="clear" w:color="auto" w:fill="D4D4D4"/>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8"/>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8"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8"/>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8" w:lineRule="exact"/>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4D4D4"/>
          </w:tcPr>
          <w:p>
            <w:pPr/>
          </w:p>
        </w:tc>
      </w:tr>
      <w:tr>
        <w:trPr>
          <w:trHeight w:val="557"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64"/>
        <w:ind w:right="1127"/>
        <w:jc w:val="left"/>
      </w:pPr>
      <w:r>
        <w:rPr/>
        <w:t>损失准备本期变动金额重大的账面余额变动情况</w:t>
      </w:r>
    </w:p>
    <w:p>
      <w:pPr>
        <w:spacing w:line="240" w:lineRule="auto" w:before="12"/>
        <w:rPr>
          <w:rFonts w:ascii="宋体" w:hAnsi="宋体" w:cs="宋体" w:eastAsia="宋体" w:hint="default"/>
          <w:sz w:val="17"/>
          <w:szCs w:val="17"/>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32"/>
          <w:szCs w:val="32"/>
        </w:rPr>
      </w:pPr>
    </w:p>
    <w:p>
      <w:pPr>
        <w:pStyle w:val="Heading4"/>
        <w:spacing w:line="240" w:lineRule="auto"/>
        <w:ind w:right="1127"/>
        <w:jc w:val="left"/>
        <w:rPr>
          <w:b w:val="0"/>
          <w:bCs w:val="0"/>
        </w:rPr>
      </w:pPr>
      <w:bookmarkStart w:name="（2）因金融资产转移而终止确认的长期应收款" w:id="400"/>
      <w:bookmarkEnd w:id="400"/>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1"/>
          <w:szCs w:val="21"/>
        </w:rPr>
      </w:pPr>
    </w:p>
    <w:p>
      <w:pPr>
        <w:pStyle w:val="Heading4"/>
        <w:spacing w:line="472" w:lineRule="auto"/>
        <w:ind w:left="572" w:right="5512" w:hanging="420"/>
        <w:jc w:val="left"/>
        <w:rPr>
          <w:rFonts w:ascii="宋体" w:hAnsi="宋体" w:cs="宋体" w:eastAsia="宋体" w:hint="default"/>
          <w:b w:val="0"/>
          <w:bCs w:val="0"/>
        </w:rPr>
      </w:pPr>
      <w:bookmarkStart w:name="（3）转移长期应收款且继续涉入形成的资产、负债金额" w:id="401"/>
      <w:bookmarkEnd w:id="401"/>
      <w:r>
        <w:rPr>
          <w:b w:val="0"/>
          <w:bCs w:val="0"/>
        </w:rPr>
      </w:r>
      <w:r>
        <w:rPr>
          <w:spacing w:val="-1"/>
        </w:rPr>
        <w:t>（</w:t>
      </w:r>
      <w:r>
        <w:rPr>
          <w:rFonts w:ascii="Times New Roman" w:hAnsi="Times New Roman" w:cs="Times New Roman" w:eastAsia="Times New Roman" w:hint="default"/>
          <w:spacing w:val="-1"/>
        </w:rPr>
        <w:t>3</w:t>
      </w:r>
      <w:r>
        <w:rPr>
          <w:spacing w:val="-1"/>
        </w:rPr>
        <w:t>）转移长期应收款且继续涉入形成的资产、负债金额</w:t>
      </w:r>
      <w:r>
        <w:rPr>
          <w:spacing w:val="-85"/>
        </w:rPr>
        <w:t> </w:t>
      </w:r>
      <w:r>
        <w:rPr>
          <w:spacing w:val="-85"/>
        </w:rPr>
      </w:r>
      <w:r>
        <w:rPr>
          <w:rFonts w:ascii="宋体" w:hAnsi="宋体" w:cs="宋体" w:eastAsia="宋体" w:hint="default"/>
          <w:b w:val="0"/>
          <w:bCs w:val="0"/>
        </w:rPr>
        <w:t>其他说明</w:t>
      </w:r>
    </w:p>
    <w:p>
      <w:pPr>
        <w:spacing w:after="0" w:line="472" w:lineRule="auto"/>
        <w:jc w:val="left"/>
        <w:rPr>
          <w:rFonts w:ascii="宋体" w:hAnsi="宋体" w:cs="宋体" w:eastAsia="宋体" w:hint="default"/>
        </w:rPr>
        <w:sectPr>
          <w:pgSz w:w="11910" w:h="16840"/>
          <w:pgMar w:header="882" w:footer="1134" w:top="1280" w:bottom="13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40" w:lineRule="auto" w:before="36"/>
        <w:ind w:right="1127"/>
        <w:jc w:val="left"/>
        <w:rPr>
          <w:b w:val="0"/>
          <w:bCs w:val="0"/>
        </w:rPr>
      </w:pPr>
      <w:bookmarkStart w:name="17、长期股权投资" w:id="402"/>
      <w:bookmarkEnd w:id="402"/>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398"/>
        <w:gridCol w:w="1181"/>
        <w:gridCol w:w="1092"/>
        <w:gridCol w:w="401"/>
        <w:gridCol w:w="1150"/>
        <w:gridCol w:w="401"/>
        <w:gridCol w:w="1090"/>
        <w:gridCol w:w="1001"/>
        <w:gridCol w:w="401"/>
        <w:gridCol w:w="1001"/>
        <w:gridCol w:w="1181"/>
        <w:gridCol w:w="401"/>
      </w:tblGrid>
      <w:tr>
        <w:trPr>
          <w:trHeight w:val="324" w:hRule="exact"/>
        </w:trPr>
        <w:tc>
          <w:tcPr>
            <w:tcW w:w="3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37" w:lineRule="auto"/>
              <w:ind w:left="105" w:right="101"/>
              <w:jc w:val="both"/>
              <w:rPr>
                <w:rFonts w:ascii="宋体" w:hAnsi="宋体" w:cs="宋体" w:eastAsia="宋体" w:hint="default"/>
                <w:sz w:val="18"/>
                <w:szCs w:val="18"/>
              </w:rPr>
            </w:pPr>
            <w:r>
              <w:rPr>
                <w:rFonts w:ascii="宋体" w:hAnsi="宋体" w:cs="宋体" w:eastAsia="宋体" w:hint="default"/>
                <w:sz w:val="18"/>
                <w:szCs w:val="18"/>
              </w:rPr>
              <w:t>被 投 资 单 位</w:t>
            </w:r>
          </w:p>
        </w:tc>
        <w:tc>
          <w:tcPr>
            <w:tcW w:w="118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32" w:lineRule="exact"/>
              <w:ind w:left="285" w:right="10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6535"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8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32" w:lineRule="exact"/>
              <w:ind w:left="285" w:right="10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0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3"/>
                <w:szCs w:val="13"/>
              </w:rPr>
            </w:pPr>
          </w:p>
          <w:p>
            <w:pPr>
              <w:pStyle w:val="TableParagraph"/>
              <w:spacing w:line="237" w:lineRule="auto"/>
              <w:ind w:left="105" w:right="103"/>
              <w:jc w:val="both"/>
              <w:rPr>
                <w:rFonts w:ascii="宋体" w:hAnsi="宋体" w:cs="宋体" w:eastAsia="宋体" w:hint="default"/>
                <w:sz w:val="18"/>
                <w:szCs w:val="18"/>
              </w:rPr>
            </w:pPr>
            <w:r>
              <w:rPr>
                <w:rFonts w:ascii="宋体" w:hAnsi="宋体" w:cs="宋体" w:eastAsia="宋体" w:hint="default"/>
                <w:sz w:val="18"/>
                <w:szCs w:val="18"/>
              </w:rPr>
              <w:t>减 值 准 备 期 末 余 额</w:t>
            </w:r>
          </w:p>
        </w:tc>
      </w:tr>
      <w:tr>
        <w:trPr>
          <w:trHeight w:val="1956" w:hRule="exact"/>
        </w:trPr>
        <w:tc>
          <w:tcPr>
            <w:tcW w:w="398" w:type="dxa"/>
            <w:vMerge/>
            <w:tcBorders>
              <w:left w:val="single" w:sz="4" w:space="0" w:color="000000"/>
              <w:bottom w:val="single" w:sz="4" w:space="0" w:color="000000"/>
              <w:right w:val="single" w:sz="4" w:space="0" w:color="000000"/>
            </w:tcBorders>
            <w:shd w:val="clear" w:color="auto" w:fill="D4D4D4"/>
          </w:tcPr>
          <w:p>
            <w:pPr/>
          </w:p>
        </w:tc>
        <w:tc>
          <w:tcPr>
            <w:tcW w:w="1181" w:type="dxa"/>
            <w:vMerge/>
            <w:tcBorders>
              <w:left w:val="single" w:sz="4" w:space="0" w:color="000000"/>
              <w:bottom w:val="single" w:sz="4" w:space="0" w:color="000000"/>
              <w:right w:val="single" w:sz="4" w:space="0" w:color="000000"/>
            </w:tcBorders>
            <w:shd w:val="clear" w:color="auto" w:fill="D4D4D4"/>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05" w:right="103"/>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1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0" w:lineRule="exact"/>
              <w:ind w:left="119" w:right="26" w:hanging="89"/>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4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
              <w:ind w:left="105" w:right="103"/>
              <w:jc w:val="both"/>
              <w:rPr>
                <w:rFonts w:ascii="宋体" w:hAnsi="宋体" w:cs="宋体" w:eastAsia="宋体" w:hint="default"/>
                <w:sz w:val="18"/>
                <w:szCs w:val="18"/>
              </w:rPr>
            </w:pPr>
            <w:r>
              <w:rPr>
                <w:rFonts w:ascii="宋体" w:hAnsi="宋体" w:cs="宋体" w:eastAsia="宋体" w:hint="default"/>
                <w:sz w:val="18"/>
                <w:szCs w:val="18"/>
              </w:rPr>
              <w:t>其 他 综 合 收 益 调 整</w:t>
            </w:r>
          </w:p>
        </w:tc>
        <w:tc>
          <w:tcPr>
            <w:tcW w:w="10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0" w:lineRule="exact"/>
              <w:ind w:left="451" w:right="86"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10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45" w:right="43"/>
              <w:jc w:val="center"/>
              <w:rPr>
                <w:rFonts w:ascii="宋体" w:hAnsi="宋体" w:cs="宋体" w:eastAsia="宋体" w:hint="default"/>
                <w:sz w:val="18"/>
                <w:szCs w:val="18"/>
              </w:rPr>
            </w:pPr>
            <w:r>
              <w:rPr>
                <w:rFonts w:ascii="宋体" w:hAnsi="宋体" w:cs="宋体" w:eastAsia="宋体" w:hint="default"/>
                <w:sz w:val="18"/>
                <w:szCs w:val="18"/>
              </w:rPr>
              <w:t>宣告发放现 金股利或利 润</w:t>
            </w:r>
          </w:p>
        </w:tc>
        <w:tc>
          <w:tcPr>
            <w:tcW w:w="4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108" w:right="101"/>
              <w:jc w:val="both"/>
              <w:rPr>
                <w:rFonts w:ascii="宋体" w:hAnsi="宋体" w:cs="宋体" w:eastAsia="宋体" w:hint="default"/>
                <w:sz w:val="18"/>
                <w:szCs w:val="18"/>
              </w:rPr>
            </w:pPr>
            <w:r>
              <w:rPr>
                <w:rFonts w:ascii="宋体" w:hAnsi="宋体" w:cs="宋体" w:eastAsia="宋体" w:hint="default"/>
                <w:sz w:val="18"/>
                <w:szCs w:val="18"/>
              </w:rPr>
              <w:t>计 提 减 值 准 备</w:t>
            </w:r>
          </w:p>
        </w:tc>
        <w:tc>
          <w:tcPr>
            <w:tcW w:w="10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4D4D4"/>
          </w:tcPr>
          <w:p>
            <w:pPr/>
          </w:p>
        </w:tc>
        <w:tc>
          <w:tcPr>
            <w:tcW w:w="401" w:type="dxa"/>
            <w:vMerge/>
            <w:tcBorders>
              <w:left w:val="single" w:sz="4" w:space="0" w:color="000000"/>
              <w:bottom w:val="single" w:sz="4" w:space="0" w:color="000000"/>
              <w:right w:val="single" w:sz="4" w:space="0" w:color="000000"/>
            </w:tcBorders>
            <w:shd w:val="clear" w:color="auto" w:fill="D4D4D4"/>
          </w:tcPr>
          <w:p>
            <w:pPr/>
          </w:p>
        </w:tc>
      </w:tr>
      <w:tr>
        <w:trPr>
          <w:trHeight w:val="324" w:hRule="exact"/>
        </w:trPr>
        <w:tc>
          <w:tcPr>
            <w:tcW w:w="9696"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358"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北 京 考 拉 昆 仑 信 息 技 术 有 限 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185" w:right="0"/>
              <w:jc w:val="center"/>
              <w:rPr>
                <w:rFonts w:ascii="Times New Roman" w:hAnsi="Times New Roman" w:cs="Times New Roman" w:eastAsia="Times New Roman" w:hint="default"/>
                <w:sz w:val="18"/>
                <w:szCs w:val="18"/>
              </w:rPr>
            </w:pPr>
            <w:r>
              <w:rPr>
                <w:rFonts w:ascii="Times New Roman"/>
                <w:sz w:val="18"/>
              </w:rPr>
              <w:t>5,543,959.07</w:t>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68,895.13</w:t>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6"/>
              <w:jc w:val="right"/>
              <w:rPr>
                <w:rFonts w:ascii="Times New Roman" w:hAnsi="Times New Roman" w:cs="Times New Roman" w:eastAsia="Times New Roman" w:hint="default"/>
                <w:sz w:val="18"/>
                <w:szCs w:val="18"/>
              </w:rPr>
            </w:pPr>
            <w:r>
              <w:rPr>
                <w:rFonts w:ascii="Times New Roman"/>
                <w:spacing w:val="-1"/>
                <w:sz w:val="18"/>
              </w:rPr>
              <w:t>5,612,854.20</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2424"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百 望 金 赋 科 技 有 限 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95" w:right="0"/>
              <w:jc w:val="center"/>
              <w:rPr>
                <w:rFonts w:ascii="Times New Roman" w:hAnsi="Times New Roman" w:cs="Times New Roman" w:eastAsia="Times New Roman" w:hint="default"/>
                <w:sz w:val="18"/>
                <w:szCs w:val="18"/>
              </w:rPr>
            </w:pPr>
            <w:r>
              <w:rPr>
                <w:rFonts w:ascii="Times New Roman"/>
                <w:sz w:val="18"/>
              </w:rPr>
              <w:t>63,539,917.76</w:t>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6"/>
              <w:jc w:val="right"/>
              <w:rPr>
                <w:rFonts w:ascii="Times New Roman" w:hAnsi="Times New Roman" w:cs="Times New Roman" w:eastAsia="Times New Roman" w:hint="default"/>
                <w:sz w:val="18"/>
                <w:szCs w:val="18"/>
              </w:rPr>
            </w:pPr>
            <w:r>
              <w:rPr>
                <w:rFonts w:ascii="Times New Roman"/>
                <w:sz w:val="18"/>
              </w:rPr>
              <w:t>723,902.97</w:t>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pacing w:val="-1"/>
                <w:sz w:val="18"/>
              </w:rPr>
              <w:t>64,263,820.73</w:t>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0" w:lineRule="exact" w:before="36"/>
              <w:ind w:left="24" w:right="182"/>
              <w:jc w:val="left"/>
              <w:rPr>
                <w:rFonts w:ascii="宋体" w:hAnsi="宋体" w:cs="宋体" w:eastAsia="宋体" w:hint="default"/>
                <w:sz w:val="18"/>
                <w:szCs w:val="18"/>
              </w:rPr>
            </w:pPr>
            <w:r>
              <w:rPr>
                <w:rFonts w:ascii="宋体" w:hAnsi="宋体" w:cs="宋体" w:eastAsia="宋体" w:hint="default"/>
                <w:sz w:val="18"/>
                <w:szCs w:val="18"/>
              </w:rPr>
              <w:t>小 计</w:t>
            </w:r>
          </w:p>
        </w:tc>
        <w:tc>
          <w:tcPr>
            <w:tcW w:w="118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69,083,876.83</w:t>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792,798.10</w:t>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69,876,674.93</w:t>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9696"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2892"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上 海 索 乐 互 娱 科 技 有 限 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95" w:right="0"/>
              <w:jc w:val="center"/>
              <w:rPr>
                <w:rFonts w:ascii="Times New Roman" w:hAnsi="Times New Roman" w:cs="Times New Roman" w:eastAsia="Times New Roman" w:hint="default"/>
                <w:sz w:val="18"/>
                <w:szCs w:val="18"/>
              </w:rPr>
            </w:pPr>
            <w:r>
              <w:rPr>
                <w:rFonts w:ascii="Times New Roman"/>
                <w:sz w:val="18"/>
              </w:rPr>
              <w:t>53,255,383.92</w:t>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6"/>
              <w:jc w:val="right"/>
              <w:rPr>
                <w:rFonts w:ascii="Times New Roman" w:hAnsi="Times New Roman" w:cs="Times New Roman" w:eastAsia="Times New Roman" w:hint="default"/>
                <w:sz w:val="18"/>
                <w:szCs w:val="18"/>
              </w:rPr>
            </w:pPr>
            <w:r>
              <w:rPr>
                <w:rFonts w:ascii="Times New Roman"/>
                <w:spacing w:val="-1"/>
                <w:sz w:val="18"/>
              </w:rPr>
              <w:t>-882,515.12</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8"/>
              <w:jc w:val="right"/>
              <w:rPr>
                <w:rFonts w:ascii="Times New Roman" w:hAnsi="Times New Roman" w:cs="Times New Roman" w:eastAsia="Times New Roman" w:hint="default"/>
                <w:sz w:val="18"/>
                <w:szCs w:val="18"/>
              </w:rPr>
            </w:pPr>
            <w:r>
              <w:rPr>
                <w:rFonts w:ascii="Times New Roman"/>
                <w:spacing w:val="-1"/>
                <w:sz w:val="18"/>
              </w:rPr>
              <w:t>52,372,868.80</w:t>
            </w:r>
          </w:p>
        </w:tc>
        <w:tc>
          <w:tcPr>
            <w:tcW w:w="4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98"/>
        <w:gridCol w:w="1181"/>
        <w:gridCol w:w="1092"/>
        <w:gridCol w:w="401"/>
        <w:gridCol w:w="1150"/>
        <w:gridCol w:w="401"/>
        <w:gridCol w:w="1090"/>
        <w:gridCol w:w="1001"/>
        <w:gridCol w:w="401"/>
        <w:gridCol w:w="1001"/>
        <w:gridCol w:w="1181"/>
        <w:gridCol w:w="401"/>
      </w:tblGrid>
      <w:tr>
        <w:trPr>
          <w:trHeight w:val="3125"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北 京 中 科 微 电 子 技 术 有 限 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3,084,832.07</w:t>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219,751.32</w:t>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3,304,583.39</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3826"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北 京 唯 致 动 力 网 络 信 息 科 技 有 限 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95" w:right="0"/>
              <w:jc w:val="center"/>
              <w:rPr>
                <w:rFonts w:ascii="Times New Roman" w:hAnsi="Times New Roman" w:cs="Times New Roman" w:eastAsia="Times New Roman" w:hint="default"/>
                <w:sz w:val="18"/>
                <w:szCs w:val="18"/>
              </w:rPr>
            </w:pPr>
            <w:r>
              <w:rPr>
                <w:rFonts w:ascii="Times New Roman"/>
                <w:sz w:val="18"/>
              </w:rPr>
              <w:t>28,608,292.34</w:t>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6"/>
              <w:jc w:val="right"/>
              <w:rPr>
                <w:rFonts w:ascii="Times New Roman" w:hAnsi="Times New Roman" w:cs="Times New Roman" w:eastAsia="Times New Roman" w:hint="default"/>
                <w:sz w:val="18"/>
                <w:szCs w:val="18"/>
              </w:rPr>
            </w:pPr>
            <w:r>
              <w:rPr>
                <w:rFonts w:ascii="Times New Roman"/>
                <w:spacing w:val="-1"/>
                <w:sz w:val="18"/>
              </w:rPr>
              <w:t>1,698,091.95</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8"/>
              <w:jc w:val="right"/>
              <w:rPr>
                <w:rFonts w:ascii="Times New Roman" w:hAnsi="Times New Roman" w:cs="Times New Roman" w:eastAsia="Times New Roman" w:hint="default"/>
                <w:sz w:val="18"/>
                <w:szCs w:val="18"/>
              </w:rPr>
            </w:pPr>
            <w:r>
              <w:rPr>
                <w:rFonts w:ascii="Times New Roman"/>
                <w:spacing w:val="-1"/>
                <w:sz w:val="18"/>
              </w:rPr>
              <w:t>30,306,384.29</w:t>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2890"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北 京 旋 极 星 达 技 术 有 限 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7,662,197.85</w:t>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-1,028,204.97</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6,633,992.88</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3826"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182"/>
              <w:jc w:val="both"/>
              <w:rPr>
                <w:rFonts w:ascii="宋体" w:hAnsi="宋体" w:cs="宋体" w:eastAsia="宋体" w:hint="default"/>
                <w:sz w:val="18"/>
                <w:szCs w:val="18"/>
              </w:rPr>
            </w:pPr>
            <w:r>
              <w:rPr>
                <w:rFonts w:ascii="宋体" w:hAnsi="宋体" w:cs="宋体" w:eastAsia="宋体" w:hint="default"/>
                <w:sz w:val="18"/>
                <w:szCs w:val="18"/>
              </w:rPr>
              <w:t>沈 阳 捷 程 汉 荣 停 车 管 理 有 限 责 任 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185" w:right="0"/>
              <w:jc w:val="center"/>
              <w:rPr>
                <w:rFonts w:ascii="Times New Roman" w:hAnsi="Times New Roman" w:cs="Times New Roman" w:eastAsia="Times New Roman" w:hint="default"/>
                <w:sz w:val="18"/>
                <w:szCs w:val="18"/>
              </w:rPr>
            </w:pPr>
            <w:r>
              <w:rPr>
                <w:rFonts w:ascii="Times New Roman"/>
                <w:sz w:val="18"/>
              </w:rPr>
              <w:t>2,300,731.82</w:t>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-136,276.94</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2,164,454.88</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98"/>
        <w:gridCol w:w="1181"/>
        <w:gridCol w:w="1092"/>
        <w:gridCol w:w="401"/>
        <w:gridCol w:w="1150"/>
        <w:gridCol w:w="401"/>
        <w:gridCol w:w="1090"/>
        <w:gridCol w:w="1001"/>
        <w:gridCol w:w="401"/>
        <w:gridCol w:w="1001"/>
        <w:gridCol w:w="1181"/>
        <w:gridCol w:w="401"/>
      </w:tblGrid>
      <w:tr>
        <w:trPr>
          <w:trHeight w:val="2892"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北 京 汉 荣 捷 通 技 术 有 限 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236,676.60</w:t>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-11,780.55</w:t>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224,896.05</w:t>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1956"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百 望 股 份 有 限 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42,006,127.12</w:t>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-20,895,568.49</w:t>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47,198,190.54</w:t>
            </w: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68,308,749.17</w:t>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2892"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北 京 中 航 通 用 科 技 有 限 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1,300,399.59</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322,500.00</w:t>
            </w: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1,848,956.71</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1,328,760.00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4,800,616.30</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2892"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湖 南 苏 科 智 能 科 技 有 限 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9,183,879.94</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1,047,818.83</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10,231,698.77</w:t>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3084"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深 圳 市 斯 普 瑞 特 通 信 技 术 有 限</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17,384,966.29</w:t>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2,405,770.05</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19,790,736.34</w:t>
            </w:r>
          </w:p>
        </w:tc>
        <w:tc>
          <w:tcPr>
            <w:tcW w:w="4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98"/>
        <w:gridCol w:w="1181"/>
        <w:gridCol w:w="1092"/>
        <w:gridCol w:w="401"/>
        <w:gridCol w:w="1150"/>
        <w:gridCol w:w="401"/>
        <w:gridCol w:w="1090"/>
        <w:gridCol w:w="1001"/>
        <w:gridCol w:w="401"/>
        <w:gridCol w:w="1001"/>
        <w:gridCol w:w="1181"/>
        <w:gridCol w:w="401"/>
      </w:tblGrid>
      <w:tr>
        <w:trPr>
          <w:trHeight w:val="516"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2892"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182"/>
              <w:jc w:val="both"/>
              <w:rPr>
                <w:rFonts w:ascii="宋体" w:hAnsi="宋体" w:cs="宋体" w:eastAsia="宋体" w:hint="default"/>
                <w:sz w:val="18"/>
                <w:szCs w:val="18"/>
              </w:rPr>
            </w:pPr>
            <w:r>
              <w:rPr>
                <w:rFonts w:ascii="宋体" w:hAnsi="宋体" w:cs="宋体" w:eastAsia="宋体" w:hint="default"/>
                <w:sz w:val="18"/>
                <w:szCs w:val="18"/>
              </w:rPr>
              <w:t>北 京 航 星 中 云 科 技 有 限 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24,251,659.24</w:t>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-1,006,733.41</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23,244,925.83</w:t>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2892"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沈 阳 旋 飞 航 空 技 术 有 限 公 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2890"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上 海 海 多 投 资 发 展 有 限 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206,462.58</w:t>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-206,462.58</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3360"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182"/>
              <w:jc w:val="both"/>
              <w:rPr>
                <w:rFonts w:ascii="宋体" w:hAnsi="宋体" w:cs="宋体" w:eastAsia="宋体" w:hint="default"/>
                <w:sz w:val="18"/>
                <w:szCs w:val="18"/>
              </w:rPr>
            </w:pPr>
            <w:r>
              <w:rPr>
                <w:rFonts w:ascii="宋体" w:hAnsi="宋体" w:cs="宋体" w:eastAsia="宋体" w:hint="default"/>
                <w:sz w:val="18"/>
                <w:szCs w:val="18"/>
              </w:rPr>
              <w:t>北 京 蓝 鲸 众 合 投 资 管 理 有 限 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6"/>
              <w:jc w:val="right"/>
              <w:rPr>
                <w:rFonts w:ascii="Times New Roman" w:hAnsi="Times New Roman" w:cs="Times New Roman" w:eastAsia="Times New Roman" w:hint="default"/>
                <w:sz w:val="18"/>
                <w:szCs w:val="18"/>
              </w:rPr>
            </w:pPr>
            <w:r>
              <w:rPr>
                <w:rFonts w:ascii="Times New Roman"/>
                <w:spacing w:val="-1"/>
                <w:sz w:val="18"/>
              </w:rPr>
              <w:t>1,362,007.04</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6"/>
              <w:jc w:val="right"/>
              <w:rPr>
                <w:rFonts w:ascii="Times New Roman" w:hAnsi="Times New Roman" w:cs="Times New Roman" w:eastAsia="Times New Roman" w:hint="default"/>
                <w:sz w:val="18"/>
                <w:szCs w:val="18"/>
              </w:rPr>
            </w:pPr>
            <w:r>
              <w:rPr>
                <w:rFonts w:ascii="Times New Roman"/>
                <w:sz w:val="18"/>
              </w:rPr>
              <w:t>101,371.18</w:t>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6"/>
              <w:jc w:val="right"/>
              <w:rPr>
                <w:rFonts w:ascii="Times New Roman" w:hAnsi="Times New Roman" w:cs="Times New Roman" w:eastAsia="Times New Roman" w:hint="default"/>
                <w:sz w:val="18"/>
                <w:szCs w:val="18"/>
              </w:rPr>
            </w:pPr>
            <w:r>
              <w:rPr>
                <w:rFonts w:ascii="Times New Roman"/>
                <w:spacing w:val="-1"/>
                <w:sz w:val="18"/>
              </w:rPr>
              <w:t>1,463,378.22</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1217"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北 京 都 在 哪</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28,433,876.79</w:t>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-1,746,919.58</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176,922.28</w:t>
            </w: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26,863,879.49</w:t>
            </w:r>
          </w:p>
        </w:tc>
        <w:tc>
          <w:tcPr>
            <w:tcW w:w="4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98"/>
        <w:gridCol w:w="1181"/>
        <w:gridCol w:w="1092"/>
        <w:gridCol w:w="401"/>
        <w:gridCol w:w="1150"/>
        <w:gridCol w:w="401"/>
        <w:gridCol w:w="1090"/>
        <w:gridCol w:w="1001"/>
        <w:gridCol w:w="401"/>
        <w:gridCol w:w="1001"/>
        <w:gridCol w:w="1181"/>
        <w:gridCol w:w="401"/>
      </w:tblGrid>
      <w:tr>
        <w:trPr>
          <w:trHeight w:val="1918"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both"/>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237" w:lineRule="auto"/>
              <w:ind w:left="24" w:right="182"/>
              <w:jc w:val="both"/>
              <w:rPr>
                <w:rFonts w:ascii="宋体" w:hAnsi="宋体" w:cs="宋体" w:eastAsia="宋体" w:hint="default"/>
                <w:sz w:val="18"/>
                <w:szCs w:val="18"/>
              </w:rPr>
            </w:pPr>
            <w:r>
              <w:rPr>
                <w:rFonts w:ascii="宋体" w:hAnsi="宋体" w:cs="宋体" w:eastAsia="宋体" w:hint="default"/>
                <w:sz w:val="18"/>
                <w:szCs w:val="18"/>
              </w:rPr>
              <w:t>讯 科 技 有 限 公 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2892"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北 京 五 维 星 宇 科 技 有 限 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2,173,830.61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38,482.23</w:t>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6,212,312.84</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3358"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北 京 博 大 网 信 科 技 发 展 有 限 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95" w:right="0"/>
              <w:jc w:val="center"/>
              <w:rPr>
                <w:rFonts w:ascii="Times New Roman" w:hAnsi="Times New Roman" w:cs="Times New Roman" w:eastAsia="Times New Roman" w:hint="default"/>
                <w:sz w:val="18"/>
                <w:szCs w:val="18"/>
              </w:rPr>
            </w:pPr>
            <w:r>
              <w:rPr>
                <w:rFonts w:ascii="Times New Roman"/>
                <w:sz w:val="18"/>
              </w:rPr>
              <w:t>32,982,635.41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pacing w:val="-1"/>
                <w:sz w:val="18"/>
              </w:rPr>
              <w:t>7,628,600.00</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pacing w:val="-1"/>
                <w:sz w:val="18"/>
              </w:rPr>
              <w:t>6,279,542.61</w:t>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6,731,103.43</w:t>
            </w: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pacing w:val="-1"/>
                <w:sz w:val="18"/>
              </w:rPr>
              <w:t>40,159,674.59</w:t>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3358"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湖 北 智 慧 新 城 产 业 开 发 有 限 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85" w:right="0"/>
              <w:jc w:val="center"/>
              <w:rPr>
                <w:rFonts w:ascii="Times New Roman" w:hAnsi="Times New Roman" w:cs="Times New Roman" w:eastAsia="Times New Roman" w:hint="default"/>
                <w:sz w:val="18"/>
                <w:szCs w:val="18"/>
              </w:rPr>
            </w:pPr>
            <w:r>
              <w:rPr>
                <w:rFonts w:ascii="Times New Roman"/>
                <w:sz w:val="18"/>
              </w:rPr>
              <w:t>1,228,451.18</w:t>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6"/>
              <w:jc w:val="right"/>
              <w:rPr>
                <w:rFonts w:ascii="Times New Roman" w:hAnsi="Times New Roman" w:cs="Times New Roman" w:eastAsia="Times New Roman" w:hint="default"/>
                <w:sz w:val="18"/>
                <w:szCs w:val="18"/>
              </w:rPr>
            </w:pPr>
            <w:r>
              <w:rPr>
                <w:rFonts w:ascii="Times New Roman"/>
                <w:spacing w:val="-1"/>
                <w:sz w:val="18"/>
              </w:rPr>
              <w:t>-392,967.23</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6"/>
              <w:jc w:val="right"/>
              <w:rPr>
                <w:rFonts w:ascii="Times New Roman" w:hAnsi="Times New Roman" w:cs="Times New Roman" w:eastAsia="Times New Roman" w:hint="default"/>
                <w:sz w:val="18"/>
                <w:szCs w:val="18"/>
              </w:rPr>
            </w:pPr>
            <w:r>
              <w:rPr>
                <w:rFonts w:ascii="Times New Roman"/>
                <w:sz w:val="18"/>
              </w:rPr>
              <w:t>835,483.95</w:t>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2386"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北 京 智 中 新 能 源 科 技 有</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1,638,923.09</w:t>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-115,848.40</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1,523,074.69</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98"/>
        <w:gridCol w:w="1181"/>
        <w:gridCol w:w="1092"/>
        <w:gridCol w:w="401"/>
        <w:gridCol w:w="1150"/>
        <w:gridCol w:w="401"/>
        <w:gridCol w:w="1090"/>
        <w:gridCol w:w="1001"/>
        <w:gridCol w:w="401"/>
        <w:gridCol w:w="1001"/>
        <w:gridCol w:w="1181"/>
        <w:gridCol w:w="401"/>
      </w:tblGrid>
      <w:tr>
        <w:trPr>
          <w:trHeight w:val="751"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限</w:t>
            </w:r>
          </w:p>
          <w:p>
            <w:pPr>
              <w:pStyle w:val="TableParagraph"/>
              <w:spacing w:line="232" w:lineRule="exact" w:before="23"/>
              <w:ind w:left="24" w:right="182"/>
              <w:jc w:val="left"/>
              <w:rPr>
                <w:rFonts w:ascii="宋体" w:hAnsi="宋体" w:cs="宋体" w:eastAsia="宋体" w:hint="default"/>
                <w:sz w:val="18"/>
                <w:szCs w:val="18"/>
              </w:rPr>
            </w:pPr>
            <w:r>
              <w:rPr>
                <w:rFonts w:ascii="宋体" w:hAnsi="宋体" w:cs="宋体" w:eastAsia="宋体" w:hint="default"/>
                <w:sz w:val="18"/>
                <w:szCs w:val="18"/>
              </w:rPr>
              <w:t>公 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4058"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西 安 东 仪 综 合 技 术 实 验 室 有 限 责 任 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8,574,684.11</w:t>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967,559.30</w:t>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472,000.00</w:t>
            </w: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9,070,243.41</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3823"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成 都 凯 天 质 检 技 术 服 务 有 限 责 任 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8"/>
              <w:jc w:val="right"/>
              <w:rPr>
                <w:rFonts w:ascii="Times New Roman" w:hAnsi="Times New Roman" w:cs="Times New Roman" w:eastAsia="Times New Roman" w:hint="default"/>
                <w:sz w:val="18"/>
                <w:szCs w:val="18"/>
              </w:rPr>
            </w:pPr>
            <w:r>
              <w:rPr>
                <w:rFonts w:ascii="Times New Roman"/>
                <w:spacing w:val="-1"/>
                <w:sz w:val="18"/>
              </w:rPr>
              <w:t>6,377,516.31</w:t>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6"/>
              <w:jc w:val="right"/>
              <w:rPr>
                <w:rFonts w:ascii="Times New Roman" w:hAnsi="Times New Roman" w:cs="Times New Roman" w:eastAsia="Times New Roman" w:hint="default"/>
                <w:sz w:val="18"/>
                <w:szCs w:val="18"/>
              </w:rPr>
            </w:pPr>
            <w:r>
              <w:rPr>
                <w:rFonts w:ascii="Times New Roman"/>
                <w:spacing w:val="-1"/>
                <w:sz w:val="18"/>
              </w:rPr>
              <w:t>6,573,206.43</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8"/>
              <w:jc w:val="right"/>
              <w:rPr>
                <w:rFonts w:ascii="Times New Roman" w:hAnsi="Times New Roman" w:cs="Times New Roman" w:eastAsia="Times New Roman" w:hint="default"/>
                <w:sz w:val="18"/>
                <w:szCs w:val="18"/>
              </w:rPr>
            </w:pPr>
            <w:r>
              <w:rPr>
                <w:rFonts w:ascii="Times New Roman"/>
                <w:spacing w:val="-1"/>
                <w:sz w:val="18"/>
              </w:rPr>
              <w:t>12,950,722.74</w:t>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2892"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182"/>
              <w:jc w:val="both"/>
              <w:rPr>
                <w:rFonts w:ascii="宋体" w:hAnsi="宋体" w:cs="宋体" w:eastAsia="宋体" w:hint="default"/>
                <w:sz w:val="18"/>
                <w:szCs w:val="18"/>
              </w:rPr>
            </w:pPr>
            <w:r>
              <w:rPr>
                <w:rFonts w:ascii="宋体" w:hAnsi="宋体" w:cs="宋体" w:eastAsia="宋体" w:hint="default"/>
                <w:sz w:val="18"/>
                <w:szCs w:val="18"/>
              </w:rPr>
              <w:t>西 安 兵 标 检 测 有 限 责 任 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4,266,895.16</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1,007,135.13</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495,000.00</w:t>
            </w: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4,779,030.29</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2386"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南 京 航 天 标 准 化 工 业 技</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1,519,117.64</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1,600,000.00</w:t>
            </w: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-149,168.29</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2,969,949.35</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98"/>
        <w:gridCol w:w="1181"/>
        <w:gridCol w:w="1092"/>
        <w:gridCol w:w="401"/>
        <w:gridCol w:w="1150"/>
        <w:gridCol w:w="401"/>
        <w:gridCol w:w="1090"/>
        <w:gridCol w:w="1001"/>
        <w:gridCol w:w="401"/>
        <w:gridCol w:w="1001"/>
        <w:gridCol w:w="1181"/>
        <w:gridCol w:w="401"/>
      </w:tblGrid>
      <w:tr>
        <w:trPr>
          <w:trHeight w:val="1918"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both"/>
              <w:rPr>
                <w:rFonts w:ascii="宋体" w:hAnsi="宋体" w:cs="宋体" w:eastAsia="宋体" w:hint="default"/>
                <w:sz w:val="18"/>
                <w:szCs w:val="18"/>
              </w:rPr>
            </w:pPr>
            <w:r>
              <w:rPr>
                <w:rFonts w:ascii="宋体" w:hAnsi="宋体" w:cs="宋体" w:eastAsia="宋体" w:hint="default"/>
                <w:sz w:val="18"/>
                <w:szCs w:val="18"/>
              </w:rPr>
              <w:t>术</w:t>
            </w:r>
          </w:p>
          <w:p>
            <w:pPr>
              <w:pStyle w:val="TableParagraph"/>
              <w:spacing w:line="237" w:lineRule="auto"/>
              <w:ind w:left="24" w:right="182"/>
              <w:jc w:val="both"/>
              <w:rPr>
                <w:rFonts w:ascii="宋体" w:hAnsi="宋体" w:cs="宋体" w:eastAsia="宋体" w:hint="default"/>
                <w:sz w:val="18"/>
                <w:szCs w:val="18"/>
              </w:rPr>
            </w:pPr>
            <w:r>
              <w:rPr>
                <w:rFonts w:ascii="宋体" w:hAnsi="宋体" w:cs="宋体" w:eastAsia="宋体" w:hint="default"/>
                <w:sz w:val="18"/>
                <w:szCs w:val="18"/>
              </w:rPr>
              <w:t>研 究 院 有 限 公 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2424"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江 苏 软 讯 科 技 有 限 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17,662,509.72</w:t>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215,611.52</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17,878,121.24</w:t>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3593"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西 安 特 飞 检 测 技 术 研 究 院 有 限 公 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4,265.81</w:t>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4,004,265.81</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2890"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云 南 百 望 金 赋 科 技 有 限 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1,612,741.28</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1,899,185.22</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3,511,926.50</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2424"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浙 江 小 望 科 技 有 限 公 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851,600.00</w:t>
            </w: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-2,480,839.79</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3,548,774.34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1,919,534.55</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518"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182"/>
              <w:jc w:val="left"/>
              <w:rPr>
                <w:rFonts w:ascii="宋体" w:hAnsi="宋体" w:cs="宋体" w:eastAsia="宋体" w:hint="default"/>
                <w:sz w:val="18"/>
                <w:szCs w:val="18"/>
              </w:rPr>
            </w:pPr>
            <w:r>
              <w:rPr>
                <w:rFonts w:ascii="宋体" w:hAnsi="宋体" w:cs="宋体" w:eastAsia="宋体" w:hint="default"/>
                <w:sz w:val="18"/>
                <w:szCs w:val="18"/>
              </w:rPr>
              <w:t>北 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731,743.15</w:t>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42,660.23</w:t>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774,403.38</w:t>
            </w:r>
          </w:p>
        </w:tc>
        <w:tc>
          <w:tcPr>
            <w:tcW w:w="4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98"/>
        <w:gridCol w:w="1181"/>
        <w:gridCol w:w="1092"/>
        <w:gridCol w:w="401"/>
        <w:gridCol w:w="1150"/>
        <w:gridCol w:w="401"/>
        <w:gridCol w:w="1090"/>
        <w:gridCol w:w="1001"/>
        <w:gridCol w:w="401"/>
        <w:gridCol w:w="1001"/>
        <w:gridCol w:w="1181"/>
        <w:gridCol w:w="401"/>
      </w:tblGrid>
      <w:tr>
        <w:trPr>
          <w:trHeight w:val="3084"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both"/>
              <w:rPr>
                <w:rFonts w:ascii="宋体" w:hAnsi="宋体" w:cs="宋体" w:eastAsia="宋体" w:hint="default"/>
                <w:sz w:val="18"/>
                <w:szCs w:val="18"/>
              </w:rPr>
            </w:pPr>
            <w:r>
              <w:rPr>
                <w:rFonts w:ascii="宋体" w:hAnsi="宋体" w:cs="宋体" w:eastAsia="宋体" w:hint="default"/>
                <w:sz w:val="18"/>
                <w:szCs w:val="18"/>
              </w:rPr>
              <w:t>都</w:t>
            </w:r>
          </w:p>
          <w:p>
            <w:pPr>
              <w:pStyle w:val="TableParagraph"/>
              <w:spacing w:line="237" w:lineRule="auto"/>
              <w:ind w:left="24" w:right="182"/>
              <w:jc w:val="both"/>
              <w:rPr>
                <w:rFonts w:ascii="宋体" w:hAnsi="宋体" w:cs="宋体" w:eastAsia="宋体" w:hint="default"/>
                <w:sz w:val="18"/>
                <w:szCs w:val="18"/>
              </w:rPr>
            </w:pPr>
            <w:r>
              <w:rPr>
                <w:rFonts w:ascii="宋体" w:hAnsi="宋体" w:cs="宋体" w:eastAsia="宋体" w:hint="default"/>
                <w:sz w:val="18"/>
                <w:szCs w:val="18"/>
              </w:rPr>
              <w:t>在 哪 智 慧 城 市 科 技 有 限 公 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2659"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天 津 市 实 想 科 技 有 限 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1,660,883.56</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855,742.67</w:t>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2,516,626.23</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2890"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82"/>
              <w:jc w:val="both"/>
              <w:rPr>
                <w:rFonts w:ascii="宋体" w:hAnsi="宋体" w:cs="宋体" w:eastAsia="宋体" w:hint="default"/>
                <w:sz w:val="18"/>
                <w:szCs w:val="18"/>
              </w:rPr>
            </w:pPr>
            <w:r>
              <w:rPr>
                <w:rFonts w:ascii="宋体" w:hAnsi="宋体" w:cs="宋体" w:eastAsia="宋体" w:hint="default"/>
                <w:sz w:val="18"/>
                <w:szCs w:val="18"/>
              </w:rPr>
              <w:t>北 京 旋 极 星 源 技 术 有 限 公 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3,113,636.07</w:t>
            </w: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635,709.86</w:t>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3,749,345.93</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0" w:lineRule="exact" w:before="36"/>
              <w:ind w:left="24" w:right="182"/>
              <w:jc w:val="left"/>
              <w:rPr>
                <w:rFonts w:ascii="宋体" w:hAnsi="宋体" w:cs="宋体" w:eastAsia="宋体" w:hint="default"/>
                <w:sz w:val="18"/>
                <w:szCs w:val="18"/>
              </w:rPr>
            </w:pPr>
            <w:r>
              <w:rPr>
                <w:rFonts w:ascii="宋体" w:hAnsi="宋体" w:cs="宋体" w:eastAsia="宋体" w:hint="default"/>
                <w:sz w:val="18"/>
                <w:szCs w:val="18"/>
              </w:rPr>
              <w:t>小 计</w:t>
            </w:r>
          </w:p>
        </w:tc>
        <w:tc>
          <w:tcPr>
            <w:tcW w:w="118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299,707,424.41</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21,516,336.07</w:t>
            </w: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-3,212,424.30</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48,703,872.82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7,698,103.43</w:t>
            </w: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3,548,774.34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362,565,879.91</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5"/>
              <w:ind w:left="24" w:right="182"/>
              <w:jc w:val="left"/>
              <w:rPr>
                <w:rFonts w:ascii="宋体" w:hAnsi="宋体" w:cs="宋体" w:eastAsia="宋体" w:hint="default"/>
                <w:sz w:val="18"/>
                <w:szCs w:val="18"/>
              </w:rPr>
            </w:pPr>
            <w:r>
              <w:rPr>
                <w:rFonts w:ascii="宋体" w:hAnsi="宋体" w:cs="宋体" w:eastAsia="宋体" w:hint="default"/>
                <w:sz w:val="18"/>
                <w:szCs w:val="18"/>
              </w:rPr>
              <w:t>合 计</w:t>
            </w:r>
          </w:p>
        </w:tc>
        <w:tc>
          <w:tcPr>
            <w:tcW w:w="118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368,791,301.24</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21,516,336.07</w:t>
            </w:r>
          </w:p>
        </w:tc>
        <w:tc>
          <w:tcPr>
            <w:tcW w:w="40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-2,419,626.20</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48,703,872.82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7,698,103.43</w:t>
            </w:r>
          </w:p>
        </w:tc>
        <w:tc>
          <w:tcPr>
            <w:tcW w:w="4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3,548,774.34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432,442,554.84</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4"/>
        <w:ind w:right="1127"/>
        <w:jc w:val="left"/>
      </w:pPr>
      <w:r>
        <w:rPr/>
        <w:t>其他说明</w:t>
      </w:r>
    </w:p>
    <w:p>
      <w:pPr>
        <w:spacing w:line="240" w:lineRule="auto" w:before="9"/>
        <w:rPr>
          <w:rFonts w:ascii="宋体" w:hAnsi="宋体" w:cs="宋体" w:eastAsia="宋体" w:hint="default"/>
          <w:sz w:val="17"/>
          <w:szCs w:val="17"/>
        </w:rPr>
      </w:pPr>
    </w:p>
    <w:p>
      <w:pPr>
        <w:pStyle w:val="BodyText"/>
        <w:spacing w:line="240" w:lineRule="auto"/>
        <w:ind w:right="1127"/>
        <w:jc w:val="left"/>
      </w:pPr>
      <w:r>
        <w:rPr>
          <w:rFonts w:ascii="Times New Roman" w:hAnsi="Times New Roman" w:cs="Times New Roman" w:eastAsia="Times New Roman" w:hint="default"/>
        </w:rPr>
        <w:t>1</w:t>
      </w:r>
      <w:r>
        <w:rPr/>
        <w:t>、北京旋极拉卡拉信息技术有限公司于</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月更名为北京考拉昆仑信息技术有限公司；</w:t>
      </w:r>
    </w:p>
    <w:p>
      <w:pPr>
        <w:spacing w:line="240" w:lineRule="auto" w:before="9"/>
        <w:rPr>
          <w:rFonts w:ascii="宋体" w:hAnsi="宋体" w:cs="宋体" w:eastAsia="宋体" w:hint="default"/>
          <w:sz w:val="16"/>
          <w:szCs w:val="16"/>
        </w:rPr>
      </w:pPr>
    </w:p>
    <w:p>
      <w:pPr>
        <w:pStyle w:val="BodyText"/>
        <w:spacing w:line="240" w:lineRule="auto"/>
        <w:ind w:left="573" w:right="1127"/>
        <w:jc w:val="left"/>
      </w:pPr>
      <w:r>
        <w:rPr>
          <w:rFonts w:ascii="Times New Roman" w:hAnsi="Times New Roman" w:cs="Times New Roman" w:eastAsia="Times New Roman" w:hint="default"/>
        </w:rPr>
        <w:t>2</w:t>
      </w:r>
      <w:r>
        <w:rPr/>
        <w:t>、北京都在哪网讯科技有限公司于</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月更名为北京旋极伏羲科技有限公司；</w:t>
      </w:r>
    </w:p>
    <w:p>
      <w:pPr>
        <w:spacing w:line="240" w:lineRule="auto" w:before="11"/>
        <w:rPr>
          <w:rFonts w:ascii="宋体" w:hAnsi="宋体" w:cs="宋体" w:eastAsia="宋体" w:hint="default"/>
          <w:sz w:val="16"/>
          <w:szCs w:val="16"/>
        </w:rPr>
      </w:pPr>
    </w:p>
    <w:p>
      <w:pPr>
        <w:pStyle w:val="BodyText"/>
        <w:spacing w:line="336" w:lineRule="auto"/>
        <w:ind w:left="153" w:right="1128" w:firstLine="419"/>
        <w:jc w:val="both"/>
      </w:pPr>
      <w:r>
        <w:rPr>
          <w:rFonts w:ascii="Times New Roman" w:hAnsi="Times New Roman" w:cs="Times New Roman" w:eastAsia="Times New Roman" w:hint="default"/>
          <w:spacing w:val="-5"/>
        </w:rPr>
        <w:t>3</w:t>
      </w:r>
      <w:r>
        <w:rPr>
          <w:spacing w:val="-5"/>
        </w:rPr>
        <w:t>、浙江小望科技有限公司其他增加</w:t>
      </w:r>
      <w:r>
        <w:rPr>
          <w:spacing w:val="-48"/>
        </w:rPr>
        <w:t> </w:t>
      </w:r>
      <w:r>
        <w:rPr>
          <w:rFonts w:ascii="Times New Roman" w:hAnsi="Times New Roman" w:cs="Times New Roman" w:eastAsia="Times New Roman" w:hint="default"/>
        </w:rPr>
        <w:t>3,548,774.340</w:t>
      </w:r>
      <w:r>
        <w:rPr>
          <w:rFonts w:ascii="Times New Roman" w:hAnsi="Times New Roman" w:cs="Times New Roman" w:eastAsia="Times New Roman" w:hint="default"/>
          <w:spacing w:val="-8"/>
        </w:rPr>
        <w:t> </w:t>
      </w:r>
      <w:r>
        <w:rPr/>
        <w:t>元系</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月公司将三级子公司浙江小望科技有</w:t>
      </w:r>
      <w:r>
        <w:rPr>
          <w:w w:val="100"/>
        </w:rPr>
        <w:t> </w:t>
      </w:r>
      <w:r>
        <w:rPr/>
        <w:t>限公司</w:t>
      </w:r>
      <w:r>
        <w:rPr>
          <w:spacing w:val="-25"/>
        </w:rPr>
        <w:t> </w:t>
      </w:r>
      <w:r>
        <w:rPr>
          <w:rFonts w:ascii="Times New Roman" w:hAnsi="Times New Roman" w:cs="Times New Roman" w:eastAsia="Times New Roman" w:hint="default"/>
          <w:spacing w:val="-3"/>
        </w:rPr>
        <w:t>40%</w:t>
      </w:r>
      <w:r>
        <w:rPr>
          <w:spacing w:val="-3"/>
        </w:rPr>
        <w:t>股权处置，处置后持股比例为</w:t>
      </w:r>
      <w:r>
        <w:rPr>
          <w:spacing w:val="-25"/>
        </w:rPr>
        <w:t> </w:t>
      </w:r>
      <w:r>
        <w:rPr>
          <w:rFonts w:ascii="Times New Roman" w:hAnsi="Times New Roman" w:cs="Times New Roman" w:eastAsia="Times New Roman" w:hint="default"/>
          <w:spacing w:val="-3"/>
        </w:rPr>
        <w:t>38%</w:t>
      </w:r>
      <w:r>
        <w:rPr>
          <w:spacing w:val="-3"/>
        </w:rPr>
        <w:t>，导致丧失控制权改按权益法核算，在合并报表中对该剩余</w:t>
      </w:r>
      <w:r>
        <w:rPr>
          <w:spacing w:val="-94"/>
        </w:rPr>
        <w:t> </w:t>
      </w:r>
      <w:r>
        <w:rPr>
          <w:spacing w:val="-94"/>
        </w:rPr>
      </w:r>
      <w:r>
        <w:rPr>
          <w:rFonts w:ascii="Times New Roman" w:hAnsi="Times New Roman" w:cs="Times New Roman" w:eastAsia="Times New Roman" w:hint="default"/>
        </w:rPr>
        <w:t>38%</w:t>
      </w:r>
      <w:r>
        <w:rPr/>
        <w:t>的股权按照丧失控制权日公允价值重新计量。</w:t>
      </w:r>
    </w:p>
    <w:p>
      <w:pPr>
        <w:spacing w:after="0" w:line="336" w:lineRule="auto"/>
        <w:jc w:val="both"/>
        <w:sectPr>
          <w:footerReference w:type="default" r:id="rId74"/>
          <w:pgSz w:w="11910" w:h="16840"/>
          <w:pgMar w:footer="1134" w:header="882" w:top="1280" w:bottom="1320" w:left="980" w:right="0"/>
        </w:sectPr>
      </w:pPr>
    </w:p>
    <w:p>
      <w:pPr>
        <w:spacing w:line="240" w:lineRule="auto" w:before="10"/>
        <w:rPr>
          <w:rFonts w:ascii="宋体" w:hAnsi="宋体" w:cs="宋体" w:eastAsia="宋体" w:hint="default"/>
          <w:sz w:val="28"/>
          <w:szCs w:val="28"/>
        </w:rPr>
      </w:pPr>
    </w:p>
    <w:p>
      <w:pPr>
        <w:pStyle w:val="Heading4"/>
        <w:spacing w:line="240" w:lineRule="auto" w:before="36"/>
        <w:ind w:right="1127"/>
        <w:jc w:val="left"/>
        <w:rPr>
          <w:b w:val="0"/>
          <w:bCs w:val="0"/>
        </w:rPr>
      </w:pPr>
      <w:bookmarkStart w:name="18、其他权益工具投资" w:id="403"/>
      <w:bookmarkEnd w:id="403"/>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7"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91"/>
              <w:jc w:val="left"/>
              <w:rPr>
                <w:rFonts w:ascii="宋体" w:hAnsi="宋体" w:cs="宋体" w:eastAsia="宋体" w:hint="default"/>
                <w:sz w:val="18"/>
                <w:szCs w:val="18"/>
              </w:rPr>
            </w:pPr>
            <w:r>
              <w:rPr>
                <w:rFonts w:ascii="宋体" w:hAnsi="宋体" w:cs="宋体" w:eastAsia="宋体" w:hint="default"/>
                <w:sz w:val="18"/>
                <w:szCs w:val="18"/>
              </w:rPr>
              <w:t>北京考拉昆略互联网产业投资基金（有 限合伙）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19,400,000.00</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北京中关村并购母基金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北京华控产业投资基金（有限合伙）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考拉昆仑信用管理有限公司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7,500,000.00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7,500,000.00</w:t>
            </w:r>
            <w:r>
              <w:rPr>
                <w:rFonts w:ascii="Times New Roman"/>
                <w:sz w:val="18"/>
              </w:rPr>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陕西中科博亿电子科技有限公司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900,000.00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900,000.00</w:t>
            </w:r>
          </w:p>
        </w:tc>
      </w:tr>
      <w:tr>
        <w:trPr>
          <w:trHeight w:val="557"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厦门蓝图清创投资管理合伙企业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8,529,412.00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湘潭智城联合信息科技有限公司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50,296,238.51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r>
      <w:tr>
        <w:trPr>
          <w:trHeight w:val="557"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91"/>
              <w:jc w:val="left"/>
              <w:rPr>
                <w:rFonts w:ascii="宋体" w:hAnsi="宋体" w:cs="宋体" w:eastAsia="宋体" w:hint="default"/>
                <w:sz w:val="18"/>
                <w:szCs w:val="18"/>
              </w:rPr>
            </w:pPr>
            <w:r>
              <w:rPr>
                <w:rFonts w:ascii="宋体" w:hAnsi="宋体" w:cs="宋体" w:eastAsia="宋体" w:hint="default"/>
                <w:sz w:val="18"/>
                <w:szCs w:val="18"/>
              </w:rPr>
              <w:t>湘潭创新智慧私募股权基金企业（有限 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50,296,238.51</w:t>
            </w:r>
          </w:p>
        </w:tc>
      </w:tr>
      <w:tr>
        <w:trPr>
          <w:trHeight w:val="29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Times New Roman" w:hAnsi="Times New Roman" w:cs="Times New Roman" w:eastAsia="Times New Roman" w:hint="default"/>
                <w:sz w:val="18"/>
                <w:szCs w:val="18"/>
              </w:rPr>
            </w:pPr>
            <w:r>
              <w:rPr>
                <w:rFonts w:ascii="Times New Roman"/>
                <w:spacing w:val="-3"/>
                <w:sz w:val="18"/>
              </w:rPr>
              <w:t>WAKINGAPP</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spacing w:val="-1"/>
                <w:sz w:val="18"/>
              </w:rPr>
              <w:t>10,191,410.78</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北京旋极星源技术有限公司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162,625,650.51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181,287,649.29</w:t>
            </w:r>
            <w:r>
              <w:rPr>
                <w:rFonts w:ascii="Times New Roman"/>
                <w:sz w:val="18"/>
              </w:rPr>
            </w:r>
          </w:p>
        </w:tc>
      </w:tr>
    </w:tbl>
    <w:p>
      <w:pPr>
        <w:pStyle w:val="BodyText"/>
        <w:spacing w:line="240" w:lineRule="auto" w:before="64"/>
        <w:ind w:right="1127"/>
        <w:jc w:val="left"/>
      </w:pPr>
      <w:r>
        <w:rPr/>
        <w:t>分项披露本期非交易性权益工具投资</w:t>
      </w:r>
    </w:p>
    <w:p>
      <w:pPr>
        <w:spacing w:line="240" w:lineRule="auto" w:before="10"/>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47"/>
        <w:ind w:left="0" w:right="1135" w:firstLine="0"/>
        <w:jc w:val="right"/>
        <w:rPr>
          <w:rFonts w:ascii="宋体" w:hAnsi="宋体" w:cs="宋体" w:eastAsia="宋体" w:hint="default"/>
          <w:sz w:val="18"/>
          <w:szCs w:val="18"/>
        </w:rPr>
      </w:pPr>
      <w:r>
        <w:rPr/>
        <w:pict>
          <v:shape style="position:absolute;margin-left:56.400002pt;margin-top:-215.078278pt;width:479.3pt;height:358.9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368"/>
                    <w:gridCol w:w="1368"/>
                    <w:gridCol w:w="1366"/>
                    <w:gridCol w:w="768"/>
                    <w:gridCol w:w="2410"/>
                    <w:gridCol w:w="924"/>
                  </w:tblGrid>
                  <w:tr>
                    <w:trPr>
                      <w:trHeight w:val="1256"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7"/>
                          <w:jc w:val="right"/>
                          <w:rPr>
                            <w:rFonts w:ascii="宋体" w:hAnsi="宋体" w:cs="宋体" w:eastAsia="宋体" w:hint="default"/>
                            <w:sz w:val="18"/>
                            <w:szCs w:val="18"/>
                          </w:rPr>
                        </w:pPr>
                        <w:r>
                          <w:rPr>
                            <w:rFonts w:ascii="宋体" w:hAnsi="宋体" w:cs="宋体" w:eastAsia="宋体" w:hint="default"/>
                            <w:sz w:val="18"/>
                            <w:szCs w:val="18"/>
                          </w:rPr>
                          <w:t>项目名称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7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1"/>
                          <w:ind w:left="107" w:right="108"/>
                          <w:jc w:val="both"/>
                          <w:rPr>
                            <w:rFonts w:ascii="宋体" w:hAnsi="宋体" w:cs="宋体" w:eastAsia="宋体" w:hint="default"/>
                            <w:sz w:val="18"/>
                            <w:szCs w:val="18"/>
                          </w:rPr>
                        </w:pPr>
                        <w:r>
                          <w:rPr>
                            <w:rFonts w:ascii="宋体" w:hAnsi="宋体" w:cs="宋体" w:eastAsia="宋体" w:hint="default"/>
                            <w:sz w:val="18"/>
                            <w:szCs w:val="18"/>
                          </w:rPr>
                          <w:t>其他综 合收益 转入留 存收益 的金额</w:t>
                        </w:r>
                      </w:p>
                    </w:tc>
                    <w:tc>
                      <w:tcPr>
                        <w:tcW w:w="24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30" w:lineRule="exact" w:before="150"/>
                          <w:ind w:left="120" w:right="26" w:hanging="89"/>
                          <w:jc w:val="left"/>
                          <w:rPr>
                            <w:rFonts w:ascii="宋体" w:hAnsi="宋体" w:cs="宋体" w:eastAsia="宋体" w:hint="default"/>
                            <w:sz w:val="18"/>
                            <w:szCs w:val="18"/>
                          </w:rPr>
                        </w:pPr>
                        <w:r>
                          <w:rPr>
                            <w:rFonts w:ascii="宋体" w:hAnsi="宋体" w:cs="宋体" w:eastAsia="宋体" w:hint="default"/>
                            <w:sz w:val="18"/>
                            <w:szCs w:val="18"/>
                          </w:rPr>
                          <w:t>指定为以公允价值计量且其变 动计入其他综合收益的原因</w:t>
                        </w:r>
                      </w:p>
                    </w:tc>
                    <w:tc>
                      <w:tcPr>
                        <w:tcW w:w="9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26"/>
                          <w:ind w:left="98" w:right="95"/>
                          <w:jc w:val="both"/>
                          <w:rPr>
                            <w:rFonts w:ascii="宋体" w:hAnsi="宋体" w:cs="宋体" w:eastAsia="宋体" w:hint="default"/>
                            <w:sz w:val="18"/>
                            <w:szCs w:val="18"/>
                          </w:rPr>
                        </w:pPr>
                        <w:r>
                          <w:rPr>
                            <w:rFonts w:ascii="宋体" w:hAnsi="宋体" w:cs="宋体" w:eastAsia="宋体" w:hint="default"/>
                            <w:sz w:val="18"/>
                            <w:szCs w:val="18"/>
                          </w:rPr>
                          <w:t>其他综合 收益转入 留存收益 的原因</w:t>
                        </w:r>
                      </w:p>
                    </w:tc>
                  </w:tr>
                  <w:tr>
                    <w:trPr>
                      <w:trHeight w:val="79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72"/>
                          <w:jc w:val="both"/>
                          <w:rPr>
                            <w:rFonts w:ascii="宋体" w:hAnsi="宋体" w:cs="宋体" w:eastAsia="宋体" w:hint="default"/>
                            <w:sz w:val="18"/>
                            <w:szCs w:val="18"/>
                          </w:rPr>
                        </w:pPr>
                        <w:r>
                          <w:rPr>
                            <w:rFonts w:ascii="宋体" w:hAnsi="宋体" w:cs="宋体" w:eastAsia="宋体" w:hint="default"/>
                            <w:sz w:val="18"/>
                            <w:szCs w:val="18"/>
                          </w:rPr>
                          <w:t>北京考拉昆略互 联网产业投资基 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35"/>
                          <w:jc w:val="both"/>
                          <w:rPr>
                            <w:rFonts w:ascii="宋体" w:hAnsi="宋体" w:cs="宋体" w:eastAsia="宋体" w:hint="default"/>
                            <w:sz w:val="18"/>
                            <w:szCs w:val="18"/>
                          </w:rPr>
                        </w:pPr>
                        <w:r>
                          <w:rPr>
                            <w:rFonts w:ascii="宋体" w:hAnsi="宋体" w:cs="宋体" w:eastAsia="宋体" w:hint="default"/>
                            <w:sz w:val="18"/>
                            <w:szCs w:val="18"/>
                          </w:rPr>
                          <w:t>计划长期持有并非用于交易目 的而持有投资，旨在通过参股 协作提升本公司长期盈利能力</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8"/>
                          <w:ind w:left="24" w:right="72"/>
                          <w:jc w:val="left"/>
                          <w:rPr>
                            <w:rFonts w:ascii="宋体" w:hAnsi="宋体" w:cs="宋体" w:eastAsia="宋体" w:hint="default"/>
                            <w:sz w:val="18"/>
                            <w:szCs w:val="18"/>
                          </w:rPr>
                        </w:pPr>
                        <w:r>
                          <w:rPr>
                            <w:rFonts w:ascii="宋体" w:hAnsi="宋体" w:cs="宋体" w:eastAsia="宋体" w:hint="default"/>
                            <w:sz w:val="18"/>
                            <w:szCs w:val="18"/>
                          </w:rPr>
                          <w:t>北京中关村并购 母基金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35"/>
                          <w:jc w:val="both"/>
                          <w:rPr>
                            <w:rFonts w:ascii="宋体" w:hAnsi="宋体" w:cs="宋体" w:eastAsia="宋体" w:hint="default"/>
                            <w:sz w:val="18"/>
                            <w:szCs w:val="18"/>
                          </w:rPr>
                        </w:pPr>
                        <w:r>
                          <w:rPr>
                            <w:rFonts w:ascii="宋体" w:hAnsi="宋体" w:cs="宋体" w:eastAsia="宋体" w:hint="default"/>
                            <w:sz w:val="18"/>
                            <w:szCs w:val="18"/>
                          </w:rPr>
                          <w:t>计划长期持有并非用于交易目 的而持有投资，旨在通过参股 协作提升本公司长期盈利能力</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72"/>
                          <w:jc w:val="both"/>
                          <w:rPr>
                            <w:rFonts w:ascii="宋体" w:hAnsi="宋体" w:cs="宋体" w:eastAsia="宋体" w:hint="default"/>
                            <w:sz w:val="18"/>
                            <w:szCs w:val="18"/>
                          </w:rPr>
                        </w:pPr>
                        <w:r>
                          <w:rPr>
                            <w:rFonts w:ascii="宋体" w:hAnsi="宋体" w:cs="宋体" w:eastAsia="宋体" w:hint="default"/>
                            <w:sz w:val="18"/>
                            <w:szCs w:val="18"/>
                          </w:rPr>
                          <w:t>北京华控产业投 资基金（有限合 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35"/>
                          <w:jc w:val="both"/>
                          <w:rPr>
                            <w:rFonts w:ascii="宋体" w:hAnsi="宋体" w:cs="宋体" w:eastAsia="宋体" w:hint="default"/>
                            <w:sz w:val="18"/>
                            <w:szCs w:val="18"/>
                          </w:rPr>
                        </w:pPr>
                        <w:r>
                          <w:rPr>
                            <w:rFonts w:ascii="宋体" w:hAnsi="宋体" w:cs="宋体" w:eastAsia="宋体" w:hint="default"/>
                            <w:sz w:val="18"/>
                            <w:szCs w:val="18"/>
                          </w:rPr>
                          <w:t>计划长期持有并非用于交易目 的而持有投资，旨在通过参股 协作提升本公司长期盈利能力</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195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32" w:lineRule="exact"/>
                          <w:ind w:left="24" w:right="72"/>
                          <w:jc w:val="left"/>
                          <w:rPr>
                            <w:rFonts w:ascii="宋体" w:hAnsi="宋体" w:cs="宋体" w:eastAsia="宋体" w:hint="default"/>
                            <w:sz w:val="18"/>
                            <w:szCs w:val="18"/>
                          </w:rPr>
                        </w:pPr>
                        <w:r>
                          <w:rPr>
                            <w:rFonts w:ascii="宋体" w:hAnsi="宋体" w:cs="宋体" w:eastAsia="宋体" w:hint="default"/>
                            <w:sz w:val="18"/>
                            <w:szCs w:val="18"/>
                          </w:rPr>
                          <w:t>北京旋极星源技 术有限公司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6"/>
                          <w:jc w:val="right"/>
                          <w:rPr>
                            <w:rFonts w:ascii="Times New Roman" w:hAnsi="Times New Roman" w:cs="Times New Roman" w:eastAsia="Times New Roman" w:hint="default"/>
                            <w:sz w:val="18"/>
                            <w:szCs w:val="18"/>
                          </w:rPr>
                        </w:pPr>
                        <w:r>
                          <w:rPr>
                            <w:rFonts w:ascii="Times New Roman"/>
                            <w:spacing w:val="-1"/>
                            <w:sz w:val="18"/>
                          </w:rPr>
                          <w:t>8,886,363.93</w:t>
                        </w:r>
                        <w:r>
                          <w:rPr>
                            <w:rFonts w:ascii="Times New Roman"/>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-8,886,36</w:t>
                        </w:r>
                      </w:p>
                      <w:p>
                        <w:pPr>
                          <w:pStyle w:val="TableParagraph"/>
                          <w:spacing w:line="207" w:lineRule="exact"/>
                          <w:ind w:left="419" w:right="0"/>
                          <w:jc w:val="left"/>
                          <w:rPr>
                            <w:rFonts w:ascii="Times New Roman" w:hAnsi="Times New Roman" w:cs="Times New Roman" w:eastAsia="Times New Roman" w:hint="default"/>
                            <w:sz w:val="18"/>
                            <w:szCs w:val="18"/>
                          </w:rPr>
                        </w:pPr>
                        <w:r>
                          <w:rPr>
                            <w:rFonts w:ascii="Times New Roman"/>
                            <w:sz w:val="18"/>
                          </w:rPr>
                          <w:t>3.93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7"/>
                          <w:ind w:left="23" w:right="35"/>
                          <w:jc w:val="both"/>
                          <w:rPr>
                            <w:rFonts w:ascii="宋体" w:hAnsi="宋体" w:cs="宋体" w:eastAsia="宋体" w:hint="default"/>
                            <w:sz w:val="18"/>
                            <w:szCs w:val="18"/>
                          </w:rPr>
                        </w:pPr>
                        <w:r>
                          <w:rPr>
                            <w:rFonts w:ascii="宋体" w:hAnsi="宋体" w:cs="宋体" w:eastAsia="宋体" w:hint="default"/>
                            <w:sz w:val="18"/>
                            <w:szCs w:val="18"/>
                          </w:rPr>
                          <w:t>计划长期持有并非用于交易目 的而持有投资，旨在通过参股 协作提升本公司长期盈利能力</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37" w:lineRule="auto"/>
                          <w:ind w:left="23" w:right="105"/>
                          <w:jc w:val="both"/>
                          <w:rPr>
                            <w:rFonts w:ascii="Times New Roman" w:hAnsi="Times New Roman" w:cs="Times New Roman" w:eastAsia="Times New Roman" w:hint="default"/>
                            <w:sz w:val="18"/>
                            <w:szCs w:val="18"/>
                          </w:rPr>
                        </w:pPr>
                        <w:r>
                          <w:rPr>
                            <w:rFonts w:ascii="宋体" w:hAnsi="宋体" w:cs="宋体" w:eastAsia="宋体" w:hint="default"/>
                            <w:sz w:val="18"/>
                            <w:szCs w:val="18"/>
                          </w:rPr>
                          <w:t>月末持股 比例调整 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26.31%</w:t>
                        </w:r>
                      </w:p>
                      <w:p>
                        <w:pPr>
                          <w:pStyle w:val="TableParagraph"/>
                          <w:spacing w:line="232" w:lineRule="exact" w:before="8"/>
                          <w:ind w:left="23" w:right="168"/>
                          <w:jc w:val="both"/>
                          <w:rPr>
                            <w:rFonts w:ascii="宋体" w:hAnsi="宋体" w:cs="宋体" w:eastAsia="宋体" w:hint="default"/>
                            <w:sz w:val="18"/>
                            <w:szCs w:val="18"/>
                          </w:rPr>
                        </w:pPr>
                        <w:r>
                          <w:rPr>
                            <w:rFonts w:ascii="宋体" w:hAnsi="宋体" w:cs="宋体" w:eastAsia="宋体" w:hint="default"/>
                            <w:sz w:val="18"/>
                            <w:szCs w:val="18"/>
                          </w:rPr>
                          <w:t>由其他权 益工具转</w:t>
                        </w:r>
                      </w:p>
                      <w:p>
                        <w:pPr>
                          <w:pStyle w:val="TableParagraph"/>
                          <w:spacing w:line="230" w:lineRule="exact" w:before="4"/>
                          <w:ind w:left="23" w:right="168"/>
                          <w:jc w:val="both"/>
                          <w:rPr>
                            <w:rFonts w:ascii="宋体" w:hAnsi="宋体" w:cs="宋体" w:eastAsia="宋体" w:hint="default"/>
                            <w:sz w:val="18"/>
                            <w:szCs w:val="18"/>
                          </w:rPr>
                        </w:pPr>
                        <w:r>
                          <w:rPr>
                            <w:rFonts w:ascii="宋体" w:hAnsi="宋体" w:cs="宋体" w:eastAsia="宋体" w:hint="default"/>
                            <w:sz w:val="18"/>
                            <w:szCs w:val="18"/>
                          </w:rPr>
                          <w:t>为权益法 核算。</w:t>
                        </w:r>
                      </w:p>
                    </w:tc>
                  </w:tr>
                  <w:tr>
                    <w:trPr>
                      <w:trHeight w:val="7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4" w:right="72"/>
                          <w:jc w:val="left"/>
                          <w:rPr>
                            <w:rFonts w:ascii="宋体" w:hAnsi="宋体" w:cs="宋体" w:eastAsia="宋体" w:hint="default"/>
                            <w:sz w:val="18"/>
                            <w:szCs w:val="18"/>
                          </w:rPr>
                        </w:pPr>
                        <w:r>
                          <w:rPr>
                            <w:rFonts w:ascii="宋体" w:hAnsi="宋体" w:cs="宋体" w:eastAsia="宋体" w:hint="default"/>
                            <w:sz w:val="18"/>
                            <w:szCs w:val="18"/>
                          </w:rPr>
                          <w:t>考拉昆仑信用管 理有限公司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35"/>
                          <w:jc w:val="both"/>
                          <w:rPr>
                            <w:rFonts w:ascii="宋体" w:hAnsi="宋体" w:cs="宋体" w:eastAsia="宋体" w:hint="default"/>
                            <w:sz w:val="18"/>
                            <w:szCs w:val="18"/>
                          </w:rPr>
                        </w:pPr>
                        <w:r>
                          <w:rPr>
                            <w:rFonts w:ascii="宋体" w:hAnsi="宋体" w:cs="宋体" w:eastAsia="宋体" w:hint="default"/>
                            <w:sz w:val="18"/>
                            <w:szCs w:val="18"/>
                          </w:rPr>
                          <w:t>计划长期持有并非用于交易目 的而持有投资，旨在通过参股 协作提升本公司长期盈利能力</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72"/>
                          <w:jc w:val="right"/>
                          <w:rPr>
                            <w:rFonts w:ascii="Times New Roman" w:hAnsi="Times New Roman" w:cs="Times New Roman" w:eastAsia="Times New Roman" w:hint="default"/>
                            <w:sz w:val="18"/>
                            <w:szCs w:val="18"/>
                          </w:rPr>
                        </w:pPr>
                        <w:r>
                          <w:rPr>
                            <w:rFonts w:ascii="Times New Roman"/>
                            <w:spacing w:val="-3"/>
                            <w:sz w:val="18"/>
                          </w:rPr>
                          <w:t>WAKINGAPP</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10,419,385.73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-10,419,3</w:t>
                        </w:r>
                      </w:p>
                      <w:p>
                        <w:pPr>
                          <w:pStyle w:val="TableParagraph"/>
                          <w:spacing w:line="207" w:lineRule="exact"/>
                          <w:ind w:left="328" w:right="0"/>
                          <w:jc w:val="left"/>
                          <w:rPr>
                            <w:rFonts w:ascii="Times New Roman" w:hAnsi="Times New Roman" w:cs="Times New Roman" w:eastAsia="Times New Roman" w:hint="default"/>
                            <w:sz w:val="18"/>
                            <w:szCs w:val="18"/>
                          </w:rPr>
                        </w:pPr>
                        <w:r>
                          <w:rPr>
                            <w:rFonts w:ascii="Times New Roman"/>
                            <w:sz w:val="18"/>
                          </w:rPr>
                          <w:t>85.73</w:t>
                        </w:r>
                      </w:p>
                    </w:tc>
                    <w:tc>
                      <w:tcPr>
                        <w:tcW w:w="241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6"/>
                          <w:ind w:left="23" w:right="32"/>
                          <w:jc w:val="left"/>
                          <w:rPr>
                            <w:rFonts w:ascii="宋体" w:hAnsi="宋体" w:cs="宋体" w:eastAsia="宋体" w:hint="default"/>
                            <w:sz w:val="18"/>
                            <w:szCs w:val="18"/>
                          </w:rPr>
                        </w:pPr>
                        <w:r>
                          <w:rPr>
                            <w:rFonts w:ascii="宋体" w:hAnsi="宋体" w:cs="宋体" w:eastAsia="宋体" w:hint="default"/>
                            <w:sz w:val="18"/>
                            <w:szCs w:val="18"/>
                          </w:rPr>
                          <w:t>股权被其 他股东以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对价收回</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footerReference w:type="default" r:id="rId75"/>
          <w:pgSz w:w="11910" w:h="16840"/>
          <w:pgMar w:footer="1134" w:header="882" w:top="1280" w:bottom="1320" w:left="980" w:right="0"/>
          <w:pgNumType w:start="211"/>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768"/>
        <w:gridCol w:w="2410"/>
        <w:gridCol w:w="924"/>
      </w:tblGrid>
      <w:tr>
        <w:trPr>
          <w:trHeight w:val="7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厦门蓝图清创投 资管理合伙企业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35"/>
              <w:jc w:val="both"/>
              <w:rPr>
                <w:rFonts w:ascii="宋体" w:hAnsi="宋体" w:cs="宋体" w:eastAsia="宋体" w:hint="default"/>
                <w:sz w:val="18"/>
                <w:szCs w:val="18"/>
              </w:rPr>
            </w:pPr>
            <w:r>
              <w:rPr>
                <w:rFonts w:ascii="宋体" w:hAnsi="宋体" w:cs="宋体" w:eastAsia="宋体" w:hint="default"/>
                <w:sz w:val="18"/>
                <w:szCs w:val="18"/>
              </w:rPr>
              <w:t>计划长期持有并非用于交易目 的而持有投资，旨在通过参股 协作提升本公司长期盈利能力</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4" w:right="72"/>
              <w:jc w:val="left"/>
              <w:rPr>
                <w:rFonts w:ascii="宋体" w:hAnsi="宋体" w:cs="宋体" w:eastAsia="宋体" w:hint="default"/>
                <w:sz w:val="18"/>
                <w:szCs w:val="18"/>
              </w:rPr>
            </w:pPr>
            <w:r>
              <w:rPr>
                <w:rFonts w:ascii="宋体" w:hAnsi="宋体" w:cs="宋体" w:eastAsia="宋体" w:hint="default"/>
                <w:sz w:val="18"/>
                <w:szCs w:val="18"/>
              </w:rPr>
              <w:t>湘潭智城联合信 息科技有限公司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35"/>
              <w:jc w:val="both"/>
              <w:rPr>
                <w:rFonts w:ascii="宋体" w:hAnsi="宋体" w:cs="宋体" w:eastAsia="宋体" w:hint="default"/>
                <w:sz w:val="18"/>
                <w:szCs w:val="18"/>
              </w:rPr>
            </w:pPr>
            <w:r>
              <w:rPr>
                <w:rFonts w:ascii="宋体" w:hAnsi="宋体" w:cs="宋体" w:eastAsia="宋体" w:hint="default"/>
                <w:sz w:val="18"/>
                <w:szCs w:val="18"/>
              </w:rPr>
              <w:t>计划长期持有并非用于交易目 的而持有投资，旨在通过参股 协作提升本公司长期盈利能力</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72"/>
              <w:jc w:val="left"/>
              <w:rPr>
                <w:rFonts w:ascii="宋体" w:hAnsi="宋体" w:cs="宋体" w:eastAsia="宋体" w:hint="default"/>
                <w:sz w:val="18"/>
                <w:szCs w:val="18"/>
              </w:rPr>
            </w:pPr>
            <w:r>
              <w:rPr>
                <w:rFonts w:ascii="宋体" w:hAnsi="宋体" w:cs="宋体" w:eastAsia="宋体" w:hint="default"/>
                <w:sz w:val="18"/>
                <w:szCs w:val="18"/>
              </w:rPr>
              <w:t>湘潭创新智慧私 募股权基金企业</w:t>
            </w:r>
          </w:p>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35"/>
              <w:jc w:val="both"/>
              <w:rPr>
                <w:rFonts w:ascii="宋体" w:hAnsi="宋体" w:cs="宋体" w:eastAsia="宋体" w:hint="default"/>
                <w:sz w:val="18"/>
                <w:szCs w:val="18"/>
              </w:rPr>
            </w:pPr>
            <w:r>
              <w:rPr>
                <w:rFonts w:ascii="宋体" w:hAnsi="宋体" w:cs="宋体" w:eastAsia="宋体" w:hint="default"/>
                <w:sz w:val="18"/>
                <w:szCs w:val="18"/>
              </w:rPr>
              <w:t>计划长期持有并非用于交易目 的而持有投资，旨在通过参股 协作提升本公司长期盈利能力</w:t>
            </w:r>
          </w:p>
        </w:tc>
        <w:tc>
          <w:tcPr>
            <w:tcW w:w="92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4"/>
        <w:ind w:right="1127"/>
        <w:jc w:val="left"/>
      </w:pPr>
      <w:r>
        <w:rPr/>
        <w:t>其他说明：</w:t>
      </w:r>
    </w:p>
    <w:p>
      <w:pPr>
        <w:spacing w:line="240" w:lineRule="auto" w:before="12"/>
        <w:rPr>
          <w:rFonts w:ascii="宋体" w:hAnsi="宋体" w:cs="宋体" w:eastAsia="宋体" w:hint="default"/>
          <w:sz w:val="17"/>
          <w:szCs w:val="17"/>
        </w:rPr>
      </w:pPr>
    </w:p>
    <w:p>
      <w:pPr>
        <w:pStyle w:val="BodyText"/>
        <w:spacing w:line="240" w:lineRule="auto"/>
        <w:ind w:right="1127"/>
        <w:jc w:val="left"/>
      </w:pPr>
      <w:r>
        <w:rPr>
          <w:rFonts w:ascii="Times New Roman" w:hAnsi="Times New Roman" w:cs="Times New Roman" w:eastAsia="Times New Roman" w:hint="default"/>
        </w:rPr>
        <w:t>1</w:t>
      </w:r>
      <w:r>
        <w:rPr/>
        <w:t>、北京拉卡拉互联网产业投资基金于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月更名为北京考拉昆略互联网产业投资基金；</w:t>
      </w:r>
    </w:p>
    <w:p>
      <w:pPr>
        <w:spacing w:line="240" w:lineRule="auto" w:before="6"/>
        <w:rPr>
          <w:rFonts w:ascii="宋体" w:hAnsi="宋体" w:cs="宋体" w:eastAsia="宋体" w:hint="default"/>
          <w:sz w:val="16"/>
          <w:szCs w:val="16"/>
        </w:rPr>
      </w:pPr>
    </w:p>
    <w:p>
      <w:pPr>
        <w:pStyle w:val="BodyText"/>
        <w:spacing w:line="240" w:lineRule="auto"/>
        <w:ind w:right="1127"/>
        <w:jc w:val="left"/>
      </w:pPr>
      <w:r>
        <w:rPr>
          <w:rFonts w:ascii="Times New Roman" w:hAnsi="Times New Roman" w:cs="Times New Roman" w:eastAsia="Times New Roman" w:hint="default"/>
        </w:rPr>
        <w:t>2</w:t>
      </w:r>
      <w:r>
        <w:rPr/>
        <w:t>、拉卡拉信用管理有限公司于</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月更名为考拉昆仑信用管理有限公司。</w:t>
      </w:r>
    </w:p>
    <w:p>
      <w:pPr>
        <w:spacing w:line="240" w:lineRule="auto" w:before="3"/>
        <w:rPr>
          <w:rFonts w:ascii="宋体" w:hAnsi="宋体" w:cs="宋体" w:eastAsia="宋体" w:hint="default"/>
          <w:sz w:val="32"/>
          <w:szCs w:val="32"/>
        </w:rPr>
      </w:pPr>
    </w:p>
    <w:p>
      <w:pPr>
        <w:pStyle w:val="Heading4"/>
        <w:spacing w:line="240" w:lineRule="auto"/>
        <w:ind w:right="1127"/>
        <w:jc w:val="left"/>
        <w:rPr>
          <w:b w:val="0"/>
          <w:bCs w:val="0"/>
        </w:rPr>
      </w:pPr>
      <w:bookmarkStart w:name="19、其他非流动金融资产" w:id="404"/>
      <w:bookmarkEnd w:id="404"/>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9"/>
        <w:rPr>
          <w:rFonts w:ascii="宋体" w:hAnsi="宋体" w:cs="宋体" w:eastAsia="宋体" w:hint="default"/>
          <w:b/>
          <w:bCs/>
          <w:sz w:val="21"/>
          <w:szCs w:val="21"/>
        </w:rPr>
      </w:pPr>
    </w:p>
    <w:p>
      <w:pPr>
        <w:spacing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7"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24" w:right="91"/>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84,568,389.05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82,000,000.00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84,568,389.05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82,000,000.00</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20、投资性房地产" w:id="405"/>
      <w:bookmarkEnd w:id="405"/>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1127"/>
        <w:jc w:val="left"/>
        <w:rPr>
          <w:b w:val="0"/>
          <w:bCs w:val="0"/>
        </w:rPr>
      </w:pPr>
      <w:bookmarkStart w:name="（1）采用成本计量模式的投资性房地产" w:id="406"/>
      <w:bookmarkEnd w:id="40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13"/>
          <w:szCs w:val="1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5"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10,519,096.02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10,519,096.02</w:t>
            </w:r>
            <w:r>
              <w:rPr>
                <w:rFonts w:ascii="Times New Roman"/>
                <w:sz w:val="18"/>
              </w:rPr>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835,625,945.88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835,625,945.88</w:t>
            </w:r>
            <w:r>
              <w:rPr>
                <w:rFonts w:ascii="Times New Roman"/>
                <w:sz w:val="18"/>
              </w:rPr>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5"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before="8"/>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5"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5"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835,625,945.88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835,625,945.88</w:t>
            </w:r>
            <w:r>
              <w:rPr>
                <w:rFonts w:ascii="Times New Roman"/>
                <w:sz w:val="18"/>
              </w:rPr>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846,145,041.90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846,145,041.90</w:t>
            </w:r>
            <w:r>
              <w:rPr>
                <w:rFonts w:ascii="Times New Roman"/>
                <w:sz w:val="18"/>
              </w:rPr>
            </w:r>
          </w:p>
        </w:tc>
      </w:tr>
      <w:tr>
        <w:trPr>
          <w:trHeight w:val="298"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二、累计折旧和累计摊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28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销</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6,475,996.22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6,475,996.22</w:t>
            </w:r>
            <w:r>
              <w:rPr>
                <w:rFonts w:ascii="Times New Roman"/>
                <w:sz w:val="18"/>
              </w:rPr>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78,490,766.31</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78,490,766.31</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4,618,611.53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4,618,611.53</w:t>
            </w:r>
            <w:r>
              <w:rPr>
                <w:rFonts w:ascii="Times New Roman"/>
                <w:sz w:val="18"/>
              </w:rPr>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73,872,154.78</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73,872,154.78</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84,966,762.53</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84,966,762.53</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6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761,178,279.37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761,178,279.37</w:t>
            </w:r>
            <w:r>
              <w:rPr>
                <w:rFonts w:ascii="Times New Roman"/>
                <w:sz w:val="18"/>
              </w:rPr>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4,043,099.80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4,043,099.80</w:t>
            </w:r>
            <w:r>
              <w:rPr>
                <w:rFonts w:ascii="Times New Roman"/>
                <w:sz w:val="18"/>
              </w:rPr>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2）采用公允价值计量模式的投资性房地产" w:id="407"/>
      <w:bookmarkEnd w:id="40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32"/>
          <w:szCs w:val="32"/>
        </w:rPr>
      </w:pPr>
    </w:p>
    <w:p>
      <w:pPr>
        <w:pStyle w:val="Heading4"/>
        <w:spacing w:line="240" w:lineRule="auto"/>
        <w:ind w:right="1127"/>
        <w:jc w:val="left"/>
        <w:rPr>
          <w:b w:val="0"/>
          <w:bCs w:val="0"/>
        </w:rPr>
      </w:pPr>
      <w:bookmarkStart w:name="（3）未办妥产权证书的投资性房地产情况" w:id="408"/>
      <w:bookmarkEnd w:id="408"/>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成都二环路西一段天有办公楼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2,250,290.46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开发商涉及诉讼，房产被冻结。</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2,250,290.46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4"/>
        <w:ind w:left="152" w:right="1127" w:firstLine="420"/>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4"/>
        <w:ind w:right="1127"/>
        <w:jc w:val="left"/>
        <w:rPr>
          <w:b w:val="0"/>
          <w:bCs w:val="0"/>
        </w:rPr>
      </w:pPr>
      <w:bookmarkStart w:name="21、固定资产" w:id="409"/>
      <w:bookmarkEnd w:id="409"/>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425,877,334.90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363,082,616.42</w:t>
            </w:r>
            <w:r>
              <w:rPr>
                <w:rFonts w:ascii="Times New Roman"/>
                <w:sz w:val="18"/>
              </w:rPr>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425,877,334.90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363,082,616.42</w:t>
            </w:r>
            <w:r>
              <w:rPr>
                <w:rFonts w:ascii="Times New Roman"/>
                <w:sz w:val="18"/>
              </w:rPr>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1）固定资产情况" w:id="410"/>
      <w:bookmarkEnd w:id="410"/>
      <w:r>
        <w:rPr>
          <w:b w:val="0"/>
          <w:bCs w:val="0"/>
        </w:rPr>
      </w:r>
      <w:r>
        <w:rPr/>
        <w:t>（</w:t>
      </w:r>
      <w:r>
        <w:rPr>
          <w:rFonts w:ascii="Times New Roman" w:hAnsi="Times New Roman" w:cs="Times New Roman" w:eastAsia="Times New Roman" w:hint="default"/>
        </w:rPr>
        <w:t>1</w:t>
      </w:r>
      <w:r>
        <w:rPr/>
        <w:t>）固定资产情况</w:t>
      </w:r>
      <w:r>
        <w:rPr>
          <w:b w:val="0"/>
          <w:bCs w:val="0"/>
        </w:rPr>
      </w:r>
    </w:p>
    <w:p>
      <w:pPr>
        <w:spacing w:after="0" w:line="240" w:lineRule="auto"/>
        <w:jc w:val="left"/>
        <w:sectPr>
          <w:pgSz w:w="11910" w:h="16840"/>
          <w:pgMar w:header="882" w:footer="1134" w:top="1280" w:bottom="1320" w:left="980" w:right="0"/>
        </w:sectPr>
      </w:pPr>
    </w:p>
    <w:p>
      <w:pPr>
        <w:spacing w:before="113"/>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02"/>
        <w:gridCol w:w="1925"/>
        <w:gridCol w:w="1915"/>
        <w:gridCol w:w="1913"/>
        <w:gridCol w:w="1915"/>
      </w:tblGrid>
      <w:tr>
        <w:trPr>
          <w:trHeight w:val="32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2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79,624,636.47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21,538,806.18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376,109,225.06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477,272,667.71</w:t>
            </w:r>
            <w:r>
              <w:rPr>
                <w:rFonts w:ascii="Times New Roman"/>
                <w:sz w:val="18"/>
              </w:rPr>
            </w:r>
          </w:p>
        </w:tc>
      </w:tr>
      <w:tr>
        <w:trPr>
          <w:trHeight w:val="32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24,310,702.92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5,989,197.34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78,509,274.25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108,809,174.51</w:t>
            </w:r>
            <w:r>
              <w:rPr>
                <w:rFonts w:ascii="Times New Roman"/>
                <w:sz w:val="18"/>
              </w:rPr>
            </w:r>
          </w:p>
        </w:tc>
      </w:tr>
      <w:tr>
        <w:trPr>
          <w:trHeight w:val="32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431,203.97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2,235,556.33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19,969,632.63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22,636,392.93</w:t>
            </w:r>
          </w:p>
        </w:tc>
      </w:tr>
      <w:tr>
        <w:trPr>
          <w:trHeight w:val="32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9"/>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51,244,763.28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51,244,763.28</w:t>
            </w:r>
          </w:p>
        </w:tc>
      </w:tr>
      <w:tr>
        <w:trPr>
          <w:trHeight w:val="322"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9"/>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65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23,879,498.95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3,753,641.01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7,294,878.34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34,928,018.30</w:t>
            </w:r>
          </w:p>
        </w:tc>
      </w:tr>
      <w:tr>
        <w:trPr>
          <w:trHeight w:val="32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284,225.53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196,630.48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1,015,519.26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1,496,375.27</w:t>
            </w:r>
            <w:r>
              <w:rPr>
                <w:rFonts w:ascii="Times New Roman"/>
                <w:sz w:val="18"/>
              </w:rPr>
            </w:r>
          </w:p>
        </w:tc>
      </w:tr>
      <w:tr>
        <w:trPr>
          <w:trHeight w:val="32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284,225.53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196,630.48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376,520.21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857,376.22</w:t>
            </w:r>
          </w:p>
        </w:tc>
      </w:tr>
      <w:tr>
        <w:trPr>
          <w:trHeight w:val="557"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22" w:right="65" w:firstLine="63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 司及其他转出</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638,999.05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638,999.05</w:t>
            </w:r>
          </w:p>
        </w:tc>
      </w:tr>
      <w:tr>
        <w:trPr>
          <w:trHeight w:val="322"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103,651,113.86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27,331,373.04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453,602,980.05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584,585,466.95</w:t>
            </w:r>
            <w:r>
              <w:rPr>
                <w:rFonts w:ascii="Times New Roman"/>
                <w:sz w:val="18"/>
              </w:rPr>
            </w:r>
          </w:p>
        </w:tc>
      </w:tr>
      <w:tr>
        <w:trPr>
          <w:trHeight w:val="32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23,512,457.99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15,052,050.73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75,625,542.57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114,190,051.29</w:t>
            </w:r>
          </w:p>
        </w:tc>
      </w:tr>
      <w:tr>
        <w:trPr>
          <w:trHeight w:val="32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12,144,444.06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4,065,072.98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29,310,169.43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45,519,686.47</w:t>
            </w:r>
          </w:p>
        </w:tc>
      </w:tr>
      <w:tr>
        <w:trPr>
          <w:trHeight w:val="322"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4,147,341.76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1,672,029.72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23,674,372.62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29,493,744.10</w:t>
            </w:r>
          </w:p>
        </w:tc>
      </w:tr>
      <w:tr>
        <w:trPr>
          <w:trHeight w:val="32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65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7,997,102.30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2,393,043.26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5,635,796.81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16,025,942.37</w:t>
            </w:r>
          </w:p>
        </w:tc>
      </w:tr>
      <w:tr>
        <w:trPr>
          <w:trHeight w:val="32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148,863.04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190,731.57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662,011.10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1,001,605.71</w:t>
            </w:r>
            <w:r>
              <w:rPr>
                <w:rFonts w:ascii="Times New Roman"/>
                <w:sz w:val="18"/>
              </w:rPr>
            </w:r>
          </w:p>
        </w:tc>
      </w:tr>
      <w:tr>
        <w:trPr>
          <w:trHeight w:val="32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148,863.04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190,731.57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314,295.33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653,889.94</w:t>
            </w:r>
          </w:p>
        </w:tc>
      </w:tr>
      <w:tr>
        <w:trPr>
          <w:trHeight w:val="557"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before="8"/>
              <w:ind w:left="65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347,715.77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347,715.77</w:t>
            </w:r>
          </w:p>
        </w:tc>
      </w:tr>
      <w:tr>
        <w:trPr>
          <w:trHeight w:val="32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35,508,039.01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18,926,392.14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104,273,700.90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158,708,132.05</w:t>
            </w:r>
            <w:r>
              <w:rPr>
                <w:rFonts w:ascii="Times New Roman"/>
                <w:sz w:val="18"/>
              </w:rPr>
            </w:r>
          </w:p>
        </w:tc>
      </w:tr>
      <w:tr>
        <w:trPr>
          <w:trHeight w:val="322"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68,143,074.85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8,404,980.90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349,329,279.15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425,877,334.90</w:t>
            </w:r>
            <w:r>
              <w:rPr>
                <w:rFonts w:ascii="Times New Roman"/>
                <w:sz w:val="18"/>
              </w:rPr>
            </w:r>
          </w:p>
        </w:tc>
      </w:tr>
      <w:tr>
        <w:trPr>
          <w:trHeight w:val="32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56,112,178.48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6,486,755.45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300,483,682.49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363,082,616.42</w:t>
            </w:r>
            <w:r>
              <w:rPr>
                <w:rFonts w:ascii="Times New Roman"/>
                <w:sz w:val="18"/>
              </w:rPr>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2）暂时闲置的固定资产情况" w:id="411"/>
      <w:bookmarkEnd w:id="411"/>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83"/>
      </w:tblGrid>
      <w:tr>
        <w:trPr>
          <w:trHeight w:val="32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8"/>
        <w:rPr>
          <w:rFonts w:ascii="宋体" w:hAnsi="宋体" w:cs="宋体" w:eastAsia="宋体" w:hint="default"/>
          <w:sz w:val="17"/>
          <w:szCs w:val="17"/>
        </w:rPr>
      </w:pPr>
    </w:p>
    <w:p>
      <w:pPr>
        <w:pStyle w:val="Heading4"/>
        <w:spacing w:line="240" w:lineRule="auto" w:before="36"/>
        <w:ind w:right="1127"/>
        <w:jc w:val="left"/>
        <w:rPr>
          <w:b w:val="0"/>
          <w:bCs w:val="0"/>
        </w:rPr>
      </w:pPr>
      <w:bookmarkStart w:name="（3）通过融资租赁租入的固定资产情况" w:id="412"/>
      <w:bookmarkEnd w:id="412"/>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after="0" w:line="240" w:lineRule="auto"/>
        <w:jc w:val="left"/>
        <w:sectPr>
          <w:pgSz w:w="11910" w:h="16840"/>
          <w:pgMar w:header="882" w:footer="1134" w:top="1280" w:bottom="1320" w:left="980" w:right="0"/>
        </w:sectPr>
      </w:pPr>
    </w:p>
    <w:p>
      <w:pPr>
        <w:spacing w:before="113"/>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4）通过经营租赁租出的固定资产" w:id="413"/>
      <w:bookmarkEnd w:id="413"/>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324"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5）未办妥产权证书的固定资产情况" w:id="414"/>
      <w:bookmarkEnd w:id="414"/>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9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联邦财富中心办公楼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5,130,560.96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95"/>
              <w:jc w:val="both"/>
              <w:rPr>
                <w:rFonts w:ascii="宋体" w:hAnsi="宋体" w:cs="宋体" w:eastAsia="宋体" w:hint="default"/>
                <w:sz w:val="18"/>
                <w:szCs w:val="18"/>
              </w:rPr>
            </w:pPr>
            <w:r>
              <w:rPr>
                <w:rFonts w:ascii="宋体" w:hAnsi="宋体" w:cs="宋体" w:eastAsia="宋体" w:hint="default"/>
                <w:sz w:val="18"/>
                <w:szCs w:val="18"/>
              </w:rPr>
              <w:t>该项目楼盘二期暂未开工，政府限制开 发商产权办理数量，待二期开始后，开 发商统一办理</w:t>
            </w:r>
          </w:p>
        </w:tc>
      </w:tr>
    </w:tbl>
    <w:p>
      <w:pPr>
        <w:pStyle w:val="BodyText"/>
        <w:spacing w:line="240" w:lineRule="auto" w:before="64"/>
        <w:ind w:left="22" w:right="8958"/>
        <w:jc w:val="center"/>
      </w:pPr>
      <w:r>
        <w:rPr/>
        <w:t>其他说明</w:t>
      </w:r>
    </w:p>
    <w:p>
      <w:pPr>
        <w:spacing w:line="240" w:lineRule="auto" w:before="0"/>
        <w:rPr>
          <w:rFonts w:ascii="宋体" w:hAnsi="宋体" w:cs="宋体" w:eastAsia="宋体" w:hint="default"/>
          <w:sz w:val="20"/>
          <w:szCs w:val="20"/>
        </w:rPr>
      </w:pPr>
    </w:p>
    <w:p>
      <w:pPr>
        <w:pStyle w:val="Heading4"/>
        <w:spacing w:line="240" w:lineRule="auto" w:before="174"/>
        <w:ind w:left="134" w:right="8957"/>
        <w:jc w:val="center"/>
        <w:rPr>
          <w:b w:val="0"/>
          <w:bCs w:val="0"/>
        </w:rPr>
      </w:pPr>
      <w:bookmarkStart w:name="（6）固定资产清理" w:id="415"/>
      <w:bookmarkEnd w:id="415"/>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32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64"/>
        <w:ind w:left="152" w:right="1127" w:firstLine="420"/>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22、在建工程" w:id="416"/>
      <w:bookmarkEnd w:id="416"/>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5,698,573.11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2,026,439.28</w:t>
            </w:r>
            <w:r>
              <w:rPr>
                <w:rFonts w:ascii="Times New Roman"/>
                <w:sz w:val="18"/>
              </w:rPr>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5,698,573.11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2,026,439.28</w:t>
            </w:r>
            <w:r>
              <w:rPr>
                <w:rFonts w:ascii="Times New Roman"/>
                <w:sz w:val="18"/>
              </w:rPr>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1）在建工程情况" w:id="417"/>
      <w:bookmarkEnd w:id="41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323"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72"/>
              <w:jc w:val="left"/>
              <w:rPr>
                <w:rFonts w:ascii="宋体" w:hAnsi="宋体" w:cs="宋体" w:eastAsia="宋体" w:hint="default"/>
                <w:sz w:val="18"/>
                <w:szCs w:val="18"/>
              </w:rPr>
            </w:pPr>
            <w:r>
              <w:rPr>
                <w:rFonts w:ascii="宋体" w:hAnsi="宋体" w:cs="宋体" w:eastAsia="宋体" w:hint="default"/>
                <w:sz w:val="18"/>
                <w:szCs w:val="18"/>
              </w:rPr>
              <w:t>北京旋极大厦净 化系统改造工程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658,915.65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658,915.65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658,915.65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658,915.65</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1,634,270.78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1,634,270.78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1,367,523.63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1,367,523.63</w:t>
            </w:r>
            <w:r>
              <w:rPr>
                <w:rFonts w:ascii="Times New Roman"/>
                <w:sz w:val="18"/>
              </w:rPr>
            </w:r>
          </w:p>
        </w:tc>
      </w:tr>
      <w:tr>
        <w:trPr>
          <w:trHeight w:val="125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72"/>
              <w:jc w:val="both"/>
              <w:rPr>
                <w:rFonts w:ascii="宋体" w:hAnsi="宋体" w:cs="宋体" w:eastAsia="宋体" w:hint="default"/>
                <w:sz w:val="18"/>
                <w:szCs w:val="18"/>
              </w:rPr>
            </w:pPr>
            <w:r>
              <w:rPr>
                <w:rFonts w:ascii="宋体" w:hAnsi="宋体" w:cs="宋体" w:eastAsia="宋体" w:hint="default"/>
                <w:sz w:val="18"/>
                <w:szCs w:val="18"/>
              </w:rPr>
              <w:t>智慧祁阳综合运 营管理中心及社 区网格化管理平 台建设与服务项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3,405,386.68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3,405,386.68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5,698,573.11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5,698,573.11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2,026,439.28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2,026,439.28</w:t>
            </w:r>
            <w:r>
              <w:rPr>
                <w:rFonts w:ascii="Times New Roman"/>
                <w:sz w:val="18"/>
              </w:rPr>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2）重要在建工程项目本期变动情况" w:id="418"/>
      <w:bookmarkEnd w:id="41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after="0" w:line="240" w:lineRule="auto"/>
        <w:jc w:val="left"/>
        <w:sectPr>
          <w:pgSz w:w="11910" w:h="16840"/>
          <w:pgMar w:header="882" w:footer="1134" w:top="1280" w:bottom="1320" w:left="980" w:right="0"/>
        </w:sectPr>
      </w:pPr>
    </w:p>
    <w:p>
      <w:pPr>
        <w:spacing w:before="113"/>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022"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28"/>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28"/>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25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156"/>
              <w:jc w:val="both"/>
              <w:rPr>
                <w:rFonts w:ascii="宋体" w:hAnsi="宋体" w:cs="宋体" w:eastAsia="宋体" w:hint="default"/>
                <w:sz w:val="18"/>
                <w:szCs w:val="18"/>
              </w:rPr>
            </w:pPr>
            <w:r>
              <w:rPr>
                <w:rFonts w:ascii="宋体" w:hAnsi="宋体" w:cs="宋体" w:eastAsia="宋体" w:hint="default"/>
                <w:sz w:val="18"/>
                <w:szCs w:val="18"/>
              </w:rPr>
              <w:t>北京旋 极大厦 净化系 统改造 工程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left="71" w:right="0"/>
              <w:jc w:val="left"/>
              <w:rPr>
                <w:rFonts w:ascii="Times New Roman" w:hAnsi="Times New Roman" w:cs="Times New Roman" w:eastAsia="Times New Roman" w:hint="default"/>
                <w:sz w:val="18"/>
                <w:szCs w:val="18"/>
              </w:rPr>
            </w:pPr>
            <w:r>
              <w:rPr>
                <w:rFonts w:ascii="Times New Roman"/>
                <w:sz w:val="18"/>
              </w:rPr>
              <w:t>2,200,00</w:t>
            </w:r>
          </w:p>
          <w:p>
            <w:pPr>
              <w:pStyle w:val="TableParagraph"/>
              <w:spacing w:line="205" w:lineRule="exact"/>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right="16"/>
              <w:jc w:val="right"/>
              <w:rPr>
                <w:rFonts w:ascii="Times New Roman" w:hAnsi="Times New Roman" w:cs="Times New Roman" w:eastAsia="Times New Roman" w:hint="default"/>
                <w:sz w:val="18"/>
                <w:szCs w:val="18"/>
              </w:rPr>
            </w:pPr>
            <w:r>
              <w:rPr>
                <w:rFonts w:ascii="Times New Roman"/>
                <w:sz w:val="18"/>
              </w:rPr>
              <w:t>658,915.</w:t>
            </w:r>
          </w:p>
          <w:p>
            <w:pPr>
              <w:pStyle w:val="TableParagraph"/>
              <w:spacing w:line="205" w:lineRule="exact"/>
              <w:ind w:right="17"/>
              <w:jc w:val="right"/>
              <w:rPr>
                <w:rFonts w:ascii="Times New Roman" w:hAnsi="Times New Roman" w:cs="Times New Roman" w:eastAsia="Times New Roman" w:hint="default"/>
                <w:sz w:val="18"/>
                <w:szCs w:val="18"/>
              </w:rPr>
            </w:pPr>
            <w:r>
              <w:rPr>
                <w:rFonts w:ascii="Times New Roman"/>
                <w:sz w:val="18"/>
              </w:rPr>
              <w:t>65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right="18"/>
              <w:jc w:val="right"/>
              <w:rPr>
                <w:rFonts w:ascii="Times New Roman" w:hAnsi="Times New Roman" w:cs="Times New Roman" w:eastAsia="Times New Roman" w:hint="default"/>
                <w:sz w:val="18"/>
                <w:szCs w:val="18"/>
              </w:rPr>
            </w:pPr>
            <w:r>
              <w:rPr>
                <w:rFonts w:ascii="Times New Roman"/>
                <w:sz w:val="18"/>
              </w:rPr>
              <w:t>658,915.</w:t>
            </w:r>
          </w:p>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z w:val="18"/>
              </w:rPr>
              <w:t>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29.95%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9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金蝶</w:t>
            </w:r>
          </w:p>
          <w:p>
            <w:pPr>
              <w:pStyle w:val="TableParagraph"/>
              <w:spacing w:line="24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3,500,00</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1,367,52</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3.63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266,747.</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15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1,634,27</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0.78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46.69%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9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33"/>
              <w:ind w:left="24" w:right="0"/>
              <w:jc w:val="left"/>
              <w:rPr>
                <w:rFonts w:ascii="Times New Roman" w:hAnsi="Times New Roman" w:cs="Times New Roman" w:eastAsia="Times New Roman" w:hint="default"/>
                <w:sz w:val="18"/>
                <w:szCs w:val="18"/>
              </w:rPr>
            </w:pPr>
            <w:r>
              <w:rPr>
                <w:rFonts w:ascii="Times New Roman"/>
                <w:sz w:val="18"/>
              </w:rPr>
              <w:t>JTHM15</w:t>
            </w:r>
          </w:p>
          <w:p>
            <w:pPr>
              <w:pStyle w:val="TableParagraph"/>
              <w:spacing w:line="235" w:lineRule="auto"/>
              <w:ind w:left="24"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04_</w:t>
            </w:r>
            <w:r>
              <w:rPr>
                <w:rFonts w:ascii="宋体" w:hAnsi="宋体" w:cs="宋体" w:eastAsia="宋体" w:hint="default"/>
                <w:sz w:val="18"/>
                <w:szCs w:val="18"/>
              </w:rPr>
              <w:t>复杂</w:t>
            </w:r>
            <w:r>
              <w:rPr>
                <w:rFonts w:ascii="宋体" w:hAnsi="宋体" w:cs="宋体" w:eastAsia="宋体" w:hint="default"/>
                <w:spacing w:val="-87"/>
                <w:sz w:val="18"/>
                <w:szCs w:val="18"/>
              </w:rPr>
              <w:t> </w:t>
            </w:r>
            <w:r>
              <w:rPr>
                <w:rFonts w:ascii="宋体" w:hAnsi="宋体" w:cs="宋体" w:eastAsia="宋体" w:hint="default"/>
                <w:sz w:val="18"/>
                <w:szCs w:val="18"/>
              </w:rPr>
              <w:t>现场电 磁环境 监测与 仿真系 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57"/>
              <w:ind w:left="71" w:right="0"/>
              <w:jc w:val="left"/>
              <w:rPr>
                <w:rFonts w:ascii="Times New Roman" w:hAnsi="Times New Roman" w:cs="Times New Roman" w:eastAsia="Times New Roman" w:hint="default"/>
                <w:sz w:val="18"/>
                <w:szCs w:val="18"/>
              </w:rPr>
            </w:pPr>
            <w:r>
              <w:rPr>
                <w:rFonts w:ascii="Times New Roman"/>
                <w:sz w:val="18"/>
              </w:rPr>
              <w:t>42,168,7</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80.00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57"/>
              <w:ind w:left="71" w:right="0"/>
              <w:jc w:val="left"/>
              <w:rPr>
                <w:rFonts w:ascii="Times New Roman" w:hAnsi="Times New Roman" w:cs="Times New Roman" w:eastAsia="Times New Roman" w:hint="default"/>
                <w:sz w:val="18"/>
                <w:szCs w:val="18"/>
              </w:rPr>
            </w:pPr>
            <w:r>
              <w:rPr>
                <w:rFonts w:ascii="Times New Roman"/>
                <w:sz w:val="18"/>
              </w:rPr>
              <w:t>41,102,0</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88.52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57"/>
              <w:ind w:left="71" w:right="0"/>
              <w:jc w:val="left"/>
              <w:rPr>
                <w:rFonts w:ascii="Times New Roman" w:hAnsi="Times New Roman" w:cs="Times New Roman" w:eastAsia="Times New Roman" w:hint="default"/>
                <w:sz w:val="18"/>
                <w:szCs w:val="18"/>
              </w:rPr>
            </w:pPr>
            <w:r>
              <w:rPr>
                <w:rFonts w:ascii="Times New Roman"/>
                <w:sz w:val="18"/>
              </w:rPr>
              <w:t>41,102,0</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88.52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97.47%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49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56"/>
              <w:jc w:val="both"/>
              <w:rPr>
                <w:rFonts w:ascii="宋体" w:hAnsi="宋体" w:cs="宋体" w:eastAsia="宋体" w:hint="default"/>
                <w:sz w:val="18"/>
                <w:szCs w:val="18"/>
              </w:rPr>
            </w:pPr>
            <w:r>
              <w:rPr>
                <w:rFonts w:ascii="宋体" w:hAnsi="宋体" w:cs="宋体" w:eastAsia="宋体" w:hint="default"/>
                <w:sz w:val="18"/>
                <w:szCs w:val="18"/>
              </w:rPr>
              <w:t>国产高 速信息 传输系 统测试 验证平 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19,457,5</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60.00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10,142,6</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74.76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10,142,6</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74.76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6"/>
              <w:jc w:val="right"/>
              <w:rPr>
                <w:rFonts w:ascii="Times New Roman" w:hAnsi="Times New Roman" w:cs="Times New Roman" w:eastAsia="Times New Roman" w:hint="default"/>
                <w:sz w:val="18"/>
                <w:szCs w:val="18"/>
              </w:rPr>
            </w:pPr>
            <w:r>
              <w:rPr>
                <w:rFonts w:ascii="Times New Roman"/>
                <w:sz w:val="18"/>
              </w:rPr>
              <w:t>52.13%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242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56"/>
              <w:jc w:val="both"/>
              <w:rPr>
                <w:rFonts w:ascii="宋体" w:hAnsi="宋体" w:cs="宋体" w:eastAsia="宋体" w:hint="default"/>
                <w:sz w:val="18"/>
                <w:szCs w:val="18"/>
              </w:rPr>
            </w:pPr>
            <w:r>
              <w:rPr>
                <w:rFonts w:ascii="宋体" w:hAnsi="宋体" w:cs="宋体" w:eastAsia="宋体" w:hint="default"/>
                <w:sz w:val="18"/>
                <w:szCs w:val="18"/>
              </w:rPr>
              <w:t>智慧祁 阳综合 运营管 理中心 及社区 网格化 管理平 台建设 与服务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38,612,4</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38.80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3,405,38</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6.68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3,405,38</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6.68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z w:val="18"/>
              </w:rPr>
              <w:t>8.82%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sz w:val="18"/>
              </w:rPr>
              <w:t>10.00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504"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51" w:right="0"/>
              <w:jc w:val="center"/>
              <w:rPr>
                <w:rFonts w:ascii="Times New Roman" w:hAnsi="Times New Roman" w:cs="Times New Roman" w:eastAsia="Times New Roman" w:hint="default"/>
                <w:sz w:val="18"/>
                <w:szCs w:val="18"/>
              </w:rPr>
            </w:pPr>
            <w:r>
              <w:rPr>
                <w:rFonts w:ascii="Times New Roman"/>
                <w:sz w:val="18"/>
              </w:rPr>
              <w:t>105,938,</w:t>
            </w:r>
          </w:p>
          <w:p>
            <w:pPr>
              <w:pStyle w:val="TableParagraph"/>
              <w:spacing w:line="207" w:lineRule="exact"/>
              <w:ind w:left="184" w:right="0"/>
              <w:jc w:val="center"/>
              <w:rPr>
                <w:rFonts w:ascii="Times New Roman" w:hAnsi="Times New Roman" w:cs="Times New Roman" w:eastAsia="Times New Roman" w:hint="default"/>
                <w:sz w:val="18"/>
                <w:szCs w:val="18"/>
              </w:rPr>
            </w:pPr>
            <w:r>
              <w:rPr>
                <w:rFonts w:ascii="Times New Roman"/>
                <w:sz w:val="18"/>
              </w:rPr>
              <w:t>778.80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1" w:right="0"/>
              <w:jc w:val="left"/>
              <w:rPr>
                <w:rFonts w:ascii="Times New Roman" w:hAnsi="Times New Roman" w:cs="Times New Roman" w:eastAsia="Times New Roman" w:hint="default"/>
                <w:sz w:val="18"/>
                <w:szCs w:val="18"/>
              </w:rPr>
            </w:pPr>
            <w:r>
              <w:rPr>
                <w:rFonts w:ascii="Times New Roman"/>
                <w:sz w:val="18"/>
              </w:rPr>
              <w:t>2,026,43</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9.28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1" w:right="0"/>
              <w:jc w:val="left"/>
              <w:rPr>
                <w:rFonts w:ascii="Times New Roman" w:hAnsi="Times New Roman" w:cs="Times New Roman" w:eastAsia="Times New Roman" w:hint="default"/>
                <w:sz w:val="18"/>
                <w:szCs w:val="18"/>
              </w:rPr>
            </w:pPr>
            <w:r>
              <w:rPr>
                <w:rFonts w:ascii="Times New Roman"/>
                <w:sz w:val="18"/>
              </w:rPr>
              <w:t>54,916,8</w:t>
            </w:r>
          </w:p>
          <w:p>
            <w:pPr>
              <w:pStyle w:val="TableParagraph"/>
              <w:spacing w:line="207" w:lineRule="exact"/>
              <w:ind w:left="304" w:right="0"/>
              <w:jc w:val="left"/>
              <w:rPr>
                <w:rFonts w:ascii="Times New Roman" w:hAnsi="Times New Roman" w:cs="Times New Roman" w:eastAsia="Times New Roman" w:hint="default"/>
                <w:sz w:val="18"/>
                <w:szCs w:val="18"/>
              </w:rPr>
            </w:pPr>
            <w:r>
              <w:rPr>
                <w:rFonts w:ascii="Times New Roman"/>
                <w:spacing w:val="-3"/>
                <w:sz w:val="18"/>
              </w:rPr>
              <w:t>97.11</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1" w:right="0"/>
              <w:jc w:val="left"/>
              <w:rPr>
                <w:rFonts w:ascii="Times New Roman" w:hAnsi="Times New Roman" w:cs="Times New Roman" w:eastAsia="Times New Roman" w:hint="default"/>
                <w:sz w:val="18"/>
                <w:szCs w:val="18"/>
              </w:rPr>
            </w:pPr>
            <w:r>
              <w:rPr>
                <w:rFonts w:ascii="Times New Roman"/>
                <w:sz w:val="18"/>
              </w:rPr>
              <w:t>51,244,7</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63.28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1" w:right="0"/>
              <w:jc w:val="left"/>
              <w:rPr>
                <w:rFonts w:ascii="Times New Roman" w:hAnsi="Times New Roman" w:cs="Times New Roman" w:eastAsia="Times New Roman" w:hint="default"/>
                <w:sz w:val="18"/>
                <w:szCs w:val="18"/>
              </w:rPr>
            </w:pPr>
            <w:r>
              <w:rPr>
                <w:rFonts w:ascii="Times New Roman"/>
                <w:sz w:val="18"/>
              </w:rPr>
              <w:t>5,698,57</w:t>
            </w:r>
          </w:p>
          <w:p>
            <w:pPr>
              <w:pStyle w:val="TableParagraph"/>
              <w:spacing w:line="207" w:lineRule="exact"/>
              <w:ind w:left="395" w:right="0"/>
              <w:jc w:val="left"/>
              <w:rPr>
                <w:rFonts w:ascii="Times New Roman" w:hAnsi="Times New Roman" w:cs="Times New Roman" w:eastAsia="Times New Roman" w:hint="default"/>
                <w:sz w:val="18"/>
                <w:szCs w:val="18"/>
              </w:rPr>
            </w:pPr>
            <w:r>
              <w:rPr>
                <w:rFonts w:ascii="Times New Roman"/>
                <w:spacing w:val="-5"/>
                <w:sz w:val="18"/>
              </w:rPr>
              <w:t>3.11</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6"/>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3）本期计提在建工程减值准备情况" w:id="419"/>
      <w:bookmarkEnd w:id="419"/>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324"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4）工程物资" w:id="420"/>
      <w:bookmarkEnd w:id="420"/>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5"/>
        <w:gridCol w:w="1195"/>
      </w:tblGrid>
      <w:tr>
        <w:trPr>
          <w:trHeight w:val="324" w:hRule="exact"/>
        </w:trPr>
        <w:tc>
          <w:tcPr>
            <w:tcW w:w="213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2130" w:type="dxa"/>
            <w:vMerge/>
            <w:tcBorders>
              <w:left w:val="single" w:sz="4" w:space="0" w:color="000000"/>
              <w:bottom w:val="single" w:sz="4" w:space="0" w:color="000000"/>
              <w:right w:val="single" w:sz="4" w:space="0" w:color="000000"/>
            </w:tcBorders>
            <w:shd w:val="clear" w:color="auto" w:fill="D4D4D4"/>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65"/>
        <w:ind w:right="1127"/>
        <w:jc w:val="left"/>
      </w:pPr>
      <w:r>
        <w:rPr/>
        <w:t>其他说明：</w:t>
      </w:r>
    </w:p>
    <w:p>
      <w:pPr>
        <w:spacing w:after="0" w:line="240" w:lineRule="auto"/>
        <w:jc w:val="left"/>
        <w:sectPr>
          <w:pgSz w:w="11910" w:h="16840"/>
          <w:pgMar w:header="882" w:footer="1134" w:top="1280" w:bottom="1320" w:left="980" w:right="0"/>
        </w:sectPr>
      </w:pPr>
    </w:p>
    <w:p>
      <w:pPr>
        <w:pStyle w:val="Heading4"/>
        <w:spacing w:line="240" w:lineRule="auto" w:before="115"/>
        <w:ind w:right="1127"/>
        <w:jc w:val="left"/>
        <w:rPr>
          <w:b w:val="0"/>
          <w:bCs w:val="0"/>
        </w:rPr>
      </w:pPr>
      <w:bookmarkStart w:name="23、生产性生物资产" w:id="421"/>
      <w:bookmarkEnd w:id="421"/>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1127"/>
        <w:jc w:val="left"/>
        <w:rPr>
          <w:b w:val="0"/>
          <w:bCs w:val="0"/>
        </w:rPr>
      </w:pPr>
      <w:bookmarkStart w:name="（1）采用成本计量模式的生产性生物资产" w:id="422"/>
      <w:bookmarkEnd w:id="422"/>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32"/>
          <w:szCs w:val="32"/>
        </w:rPr>
      </w:pPr>
    </w:p>
    <w:p>
      <w:pPr>
        <w:pStyle w:val="Heading4"/>
        <w:spacing w:line="240" w:lineRule="auto"/>
        <w:ind w:right="1127"/>
        <w:jc w:val="left"/>
        <w:rPr>
          <w:b w:val="0"/>
          <w:bCs w:val="0"/>
        </w:rPr>
      </w:pPr>
      <w:bookmarkStart w:name="（2）采用公允价值计量模式的生产性生物资产" w:id="423"/>
      <w:bookmarkEnd w:id="423"/>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32"/>
          <w:szCs w:val="32"/>
        </w:rPr>
      </w:pPr>
    </w:p>
    <w:p>
      <w:pPr>
        <w:pStyle w:val="Heading4"/>
        <w:spacing w:line="240" w:lineRule="auto"/>
        <w:ind w:right="1127"/>
        <w:jc w:val="left"/>
        <w:rPr>
          <w:b w:val="0"/>
          <w:bCs w:val="0"/>
        </w:rPr>
      </w:pPr>
      <w:bookmarkStart w:name="24、油气资产" w:id="424"/>
      <w:bookmarkEnd w:id="424"/>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32"/>
          <w:szCs w:val="32"/>
        </w:rPr>
      </w:pPr>
    </w:p>
    <w:p>
      <w:pPr>
        <w:pStyle w:val="Heading4"/>
        <w:spacing w:line="240" w:lineRule="auto"/>
        <w:ind w:right="1127"/>
        <w:jc w:val="left"/>
        <w:rPr>
          <w:b w:val="0"/>
          <w:bCs w:val="0"/>
        </w:rPr>
      </w:pPr>
      <w:bookmarkStart w:name="25、使用权资产" w:id="425"/>
      <w:bookmarkEnd w:id="425"/>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2"/>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26、无形资产" w:id="426"/>
      <w:bookmarkEnd w:id="426"/>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1127"/>
        <w:jc w:val="left"/>
        <w:rPr>
          <w:b w:val="0"/>
          <w:bCs w:val="0"/>
        </w:rPr>
      </w:pPr>
      <w:bookmarkStart w:name="（1）无形资产情况" w:id="427"/>
      <w:bookmarkEnd w:id="42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8"/>
        <w:gridCol w:w="1366"/>
      </w:tblGrid>
      <w:tr>
        <w:trPr>
          <w:trHeight w:val="324"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07"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556,001.00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135,260,145.97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55,804,918.18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191,621,065.15</w:t>
            </w:r>
            <w:r>
              <w:rPr>
                <w:rFonts w:ascii="Times New Roman"/>
                <w:sz w:val="18"/>
              </w:rPr>
            </w:r>
          </w:p>
        </w:tc>
      </w:tr>
      <w:tr>
        <w:trPr>
          <w:trHeight w:val="557"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12" w:right="10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13,037,735.44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18,521,526.95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31,559,262.39</w:t>
            </w: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78" w:type="dxa"/>
            <w:tcBorders>
              <w:top w:val="single" w:sz="4" w:space="0" w:color="000000"/>
              <w:left w:val="single" w:sz="13"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13,037,735.44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6,603,063.52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19,640,798.96</w:t>
            </w:r>
          </w:p>
        </w:tc>
      </w:tr>
      <w:tr>
        <w:trPr>
          <w:trHeight w:val="557"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before="8"/>
              <w:ind w:left="53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27" w:lineRule="exact"/>
              <w:ind w:left="1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11,918,463.43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11,918,463.43</w:t>
            </w:r>
            <w:r>
              <w:rPr>
                <w:rFonts w:ascii="Times New Roman"/>
                <w:sz w:val="18"/>
              </w:rPr>
            </w:r>
          </w:p>
        </w:tc>
      </w:tr>
      <w:tr>
        <w:trPr>
          <w:trHeight w:val="557"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12" w:right="7" w:firstLine="52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44"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241" w:lineRule="exact" w:before="8"/>
              <w:ind w:right="-4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w:t>
            </w:r>
          </w:p>
          <w:p>
            <w:pPr>
              <w:pStyle w:val="TableParagraph"/>
              <w:spacing w:line="227" w:lineRule="exact"/>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8" w:type="dxa"/>
            <w:tcBorders>
              <w:top w:val="single" w:sz="4" w:space="0" w:color="000000"/>
              <w:left w:val="single" w:sz="10" w:space="0" w:color="FF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12" w:right="10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77,880.34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77,880.34</w:t>
            </w: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78" w:type="dxa"/>
            <w:tcBorders>
              <w:top w:val="single" w:sz="4" w:space="0" w:color="000000"/>
              <w:left w:val="single" w:sz="13"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77,880.34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77,880.34</w:t>
            </w:r>
          </w:p>
        </w:tc>
      </w:tr>
      <w:tr>
        <w:trPr>
          <w:trHeight w:val="298"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78" w:type="dxa"/>
            <w:tcBorders>
              <w:top w:val="single" w:sz="4" w:space="0" w:color="000000"/>
              <w:left w:val="single" w:sz="13"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556,001.00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148,297,881.41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74,248,564.79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223,102,447.20</w:t>
            </w:r>
            <w:r>
              <w:rPr>
                <w:rFonts w:ascii="Times New Roman"/>
                <w:sz w:val="18"/>
              </w:rPr>
            </w: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6,756.96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71,115,032.44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17,118,391.82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88,240,181.22</w:t>
            </w:r>
          </w:p>
        </w:tc>
      </w:tr>
      <w:tr>
        <w:trPr>
          <w:trHeight w:val="298"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tc>
        <w:tc>
          <w:tcPr>
            <w:tcW w:w="1378" w:type="dxa"/>
            <w:tcBorders>
              <w:top w:val="single" w:sz="4" w:space="0" w:color="000000"/>
              <w:left w:val="single" w:sz="13"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28,382,202.15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10,811,855.05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spacing w:val="-1"/>
                <w:sz w:val="18"/>
              </w:rPr>
              <w:t>39,205,640.56</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8"/>
        <w:gridCol w:w="1366"/>
      </w:tblGrid>
      <w:tr>
        <w:trPr>
          <w:trHeight w:val="28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w w:val="95"/>
                <w:sz w:val="18"/>
              </w:rPr>
              <w:t>11,583.36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28,382,202.15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10,811,855.05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39,205,640.56</w:t>
            </w:r>
          </w:p>
        </w:tc>
      </w:tr>
      <w:tr>
        <w:trPr>
          <w:trHeight w:val="557" w:hRule="exact"/>
        </w:trPr>
        <w:tc>
          <w:tcPr>
            <w:tcW w:w="1367"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241" w:lineRule="exact" w:before="8"/>
              <w:ind w:right="-29"/>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13" w:space="0" w:color="FF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22"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63,919.76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63,919.76</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63,919.76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63,919.76</w:t>
            </w:r>
          </w:p>
        </w:tc>
      </w:tr>
      <w:tr>
        <w:trPr>
          <w:trHeight w:val="295"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18,340.32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99,497,234.59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27,866,327.11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127,381,902.02</w:t>
            </w:r>
            <w:r>
              <w:rPr>
                <w:rFonts w:ascii="Times New Roman"/>
                <w:sz w:val="18"/>
              </w:rPr>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22"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22"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0" w:lineRule="exact" w:before="37"/>
              <w:ind w:left="22"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537,660.68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48,800,646.82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46,382,237.68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95,720,545.18</w:t>
            </w:r>
          </w:p>
        </w:tc>
      </w:tr>
      <w:tr>
        <w:trPr>
          <w:trHeight w:val="559"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0" w:lineRule="exact" w:before="37"/>
              <w:ind w:left="22"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549,244.04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64,145,113.53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38,686,526.36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103,380,883.93</w:t>
            </w:r>
            <w:r>
              <w:rPr>
                <w:rFonts w:ascii="Times New Roman"/>
                <w:sz w:val="18"/>
              </w:rPr>
            </w:r>
          </w:p>
        </w:tc>
      </w:tr>
    </w:tbl>
    <w:p>
      <w:pPr>
        <w:pStyle w:val="BodyText"/>
        <w:spacing w:line="240" w:lineRule="auto" w:before="64"/>
        <w:ind w:right="1127"/>
        <w:jc w:val="left"/>
      </w:pPr>
      <w:r>
        <w:rPr>
          <w:spacing w:val="-2"/>
        </w:rPr>
        <w:t>本期末通过公司内部研发形成的无形资产占无形资产余额的比例</w:t>
      </w:r>
      <w:r>
        <w:rPr>
          <w:spacing w:val="10"/>
        </w:rPr>
        <w:t> </w:t>
      </w:r>
      <w:r>
        <w:rPr>
          <w:rFonts w:ascii="Times New Roman" w:hAnsi="Times New Roman" w:cs="Times New Roman" w:eastAsia="Times New Roman" w:hint="default"/>
          <w:spacing w:val="-2"/>
        </w:rPr>
        <w:t>5.34%</w:t>
      </w:r>
      <w:r>
        <w:rPr>
          <w:spacing w:val="-2"/>
        </w:rPr>
        <w:t>。</w:t>
      </w:r>
    </w:p>
    <w:p>
      <w:pPr>
        <w:spacing w:line="240" w:lineRule="auto" w:before="1"/>
        <w:rPr>
          <w:rFonts w:ascii="宋体" w:hAnsi="宋体" w:cs="宋体" w:eastAsia="宋体" w:hint="default"/>
          <w:sz w:val="32"/>
          <w:szCs w:val="32"/>
        </w:rPr>
      </w:pPr>
    </w:p>
    <w:p>
      <w:pPr>
        <w:pStyle w:val="Heading4"/>
        <w:spacing w:line="240" w:lineRule="auto"/>
        <w:ind w:right="1127"/>
        <w:jc w:val="left"/>
        <w:rPr>
          <w:b w:val="0"/>
          <w:bCs w:val="0"/>
        </w:rPr>
      </w:pPr>
      <w:bookmarkStart w:name="（2）未办妥产权证书的土地使用权情况" w:id="428"/>
      <w:bookmarkEnd w:id="428"/>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32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27、开发支出" w:id="429"/>
      <w:bookmarkEnd w:id="429"/>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040"/>
        <w:gridCol w:w="1074"/>
        <w:gridCol w:w="1277"/>
        <w:gridCol w:w="850"/>
        <w:gridCol w:w="850"/>
        <w:gridCol w:w="1277"/>
        <w:gridCol w:w="1133"/>
        <w:gridCol w:w="991"/>
        <w:gridCol w:w="1063"/>
      </w:tblGrid>
      <w:tr>
        <w:trPr>
          <w:trHeight w:val="324" w:hRule="exact"/>
        </w:trPr>
        <w:tc>
          <w:tcPr>
            <w:tcW w:w="1040" w:type="dxa"/>
            <w:tcBorders>
              <w:top w:val="single" w:sz="4" w:space="0" w:color="000000"/>
              <w:left w:val="single" w:sz="4" w:space="0" w:color="000000"/>
              <w:bottom w:val="nil" w:sz="6" w:space="0" w:color="auto"/>
              <w:right w:val="single" w:sz="4" w:space="0" w:color="000000"/>
            </w:tcBorders>
            <w:shd w:val="clear" w:color="auto" w:fill="D4D4D4"/>
          </w:tcPr>
          <w:p>
            <w:pPr/>
          </w:p>
        </w:tc>
        <w:tc>
          <w:tcPr>
            <w:tcW w:w="1074" w:type="dxa"/>
            <w:tcBorders>
              <w:top w:val="single" w:sz="4" w:space="0" w:color="000000"/>
              <w:left w:val="single" w:sz="4" w:space="0" w:color="000000"/>
              <w:bottom w:val="nil" w:sz="6" w:space="0" w:color="auto"/>
              <w:right w:val="single" w:sz="4" w:space="0" w:color="000000"/>
            </w:tcBorders>
            <w:shd w:val="clear" w:color="auto" w:fill="D4D4D4"/>
          </w:tcPr>
          <w:p>
            <w:pPr/>
          </w:p>
        </w:tc>
        <w:tc>
          <w:tcPr>
            <w:tcW w:w="29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94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401"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28" w:hRule="exact"/>
        </w:trPr>
        <w:tc>
          <w:tcPr>
            <w:tcW w:w="1040" w:type="dxa"/>
            <w:vMerge w:val="restart"/>
            <w:tcBorders>
              <w:top w:val="nil" w:sz="6" w:space="0" w:color="auto"/>
              <w:left w:val="single" w:sz="4" w:space="0" w:color="000000"/>
              <w:right w:val="single" w:sz="4" w:space="0" w:color="000000"/>
            </w:tcBorders>
            <w:shd w:val="clear" w:color="auto" w:fill="D4D4D4"/>
          </w:tcPr>
          <w:p>
            <w:pPr>
              <w:pStyle w:val="TableParagraph"/>
              <w:spacing w:line="203" w:lineRule="exact"/>
              <w:ind w:left="3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4" w:type="dxa"/>
            <w:vMerge w:val="restart"/>
            <w:tcBorders>
              <w:top w:val="nil" w:sz="6" w:space="0" w:color="auto"/>
              <w:left w:val="single" w:sz="4" w:space="0" w:color="000000"/>
              <w:right w:val="single" w:sz="4" w:space="0" w:color="000000"/>
            </w:tcBorders>
            <w:shd w:val="clear" w:color="auto" w:fill="D4D4D4"/>
          </w:tcPr>
          <w:p>
            <w:pPr>
              <w:pStyle w:val="TableParagraph"/>
              <w:spacing w:line="203" w:lineRule="exact"/>
              <w:ind w:left="17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7" w:type="dxa"/>
            <w:tcBorders>
              <w:top w:val="single" w:sz="4" w:space="0" w:color="000000"/>
              <w:left w:val="single" w:sz="4" w:space="0" w:color="000000"/>
              <w:bottom w:val="nil" w:sz="6" w:space="0" w:color="auto"/>
              <w:right w:val="single" w:sz="4" w:space="0" w:color="000000"/>
            </w:tcBorders>
            <w:shd w:val="clear" w:color="auto" w:fill="D4D4D4"/>
          </w:tcPr>
          <w:p>
            <w:pPr/>
          </w:p>
        </w:tc>
        <w:tc>
          <w:tcPr>
            <w:tcW w:w="850" w:type="dxa"/>
            <w:tcBorders>
              <w:top w:val="single" w:sz="4" w:space="0" w:color="000000"/>
              <w:left w:val="single" w:sz="4" w:space="0" w:color="000000"/>
              <w:bottom w:val="nil" w:sz="6" w:space="0" w:color="auto"/>
              <w:right w:val="single" w:sz="4" w:space="0" w:color="000000"/>
            </w:tcBorders>
            <w:shd w:val="clear" w:color="auto" w:fill="D4D4D4"/>
          </w:tcPr>
          <w:p>
            <w:pPr/>
          </w:p>
        </w:tc>
        <w:tc>
          <w:tcPr>
            <w:tcW w:w="850" w:type="dxa"/>
            <w:tcBorders>
              <w:top w:val="single" w:sz="4" w:space="0" w:color="000000"/>
              <w:left w:val="single" w:sz="4" w:space="0" w:color="000000"/>
              <w:bottom w:val="nil" w:sz="6" w:space="0" w:color="auto"/>
              <w:right w:val="single" w:sz="4" w:space="0" w:color="000000"/>
            </w:tcBorders>
            <w:shd w:val="clear" w:color="auto" w:fill="D4D4D4"/>
          </w:tcPr>
          <w:p>
            <w:pPr/>
          </w:p>
        </w:tc>
        <w:tc>
          <w:tcPr>
            <w:tcW w:w="1277" w:type="dxa"/>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33"/>
              <w:ind w:left="542" w:right="91" w:hanging="449"/>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33" w:type="dxa"/>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33"/>
              <w:ind w:left="472" w:right="108"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991"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vMerge w:val="restart"/>
            <w:tcBorders>
              <w:top w:val="nil" w:sz="6" w:space="0" w:color="auto"/>
              <w:left w:val="single" w:sz="4" w:space="0" w:color="000000"/>
              <w:right w:val="single" w:sz="4" w:space="0" w:color="000000"/>
            </w:tcBorders>
            <w:shd w:val="clear" w:color="auto" w:fill="D4D4D4"/>
          </w:tcPr>
          <w:p>
            <w:pPr>
              <w:pStyle w:val="TableParagraph"/>
              <w:spacing w:line="203" w:lineRule="exact"/>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45" w:hRule="exact"/>
        </w:trPr>
        <w:tc>
          <w:tcPr>
            <w:tcW w:w="1040" w:type="dxa"/>
            <w:vMerge/>
            <w:tcBorders>
              <w:left w:val="single" w:sz="4" w:space="0" w:color="000000"/>
              <w:bottom w:val="nil" w:sz="6" w:space="0" w:color="auto"/>
              <w:right w:val="single" w:sz="4" w:space="0" w:color="000000"/>
            </w:tcBorders>
            <w:shd w:val="clear" w:color="auto" w:fill="D4D4D4"/>
          </w:tcPr>
          <w:p>
            <w:pPr/>
          </w:p>
        </w:tc>
        <w:tc>
          <w:tcPr>
            <w:tcW w:w="1074" w:type="dxa"/>
            <w:vMerge/>
            <w:tcBorders>
              <w:left w:val="single" w:sz="4" w:space="0" w:color="000000"/>
              <w:bottom w:val="nil" w:sz="6" w:space="0" w:color="auto"/>
              <w:right w:val="single" w:sz="4" w:space="0" w:color="000000"/>
            </w:tcBorders>
            <w:shd w:val="clear" w:color="auto" w:fill="D4D4D4"/>
          </w:tcPr>
          <w:p>
            <w:pPr/>
          </w:p>
        </w:tc>
        <w:tc>
          <w:tcPr>
            <w:tcW w:w="127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
              <w:ind w:left="9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85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vMerge w:val="restart"/>
            <w:tcBorders>
              <w:top w:val="nil" w:sz="6" w:space="0" w:color="auto"/>
              <w:left w:val="single" w:sz="4" w:space="0" w:color="000000"/>
              <w:right w:val="single" w:sz="4" w:space="0" w:color="000000"/>
            </w:tcBorders>
            <w:shd w:val="clear" w:color="auto" w:fill="D4D4D4"/>
          </w:tcPr>
          <w:p>
            <w:pPr/>
          </w:p>
        </w:tc>
        <w:tc>
          <w:tcPr>
            <w:tcW w:w="1277" w:type="dxa"/>
            <w:vMerge/>
            <w:tcBorders>
              <w:left w:val="single" w:sz="4" w:space="0" w:color="000000"/>
              <w:right w:val="single" w:sz="4" w:space="0" w:color="000000"/>
            </w:tcBorders>
            <w:shd w:val="clear" w:color="auto" w:fill="D4D4D4"/>
          </w:tcPr>
          <w:p>
            <w:pPr/>
          </w:p>
        </w:tc>
        <w:tc>
          <w:tcPr>
            <w:tcW w:w="1133" w:type="dxa"/>
            <w:vMerge/>
            <w:tcBorders>
              <w:left w:val="single" w:sz="4" w:space="0" w:color="000000"/>
              <w:right w:val="single" w:sz="4" w:space="0" w:color="000000"/>
            </w:tcBorders>
            <w:shd w:val="clear" w:color="auto" w:fill="D4D4D4"/>
          </w:tcPr>
          <w:p>
            <w:pPr/>
          </w:p>
        </w:tc>
        <w:tc>
          <w:tcPr>
            <w:tcW w:w="991" w:type="dxa"/>
            <w:vMerge w:val="restart"/>
            <w:tcBorders>
              <w:top w:val="nil" w:sz="6" w:space="0" w:color="auto"/>
              <w:left w:val="single" w:sz="4" w:space="0" w:color="000000"/>
              <w:right w:val="single" w:sz="4" w:space="0" w:color="000000"/>
            </w:tcBorders>
            <w:shd w:val="clear" w:color="auto" w:fill="D4D4D4"/>
          </w:tcPr>
          <w:p>
            <w:pPr/>
          </w:p>
        </w:tc>
        <w:tc>
          <w:tcPr>
            <w:tcW w:w="1063" w:type="dxa"/>
            <w:vMerge/>
            <w:tcBorders>
              <w:left w:val="single" w:sz="4" w:space="0" w:color="000000"/>
              <w:bottom w:val="nil" w:sz="6" w:space="0" w:color="auto"/>
              <w:right w:val="single" w:sz="4" w:space="0" w:color="000000"/>
            </w:tcBorders>
            <w:shd w:val="clear" w:color="auto" w:fill="D4D4D4"/>
          </w:tcPr>
          <w:p>
            <w:pPr/>
          </w:p>
        </w:tc>
      </w:tr>
      <w:tr>
        <w:trPr>
          <w:trHeight w:val="283" w:hRule="exact"/>
        </w:trPr>
        <w:tc>
          <w:tcPr>
            <w:tcW w:w="1040" w:type="dxa"/>
            <w:tcBorders>
              <w:top w:val="nil" w:sz="6" w:space="0" w:color="auto"/>
              <w:left w:val="single" w:sz="4" w:space="0" w:color="000000"/>
              <w:bottom w:val="single" w:sz="4" w:space="0" w:color="000000"/>
              <w:right w:val="single" w:sz="4" w:space="0" w:color="000000"/>
            </w:tcBorders>
            <w:shd w:val="clear" w:color="auto" w:fill="D4D4D4"/>
          </w:tcPr>
          <w:p>
            <w:pPr/>
          </w:p>
        </w:tc>
        <w:tc>
          <w:tcPr>
            <w:tcW w:w="1074" w:type="dxa"/>
            <w:tcBorders>
              <w:top w:val="nil" w:sz="6" w:space="0" w:color="auto"/>
              <w:left w:val="single" w:sz="4" w:space="0" w:color="000000"/>
              <w:bottom w:val="single" w:sz="4" w:space="0" w:color="000000"/>
              <w:right w:val="single" w:sz="4" w:space="0" w:color="000000"/>
            </w:tcBorders>
            <w:shd w:val="clear" w:color="auto" w:fill="D4D4D4"/>
          </w:tcPr>
          <w:p>
            <w:pPr/>
          </w:p>
        </w:tc>
        <w:tc>
          <w:tcPr>
            <w:tcW w:w="1277" w:type="dxa"/>
            <w:vMerge/>
            <w:tcBorders>
              <w:left w:val="single" w:sz="4" w:space="0" w:color="000000"/>
              <w:bottom w:val="single" w:sz="4" w:space="0" w:color="000000"/>
              <w:right w:val="single" w:sz="4" w:space="0" w:color="000000"/>
            </w:tcBorders>
            <w:shd w:val="clear" w:color="auto" w:fill="D4D4D4"/>
          </w:tcPr>
          <w:p>
            <w:pPr/>
          </w:p>
        </w:tc>
        <w:tc>
          <w:tcPr>
            <w:tcW w:w="850" w:type="dxa"/>
            <w:vMerge/>
            <w:tcBorders>
              <w:left w:val="single" w:sz="4" w:space="0" w:color="000000"/>
              <w:bottom w:val="single" w:sz="4" w:space="0" w:color="000000"/>
              <w:right w:val="single" w:sz="4" w:space="0" w:color="000000"/>
            </w:tcBorders>
            <w:shd w:val="clear" w:color="auto" w:fill="D4D4D4"/>
          </w:tcPr>
          <w:p>
            <w:pPr/>
          </w:p>
        </w:tc>
        <w:tc>
          <w:tcPr>
            <w:tcW w:w="850" w:type="dxa"/>
            <w:vMerge/>
            <w:tcBorders>
              <w:left w:val="single" w:sz="4" w:space="0" w:color="000000"/>
              <w:bottom w:val="single" w:sz="4" w:space="0" w:color="000000"/>
              <w:right w:val="single" w:sz="4" w:space="0" w:color="000000"/>
            </w:tcBorders>
            <w:shd w:val="clear" w:color="auto" w:fill="D4D4D4"/>
          </w:tcPr>
          <w:p>
            <w:pPr/>
          </w:p>
        </w:tc>
        <w:tc>
          <w:tcPr>
            <w:tcW w:w="1277" w:type="dxa"/>
            <w:vMerge/>
            <w:tcBorders>
              <w:left w:val="single" w:sz="4" w:space="0" w:color="000000"/>
              <w:bottom w:val="single" w:sz="4" w:space="0" w:color="000000"/>
              <w:right w:val="single" w:sz="4" w:space="0" w:color="000000"/>
            </w:tcBorders>
            <w:shd w:val="clear" w:color="auto" w:fill="D4D4D4"/>
          </w:tcPr>
          <w:p>
            <w:pPr/>
          </w:p>
        </w:tc>
        <w:tc>
          <w:tcPr>
            <w:tcW w:w="1133" w:type="dxa"/>
            <w:vMerge/>
            <w:tcBorders>
              <w:left w:val="single" w:sz="4" w:space="0" w:color="000000"/>
              <w:bottom w:val="single" w:sz="4" w:space="0" w:color="000000"/>
              <w:right w:val="single" w:sz="4" w:space="0" w:color="000000"/>
            </w:tcBorders>
            <w:shd w:val="clear" w:color="auto" w:fill="D4D4D4"/>
          </w:tcPr>
          <w:p>
            <w:pPr/>
          </w:p>
        </w:tc>
        <w:tc>
          <w:tcPr>
            <w:tcW w:w="991" w:type="dxa"/>
            <w:vMerge/>
            <w:tcBorders>
              <w:left w:val="single" w:sz="4" w:space="0" w:color="000000"/>
              <w:bottom w:val="single" w:sz="4" w:space="0" w:color="000000"/>
              <w:right w:val="single" w:sz="4" w:space="0" w:color="000000"/>
            </w:tcBorders>
            <w:shd w:val="clear" w:color="auto" w:fill="D4D4D4"/>
          </w:tcPr>
          <w:p>
            <w:pPr/>
          </w:p>
        </w:tc>
        <w:tc>
          <w:tcPr>
            <w:tcW w:w="1063"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557" w:hRule="exact"/>
        </w:trPr>
        <w:tc>
          <w:tcPr>
            <w:tcW w:w="1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12" w:right="116"/>
              <w:jc w:val="left"/>
              <w:rPr>
                <w:rFonts w:ascii="宋体" w:hAnsi="宋体" w:cs="宋体" w:eastAsia="宋体" w:hint="default"/>
                <w:sz w:val="18"/>
                <w:szCs w:val="18"/>
              </w:rPr>
            </w:pPr>
            <w:r>
              <w:rPr>
                <w:rFonts w:ascii="宋体" w:hAnsi="宋体" w:cs="宋体" w:eastAsia="宋体" w:hint="default"/>
                <w:sz w:val="18"/>
                <w:szCs w:val="18"/>
              </w:rPr>
              <w:t>测控信号综 合处理系统</w:t>
            </w:r>
          </w:p>
        </w:tc>
        <w:tc>
          <w:tcPr>
            <w:tcW w:w="1074" w:type="dxa"/>
            <w:tcBorders>
              <w:top w:val="single" w:sz="4" w:space="0" w:color="000000"/>
              <w:left w:val="single" w:sz="12" w:space="0" w:color="D4D4D4"/>
              <w:bottom w:val="single" w:sz="4" w:space="0" w:color="000000"/>
              <w:right w:val="single" w:sz="4" w:space="0" w:color="000000"/>
            </w:tcBorders>
          </w:tcPr>
          <w:p>
            <w:pPr/>
          </w:p>
        </w:tc>
        <w:tc>
          <w:tcPr>
            <w:tcW w:w="1277" w:type="dxa"/>
            <w:tcBorders>
              <w:top w:val="single" w:sz="47" w:space="0" w:color="D4D4D4"/>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8"/>
                <w:szCs w:val="18"/>
              </w:rPr>
            </w:pPr>
            <w:r>
              <w:rPr>
                <w:rFonts w:ascii="Times New Roman"/>
                <w:spacing w:val="-1"/>
                <w:sz w:val="18"/>
              </w:rPr>
              <w:t>6,321,958.96</w:t>
            </w:r>
            <w:r>
              <w:rPr>
                <w:rFonts w:ascii="Times New Roman"/>
                <w:sz w:val="18"/>
              </w:rPr>
            </w:r>
          </w:p>
        </w:tc>
        <w:tc>
          <w:tcPr>
            <w:tcW w:w="850" w:type="dxa"/>
            <w:tcBorders>
              <w:top w:val="single" w:sz="47" w:space="0" w:color="D4D4D4"/>
              <w:left w:val="single" w:sz="4" w:space="0" w:color="000000"/>
              <w:bottom w:val="single" w:sz="4" w:space="0" w:color="000000"/>
              <w:right w:val="single" w:sz="4" w:space="0" w:color="000000"/>
            </w:tcBorders>
          </w:tcPr>
          <w:p>
            <w:pPr/>
          </w:p>
        </w:tc>
        <w:tc>
          <w:tcPr>
            <w:tcW w:w="850" w:type="dxa"/>
            <w:tcBorders>
              <w:top w:val="single" w:sz="52" w:space="0" w:color="D4D4D4"/>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4,900,000.00</w:t>
            </w:r>
            <w:r>
              <w:rPr>
                <w:rFonts w:ascii="Times New Roman"/>
                <w:sz w:val="18"/>
              </w:rPr>
            </w:r>
          </w:p>
        </w:tc>
        <w:tc>
          <w:tcPr>
            <w:tcW w:w="991" w:type="dxa"/>
            <w:tcBorders>
              <w:top w:val="single" w:sz="52" w:space="0" w:color="D4D4D4"/>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1,421,958.96</w:t>
            </w:r>
            <w:r>
              <w:rPr>
                <w:rFonts w:ascii="Times New Roman"/>
                <w:sz w:val="18"/>
              </w:rPr>
            </w:r>
          </w:p>
        </w:tc>
      </w:tr>
      <w:tr>
        <w:trPr>
          <w:trHeight w:val="557" w:hRule="exact"/>
        </w:trPr>
        <w:tc>
          <w:tcPr>
            <w:tcW w:w="1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12" w:right="116"/>
              <w:jc w:val="left"/>
              <w:rPr>
                <w:rFonts w:ascii="宋体" w:hAnsi="宋体" w:cs="宋体" w:eastAsia="宋体" w:hint="default"/>
                <w:sz w:val="18"/>
                <w:szCs w:val="18"/>
              </w:rPr>
            </w:pPr>
            <w:r>
              <w:rPr>
                <w:rFonts w:ascii="宋体" w:hAnsi="宋体" w:cs="宋体" w:eastAsia="宋体" w:hint="default"/>
                <w:sz w:val="18"/>
                <w:szCs w:val="18"/>
              </w:rPr>
              <w:t>测试性设计 与验证平台</w:t>
            </w:r>
          </w:p>
        </w:tc>
        <w:tc>
          <w:tcPr>
            <w:tcW w:w="1074" w:type="dxa"/>
            <w:tcBorders>
              <w:top w:val="single" w:sz="4" w:space="0" w:color="000000"/>
              <w:left w:val="single" w:sz="12" w:space="0" w:color="D4D4D4"/>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12,452,678.97</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9,620,000.00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2,832,678.97</w:t>
            </w:r>
            <w:r>
              <w:rPr>
                <w:rFonts w:ascii="Times New Roman"/>
                <w:sz w:val="18"/>
              </w:rPr>
            </w:r>
          </w:p>
        </w:tc>
      </w:tr>
      <w:tr>
        <w:trPr>
          <w:trHeight w:val="790" w:hRule="exact"/>
        </w:trPr>
        <w:tc>
          <w:tcPr>
            <w:tcW w:w="1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0" w:lineRule="auto" w:before="16"/>
              <w:ind w:left="12" w:right="6"/>
              <w:jc w:val="left"/>
              <w:rPr>
                <w:rFonts w:ascii="宋体" w:hAnsi="宋体" w:cs="宋体" w:eastAsia="宋体" w:hint="default"/>
                <w:sz w:val="18"/>
                <w:szCs w:val="18"/>
              </w:rPr>
            </w:pPr>
            <w:r>
              <w:rPr>
                <w:rFonts w:ascii="宋体" w:hAnsi="宋体" w:cs="宋体" w:eastAsia="宋体" w:hint="default"/>
                <w:sz w:val="18"/>
                <w:szCs w:val="18"/>
              </w:rPr>
              <w:t>轮式特种车 辆</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PHM</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应用 平台</w:t>
            </w:r>
          </w:p>
        </w:tc>
        <w:tc>
          <w:tcPr>
            <w:tcW w:w="1074" w:type="dxa"/>
            <w:tcBorders>
              <w:top w:val="single" w:sz="4" w:space="0" w:color="000000"/>
              <w:left w:val="single" w:sz="12" w:space="0" w:color="D4D4D4"/>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12,468,605.75</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5,480,000.00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6,988,605.75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277"/>
        <w:gridCol w:w="850"/>
        <w:gridCol w:w="850"/>
        <w:gridCol w:w="1277"/>
        <w:gridCol w:w="1133"/>
        <w:gridCol w:w="991"/>
        <w:gridCol w:w="1063"/>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
              <w:ind w:left="22" w:right="127"/>
              <w:jc w:val="both"/>
              <w:rPr>
                <w:rFonts w:ascii="宋体" w:hAnsi="宋体" w:cs="宋体" w:eastAsia="宋体" w:hint="default"/>
                <w:sz w:val="18"/>
                <w:szCs w:val="18"/>
              </w:rPr>
            </w:pPr>
            <w:r>
              <w:rPr>
                <w:rFonts w:ascii="宋体" w:hAnsi="宋体" w:cs="宋体" w:eastAsia="宋体" w:hint="default"/>
                <w:sz w:val="18"/>
                <w:szCs w:val="18"/>
              </w:rPr>
              <w:t>装备状态监 控及故障诊 断数据分析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11,624,155.17</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11,624,155.17</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CT100 </w:t>
            </w:r>
            <w:r>
              <w:rPr>
                <w:rFonts w:ascii="宋体" w:hAnsi="宋体" w:cs="宋体" w:eastAsia="宋体" w:hint="default"/>
                <w:sz w:val="18"/>
                <w:szCs w:val="18"/>
              </w:rPr>
              <w:t>税控</w:t>
            </w:r>
          </w:p>
          <w:p>
            <w:pPr>
              <w:pStyle w:val="TableParagraph"/>
              <w:spacing w:line="241"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智能终端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114,326.19</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114,326.19</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22" w:right="2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TC1000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票控 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207,008.32</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207,008.32</w:t>
            </w:r>
          </w:p>
        </w:tc>
      </w:tr>
      <w:tr>
        <w:trPr>
          <w:trHeight w:val="557"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22" w:right="2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TC3000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税控 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1,900,065.74</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1,900,065.74</w:t>
            </w:r>
            <w:r>
              <w:rPr>
                <w:rFonts w:ascii="Times New Roman"/>
                <w:sz w:val="18"/>
              </w:rPr>
            </w:r>
          </w:p>
        </w:tc>
      </w:tr>
      <w:tr>
        <w:trPr>
          <w:trHeight w:val="557"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税控</w:t>
            </w:r>
          </w:p>
          <w:p>
            <w:pPr>
              <w:pStyle w:val="TableParagraph"/>
              <w:spacing w:line="241"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服务器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939,338.84</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939,338.84</w:t>
            </w:r>
          </w:p>
        </w:tc>
      </w:tr>
      <w:tr>
        <w:trPr>
          <w:trHeight w:val="530"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TC6100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百旺</w:t>
            </w:r>
          </w:p>
          <w:p>
            <w:pPr>
              <w:pStyle w:val="TableParagraph"/>
              <w:spacing w:line="240" w:lineRule="auto" w:before="9"/>
              <w:ind w:left="22" w:right="0"/>
              <w:jc w:val="left"/>
              <w:rPr>
                <w:rFonts w:ascii="Times New Roman" w:hAnsi="Times New Roman" w:cs="Times New Roman" w:eastAsia="Times New Roman" w:hint="default"/>
                <w:sz w:val="18"/>
                <w:szCs w:val="18"/>
              </w:rPr>
            </w:pPr>
            <w:r>
              <w:rPr>
                <w:rFonts w:ascii="Times New Roman"/>
                <w:sz w:val="18"/>
              </w:rPr>
              <w:t>CRM2.0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835,596.71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6"/>
              <w:jc w:val="right"/>
              <w:rPr>
                <w:rFonts w:ascii="Times New Roman" w:hAnsi="Times New Roman" w:cs="Times New Roman" w:eastAsia="Times New Roman" w:hint="default"/>
                <w:sz w:val="18"/>
                <w:szCs w:val="18"/>
              </w:rPr>
            </w:pPr>
            <w:r>
              <w:rPr>
                <w:rFonts w:ascii="Times New Roman"/>
                <w:sz w:val="18"/>
              </w:rPr>
              <w:t>835,596.71</w:t>
            </w:r>
          </w:p>
        </w:tc>
      </w:tr>
      <w:tr>
        <w:trPr>
          <w:trHeight w:val="557"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TC6200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云票</w:t>
            </w:r>
          </w:p>
          <w:p>
            <w:pPr>
              <w:pStyle w:val="TableParagraph"/>
              <w:spacing w:line="241"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助手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5,151,143.17</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5,151,143.17</w:t>
            </w:r>
            <w:r>
              <w:rPr>
                <w:rFonts w:ascii="Times New Roman"/>
                <w:sz w:val="18"/>
              </w:rPr>
            </w:r>
          </w:p>
        </w:tc>
      </w:tr>
      <w:tr>
        <w:trPr>
          <w:trHeight w:val="557"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TC6300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云票</w:t>
            </w:r>
          </w:p>
          <w:p>
            <w:pPr>
              <w:pStyle w:val="TableParagraph"/>
              <w:spacing w:line="241"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平台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3,286,415.74</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3,286,415.74</w:t>
            </w:r>
            <w:r>
              <w:rPr>
                <w:rFonts w:ascii="Times New Roman"/>
                <w:sz w:val="18"/>
              </w:rPr>
            </w:r>
          </w:p>
        </w:tc>
      </w:tr>
      <w:tr>
        <w:trPr>
          <w:trHeight w:val="557"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22" w:right="2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TC6600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云财 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179,982.07</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179,982.07</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22" w:right="127"/>
              <w:jc w:val="left"/>
              <w:rPr>
                <w:rFonts w:ascii="宋体" w:hAnsi="宋体" w:cs="宋体" w:eastAsia="宋体" w:hint="default"/>
                <w:sz w:val="18"/>
                <w:szCs w:val="18"/>
              </w:rPr>
            </w:pPr>
            <w:r>
              <w:rPr>
                <w:rFonts w:ascii="宋体" w:hAnsi="宋体" w:cs="宋体" w:eastAsia="宋体" w:hint="default"/>
                <w:sz w:val="18"/>
                <w:szCs w:val="18"/>
              </w:rPr>
              <w:t>北京百旺官 方网站</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2,399,683.22</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6"/>
              <w:jc w:val="right"/>
              <w:rPr>
                <w:rFonts w:ascii="Times New Roman" w:hAnsi="Times New Roman" w:cs="Times New Roman" w:eastAsia="Times New Roman" w:hint="default"/>
                <w:sz w:val="18"/>
                <w:szCs w:val="18"/>
              </w:rPr>
            </w:pPr>
            <w:r>
              <w:rPr>
                <w:rFonts w:ascii="Times New Roman"/>
                <w:spacing w:val="-1"/>
                <w:sz w:val="18"/>
              </w:rPr>
              <w:t>2,399,683.22</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255" w:right="74" w:hanging="180"/>
              <w:jc w:val="left"/>
              <w:rPr>
                <w:rFonts w:ascii="宋体" w:hAnsi="宋体" w:cs="宋体" w:eastAsia="宋体" w:hint="default"/>
                <w:sz w:val="18"/>
                <w:szCs w:val="18"/>
              </w:rPr>
            </w:pPr>
            <w:r>
              <w:rPr>
                <w:rFonts w:ascii="宋体" w:hAnsi="宋体" w:cs="宋体" w:eastAsia="宋体" w:hint="default"/>
                <w:sz w:val="18"/>
                <w:szCs w:val="18"/>
              </w:rPr>
              <w:t>税控共享管 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8,577,080.48</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8,577,080.48</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9"/>
              <w:ind w:left="34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66,458,039.33</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pacing w:val="-1"/>
                <w:sz w:val="18"/>
              </w:rPr>
              <w:t>11,918,463.43</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8"/>
              <w:jc w:val="right"/>
              <w:rPr>
                <w:rFonts w:ascii="Times New Roman" w:hAnsi="Times New Roman" w:cs="Times New Roman" w:eastAsia="Times New Roman" w:hint="default"/>
                <w:sz w:val="18"/>
                <w:szCs w:val="18"/>
              </w:rPr>
            </w:pPr>
            <w:r>
              <w:rPr>
                <w:rFonts w:ascii="Times New Roman"/>
                <w:spacing w:val="-1"/>
                <w:sz w:val="18"/>
              </w:rPr>
              <w:t>30,976,763.70</w:t>
            </w:r>
          </w:p>
        </w:tc>
        <w:tc>
          <w:tcPr>
            <w:tcW w:w="99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23,562,812.2</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28、商誉" w:id="430"/>
      <w:bookmarkEnd w:id="430"/>
      <w:r>
        <w:rPr>
          <w:b w:val="0"/>
          <w:bCs w:val="0"/>
        </w:rPr>
      </w:r>
      <w:r>
        <w:rPr>
          <w:rFonts w:ascii="Times New Roman" w:hAnsi="Times New Roman" w:cs="Times New Roman" w:eastAsia="Times New Roman" w:hint="default"/>
        </w:rPr>
        <w:t>28</w:t>
      </w:r>
      <w:r>
        <w:rPr/>
        <w:t>、商誉</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1127"/>
        <w:jc w:val="left"/>
        <w:rPr>
          <w:b w:val="0"/>
          <w:bCs w:val="0"/>
        </w:rPr>
      </w:pPr>
      <w:bookmarkStart w:name="（1）商誉账面原值" w:id="431"/>
      <w:bookmarkEnd w:id="43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8"/>
        <w:gridCol w:w="1366"/>
      </w:tblGrid>
      <w:tr>
        <w:trPr>
          <w:trHeight w:val="240" w:hRule="exact"/>
        </w:trPr>
        <w:tc>
          <w:tcPr>
            <w:tcW w:w="1344" w:type="dxa"/>
            <w:vMerge w:val="restart"/>
            <w:tcBorders>
              <w:top w:val="single" w:sz="4" w:space="0" w:color="000000"/>
              <w:left w:val="single" w:sz="4" w:space="0" w:color="000000"/>
              <w:right w:val="single" w:sz="4" w:space="0" w:color="000000"/>
            </w:tcBorders>
            <w:shd w:val="clear" w:color="auto" w:fill="D4D4D4"/>
          </w:tcPr>
          <w:p>
            <w:pPr>
              <w:pStyle w:val="TableParagraph"/>
              <w:spacing w:line="237" w:lineRule="auto" w:before="10"/>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4D4D4"/>
          </w:tcPr>
          <w:p>
            <w:pPr/>
          </w:p>
        </w:tc>
        <w:tc>
          <w:tcPr>
            <w:tcW w:w="27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26" w:hRule="exact"/>
        </w:trPr>
        <w:tc>
          <w:tcPr>
            <w:tcW w:w="1344" w:type="dxa"/>
            <w:vMerge/>
            <w:tcBorders>
              <w:left w:val="single" w:sz="4" w:space="0" w:color="000000"/>
              <w:right w:val="single" w:sz="4" w:space="0" w:color="000000"/>
            </w:tcBorders>
            <w:shd w:val="clear" w:color="auto" w:fill="D4D4D4"/>
          </w:tcPr>
          <w:p>
            <w:pPr/>
          </w:p>
        </w:tc>
        <w:tc>
          <w:tcPr>
            <w:tcW w:w="137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4D4D4"/>
          </w:tcPr>
          <w:p>
            <w:pPr/>
          </w:p>
        </w:tc>
        <w:tc>
          <w:tcPr>
            <w:tcW w:w="2736" w:type="dxa"/>
            <w:gridSpan w:val="2"/>
            <w:vMerge/>
            <w:tcBorders>
              <w:left w:val="single" w:sz="4" w:space="0" w:color="000000"/>
              <w:bottom w:val="single" w:sz="4" w:space="0" w:color="000000"/>
              <w:right w:val="single" w:sz="4" w:space="0" w:color="000000"/>
            </w:tcBorders>
            <w:shd w:val="clear" w:color="auto" w:fill="D4D4D4"/>
          </w:tcPr>
          <w:p>
            <w:pPr/>
          </w:p>
        </w:tc>
        <w:tc>
          <w:tcPr>
            <w:tcW w:w="136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6" w:hRule="exact"/>
        </w:trPr>
        <w:tc>
          <w:tcPr>
            <w:tcW w:w="1344" w:type="dxa"/>
            <w:vMerge/>
            <w:tcBorders>
              <w:left w:val="single" w:sz="4" w:space="0" w:color="000000"/>
              <w:right w:val="single" w:sz="4" w:space="0" w:color="000000"/>
            </w:tcBorders>
            <w:shd w:val="clear" w:color="auto" w:fill="D4D4D4"/>
          </w:tcPr>
          <w:p>
            <w:pPr/>
          </w:p>
        </w:tc>
        <w:tc>
          <w:tcPr>
            <w:tcW w:w="1378"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8"/>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vMerge w:val="restart"/>
            <w:tcBorders>
              <w:top w:val="single" w:sz="4" w:space="0" w:color="000000"/>
              <w:left w:val="single" w:sz="4" w:space="0" w:color="000000"/>
              <w:right w:val="single" w:sz="4" w:space="0" w:color="000000"/>
            </w:tcBorders>
            <w:shd w:val="clear" w:color="auto" w:fill="D4D4D4"/>
          </w:tcPr>
          <w:p>
            <w:pPr/>
          </w:p>
        </w:tc>
        <w:tc>
          <w:tcPr>
            <w:tcW w:w="1366" w:type="dxa"/>
            <w:vMerge/>
            <w:tcBorders>
              <w:left w:val="single" w:sz="4" w:space="0" w:color="000000"/>
              <w:bottom w:val="nil" w:sz="6" w:space="0" w:color="auto"/>
              <w:right w:val="single" w:sz="4" w:space="0" w:color="000000"/>
            </w:tcBorders>
            <w:shd w:val="clear" w:color="auto" w:fill="D4D4D4"/>
          </w:tcPr>
          <w:p>
            <w:pPr/>
          </w:p>
        </w:tc>
      </w:tr>
      <w:tr>
        <w:trPr>
          <w:trHeight w:val="238" w:hRule="exact"/>
        </w:trPr>
        <w:tc>
          <w:tcPr>
            <w:tcW w:w="1344" w:type="dxa"/>
            <w:vMerge/>
            <w:tcBorders>
              <w:left w:val="single" w:sz="4" w:space="0" w:color="000000"/>
              <w:bottom w:val="single" w:sz="4" w:space="0" w:color="000000"/>
              <w:right w:val="single" w:sz="4" w:space="0" w:color="000000"/>
            </w:tcBorders>
            <w:shd w:val="clear" w:color="auto" w:fill="D4D4D4"/>
          </w:tcPr>
          <w:p>
            <w:pPr/>
          </w:p>
        </w:tc>
        <w:tc>
          <w:tcPr>
            <w:tcW w:w="137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557"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5"/>
              <w:ind w:left="12" w:right="60"/>
              <w:jc w:val="left"/>
              <w:rPr>
                <w:rFonts w:ascii="宋体" w:hAnsi="宋体" w:cs="宋体" w:eastAsia="宋体" w:hint="default"/>
                <w:sz w:val="18"/>
                <w:szCs w:val="18"/>
              </w:rPr>
            </w:pPr>
            <w:r>
              <w:rPr>
                <w:rFonts w:ascii="宋体" w:hAnsi="宋体" w:cs="宋体" w:eastAsia="宋体" w:hint="default"/>
                <w:sz w:val="18"/>
                <w:szCs w:val="18"/>
              </w:rPr>
              <w:t>北京麦禾信通科 技有限公司</w:t>
            </w:r>
          </w:p>
        </w:tc>
        <w:tc>
          <w:tcPr>
            <w:tcW w:w="13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348,668.15</w:t>
            </w:r>
          </w:p>
        </w:tc>
        <w:tc>
          <w:tcPr>
            <w:tcW w:w="1368" w:type="dxa"/>
            <w:tcBorders>
              <w:top w:val="single" w:sz="32" w:space="0" w:color="D4D4D4"/>
              <w:left w:val="single" w:sz="4" w:space="0" w:color="000000"/>
              <w:bottom w:val="single" w:sz="4" w:space="0" w:color="000000"/>
              <w:right w:val="single" w:sz="4" w:space="0" w:color="000000"/>
            </w:tcBorders>
          </w:tcPr>
          <w:p>
            <w:pPr/>
          </w:p>
        </w:tc>
        <w:tc>
          <w:tcPr>
            <w:tcW w:w="1366" w:type="dxa"/>
            <w:tcBorders>
              <w:top w:val="single" w:sz="37" w:space="0" w:color="D4D4D4"/>
              <w:left w:val="single" w:sz="4" w:space="0" w:color="000000"/>
              <w:bottom w:val="single" w:sz="4" w:space="0" w:color="000000"/>
              <w:right w:val="single" w:sz="4" w:space="0" w:color="000000"/>
            </w:tcBorders>
          </w:tcPr>
          <w:p>
            <w:pPr/>
          </w:p>
        </w:tc>
        <w:tc>
          <w:tcPr>
            <w:tcW w:w="1368" w:type="dxa"/>
            <w:tcBorders>
              <w:top w:val="single" w:sz="32" w:space="0" w:color="D4D4D4"/>
              <w:left w:val="single" w:sz="4" w:space="0" w:color="000000"/>
              <w:bottom w:val="single" w:sz="4" w:space="0" w:color="000000"/>
              <w:right w:val="single" w:sz="4" w:space="0" w:color="000000"/>
            </w:tcBorders>
          </w:tcPr>
          <w:p>
            <w:pPr/>
          </w:p>
        </w:tc>
        <w:tc>
          <w:tcPr>
            <w:tcW w:w="1368" w:type="dxa"/>
            <w:tcBorders>
              <w:top w:val="single" w:sz="37" w:space="0" w:color="D4D4D4"/>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348,668.15</w:t>
            </w:r>
          </w:p>
        </w:tc>
      </w:tr>
      <w:tr>
        <w:trPr>
          <w:trHeight w:val="557"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5"/>
              <w:ind w:left="12" w:right="60"/>
              <w:jc w:val="left"/>
              <w:rPr>
                <w:rFonts w:ascii="宋体" w:hAnsi="宋体" w:cs="宋体" w:eastAsia="宋体" w:hint="default"/>
                <w:sz w:val="18"/>
                <w:szCs w:val="18"/>
              </w:rPr>
            </w:pPr>
            <w:r>
              <w:rPr>
                <w:rFonts w:ascii="宋体" w:hAnsi="宋体" w:cs="宋体" w:eastAsia="宋体" w:hint="default"/>
                <w:sz w:val="18"/>
                <w:szCs w:val="18"/>
              </w:rPr>
              <w:t>北京中软金卡信 息技术有限公司</w:t>
            </w:r>
          </w:p>
        </w:tc>
        <w:tc>
          <w:tcPr>
            <w:tcW w:w="13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114,038,608.58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114,038,608.58</w:t>
            </w:r>
          </w:p>
        </w:tc>
      </w:tr>
      <w:tr>
        <w:trPr>
          <w:trHeight w:val="559"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5"/>
              <w:ind w:left="12" w:right="60"/>
              <w:jc w:val="left"/>
              <w:rPr>
                <w:rFonts w:ascii="宋体" w:hAnsi="宋体" w:cs="宋体" w:eastAsia="宋体" w:hint="default"/>
                <w:sz w:val="18"/>
                <w:szCs w:val="18"/>
              </w:rPr>
            </w:pPr>
            <w:r>
              <w:rPr>
                <w:rFonts w:ascii="宋体" w:hAnsi="宋体" w:cs="宋体" w:eastAsia="宋体" w:hint="default"/>
                <w:sz w:val="18"/>
                <w:szCs w:val="18"/>
              </w:rPr>
              <w:t>西安西谷微电子 有限责任公司</w:t>
            </w:r>
          </w:p>
        </w:tc>
        <w:tc>
          <w:tcPr>
            <w:tcW w:w="13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422,788,822.65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422,788,822.65</w:t>
            </w:r>
            <w:r>
              <w:rPr>
                <w:rFonts w:ascii="Times New Roman"/>
                <w:sz w:val="18"/>
              </w:rPr>
            </w:r>
          </w:p>
        </w:tc>
      </w:tr>
      <w:tr>
        <w:trPr>
          <w:trHeight w:val="557"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12" w:right="60"/>
              <w:jc w:val="left"/>
              <w:rPr>
                <w:rFonts w:ascii="宋体" w:hAnsi="宋体" w:cs="宋体" w:eastAsia="宋体" w:hint="default"/>
                <w:sz w:val="18"/>
                <w:szCs w:val="18"/>
              </w:rPr>
            </w:pPr>
            <w:r>
              <w:rPr>
                <w:rFonts w:ascii="宋体" w:hAnsi="宋体" w:cs="宋体" w:eastAsia="宋体" w:hint="default"/>
                <w:sz w:val="18"/>
                <w:szCs w:val="18"/>
              </w:rPr>
              <w:t>郑州众合景轩信 息技术有限公司</w:t>
            </w:r>
          </w:p>
        </w:tc>
        <w:tc>
          <w:tcPr>
            <w:tcW w:w="13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515,209.30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515,209.30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12" w:right="60"/>
              <w:jc w:val="left"/>
              <w:rPr>
                <w:rFonts w:ascii="宋体" w:hAnsi="宋体" w:cs="宋体" w:eastAsia="宋体" w:hint="default"/>
                <w:sz w:val="18"/>
                <w:szCs w:val="18"/>
              </w:rPr>
            </w:pPr>
            <w:r>
              <w:rPr>
                <w:rFonts w:ascii="宋体" w:hAnsi="宋体" w:cs="宋体" w:eastAsia="宋体" w:hint="default"/>
                <w:sz w:val="18"/>
                <w:szCs w:val="18"/>
              </w:rPr>
              <w:t>北京泰豪智能工 程有限公司</w:t>
            </w:r>
          </w:p>
        </w:tc>
        <w:tc>
          <w:tcPr>
            <w:tcW w:w="13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1,353,998,093.74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1,353,998,093.74</w:t>
            </w:r>
          </w:p>
        </w:tc>
      </w:tr>
      <w:tr>
        <w:trPr>
          <w:trHeight w:val="790"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
              <w:ind w:left="12" w:right="60"/>
              <w:jc w:val="both"/>
              <w:rPr>
                <w:rFonts w:ascii="宋体" w:hAnsi="宋体" w:cs="宋体" w:eastAsia="宋体" w:hint="default"/>
                <w:sz w:val="18"/>
                <w:szCs w:val="18"/>
              </w:rPr>
            </w:pPr>
            <w:r>
              <w:rPr>
                <w:rFonts w:ascii="宋体" w:hAnsi="宋体" w:cs="宋体" w:eastAsia="宋体" w:hint="default"/>
                <w:sz w:val="18"/>
                <w:szCs w:val="18"/>
              </w:rPr>
              <w:t>北京国信恒达智 慧城市科技发展 有限公司</w:t>
            </w:r>
          </w:p>
        </w:tc>
        <w:tc>
          <w:tcPr>
            <w:tcW w:w="13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60,109.58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60,109.58</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8"/>
        <w:gridCol w:w="1366"/>
      </w:tblGrid>
      <w:tr>
        <w:trPr>
          <w:trHeight w:val="790"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内蒙古百旺金赋 信息技术有限公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191,679.84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191,679.84</w:t>
            </w:r>
          </w:p>
        </w:tc>
      </w:tr>
      <w:tr>
        <w:trPr>
          <w:trHeight w:val="557"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22" w:right="72"/>
              <w:jc w:val="left"/>
              <w:rPr>
                <w:rFonts w:ascii="宋体" w:hAnsi="宋体" w:cs="宋体" w:eastAsia="宋体" w:hint="default"/>
                <w:sz w:val="18"/>
                <w:szCs w:val="18"/>
              </w:rPr>
            </w:pPr>
            <w:r>
              <w:rPr>
                <w:rFonts w:ascii="宋体" w:hAnsi="宋体" w:cs="宋体" w:eastAsia="宋体" w:hint="default"/>
                <w:sz w:val="18"/>
                <w:szCs w:val="18"/>
              </w:rPr>
              <w:t>北京联合信标测 试技术有限公司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37,367,499.31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37,367,499.31</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1,929,308,691.15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23" w:right="0"/>
              <w:jc w:val="left"/>
              <w:rPr>
                <w:rFonts w:ascii="Times New Roman" w:hAnsi="Times New Roman" w:cs="Times New Roman" w:eastAsia="Times New Roman" w:hint="default"/>
                <w:sz w:val="18"/>
                <w:szCs w:val="18"/>
              </w:rPr>
            </w:pPr>
            <w:r>
              <w:rPr>
                <w:rFonts w:ascii="Times New Roman"/>
                <w:sz w:val="18"/>
              </w:rPr>
              <w:t>515,209.30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1,928,793,481.85</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2）商誉减值准备" w:id="432"/>
      <w:bookmarkEnd w:id="43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8"/>
        <w:gridCol w:w="1366"/>
      </w:tblGrid>
      <w:tr>
        <w:trPr>
          <w:trHeight w:val="240" w:hRule="exact"/>
        </w:trPr>
        <w:tc>
          <w:tcPr>
            <w:tcW w:w="1344" w:type="dxa"/>
            <w:vMerge w:val="restart"/>
            <w:tcBorders>
              <w:top w:val="single" w:sz="4" w:space="0" w:color="000000"/>
              <w:left w:val="single" w:sz="4" w:space="0" w:color="000000"/>
              <w:right w:val="single" w:sz="4" w:space="0" w:color="000000"/>
            </w:tcBorders>
            <w:shd w:val="clear" w:color="auto" w:fill="D4D4D4"/>
          </w:tcPr>
          <w:p>
            <w:pPr>
              <w:pStyle w:val="TableParagraph"/>
              <w:spacing w:line="237" w:lineRule="auto" w:before="10"/>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4D4D4"/>
          </w:tcPr>
          <w:p>
            <w:pPr/>
          </w:p>
        </w:tc>
        <w:tc>
          <w:tcPr>
            <w:tcW w:w="27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26" w:hRule="exact"/>
        </w:trPr>
        <w:tc>
          <w:tcPr>
            <w:tcW w:w="1344" w:type="dxa"/>
            <w:vMerge/>
            <w:tcBorders>
              <w:left w:val="single" w:sz="4" w:space="0" w:color="000000"/>
              <w:right w:val="single" w:sz="4" w:space="0" w:color="000000"/>
            </w:tcBorders>
            <w:shd w:val="clear" w:color="auto" w:fill="D4D4D4"/>
          </w:tcPr>
          <w:p>
            <w:pPr/>
          </w:p>
        </w:tc>
        <w:tc>
          <w:tcPr>
            <w:tcW w:w="137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4D4D4"/>
          </w:tcPr>
          <w:p>
            <w:pPr/>
          </w:p>
        </w:tc>
        <w:tc>
          <w:tcPr>
            <w:tcW w:w="2736" w:type="dxa"/>
            <w:gridSpan w:val="2"/>
            <w:vMerge/>
            <w:tcBorders>
              <w:left w:val="single" w:sz="4" w:space="0" w:color="000000"/>
              <w:bottom w:val="single" w:sz="4" w:space="0" w:color="000000"/>
              <w:right w:val="single" w:sz="4" w:space="0" w:color="000000"/>
            </w:tcBorders>
            <w:shd w:val="clear" w:color="auto" w:fill="D4D4D4"/>
          </w:tcPr>
          <w:p>
            <w:pPr/>
          </w:p>
        </w:tc>
        <w:tc>
          <w:tcPr>
            <w:tcW w:w="136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6" w:hRule="exact"/>
        </w:trPr>
        <w:tc>
          <w:tcPr>
            <w:tcW w:w="1344" w:type="dxa"/>
            <w:vMerge/>
            <w:tcBorders>
              <w:left w:val="single" w:sz="4" w:space="0" w:color="000000"/>
              <w:right w:val="single" w:sz="4" w:space="0" w:color="000000"/>
            </w:tcBorders>
            <w:shd w:val="clear" w:color="auto" w:fill="D4D4D4"/>
          </w:tcPr>
          <w:p>
            <w:pPr/>
          </w:p>
        </w:tc>
        <w:tc>
          <w:tcPr>
            <w:tcW w:w="1378"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vMerge w:val="restart"/>
            <w:tcBorders>
              <w:top w:val="single" w:sz="4" w:space="0" w:color="000000"/>
              <w:left w:val="single" w:sz="4" w:space="0" w:color="000000"/>
              <w:right w:val="single" w:sz="4" w:space="0" w:color="000000"/>
            </w:tcBorders>
            <w:shd w:val="clear" w:color="auto" w:fill="D4D4D4"/>
          </w:tcPr>
          <w:p>
            <w:pPr/>
          </w:p>
        </w:tc>
        <w:tc>
          <w:tcPr>
            <w:tcW w:w="1366" w:type="dxa"/>
            <w:vMerge/>
            <w:tcBorders>
              <w:left w:val="single" w:sz="4" w:space="0" w:color="000000"/>
              <w:bottom w:val="nil" w:sz="6" w:space="0" w:color="auto"/>
              <w:right w:val="single" w:sz="4" w:space="0" w:color="000000"/>
            </w:tcBorders>
            <w:shd w:val="clear" w:color="auto" w:fill="D4D4D4"/>
          </w:tcPr>
          <w:p>
            <w:pPr/>
          </w:p>
        </w:tc>
      </w:tr>
      <w:tr>
        <w:trPr>
          <w:trHeight w:val="238" w:hRule="exact"/>
        </w:trPr>
        <w:tc>
          <w:tcPr>
            <w:tcW w:w="1344" w:type="dxa"/>
            <w:vMerge/>
            <w:tcBorders>
              <w:left w:val="single" w:sz="4" w:space="0" w:color="000000"/>
              <w:bottom w:val="single" w:sz="4" w:space="0" w:color="000000"/>
              <w:right w:val="single" w:sz="4" w:space="0" w:color="000000"/>
            </w:tcBorders>
            <w:shd w:val="clear" w:color="auto" w:fill="D4D4D4"/>
          </w:tcPr>
          <w:p>
            <w:pPr/>
          </w:p>
        </w:tc>
        <w:tc>
          <w:tcPr>
            <w:tcW w:w="137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557"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5"/>
              <w:ind w:left="12" w:right="60"/>
              <w:jc w:val="left"/>
              <w:rPr>
                <w:rFonts w:ascii="宋体" w:hAnsi="宋体" w:cs="宋体" w:eastAsia="宋体" w:hint="default"/>
                <w:sz w:val="18"/>
                <w:szCs w:val="18"/>
              </w:rPr>
            </w:pPr>
            <w:r>
              <w:rPr>
                <w:rFonts w:ascii="宋体" w:hAnsi="宋体" w:cs="宋体" w:eastAsia="宋体" w:hint="default"/>
                <w:sz w:val="18"/>
                <w:szCs w:val="18"/>
              </w:rPr>
              <w:t>北京麦禾信通科 技有限公司</w:t>
            </w:r>
          </w:p>
        </w:tc>
        <w:tc>
          <w:tcPr>
            <w:tcW w:w="13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348,668.15</w:t>
            </w:r>
          </w:p>
        </w:tc>
        <w:tc>
          <w:tcPr>
            <w:tcW w:w="1368" w:type="dxa"/>
            <w:tcBorders>
              <w:top w:val="single" w:sz="32" w:space="0" w:color="D4D4D4"/>
              <w:left w:val="single" w:sz="4" w:space="0" w:color="000000"/>
              <w:bottom w:val="single" w:sz="4" w:space="0" w:color="000000"/>
              <w:right w:val="single" w:sz="4" w:space="0" w:color="000000"/>
            </w:tcBorders>
          </w:tcPr>
          <w:p>
            <w:pPr/>
          </w:p>
        </w:tc>
        <w:tc>
          <w:tcPr>
            <w:tcW w:w="1366" w:type="dxa"/>
            <w:tcBorders>
              <w:top w:val="single" w:sz="37" w:space="0" w:color="D4D4D4"/>
              <w:left w:val="single" w:sz="4" w:space="0" w:color="000000"/>
              <w:bottom w:val="single" w:sz="4" w:space="0" w:color="000000"/>
              <w:right w:val="single" w:sz="4" w:space="0" w:color="000000"/>
            </w:tcBorders>
          </w:tcPr>
          <w:p>
            <w:pPr/>
          </w:p>
        </w:tc>
        <w:tc>
          <w:tcPr>
            <w:tcW w:w="1368" w:type="dxa"/>
            <w:tcBorders>
              <w:top w:val="single" w:sz="32" w:space="0" w:color="D4D4D4"/>
              <w:left w:val="single" w:sz="4" w:space="0" w:color="000000"/>
              <w:bottom w:val="single" w:sz="4" w:space="0" w:color="000000"/>
              <w:right w:val="single" w:sz="4" w:space="0" w:color="000000"/>
            </w:tcBorders>
          </w:tcPr>
          <w:p>
            <w:pPr/>
          </w:p>
        </w:tc>
        <w:tc>
          <w:tcPr>
            <w:tcW w:w="1368" w:type="dxa"/>
            <w:tcBorders>
              <w:top w:val="single" w:sz="37" w:space="0" w:color="D4D4D4"/>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348,668.15</w:t>
            </w:r>
          </w:p>
        </w:tc>
      </w:tr>
      <w:tr>
        <w:trPr>
          <w:trHeight w:val="559"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5"/>
              <w:ind w:left="12" w:right="60"/>
              <w:jc w:val="left"/>
              <w:rPr>
                <w:rFonts w:ascii="宋体" w:hAnsi="宋体" w:cs="宋体" w:eastAsia="宋体" w:hint="default"/>
                <w:sz w:val="18"/>
                <w:szCs w:val="18"/>
              </w:rPr>
            </w:pPr>
            <w:r>
              <w:rPr>
                <w:rFonts w:ascii="宋体" w:hAnsi="宋体" w:cs="宋体" w:eastAsia="宋体" w:hint="default"/>
                <w:sz w:val="18"/>
                <w:szCs w:val="18"/>
              </w:rPr>
              <w:t>郑州众合景轩信 息技术有限公司</w:t>
            </w:r>
          </w:p>
        </w:tc>
        <w:tc>
          <w:tcPr>
            <w:tcW w:w="13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515,209.30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515,209.30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12" w:right="60"/>
              <w:jc w:val="left"/>
              <w:rPr>
                <w:rFonts w:ascii="宋体" w:hAnsi="宋体" w:cs="宋体" w:eastAsia="宋体" w:hint="default"/>
                <w:sz w:val="18"/>
                <w:szCs w:val="18"/>
              </w:rPr>
            </w:pPr>
            <w:r>
              <w:rPr>
                <w:rFonts w:ascii="宋体" w:hAnsi="宋体" w:cs="宋体" w:eastAsia="宋体" w:hint="default"/>
                <w:sz w:val="18"/>
                <w:szCs w:val="18"/>
              </w:rPr>
              <w:t>北京中软金卡信 息技术有限公司</w:t>
            </w:r>
          </w:p>
        </w:tc>
        <w:tc>
          <w:tcPr>
            <w:tcW w:w="13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114,038,608.58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114,038,608.58</w:t>
            </w:r>
          </w:p>
        </w:tc>
      </w:tr>
      <w:tr>
        <w:trPr>
          <w:trHeight w:val="557"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12" w:right="60"/>
              <w:jc w:val="left"/>
              <w:rPr>
                <w:rFonts w:ascii="宋体" w:hAnsi="宋体" w:cs="宋体" w:eastAsia="宋体" w:hint="default"/>
                <w:sz w:val="18"/>
                <w:szCs w:val="18"/>
              </w:rPr>
            </w:pPr>
            <w:r>
              <w:rPr>
                <w:rFonts w:ascii="宋体" w:hAnsi="宋体" w:cs="宋体" w:eastAsia="宋体" w:hint="default"/>
                <w:sz w:val="18"/>
                <w:szCs w:val="18"/>
              </w:rPr>
              <w:t>西安西谷微电子 有限责任公司</w:t>
            </w:r>
          </w:p>
        </w:tc>
        <w:tc>
          <w:tcPr>
            <w:tcW w:w="13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207,054,688.23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207,054,688.23</w:t>
            </w:r>
            <w:r>
              <w:rPr>
                <w:rFonts w:ascii="Times New Roman"/>
                <w:sz w:val="18"/>
              </w:rPr>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321,957,174.26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515,209.30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321,441,964.96</w:t>
            </w:r>
            <w:r>
              <w:rPr>
                <w:rFonts w:ascii="Times New Roman"/>
                <w:sz w:val="18"/>
              </w:rPr>
            </w:r>
          </w:p>
        </w:tc>
      </w:tr>
    </w:tbl>
    <w:p>
      <w:pPr>
        <w:pStyle w:val="BodyText"/>
        <w:spacing w:line="446" w:lineRule="auto" w:before="64"/>
        <w:ind w:right="1127"/>
        <w:jc w:val="left"/>
      </w:pPr>
      <w:r>
        <w:rPr/>
        <w:t>商誉减值测试的影响</w:t>
      </w:r>
      <w:r>
        <w:rPr>
          <w:w w:val="100"/>
        </w:rPr>
        <w:t> </w:t>
      </w:r>
      <w:r>
        <w:rPr>
          <w:spacing w:val="-2"/>
        </w:rPr>
        <w:t>西安西谷微电子有限责任公司、北京泰豪智能工程有限公司和北京联合信标测试技术有限公司资产组</w:t>
      </w:r>
    </w:p>
    <w:p>
      <w:pPr>
        <w:pStyle w:val="BodyText"/>
        <w:spacing w:line="227" w:lineRule="exact"/>
        <w:ind w:left="152" w:right="0"/>
        <w:jc w:val="left"/>
      </w:pPr>
      <w:r>
        <w:rPr/>
        <w:t>预计未来现金流量的现值（可收回金额）分别利用了北京卓信大华资产评估有限公司出具的卓信大华评报</w:t>
      </w:r>
    </w:p>
    <w:p>
      <w:pPr>
        <w:pStyle w:val="BodyText"/>
        <w:spacing w:line="240" w:lineRule="auto" w:before="133"/>
        <w:ind w:left="152" w:right="0"/>
        <w:jc w:val="left"/>
      </w:pPr>
      <w:r>
        <w:rPr/>
        <w:t>字</w:t>
      </w:r>
      <w:r>
        <w:rPr>
          <w:rFonts w:ascii="Times New Roman" w:hAnsi="Times New Roman" w:cs="Times New Roman" w:eastAsia="Times New Roman" w:hint="default"/>
        </w:rPr>
        <w:t>(2020)</w:t>
      </w:r>
      <w:r>
        <w:rPr/>
        <w:t>第</w:t>
      </w:r>
      <w:r>
        <w:rPr>
          <w:spacing w:val="-56"/>
        </w:rPr>
        <w:t> </w:t>
      </w:r>
      <w:r>
        <w:rPr>
          <w:rFonts w:ascii="Times New Roman" w:hAnsi="Times New Roman" w:cs="Times New Roman" w:eastAsia="Times New Roman" w:hint="default"/>
        </w:rPr>
        <w:t>1004</w:t>
      </w:r>
      <w:r>
        <w:rPr>
          <w:rFonts w:ascii="Times New Roman" w:hAnsi="Times New Roman" w:cs="Times New Roman" w:eastAsia="Times New Roman" w:hint="default"/>
          <w:spacing w:val="-3"/>
        </w:rPr>
        <w:t> </w:t>
      </w:r>
      <w:r>
        <w:rPr/>
        <w:t>号、卓信大华评报字</w:t>
      </w:r>
      <w:r>
        <w:rPr>
          <w:rFonts w:ascii="Times New Roman" w:hAnsi="Times New Roman" w:cs="Times New Roman" w:eastAsia="Times New Roman" w:hint="default"/>
        </w:rPr>
        <w:t>(2020)</w:t>
      </w:r>
      <w:r>
        <w:rPr/>
        <w:t>第</w:t>
      </w:r>
      <w:r>
        <w:rPr>
          <w:spacing w:val="-56"/>
        </w:rPr>
        <w:t> </w:t>
      </w:r>
      <w:r>
        <w:rPr>
          <w:rFonts w:ascii="Times New Roman" w:hAnsi="Times New Roman" w:cs="Times New Roman" w:eastAsia="Times New Roman" w:hint="default"/>
        </w:rPr>
        <w:t>1003</w:t>
      </w:r>
      <w:r>
        <w:rPr>
          <w:rFonts w:ascii="Times New Roman" w:hAnsi="Times New Roman" w:cs="Times New Roman" w:eastAsia="Times New Roman" w:hint="default"/>
          <w:spacing w:val="-6"/>
        </w:rPr>
        <w:t> </w:t>
      </w:r>
      <w:r>
        <w:rPr/>
        <w:t>号，银信资产评估有限公司出具的银信财报字（</w:t>
      </w:r>
      <w:r>
        <w:rPr>
          <w:rFonts w:ascii="Times New Roman" w:hAnsi="Times New Roman" w:cs="Times New Roman" w:eastAsia="Times New Roman" w:hint="default"/>
        </w:rPr>
        <w:t>2020</w:t>
      </w:r>
      <w:r>
        <w:rPr/>
        <w:t>）</w:t>
      </w:r>
    </w:p>
    <w:p>
      <w:pPr>
        <w:pStyle w:val="BodyText"/>
        <w:spacing w:line="422" w:lineRule="auto" w:before="117"/>
        <w:ind w:right="1127" w:hanging="421"/>
        <w:jc w:val="left"/>
      </w:pPr>
      <w:r>
        <w:rPr/>
        <w:t>沪第</w:t>
      </w:r>
      <w:r>
        <w:rPr>
          <w:spacing w:val="-53"/>
        </w:rPr>
        <w:t> </w:t>
      </w:r>
      <w:r>
        <w:rPr>
          <w:rFonts w:ascii="Times New Roman" w:hAnsi="Times New Roman" w:cs="Times New Roman" w:eastAsia="Times New Roman" w:hint="default"/>
        </w:rPr>
        <w:t>250</w:t>
      </w:r>
      <w:r>
        <w:rPr>
          <w:rFonts w:ascii="Times New Roman" w:hAnsi="Times New Roman" w:cs="Times New Roman" w:eastAsia="Times New Roman" w:hint="default"/>
          <w:spacing w:val="-1"/>
        </w:rPr>
        <w:t> </w:t>
      </w:r>
      <w:r>
        <w:rPr/>
        <w:t>号评估报告。</w:t>
      </w:r>
      <w:r>
        <w:rPr>
          <w:spacing w:val="-3"/>
          <w:w w:val="100"/>
        </w:rPr>
        <w:t> </w:t>
      </w:r>
      <w:r>
        <w:rPr>
          <w:spacing w:val="-2"/>
        </w:rPr>
        <w:t>经测试，西安西谷微电子有限责任公司、北京泰豪智能工程有限公司和北京联合信标测试技术有限公</w:t>
      </w:r>
    </w:p>
    <w:p>
      <w:pPr>
        <w:pStyle w:val="BodyText"/>
        <w:spacing w:line="246" w:lineRule="exact"/>
        <w:ind w:left="152" w:right="1127"/>
        <w:jc w:val="left"/>
      </w:pPr>
      <w:r>
        <w:rPr/>
        <w:t>司资产组的可收回金额高于账面价值，资产组商誉未出现减值迹象。</w:t>
      </w:r>
    </w:p>
    <w:p>
      <w:pPr>
        <w:spacing w:line="240" w:lineRule="auto" w:before="12"/>
        <w:rPr>
          <w:rFonts w:ascii="宋体" w:hAnsi="宋体" w:cs="宋体" w:eastAsia="宋体" w:hint="default"/>
          <w:sz w:val="17"/>
          <w:szCs w:val="17"/>
        </w:rPr>
      </w:pPr>
    </w:p>
    <w:p>
      <w:pPr>
        <w:pStyle w:val="BodyText"/>
        <w:spacing w:line="240" w:lineRule="auto"/>
        <w:ind w:left="152" w:right="1127" w:firstLine="420"/>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29、长期待摊费用" w:id="433"/>
      <w:bookmarkEnd w:id="433"/>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7"/>
        <w:rPr>
          <w:rFonts w:ascii="宋体" w:hAnsi="宋体" w:cs="宋体" w:eastAsia="宋体" w:hint="default"/>
          <w:b/>
          <w:bCs/>
          <w:sz w:val="21"/>
          <w:szCs w:val="21"/>
        </w:rPr>
      </w:pPr>
    </w:p>
    <w:p>
      <w:pPr>
        <w:spacing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19"/>
              <w:jc w:val="left"/>
              <w:rPr>
                <w:rFonts w:ascii="宋体" w:hAnsi="宋体" w:cs="宋体" w:eastAsia="宋体" w:hint="default"/>
                <w:sz w:val="18"/>
                <w:szCs w:val="18"/>
              </w:rPr>
            </w:pPr>
            <w:r>
              <w:rPr>
                <w:rFonts w:ascii="宋体" w:hAnsi="宋体" w:cs="宋体" w:eastAsia="宋体" w:hint="default"/>
                <w:sz w:val="18"/>
                <w:szCs w:val="18"/>
              </w:rPr>
              <w:t>经营租赁房屋改良 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7,302,833.76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12,163,828.13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13,466,817.37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184,688.90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5,815,155.62</w:t>
            </w:r>
            <w:r>
              <w:rPr>
                <w:rFonts w:ascii="Times New Roman"/>
                <w:sz w:val="18"/>
              </w:rPr>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维护费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8,591.10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375,054.34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3,284.85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380,360.59</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7,311,424.86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12,538,882.47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13,470,102.22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184,688.90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6,195,516.21</w:t>
            </w:r>
            <w:r>
              <w:rPr>
                <w:rFonts w:ascii="Times New Roman"/>
                <w:sz w:val="18"/>
              </w:rPr>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30、递延所得税资产/递延所得税负债" w:id="434"/>
      <w:bookmarkEnd w:id="434"/>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after="0" w:line="240" w:lineRule="auto"/>
        <w:jc w:val="left"/>
        <w:sectPr>
          <w:footerReference w:type="default" r:id="rId76"/>
          <w:pgSz w:w="11910" w:h="16840"/>
          <w:pgMar w:footer="1134" w:header="882" w:top="1280" w:bottom="1320" w:left="980" w:right="0"/>
        </w:sectPr>
      </w:pPr>
    </w:p>
    <w:p>
      <w:pPr>
        <w:pStyle w:val="Heading4"/>
        <w:spacing w:line="240" w:lineRule="auto" w:before="112"/>
        <w:ind w:right="1127"/>
        <w:jc w:val="left"/>
        <w:rPr>
          <w:b w:val="0"/>
          <w:bCs w:val="0"/>
        </w:rPr>
      </w:pPr>
      <w:bookmarkStart w:name="（1）未经抵销的递延所得税资产" w:id="435"/>
      <w:bookmarkEnd w:id="43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166"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4" w:hRule="exact"/>
        </w:trPr>
        <w:tc>
          <w:tcPr>
            <w:tcW w:w="191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913"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166"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142,709,548.16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22,455,940.97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160,783,684.56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21,959,033.40</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6,885,317.99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1,094,106.06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6,350,150.47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1,091,573.95</w:t>
            </w:r>
            <w:r>
              <w:rPr>
                <w:rFonts w:ascii="Times New Roman"/>
                <w:sz w:val="18"/>
              </w:rPr>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450,000.00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450,000.00</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152,594,866.15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24,000,047.03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170,133,835.03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23,500,607.35</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2）未经抵销的递延所得税负债" w:id="436"/>
      <w:bookmarkEnd w:id="43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166" w:hRule="exact"/>
        </w:trPr>
        <w:tc>
          <w:tcPr>
            <w:tcW w:w="18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84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1" w:hRule="exact"/>
        </w:trPr>
        <w:tc>
          <w:tcPr>
            <w:tcW w:w="188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63" w:hRule="exact"/>
        </w:trPr>
        <w:tc>
          <w:tcPr>
            <w:tcW w:w="1889" w:type="dxa"/>
            <w:vMerge/>
            <w:tcBorders>
              <w:left w:val="single" w:sz="4" w:space="0" w:color="000000"/>
              <w:bottom w:val="nil" w:sz="6" w:space="0" w:color="auto"/>
              <w:right w:val="single" w:sz="4" w:space="0" w:color="000000"/>
            </w:tcBorders>
            <w:shd w:val="clear" w:color="auto" w:fill="D4D4D4"/>
          </w:tcPr>
          <w:p>
            <w:pPr/>
          </w:p>
        </w:tc>
        <w:tc>
          <w:tcPr>
            <w:tcW w:w="19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24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166" w:hRule="exact"/>
        </w:trPr>
        <w:tc>
          <w:tcPr>
            <w:tcW w:w="1889"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7"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12" w:right="65"/>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27,091,233.92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4,300,072.21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44,864,556.24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7,472,923.34</w:t>
            </w:r>
            <w:r>
              <w:rPr>
                <w:rFonts w:ascii="Times New Roman"/>
                <w:sz w:val="18"/>
              </w:rPr>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12" w:right="65"/>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2,568,389.05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385,258.36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29,659,622.97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4,685,330.57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44,864,556.24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7,472,923.34</w:t>
            </w:r>
            <w:r>
              <w:rPr>
                <w:rFonts w:ascii="Times New Roman"/>
                <w:sz w:val="18"/>
              </w:rPr>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3）以抵销后净额列示的递延所得税资产或负债" w:id="437"/>
      <w:bookmarkEnd w:id="43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122"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33"/>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33"/>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33"/>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33"/>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34"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24,000,047.03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23,500,607.35</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4,685,330.57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7,472,923.34</w:t>
            </w:r>
            <w:r>
              <w:rPr>
                <w:rFonts w:ascii="Times New Roman"/>
                <w:sz w:val="18"/>
              </w:rPr>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4）未确认递延所得税资产明细" w:id="438"/>
      <w:bookmarkEnd w:id="438"/>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32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5）未确认递延所得税资产的可抵扣亏损将于以下年度到期" w:id="439"/>
      <w:bookmarkEnd w:id="439"/>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323"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64"/>
        <w:ind w:left="152" w:right="1127" w:firstLine="420"/>
        <w:jc w:val="left"/>
      </w:pPr>
      <w:r>
        <w:rPr/>
        <w:t>其他说明：</w:t>
      </w:r>
    </w:p>
    <w:p>
      <w:pPr>
        <w:spacing w:line="240" w:lineRule="auto" w:before="0"/>
        <w:rPr>
          <w:rFonts w:ascii="宋体" w:hAnsi="宋体" w:cs="宋体" w:eastAsia="宋体" w:hint="default"/>
          <w:sz w:val="20"/>
          <w:szCs w:val="20"/>
        </w:rPr>
      </w:pPr>
    </w:p>
    <w:p>
      <w:pPr>
        <w:spacing w:line="470" w:lineRule="auto" w:before="176"/>
        <w:ind w:left="572" w:right="7290" w:hanging="420"/>
        <w:jc w:val="left"/>
        <w:rPr>
          <w:rFonts w:ascii="宋体" w:hAnsi="宋体" w:cs="宋体" w:eastAsia="宋体" w:hint="default"/>
          <w:sz w:val="21"/>
          <w:szCs w:val="21"/>
        </w:rPr>
      </w:pPr>
      <w:bookmarkStart w:name="31、其他非流动资产" w:id="440"/>
      <w:bookmarkEnd w:id="440"/>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、其他非流动资产</w:t>
      </w:r>
      <w:r>
        <w:rPr>
          <w:rFonts w:ascii="宋体" w:hAnsi="宋体" w:cs="宋体" w:eastAsia="宋体" w:hint="default"/>
          <w:b/>
          <w:bCs/>
          <w:w w:val="100"/>
          <w:sz w:val="21"/>
          <w:szCs w:val="21"/>
        </w:rPr>
        <w:t> </w:t>
      </w:r>
      <w:r>
        <w:rPr>
          <w:rFonts w:ascii="宋体" w:hAnsi="宋体" w:cs="宋体" w:eastAsia="宋体" w:hint="default"/>
          <w:spacing w:val="-2"/>
          <w:sz w:val="21"/>
          <w:szCs w:val="21"/>
        </w:rPr>
        <w:t>是否已执行新收入准则</w:t>
      </w:r>
    </w:p>
    <w:p>
      <w:pPr>
        <w:pStyle w:val="BodyText"/>
        <w:spacing w:line="240" w:lineRule="auto" w:before="32"/>
        <w:ind w:right="11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footerReference w:type="default" r:id="rId77"/>
          <w:pgSz w:w="11910" w:h="16840"/>
          <w:pgMar w:footer="1134" w:header="882" w:top="1280" w:bottom="1320" w:left="980" w:right="0"/>
          <w:pgNumType w:start="221"/>
        </w:sectPr>
      </w:pPr>
    </w:p>
    <w:p>
      <w:pPr>
        <w:spacing w:before="113"/>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购买固定资产、无形资产款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3,581,000.00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7,437,330.00</w:t>
            </w:r>
            <w:r>
              <w:rPr>
                <w:rFonts w:ascii="Times New Roman"/>
                <w:sz w:val="18"/>
              </w:rPr>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3,581,000.00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7,437,330.00</w:t>
            </w:r>
            <w:r>
              <w:rPr>
                <w:rFonts w:ascii="Times New Roman"/>
                <w:sz w:val="18"/>
              </w:rPr>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32、短期借款" w:id="441"/>
      <w:bookmarkEnd w:id="441"/>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1127"/>
        <w:jc w:val="left"/>
        <w:rPr>
          <w:b w:val="0"/>
          <w:bCs w:val="0"/>
        </w:rPr>
      </w:pPr>
      <w:bookmarkStart w:name="（1）短期借款分类" w:id="442"/>
      <w:bookmarkEnd w:id="44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40,000,000.00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130,000,000.00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194,159,500.00</w:t>
            </w:r>
            <w:r>
              <w:rPr>
                <w:rFonts w:ascii="Times New Roman"/>
                <w:sz w:val="18"/>
              </w:rPr>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191,000,000.00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556,880,000.00</w:t>
            </w:r>
            <w:r>
              <w:rPr>
                <w:rFonts w:ascii="Times New Roman"/>
                <w:sz w:val="18"/>
              </w:rPr>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短期借款利息</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437,799.78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727,912.80</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361,437,799.78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751,767,412.80</w:t>
            </w:r>
            <w:r>
              <w:rPr>
                <w:rFonts w:ascii="Times New Roman"/>
                <w:sz w:val="18"/>
              </w:rPr>
            </w:r>
          </w:p>
        </w:tc>
      </w:tr>
    </w:tbl>
    <w:p>
      <w:pPr>
        <w:pStyle w:val="BodyText"/>
        <w:spacing w:line="441" w:lineRule="auto" w:before="64"/>
        <w:ind w:right="8132"/>
        <w:jc w:val="left"/>
      </w:pPr>
      <w:r>
        <w:rPr>
          <w:spacing w:val="-2"/>
        </w:rPr>
        <w:t>短期借款分类的说明：</w:t>
      </w:r>
      <w:r>
        <w:rPr>
          <w:spacing w:val="-85"/>
        </w:rPr>
        <w:t> </w:t>
      </w:r>
      <w:r>
        <w:rPr>
          <w:spacing w:val="-85"/>
        </w:rPr>
      </w:r>
      <w:r>
        <w:rPr/>
        <w:t>说明：</w:t>
      </w:r>
    </w:p>
    <w:p>
      <w:pPr>
        <w:pStyle w:val="BodyText"/>
        <w:spacing w:line="336" w:lineRule="auto" w:before="60"/>
        <w:ind w:left="152" w:right="1127" w:firstLine="419"/>
        <w:jc w:val="left"/>
      </w:pPr>
      <w:r>
        <w:rPr/>
        <w:t>（</w:t>
      </w:r>
      <w:r>
        <w:rPr>
          <w:rFonts w:ascii="Times New Roman" w:hAnsi="Times New Roman" w:cs="Times New Roman" w:eastAsia="Times New Roman" w:hint="default"/>
        </w:rPr>
        <w:t>1</w:t>
      </w:r>
      <w:r>
        <w:rPr/>
        <w:t>）本公司子公司泰豪智能分别于</w:t>
      </w:r>
      <w:r>
        <w:rPr>
          <w:spacing w:val="-3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38"/>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38"/>
        </w:rPr>
        <w:t> </w:t>
      </w:r>
      <w:r>
        <w:rPr>
          <w:rFonts w:ascii="Times New Roman" w:hAnsi="Times New Roman" w:cs="Times New Roman" w:eastAsia="Times New Roman" w:hint="default"/>
        </w:rPr>
        <w:t>22</w:t>
      </w:r>
      <w:r>
        <w:rPr>
          <w:rFonts w:ascii="Times New Roman" w:hAnsi="Times New Roman" w:cs="Times New Roman" w:eastAsia="Times New Roman" w:hint="default"/>
          <w:spacing w:val="-10"/>
        </w:rPr>
        <w:t> </w:t>
      </w:r>
      <w:r>
        <w:rPr/>
        <w:t>日、</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38"/>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日与北京银行股份有限公司翠</w:t>
      </w:r>
      <w:r>
        <w:rPr>
          <w:spacing w:val="-3"/>
          <w:w w:val="100"/>
        </w:rPr>
        <w:t> </w:t>
      </w:r>
      <w:r>
        <w:rPr/>
        <w:t>微路支行签订借款合同，借款金额</w:t>
      </w:r>
      <w:r>
        <w:rPr>
          <w:spacing w:val="-58"/>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16"/>
        </w:rPr>
        <w:t> </w:t>
      </w:r>
      <w:r>
        <w:rPr/>
        <w:t>万元、</w:t>
      </w:r>
      <w:r>
        <w:rPr>
          <w:rFonts w:ascii="Times New Roman" w:hAnsi="Times New Roman" w:cs="Times New Roman" w:eastAsia="Times New Roman" w:hint="default"/>
        </w:rPr>
        <w:t>8,000.00</w:t>
      </w:r>
      <w:r>
        <w:rPr>
          <w:rFonts w:ascii="Times New Roman" w:hAnsi="Times New Roman" w:cs="Times New Roman" w:eastAsia="Times New Roman" w:hint="default"/>
          <w:spacing w:val="-14"/>
        </w:rPr>
        <w:t> </w:t>
      </w:r>
      <w:r>
        <w:rPr/>
        <w:t>万元。上述借款由本公司提供保证担保。</w:t>
      </w:r>
    </w:p>
    <w:p>
      <w:pPr>
        <w:pStyle w:val="BodyText"/>
        <w:spacing w:line="240" w:lineRule="auto" w:before="125"/>
        <w:ind w:left="573"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t>日，泰豪智能科技以位于北京经济技术开发区锦绣街</w:t>
      </w:r>
      <w:r>
        <w:rPr>
          <w:spacing w:val="-40"/>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号的房屋及土地使用权</w:t>
      </w:r>
    </w:p>
    <w:p>
      <w:pPr>
        <w:pStyle w:val="BodyText"/>
        <w:spacing w:line="240" w:lineRule="auto" w:before="119"/>
        <w:ind w:left="152" w:right="0"/>
        <w:jc w:val="left"/>
      </w:pPr>
      <w:r>
        <w:rPr/>
        <w:t>设定抵押，抵押权人为宁波银行股份有限公司北京分行。抵押期限自</w:t>
      </w:r>
      <w:r>
        <w:rPr>
          <w:spacing w:val="-3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33"/>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33"/>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日至</w:t>
      </w:r>
      <w:r>
        <w:rPr>
          <w:spacing w:val="-3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t>年</w:t>
      </w:r>
      <w:r>
        <w:rPr>
          <w:spacing w:val="-3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p>
    <w:p>
      <w:pPr>
        <w:pStyle w:val="BodyText"/>
        <w:spacing w:line="240" w:lineRule="auto" w:before="117"/>
        <w:ind w:left="152" w:right="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日。土地使用权编号：开有限国用（</w:t>
      </w:r>
      <w:r>
        <w:rPr>
          <w:rFonts w:ascii="Times New Roman" w:hAnsi="Times New Roman" w:cs="Times New Roman" w:eastAsia="Times New Roman" w:hint="default"/>
        </w:rPr>
        <w:t>2003</w:t>
      </w:r>
      <w:r>
        <w:rPr/>
        <w:t>）字第</w:t>
      </w:r>
      <w:r>
        <w:rPr>
          <w:spacing w:val="-37"/>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号。房产证编号：京房权证开股字第</w:t>
      </w:r>
      <w:r>
        <w:rPr>
          <w:spacing w:val="-37"/>
        </w:rPr>
        <w:t> </w:t>
      </w:r>
      <w:r>
        <w:rPr>
          <w:rFonts w:ascii="Times New Roman" w:hAnsi="Times New Roman" w:cs="Times New Roman" w:eastAsia="Times New Roman" w:hint="default"/>
        </w:rPr>
        <w:t>00174</w:t>
      </w:r>
      <w:r>
        <w:rPr>
          <w:rFonts w:ascii="Times New Roman" w:hAnsi="Times New Roman" w:cs="Times New Roman" w:eastAsia="Times New Roman" w:hint="default"/>
          <w:spacing w:val="-4"/>
        </w:rPr>
        <w:t> </w:t>
      </w:r>
      <w:r>
        <w:rPr>
          <w:spacing w:val="-3"/>
        </w:rPr>
        <w:t>号。借</w:t>
      </w:r>
      <w:r>
        <w:rPr/>
      </w:r>
    </w:p>
    <w:p>
      <w:pPr>
        <w:pStyle w:val="BodyText"/>
        <w:spacing w:line="240" w:lineRule="auto" w:before="115"/>
        <w:ind w:left="153" w:right="1127"/>
        <w:jc w:val="left"/>
      </w:pPr>
      <w:r>
        <w:rPr/>
        <w:t>款金额</w:t>
      </w:r>
      <w:r>
        <w:rPr>
          <w:spacing w:val="-54"/>
        </w:rPr>
        <w:t> </w:t>
      </w:r>
      <w:r>
        <w:rPr>
          <w:rFonts w:ascii="Times New Roman" w:hAnsi="Times New Roman" w:cs="Times New Roman" w:eastAsia="Times New Roman" w:hint="default"/>
        </w:rPr>
        <w:t>4,000.00</w:t>
      </w:r>
      <w:r>
        <w:rPr>
          <w:rFonts w:ascii="Times New Roman" w:hAnsi="Times New Roman" w:cs="Times New Roman" w:eastAsia="Times New Roman" w:hint="default"/>
          <w:spacing w:val="-11"/>
        </w:rPr>
        <w:t> </w:t>
      </w:r>
      <w:r>
        <w:rPr/>
        <w:t>万元。</w:t>
      </w:r>
    </w:p>
    <w:p>
      <w:pPr>
        <w:spacing w:line="240" w:lineRule="auto" w:before="3"/>
        <w:rPr>
          <w:rFonts w:ascii="宋体" w:hAnsi="宋体" w:cs="宋体" w:eastAsia="宋体" w:hint="default"/>
          <w:sz w:val="32"/>
          <w:szCs w:val="32"/>
        </w:rPr>
      </w:pPr>
    </w:p>
    <w:p>
      <w:pPr>
        <w:spacing w:line="470" w:lineRule="auto" w:before="0"/>
        <w:ind w:left="572" w:right="1127" w:hanging="421"/>
        <w:jc w:val="left"/>
        <w:rPr>
          <w:rFonts w:ascii="宋体" w:hAnsi="宋体" w:cs="宋体" w:eastAsia="宋体" w:hint="default"/>
          <w:sz w:val="21"/>
          <w:szCs w:val="21"/>
        </w:rPr>
      </w:pPr>
      <w:bookmarkStart w:name="（2）已逾期未偿还的短期借款情况" w:id="443"/>
      <w:bookmarkEnd w:id="4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本期末已逾期未偿还的短期借款总额为元，其中重要的已逾期未偿还的短期借款情况如下：</w:t>
      </w:r>
    </w:p>
    <w:p>
      <w:pPr>
        <w:spacing w:before="36"/>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64"/>
        <w:ind w:left="134" w:right="8859"/>
        <w:jc w:val="center"/>
      </w:pPr>
      <w:r>
        <w:rPr/>
        <w:t>其他说明：</w:t>
      </w:r>
    </w:p>
    <w:p>
      <w:pPr>
        <w:spacing w:line="240" w:lineRule="auto" w:before="0"/>
        <w:rPr>
          <w:rFonts w:ascii="宋体" w:hAnsi="宋体" w:cs="宋体" w:eastAsia="宋体" w:hint="default"/>
          <w:sz w:val="20"/>
          <w:szCs w:val="20"/>
        </w:rPr>
      </w:pPr>
    </w:p>
    <w:p>
      <w:pPr>
        <w:pStyle w:val="Heading4"/>
        <w:spacing w:line="240" w:lineRule="auto" w:before="174"/>
        <w:ind w:left="134" w:right="8854"/>
        <w:jc w:val="center"/>
        <w:rPr>
          <w:b w:val="0"/>
          <w:bCs w:val="0"/>
        </w:rPr>
      </w:pPr>
      <w:bookmarkStart w:name="33、交易性金融负债" w:id="444"/>
      <w:bookmarkEnd w:id="444"/>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78"/>
      </w:tblGrid>
      <w:tr>
        <w:trPr>
          <w:trHeight w:val="323" w:hRule="exact"/>
        </w:trPr>
        <w:tc>
          <w:tcPr>
            <w:tcW w:w="31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7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24" w:hRule="exact"/>
        </w:trPr>
        <w:tc>
          <w:tcPr>
            <w:tcW w:w="31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78" w:type="dxa"/>
            <w:tcBorders>
              <w:top w:val="single" w:sz="4" w:space="0" w:color="000000"/>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882" w:footer="1134" w:top="1280" w:bottom="1320" w:left="980" w:right="0"/>
        </w:sectPr>
      </w:pPr>
    </w:p>
    <w:p>
      <w:pPr>
        <w:pStyle w:val="BodyText"/>
        <w:spacing w:line="240" w:lineRule="auto" w:before="110"/>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34、衍生金融负债" w:id="445"/>
      <w:bookmarkEnd w:id="445"/>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324"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35、应付票据" w:id="446"/>
      <w:bookmarkEnd w:id="446"/>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107,962,477.29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338,489,964.24</w:t>
            </w:r>
            <w:r>
              <w:rPr>
                <w:rFonts w:ascii="Times New Roman"/>
                <w:sz w:val="18"/>
              </w:rPr>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107,962,477.29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418,489,964.24</w:t>
            </w:r>
            <w:r>
              <w:rPr>
                <w:rFonts w:ascii="Times New Roman"/>
                <w:sz w:val="18"/>
              </w:rPr>
            </w:r>
          </w:p>
        </w:tc>
      </w:tr>
    </w:tbl>
    <w:p>
      <w:pPr>
        <w:pStyle w:val="BodyText"/>
        <w:spacing w:line="240" w:lineRule="auto" w:before="64"/>
        <w:ind w:right="1127"/>
        <w:jc w:val="left"/>
      </w:pPr>
      <w:r>
        <w:rPr/>
        <w:t>本期末已到期未支付的应付票据总额为元。</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36、应付账款" w:id="447"/>
      <w:bookmarkEnd w:id="447"/>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1127"/>
        <w:jc w:val="left"/>
        <w:rPr>
          <w:b w:val="0"/>
          <w:bCs w:val="0"/>
        </w:rPr>
      </w:pPr>
      <w:bookmarkStart w:name="（1）应付账款列示" w:id="448"/>
      <w:bookmarkEnd w:id="448"/>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609,755,743.74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730,161,423.50</w:t>
            </w:r>
            <w:r>
              <w:rPr>
                <w:rFonts w:ascii="Times New Roman"/>
                <w:sz w:val="18"/>
              </w:rPr>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319,428,451.68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266,090,436.22</w:t>
            </w:r>
            <w:r>
              <w:rPr>
                <w:rFonts w:ascii="Times New Roman"/>
                <w:sz w:val="18"/>
              </w:rPr>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929,184,195.42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996,251,859.72</w:t>
            </w:r>
            <w:r>
              <w:rPr>
                <w:rFonts w:ascii="Times New Roman"/>
                <w:sz w:val="18"/>
              </w:rPr>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2）账龄超过1年的重要应付账款" w:id="449"/>
      <w:bookmarkEnd w:id="449"/>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5,982,077.14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项目应付款，待甲方支付后支付</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5,351,299.00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项目尾款，待甲方支付后支付</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5,028,942.41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项目应付款，待甲方支付后支付</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4,500,000.00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项目应付款，待结算完成后付款</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4,304,311.56</w:t>
            </w:r>
            <w:r>
              <w:rPr>
                <w:rFonts w:ascii="Times New Roman"/>
                <w:sz w:val="18"/>
              </w:rPr>
            </w:r>
          </w:p>
        </w:tc>
        <w:tc>
          <w:tcPr>
            <w:tcW w:w="3190"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项目应付款，待结算完成后付款</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8"/>
              <w:ind w:right="6"/>
              <w:jc w:val="right"/>
              <w:rPr>
                <w:rFonts w:ascii="Times New Roman" w:hAnsi="Times New Roman" w:cs="Times New Roman" w:eastAsia="Times New Roman" w:hint="default"/>
                <w:sz w:val="18"/>
                <w:szCs w:val="18"/>
              </w:rPr>
            </w:pPr>
            <w:r>
              <w:rPr>
                <w:rFonts w:ascii="Times New Roman"/>
                <w:spacing w:val="-1"/>
                <w:sz w:val="18"/>
              </w:rPr>
              <w:t>25,166,630.11</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37、预收款项" w:id="450"/>
      <w:bookmarkEnd w:id="450"/>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right="1127"/>
        <w:jc w:val="left"/>
      </w:pPr>
      <w:r>
        <w:rPr/>
        <w:t>是否已执行新收入准则</w:t>
      </w:r>
    </w:p>
    <w:p>
      <w:pPr>
        <w:spacing w:after="0" w:line="240" w:lineRule="auto"/>
        <w:jc w:val="left"/>
        <w:sectPr>
          <w:pgSz w:w="11910" w:h="16840"/>
          <w:pgMar w:header="882" w:footer="1134" w:top="1280" w:bottom="1320" w:left="980" w:right="0"/>
        </w:sectPr>
      </w:pPr>
    </w:p>
    <w:p>
      <w:pPr>
        <w:pStyle w:val="BodyText"/>
        <w:spacing w:line="240" w:lineRule="auto" w:before="110"/>
        <w:ind w:left="134" w:right="8933"/>
        <w:jc w:val="cente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3"/>
        <w:rPr>
          <w:rFonts w:ascii="宋体" w:hAnsi="宋体" w:cs="宋体" w:eastAsia="宋体" w:hint="default"/>
          <w:sz w:val="32"/>
          <w:szCs w:val="32"/>
        </w:rPr>
      </w:pPr>
    </w:p>
    <w:p>
      <w:pPr>
        <w:pStyle w:val="Heading4"/>
        <w:spacing w:line="240" w:lineRule="auto"/>
        <w:ind w:left="134" w:right="8957"/>
        <w:jc w:val="center"/>
        <w:rPr>
          <w:b w:val="0"/>
          <w:bCs w:val="0"/>
        </w:rPr>
      </w:pPr>
      <w:bookmarkStart w:name="（1）预收款项列示" w:id="451"/>
      <w:bookmarkEnd w:id="45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320,556,317.95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413,814,661.91</w:t>
            </w:r>
            <w:r>
              <w:rPr>
                <w:rFonts w:ascii="Times New Roman"/>
                <w:sz w:val="18"/>
              </w:rPr>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106,469,789.86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38,452,804.84</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427,026,107.81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452,267,466.75</w:t>
            </w:r>
            <w:r>
              <w:rPr>
                <w:rFonts w:ascii="Times New Roman"/>
                <w:sz w:val="18"/>
              </w:rPr>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2）账龄超过1年的重要预收款项" w:id="452"/>
      <w:bookmarkEnd w:id="452"/>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5,661,648.42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未满足条件</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5,246,000.00</w:t>
            </w:r>
            <w:r>
              <w:rPr>
                <w:rFonts w:ascii="Times New Roman"/>
                <w:sz w:val="18"/>
              </w:rPr>
            </w:r>
          </w:p>
        </w:tc>
        <w:tc>
          <w:tcPr>
            <w:tcW w:w="3190"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未满足条件</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5"/>
              <w:ind w:right="6"/>
              <w:jc w:val="right"/>
              <w:rPr>
                <w:rFonts w:ascii="Times New Roman" w:hAnsi="Times New Roman" w:cs="Times New Roman" w:eastAsia="Times New Roman" w:hint="default"/>
                <w:sz w:val="18"/>
                <w:szCs w:val="18"/>
              </w:rPr>
            </w:pPr>
            <w:r>
              <w:rPr>
                <w:rFonts w:ascii="Times New Roman"/>
                <w:spacing w:val="-1"/>
                <w:sz w:val="18"/>
              </w:rPr>
              <w:t>10,907,648.42</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3）期末建造合同形成的已结算未完工项目情况" w:id="453"/>
      <w:bookmarkEnd w:id="453"/>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56"/>
        <w:gridCol w:w="4801"/>
      </w:tblGrid>
      <w:tr>
        <w:trPr>
          <w:trHeight w:val="324"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4"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1,334,234,722.51</w:t>
            </w:r>
          </w:p>
        </w:tc>
      </w:tr>
      <w:tr>
        <w:trPr>
          <w:trHeight w:val="324"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258,398,517.45</w:t>
            </w:r>
            <w:r>
              <w:rPr>
                <w:rFonts w:ascii="Times New Roman"/>
                <w:sz w:val="18"/>
              </w:rPr>
            </w:r>
          </w:p>
        </w:tc>
      </w:tr>
      <w:tr>
        <w:trPr>
          <w:trHeight w:val="32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1,725,898,606.89</w:t>
            </w:r>
          </w:p>
        </w:tc>
      </w:tr>
      <w:tr>
        <w:trPr>
          <w:trHeight w:val="32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建造合同形成的已结算未完工项目</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-133,265,366.93</w:t>
            </w:r>
            <w:r>
              <w:rPr>
                <w:rFonts w:ascii="Times New Roman"/>
                <w:sz w:val="18"/>
              </w:rPr>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38、合同负债" w:id="454"/>
      <w:bookmarkEnd w:id="454"/>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324"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64"/>
        <w:ind w:right="1127"/>
        <w:jc w:val="left"/>
      </w:pPr>
      <w:r>
        <w:rPr/>
        <w:t>报告期内账面价值发生重大变动的金额和原因</w:t>
      </w:r>
    </w:p>
    <w:p>
      <w:pPr>
        <w:spacing w:line="240" w:lineRule="auto" w:before="10"/>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204"/>
        <w:gridCol w:w="2419"/>
        <w:gridCol w:w="4932"/>
      </w:tblGrid>
      <w:tr>
        <w:trPr>
          <w:trHeight w:val="323" w:hRule="exact"/>
        </w:trPr>
        <w:tc>
          <w:tcPr>
            <w:tcW w:w="22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12"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39、应付职工薪酬" w:id="455"/>
      <w:bookmarkEnd w:id="455"/>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1）应付职工薪酬列示" w:id="456"/>
      <w:bookmarkEnd w:id="45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01"/>
        <w:gridCol w:w="1915"/>
        <w:gridCol w:w="1915"/>
        <w:gridCol w:w="1913"/>
        <w:gridCol w:w="1915"/>
      </w:tblGrid>
      <w:tr>
        <w:trPr>
          <w:trHeight w:val="324"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770"/>
              <w:jc w:val="right"/>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797"/>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left="837" w:right="0"/>
              <w:jc w:val="left"/>
              <w:rPr>
                <w:rFonts w:ascii="Times New Roman" w:hAnsi="Times New Roman" w:cs="Times New Roman" w:eastAsia="Times New Roman" w:hint="default"/>
                <w:sz w:val="18"/>
                <w:szCs w:val="18"/>
              </w:rPr>
            </w:pPr>
            <w:r>
              <w:rPr>
                <w:rFonts w:ascii="Times New Roman"/>
                <w:sz w:val="18"/>
              </w:rPr>
              <w:t>73,444,208.45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55" w:right="0"/>
              <w:jc w:val="left"/>
              <w:rPr>
                <w:rFonts w:ascii="Times New Roman" w:hAnsi="Times New Roman" w:cs="Times New Roman" w:eastAsia="Times New Roman" w:hint="default"/>
                <w:sz w:val="18"/>
                <w:szCs w:val="18"/>
              </w:rPr>
            </w:pPr>
            <w:r>
              <w:rPr>
                <w:rFonts w:ascii="Times New Roman"/>
                <w:sz w:val="18"/>
              </w:rPr>
              <w:t>423,538,945.30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55" w:right="0"/>
              <w:jc w:val="left"/>
              <w:rPr>
                <w:rFonts w:ascii="Times New Roman" w:hAnsi="Times New Roman" w:cs="Times New Roman" w:eastAsia="Times New Roman" w:hint="default"/>
                <w:sz w:val="18"/>
                <w:szCs w:val="18"/>
              </w:rPr>
            </w:pPr>
            <w:r>
              <w:rPr>
                <w:rFonts w:ascii="Times New Roman"/>
                <w:sz w:val="18"/>
              </w:rPr>
              <w:t>432,570,216.93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47" w:right="0"/>
              <w:jc w:val="left"/>
              <w:rPr>
                <w:rFonts w:ascii="Times New Roman" w:hAnsi="Times New Roman" w:cs="Times New Roman" w:eastAsia="Times New Roman" w:hint="default"/>
                <w:sz w:val="18"/>
                <w:szCs w:val="18"/>
              </w:rPr>
            </w:pPr>
            <w:r>
              <w:rPr>
                <w:rFonts w:ascii="Times New Roman"/>
                <w:sz w:val="18"/>
              </w:rPr>
              <w:t>64,412,936.82</w:t>
            </w:r>
          </w:p>
        </w:tc>
      </w:tr>
    </w:tbl>
    <w:p>
      <w:pPr>
        <w:spacing w:after="0" w:line="240" w:lineRule="auto"/>
        <w:jc w:val="lef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557"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22"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2,347,341.66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40,268,535.85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40,252,897.54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2,362,979.97</w:t>
            </w:r>
            <w:r>
              <w:rPr>
                <w:rFonts w:ascii="Times New Roman"/>
                <w:sz w:val="18"/>
              </w:rPr>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70,947.50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1,050,566.62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967,597.50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153,916.62</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75,862,497.61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464,858,047.77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473,790,711.97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66,929,833.41</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2）短期薪酬列示" w:id="457"/>
      <w:bookmarkEnd w:id="45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0" w:lineRule="exact" w:before="37"/>
              <w:ind w:left="24" w:right="2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64,120,794.11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364,901,800.83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374,142,334.92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54,880,260.02</w:t>
            </w:r>
            <w:r>
              <w:rPr>
                <w:rFonts w:ascii="Times New Roman"/>
                <w:sz w:val="18"/>
              </w:rPr>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1,459,968.87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5,947,347.97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7,397,020.97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10,295.87</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1,236,752.69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29,064,672.85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28,464,780.97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1,836,644.57</w:t>
            </w:r>
            <w:r>
              <w:rPr>
                <w:rFonts w:ascii="Times New Roman"/>
                <w:sz w:val="18"/>
              </w:rPr>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1,097,220.24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22,623,720.81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22,079,856.54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1,641,084.51</w:t>
            </w:r>
            <w:r>
              <w:rPr>
                <w:rFonts w:ascii="Times New Roman"/>
                <w:sz w:val="18"/>
              </w:rPr>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41,321.57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583,342.75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568,751.99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55,912.33</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98,210.88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1,834,934.87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1,807,137.79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126,007.96</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163"/>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4,022,674.42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4,009,034.65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13,639.77</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343,268.10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19,608,182.86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19,465,493.58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485,957.38</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6,283,424.68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3,836,940.79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2,920,586.49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7,199,778.98</w:t>
            </w:r>
            <w:r>
              <w:rPr>
                <w:rFonts w:ascii="Times New Roman"/>
                <w:sz w:val="18"/>
              </w:rPr>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其他短期薪酬</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180,000.00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73,444,208.45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423,538,945.30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432,570,216.93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64,412,936.82</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3）设定提存计划列示" w:id="458"/>
      <w:bookmarkEnd w:id="45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2,221,545.98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38,709,224.43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38,690,434.45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2,240,335.96</w:t>
            </w:r>
            <w:r>
              <w:rPr>
                <w:rFonts w:ascii="Times New Roman"/>
                <w:sz w:val="18"/>
              </w:rPr>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91,612.72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1,559,011.42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1,527,980.13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122,644.01</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34,182.96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34,182.96</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7"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2,347,341.66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40,268,535.85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40,252,897.54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2,362,979.97</w:t>
            </w:r>
            <w:r>
              <w:rPr>
                <w:rFonts w:ascii="Times New Roman"/>
                <w:sz w:val="18"/>
              </w:rPr>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40、应交税费" w:id="459"/>
      <w:bookmarkEnd w:id="459"/>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10,268,347.66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6,527,762.75</w:t>
            </w:r>
            <w:r>
              <w:rPr>
                <w:rFonts w:ascii="Times New Roman"/>
                <w:sz w:val="18"/>
              </w:rPr>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33,932,698.62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24,996,445.29</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1,485,072.47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1,275,188.65</w:t>
            </w:r>
            <w:r>
              <w:rPr>
                <w:rFonts w:ascii="Times New Roman"/>
                <w:sz w:val="18"/>
              </w:rPr>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1,510,577.56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1,242,936.41</w:t>
            </w:r>
            <w:r>
              <w:rPr>
                <w:rFonts w:ascii="Times New Roman"/>
                <w:sz w:val="18"/>
              </w:rPr>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95,666.98</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1,078,120.23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872,356.64</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36,727.53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55,359.61</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15,031.02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2,810.69</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997.97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8,956.97</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48,327,573.06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35,077,483.99</w:t>
            </w:r>
          </w:p>
        </w:tc>
      </w:tr>
    </w:tbl>
    <w:p>
      <w:pPr>
        <w:pStyle w:val="BodyText"/>
        <w:spacing w:line="240" w:lineRule="auto" w:before="64"/>
        <w:ind w:left="152" w:right="1127" w:firstLine="420"/>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41、其他应付款" w:id="460"/>
      <w:bookmarkEnd w:id="460"/>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452,569,778.38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290,712,630.06</w:t>
            </w:r>
            <w:r>
              <w:rPr>
                <w:rFonts w:ascii="Times New Roman"/>
                <w:sz w:val="18"/>
              </w:rPr>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452,569,778.38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290,712,630.06</w:t>
            </w:r>
            <w:r>
              <w:rPr>
                <w:rFonts w:ascii="Times New Roman"/>
                <w:sz w:val="18"/>
              </w:rPr>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1）应付利息" w:id="461"/>
      <w:bookmarkEnd w:id="461"/>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324"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64"/>
        <w:ind w:right="1127"/>
        <w:jc w:val="left"/>
      </w:pPr>
      <w:r>
        <w:rPr/>
        <w:t>重要的已逾期未支付的利息情况：</w:t>
      </w:r>
    </w:p>
    <w:p>
      <w:pPr>
        <w:spacing w:line="240" w:lineRule="auto" w:before="10"/>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32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2）应付股利" w:id="462"/>
      <w:bookmarkEnd w:id="462"/>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324"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64"/>
        <w:ind w:right="1127"/>
        <w:jc w:val="left"/>
      </w:pPr>
      <w:r>
        <w:rPr/>
        <w:t>其他说明，包括重要的超过</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年未支付的应付股利，应披露未支付原因：</w:t>
      </w:r>
    </w:p>
    <w:p>
      <w:pPr>
        <w:spacing w:line="240" w:lineRule="auto" w:before="3"/>
        <w:rPr>
          <w:rFonts w:ascii="宋体" w:hAnsi="宋体" w:cs="宋体" w:eastAsia="宋体" w:hint="default"/>
          <w:sz w:val="32"/>
          <w:szCs w:val="32"/>
        </w:rPr>
      </w:pPr>
    </w:p>
    <w:p>
      <w:pPr>
        <w:pStyle w:val="Heading4"/>
        <w:spacing w:line="240" w:lineRule="auto"/>
        <w:ind w:right="1127"/>
        <w:jc w:val="left"/>
        <w:rPr>
          <w:b w:val="0"/>
          <w:bCs w:val="0"/>
        </w:rPr>
      </w:pPr>
      <w:bookmarkStart w:name="（3）其他应付款" w:id="463"/>
      <w:bookmarkEnd w:id="463"/>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1127"/>
        <w:jc w:val="left"/>
        <w:rPr>
          <w:b w:val="0"/>
          <w:bCs w:val="0"/>
        </w:rPr>
      </w:pPr>
      <w:bookmarkStart w:name="1）按款项性质列示其他应付款" w:id="464"/>
      <w:bookmarkEnd w:id="464"/>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回购未解锁限制性股票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90,103,360.00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171,060,907.86</w:t>
            </w:r>
            <w:r>
              <w:rPr>
                <w:rFonts w:ascii="Times New Roman"/>
                <w:sz w:val="18"/>
              </w:rPr>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单位往来借款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117,717,199.59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54,830,176.48</w:t>
            </w:r>
            <w:r>
              <w:rPr>
                <w:rFonts w:ascii="Times New Roman"/>
                <w:sz w:val="18"/>
              </w:rPr>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应付股权收购款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208,725,000.00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20,557,935.66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49,915,109.44</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代扣代缴款项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11,149,134.39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8,377,413.14</w:t>
            </w:r>
            <w:r>
              <w:rPr>
                <w:rFonts w:ascii="Times New Roman"/>
                <w:sz w:val="18"/>
              </w:rPr>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报销未付款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4,317,148.74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6,529,023.14</w:t>
            </w:r>
            <w:r>
              <w:rPr>
                <w:rFonts w:ascii="Times New Roman"/>
                <w:sz w:val="18"/>
              </w:rPr>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452,569,778.38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290,712,630.06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pStyle w:val="Heading4"/>
        <w:spacing w:line="240" w:lineRule="auto" w:before="112"/>
        <w:ind w:right="1127"/>
        <w:jc w:val="left"/>
        <w:rPr>
          <w:b w:val="0"/>
          <w:bCs w:val="0"/>
        </w:rPr>
      </w:pPr>
      <w:bookmarkStart w:name="2）账龄超过1年的重要其他应付款" w:id="465"/>
      <w:bookmarkEnd w:id="465"/>
      <w:r>
        <w:rPr>
          <w:b w:val="0"/>
          <w:bCs w:val="0"/>
        </w:rPr>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3,949,062.13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3,749,542.29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3,640,680.31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3,004,595.21</w:t>
            </w:r>
            <w:r>
              <w:rPr>
                <w:rFonts w:ascii="Times New Roman"/>
                <w:sz w:val="18"/>
              </w:rPr>
            </w:r>
          </w:p>
        </w:tc>
        <w:tc>
          <w:tcPr>
            <w:tcW w:w="3190"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5"/>
              <w:ind w:right="6"/>
              <w:jc w:val="right"/>
              <w:rPr>
                <w:rFonts w:ascii="Times New Roman" w:hAnsi="Times New Roman" w:cs="Times New Roman" w:eastAsia="Times New Roman" w:hint="default"/>
                <w:sz w:val="18"/>
                <w:szCs w:val="18"/>
              </w:rPr>
            </w:pPr>
            <w:r>
              <w:rPr>
                <w:rFonts w:ascii="Times New Roman"/>
                <w:spacing w:val="-1"/>
                <w:sz w:val="18"/>
              </w:rPr>
              <w:t>14,343,879.94</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4"/>
        <w:ind w:left="22" w:right="8958"/>
        <w:jc w:val="center"/>
      </w:pPr>
      <w:r>
        <w:rPr/>
        <w:t>其他说明</w:t>
      </w:r>
    </w:p>
    <w:p>
      <w:pPr>
        <w:spacing w:line="240" w:lineRule="auto" w:before="0"/>
        <w:rPr>
          <w:rFonts w:ascii="宋体" w:hAnsi="宋体" w:cs="宋体" w:eastAsia="宋体" w:hint="default"/>
          <w:sz w:val="20"/>
          <w:szCs w:val="20"/>
        </w:rPr>
      </w:pPr>
    </w:p>
    <w:p>
      <w:pPr>
        <w:pStyle w:val="Heading4"/>
        <w:spacing w:line="240" w:lineRule="auto" w:before="174"/>
        <w:ind w:left="27" w:right="8958"/>
        <w:jc w:val="center"/>
        <w:rPr>
          <w:b w:val="0"/>
          <w:bCs w:val="0"/>
        </w:rPr>
      </w:pPr>
      <w:bookmarkStart w:name="42、持有待售负债" w:id="466"/>
      <w:bookmarkEnd w:id="466"/>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32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43、一年内到期的非流动负债" w:id="467"/>
      <w:bookmarkEnd w:id="467"/>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24,216,008.33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77,134,583.33</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长期借款利息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24,216,008.33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77,134,583.33</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spacing w:line="470" w:lineRule="auto" w:before="176"/>
        <w:ind w:left="572" w:right="7290" w:hanging="420"/>
        <w:jc w:val="left"/>
        <w:rPr>
          <w:rFonts w:ascii="宋体" w:hAnsi="宋体" w:cs="宋体" w:eastAsia="宋体" w:hint="default"/>
          <w:sz w:val="21"/>
          <w:szCs w:val="21"/>
        </w:rPr>
      </w:pPr>
      <w:bookmarkStart w:name="44、其他流动负债" w:id="468"/>
      <w:bookmarkEnd w:id="468"/>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pacing w:val="-2"/>
          <w:sz w:val="21"/>
          <w:szCs w:val="21"/>
        </w:rPr>
        <w:t>是否已执行新收入准则</w:t>
      </w:r>
    </w:p>
    <w:p>
      <w:pPr>
        <w:pStyle w:val="BodyText"/>
        <w:spacing w:line="240" w:lineRule="auto" w:before="32"/>
        <w:ind w:right="11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13"/>
          <w:szCs w:val="1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待转销项税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2,049,806.38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13,169,479.36</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2,049,806.38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13,169,479.36</w:t>
            </w:r>
          </w:p>
        </w:tc>
      </w:tr>
    </w:tbl>
    <w:p>
      <w:pPr>
        <w:pStyle w:val="BodyText"/>
        <w:spacing w:line="240" w:lineRule="auto" w:before="64"/>
        <w:ind w:right="1127"/>
        <w:jc w:val="left"/>
      </w:pPr>
      <w:r>
        <w:rPr/>
        <w:t>短期应付债券的增减变动：</w:t>
      </w:r>
    </w:p>
    <w:p>
      <w:pPr>
        <w:spacing w:line="240" w:lineRule="auto" w:before="10"/>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799"/>
        <w:gridCol w:w="797"/>
        <w:gridCol w:w="799"/>
        <w:gridCol w:w="797"/>
        <w:gridCol w:w="799"/>
        <w:gridCol w:w="797"/>
      </w:tblGrid>
      <w:tr>
        <w:trPr>
          <w:trHeight w:val="557"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8"/>
        <w:ind w:left="152" w:right="1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2"/>
          <w:szCs w:val="22"/>
        </w:rPr>
      </w:pPr>
    </w:p>
    <w:p>
      <w:pPr>
        <w:pStyle w:val="Heading4"/>
        <w:spacing w:line="240" w:lineRule="auto"/>
        <w:ind w:right="1127"/>
        <w:jc w:val="left"/>
        <w:rPr>
          <w:b w:val="0"/>
          <w:bCs w:val="0"/>
        </w:rPr>
      </w:pPr>
      <w:bookmarkStart w:name="45、长期借款" w:id="469"/>
      <w:bookmarkEnd w:id="469"/>
      <w:r>
        <w:rPr>
          <w:b w:val="0"/>
          <w:bCs w:val="0"/>
        </w:rPr>
      </w:r>
      <w:r>
        <w:rPr>
          <w:rFonts w:ascii="Times New Roman" w:hAnsi="Times New Roman" w:cs="Times New Roman" w:eastAsia="Times New Roman" w:hint="default"/>
        </w:rPr>
        <w:t>45</w:t>
      </w:r>
      <w:r>
        <w:rPr/>
        <w:t>、长期借款</w:t>
      </w:r>
      <w:r>
        <w:rPr>
          <w:b w:val="0"/>
          <w:bCs w:val="0"/>
        </w:rPr>
      </w:r>
    </w:p>
    <w:p>
      <w:pPr>
        <w:spacing w:after="0" w:line="240" w:lineRule="auto"/>
        <w:jc w:val="left"/>
        <w:sectPr>
          <w:pgSz w:w="11910" w:h="16840"/>
          <w:pgMar w:header="882" w:footer="1134" w:top="1280" w:bottom="1320" w:left="980" w:right="0"/>
        </w:sectPr>
      </w:pPr>
    </w:p>
    <w:p>
      <w:pPr>
        <w:pStyle w:val="Heading4"/>
        <w:spacing w:line="240" w:lineRule="auto" w:before="112"/>
        <w:ind w:right="1127"/>
        <w:jc w:val="left"/>
        <w:rPr>
          <w:b w:val="0"/>
          <w:bCs w:val="0"/>
        </w:rPr>
      </w:pPr>
      <w:bookmarkStart w:name="（1）长期借款分类" w:id="470"/>
      <w:bookmarkEnd w:id="470"/>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114,000,000.00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114,000,000.00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64"/>
        <w:ind w:right="1127"/>
        <w:jc w:val="left"/>
      </w:pPr>
      <w:r>
        <w:rPr/>
        <w:t>长期借款分类的说明：</w:t>
      </w:r>
    </w:p>
    <w:p>
      <w:pPr>
        <w:spacing w:line="240" w:lineRule="auto" w:before="1"/>
        <w:rPr>
          <w:rFonts w:ascii="宋体" w:hAnsi="宋体" w:cs="宋体" w:eastAsia="宋体" w:hint="default"/>
          <w:sz w:val="18"/>
          <w:szCs w:val="18"/>
        </w:rPr>
      </w:pPr>
    </w:p>
    <w:p>
      <w:pPr>
        <w:pStyle w:val="BodyText"/>
        <w:spacing w:line="240" w:lineRule="auto"/>
        <w:ind w:left="0" w:right="1128"/>
        <w:jc w:val="righ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39"/>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3"/>
        </w:rPr>
        <w:t>日，北京泰豪智能科技有限公司与北京农村商业银行股份有限公司科技园支行签订借</w:t>
      </w:r>
    </w:p>
    <w:p>
      <w:pPr>
        <w:pStyle w:val="BodyText"/>
        <w:spacing w:line="240" w:lineRule="auto" w:before="117"/>
        <w:ind w:left="152" w:right="0"/>
        <w:jc w:val="left"/>
      </w:pPr>
      <w:r>
        <w:rPr>
          <w:spacing w:val="-3"/>
        </w:rPr>
        <w:t>款合同，以自有房屋及土地使用权为抵押，借款人民币</w:t>
      </w:r>
      <w:r>
        <w:rPr>
          <w:spacing w:val="-47"/>
        </w:rPr>
        <w:t> </w:t>
      </w:r>
      <w:r>
        <w:rPr>
          <w:rFonts w:ascii="Times New Roman" w:hAnsi="Times New Roman" w:cs="Times New Roman" w:eastAsia="Times New Roman" w:hint="default"/>
        </w:rPr>
        <w:t>200,000,000.00</w:t>
      </w:r>
      <w:r>
        <w:rPr>
          <w:rFonts w:ascii="Times New Roman" w:hAnsi="Times New Roman" w:cs="Times New Roman" w:eastAsia="Times New Roman" w:hint="default"/>
          <w:spacing w:val="-5"/>
        </w:rPr>
        <w:t> </w:t>
      </w:r>
      <w:r>
        <w:rPr>
          <w:spacing w:val="-3"/>
        </w:rPr>
        <w:t>元，借款期限自</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w:t>
      </w:r>
    </w:p>
    <w:p>
      <w:pPr>
        <w:pStyle w:val="BodyText"/>
        <w:spacing w:line="420" w:lineRule="auto" w:before="115"/>
        <w:ind w:right="7290" w:hanging="420"/>
        <w:jc w:val="left"/>
      </w:pPr>
      <w:r>
        <w:rPr/>
        <w:t>至</w:t>
      </w:r>
      <w:r>
        <w:rPr>
          <w:spacing w:val="-53"/>
        </w:rPr>
        <w:t> </w:t>
      </w:r>
      <w:r>
        <w:rPr>
          <w:rFonts w:ascii="Times New Roman" w:hAnsi="Times New Roman" w:cs="Times New Roman" w:eastAsia="Times New Roman" w:hint="default"/>
        </w:rPr>
        <w:t>2024</w:t>
      </w:r>
      <w:r>
        <w:rPr>
          <w:rFonts w:ascii="Times New Roman" w:hAnsi="Times New Roman" w:cs="Times New Roman" w:eastAsia="Times New Roman" w:hint="default"/>
          <w:spacing w:val="-12"/>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10"/>
        </w:rPr>
        <w:t> </w:t>
      </w:r>
      <w:r>
        <w:rPr>
          <w:spacing w:val="-3"/>
        </w:rPr>
        <w:t>日。</w:t>
      </w:r>
      <w:r>
        <w:rPr>
          <w:spacing w:val="-102"/>
        </w:rPr>
        <w:t> </w:t>
      </w:r>
      <w:r>
        <w:rPr>
          <w:spacing w:val="-2"/>
        </w:rPr>
        <w:t>其他说明，包括利率区间：</w:t>
      </w:r>
    </w:p>
    <w:p>
      <w:pPr>
        <w:spacing w:line="240" w:lineRule="auto" w:before="6"/>
        <w:rPr>
          <w:rFonts w:ascii="宋体" w:hAnsi="宋体" w:cs="宋体" w:eastAsia="宋体" w:hint="default"/>
          <w:sz w:val="21"/>
          <w:szCs w:val="21"/>
        </w:rPr>
      </w:pPr>
    </w:p>
    <w:p>
      <w:pPr>
        <w:pStyle w:val="Heading4"/>
        <w:spacing w:line="240" w:lineRule="auto"/>
        <w:ind w:right="1127"/>
        <w:jc w:val="left"/>
        <w:rPr>
          <w:b w:val="0"/>
          <w:bCs w:val="0"/>
        </w:rPr>
      </w:pPr>
      <w:bookmarkStart w:name="46、应付债券" w:id="471"/>
      <w:bookmarkEnd w:id="471"/>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1127"/>
        <w:jc w:val="left"/>
        <w:rPr>
          <w:b w:val="0"/>
          <w:bCs w:val="0"/>
        </w:rPr>
      </w:pPr>
      <w:bookmarkStart w:name="（1）应付债券" w:id="472"/>
      <w:bookmarkEnd w:id="472"/>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1"/>
          <w:szCs w:val="21"/>
        </w:rPr>
      </w:pPr>
    </w:p>
    <w:p>
      <w:pPr>
        <w:spacing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324"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2）应付债券的增减变动（不包括划分为金融负债的优先股、永续债等其他金融工具）" w:id="473"/>
      <w:bookmarkEnd w:id="473"/>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tbl>
      <w:tblPr>
        <w:tblW w:w="0" w:type="auto"/>
        <w:jc w:val="left"/>
        <w:tblInd w:w="148" w:type="dxa"/>
        <w:tblLayout w:type="fixed"/>
        <w:tblCellMar>
          <w:top w:w="0" w:type="dxa"/>
          <w:left w:w="0" w:type="dxa"/>
          <w:bottom w:w="0" w:type="dxa"/>
          <w:right w:w="0" w:type="dxa"/>
        </w:tblCellMar>
        <w:tblLook w:val="01E0"/>
      </w:tblPr>
      <w:tblGrid>
        <w:gridCol w:w="799"/>
        <w:gridCol w:w="797"/>
        <w:gridCol w:w="799"/>
        <w:gridCol w:w="797"/>
        <w:gridCol w:w="799"/>
        <w:gridCol w:w="797"/>
        <w:gridCol w:w="799"/>
        <w:gridCol w:w="797"/>
        <w:gridCol w:w="799"/>
        <w:gridCol w:w="797"/>
        <w:gridCol w:w="799"/>
        <w:gridCol w:w="797"/>
      </w:tblGrid>
      <w:tr>
        <w:trPr>
          <w:trHeight w:val="128" w:hRule="exact"/>
        </w:trPr>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51" w:space="0" w:color="D4D4D4"/>
              <w:left w:val="single" w:sz="23" w:space="0" w:color="D4D4D4"/>
              <w:right w:val="single" w:sz="9" w:space="0" w:color="D4D4D4"/>
            </w:tcBorders>
          </w:tcPr>
          <w:p>
            <w:pPr>
              <w:pStyle w:val="TableParagraph"/>
              <w:spacing w:line="240" w:lineRule="auto" w:before="67"/>
              <w:ind w:left="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4D4D4" w:color="auto" w:val="clear"/>
              </w:rPr>
              <w:t>债券期限</w:t>
            </w:r>
            <w:r>
              <w:rPr>
                <w:rFonts w:ascii="宋体" w:hAnsi="宋体" w:cs="宋体" w:eastAsia="宋体" w:hint="default"/>
                <w:sz w:val="18"/>
                <w:szCs w:val="18"/>
              </w:rPr>
            </w:r>
          </w:p>
        </w:tc>
        <w:tc>
          <w:tcPr>
            <w:tcW w:w="799" w:type="dxa"/>
            <w:vMerge w:val="restart"/>
            <w:tcBorders>
              <w:top w:val="single" w:sz="51" w:space="0" w:color="D4D4D4"/>
              <w:left w:val="single" w:sz="9" w:space="0" w:color="D4D4D4"/>
              <w:right w:val="single" w:sz="23" w:space="0" w:color="D4D4D4"/>
            </w:tcBorders>
          </w:tcPr>
          <w:p>
            <w:pPr>
              <w:pStyle w:val="TableParagraph"/>
              <w:spacing w:line="240" w:lineRule="auto" w:before="67"/>
              <w:ind w:left="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4D4D4" w:color="auto" w:val="clear"/>
              </w:rPr>
              <w:t>发行金额</w:t>
            </w:r>
            <w:r>
              <w:rPr>
                <w:rFonts w:ascii="宋体" w:hAnsi="宋体" w:cs="宋体" w:eastAsia="宋体" w:hint="default"/>
                <w:sz w:val="18"/>
                <w:szCs w:val="18"/>
              </w:rPr>
            </w:r>
          </w:p>
        </w:tc>
        <w:tc>
          <w:tcPr>
            <w:tcW w:w="797" w:type="dxa"/>
            <w:vMerge w:val="restart"/>
            <w:tcBorders>
              <w:top w:val="single" w:sz="51" w:space="0" w:color="D4D4D4"/>
              <w:left w:val="single" w:sz="23" w:space="0" w:color="D4D4D4"/>
              <w:right w:val="single" w:sz="9" w:space="0" w:color="D4D4D4"/>
            </w:tcBorders>
          </w:tcPr>
          <w:p>
            <w:pPr>
              <w:pStyle w:val="TableParagraph"/>
              <w:spacing w:line="240" w:lineRule="auto" w:before="67"/>
              <w:ind w:left="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4D4D4" w:color="auto" w:val="clear"/>
              </w:rPr>
              <w:t>期初余额</w:t>
            </w:r>
            <w:r>
              <w:rPr>
                <w:rFonts w:ascii="宋体" w:hAnsi="宋体" w:cs="宋体" w:eastAsia="宋体" w:hint="default"/>
                <w:sz w:val="18"/>
                <w:szCs w:val="18"/>
              </w:rPr>
            </w:r>
          </w:p>
        </w:tc>
        <w:tc>
          <w:tcPr>
            <w:tcW w:w="799" w:type="dxa"/>
            <w:vMerge w:val="restart"/>
            <w:tcBorders>
              <w:top w:val="single" w:sz="51" w:space="0" w:color="D4D4D4"/>
              <w:left w:val="single" w:sz="9" w:space="0" w:color="D4D4D4"/>
              <w:right w:val="single" w:sz="10" w:space="0" w:color="D4D4D4"/>
            </w:tcBorders>
          </w:tcPr>
          <w:p>
            <w:pPr>
              <w:pStyle w:val="TableParagraph"/>
              <w:spacing w:line="240" w:lineRule="auto" w:before="67"/>
              <w:ind w:left="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4D4D4" w:color="auto" w:val="clear"/>
              </w:rPr>
              <w:t>本期发行</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33"/>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33"/>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vMerge w:val="restart"/>
            <w:tcBorders>
              <w:top w:val="single" w:sz="51" w:space="0" w:color="D4D4D4"/>
              <w:left w:val="single" w:sz="10" w:space="0" w:color="D4D4D4"/>
              <w:right w:val="single" w:sz="9" w:space="0" w:color="D4D4D4"/>
            </w:tcBorders>
          </w:tcPr>
          <w:p>
            <w:pPr>
              <w:pStyle w:val="TableParagraph"/>
              <w:spacing w:line="240" w:lineRule="auto" w:before="67"/>
              <w:ind w:left="2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4D4D4" w:color="auto" w:val="clear"/>
              </w:rPr>
              <w:t>本期偿还</w:t>
            </w:r>
            <w:r>
              <w:rPr>
                <w:rFonts w:ascii="宋体" w:hAnsi="宋体" w:cs="宋体" w:eastAsia="宋体" w:hint="default"/>
                <w:sz w:val="18"/>
                <w:szCs w:val="18"/>
              </w:rPr>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51" w:space="0" w:color="D4D4D4"/>
              <w:left w:val="single" w:sz="23" w:space="0" w:color="D4D4D4"/>
              <w:right w:val="single" w:sz="12" w:space="0" w:color="D4D4D4"/>
            </w:tcBorders>
          </w:tcPr>
          <w:p>
            <w:pPr>
              <w:pStyle w:val="TableParagraph"/>
              <w:spacing w:line="240" w:lineRule="auto" w:before="67"/>
              <w:ind w:left="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4D4D4" w:color="auto" w:val="clear"/>
              </w:rPr>
              <w:t>期末余额</w:t>
            </w:r>
            <w:r>
              <w:rPr>
                <w:rFonts w:ascii="宋体" w:hAnsi="宋体" w:cs="宋体" w:eastAsia="宋体" w:hint="default"/>
                <w:sz w:val="18"/>
                <w:szCs w:val="18"/>
              </w:rPr>
            </w:r>
          </w:p>
        </w:tc>
      </w:tr>
      <w:tr>
        <w:trPr>
          <w:trHeight w:val="370" w:hRule="exact"/>
        </w:trPr>
        <w:tc>
          <w:tcPr>
            <w:tcW w:w="799"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vMerge/>
            <w:tcBorders>
              <w:left w:val="single" w:sz="23" w:space="0" w:color="D4D4D4"/>
              <w:bottom w:val="single" w:sz="47" w:space="0" w:color="D4D4D4"/>
              <w:right w:val="single" w:sz="9" w:space="0" w:color="D4D4D4"/>
            </w:tcBorders>
          </w:tcPr>
          <w:p>
            <w:pPr/>
          </w:p>
        </w:tc>
        <w:tc>
          <w:tcPr>
            <w:tcW w:w="799" w:type="dxa"/>
            <w:vMerge/>
            <w:tcBorders>
              <w:left w:val="single" w:sz="9" w:space="0" w:color="D4D4D4"/>
              <w:bottom w:val="single" w:sz="47" w:space="0" w:color="D4D4D4"/>
              <w:right w:val="single" w:sz="23" w:space="0" w:color="D4D4D4"/>
            </w:tcBorders>
          </w:tcPr>
          <w:p>
            <w:pPr/>
          </w:p>
        </w:tc>
        <w:tc>
          <w:tcPr>
            <w:tcW w:w="797" w:type="dxa"/>
            <w:vMerge/>
            <w:tcBorders>
              <w:left w:val="single" w:sz="23" w:space="0" w:color="D4D4D4"/>
              <w:bottom w:val="single" w:sz="47" w:space="0" w:color="D4D4D4"/>
              <w:right w:val="single" w:sz="9" w:space="0" w:color="D4D4D4"/>
            </w:tcBorders>
          </w:tcPr>
          <w:p>
            <w:pPr/>
          </w:p>
        </w:tc>
        <w:tc>
          <w:tcPr>
            <w:tcW w:w="799" w:type="dxa"/>
            <w:vMerge/>
            <w:tcBorders>
              <w:left w:val="single" w:sz="9" w:space="0" w:color="D4D4D4"/>
              <w:bottom w:val="single" w:sz="47" w:space="0" w:color="D4D4D4"/>
              <w:right w:val="single" w:sz="10" w:space="0" w:color="D4D4D4"/>
            </w:tcBorders>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10" w:space="0" w:color="D4D4D4"/>
              <w:bottom w:val="single" w:sz="47" w:space="0" w:color="D4D4D4"/>
              <w:right w:val="single" w:sz="9" w:space="0" w:color="D4D4D4"/>
            </w:tcBorders>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23" w:space="0" w:color="D4D4D4"/>
              <w:bottom w:val="single" w:sz="47" w:space="0" w:color="D4D4D4"/>
              <w:right w:val="single" w:sz="12" w:space="0" w:color="D4D4D4"/>
            </w:tcBorders>
          </w:tcPr>
          <w:p>
            <w:pPr/>
          </w:p>
        </w:tc>
      </w:tr>
      <w:tr>
        <w:trPr>
          <w:trHeight w:val="356"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7" w:space="0" w:color="D4D4D4"/>
              <w:left w:val="single" w:sz="13" w:space="0" w:color="D4D4D4"/>
              <w:bottom w:val="single" w:sz="6" w:space="0" w:color="D4D4D4"/>
              <w:right w:val="single" w:sz="4" w:space="0" w:color="000000"/>
            </w:tcBorders>
          </w:tcPr>
          <w:p>
            <w:pPr/>
          </w:p>
        </w:tc>
        <w:tc>
          <w:tcPr>
            <w:tcW w:w="799" w:type="dxa"/>
            <w:tcBorders>
              <w:top w:val="single" w:sz="47" w:space="0" w:color="D4D4D4"/>
              <w:left w:val="single" w:sz="4" w:space="0" w:color="000000"/>
              <w:bottom w:val="single" w:sz="6" w:space="0" w:color="D4D4D4"/>
              <w:right w:val="single" w:sz="4" w:space="0" w:color="000000"/>
            </w:tcBorders>
          </w:tcPr>
          <w:p>
            <w:pPr/>
          </w:p>
        </w:tc>
        <w:tc>
          <w:tcPr>
            <w:tcW w:w="797" w:type="dxa"/>
            <w:tcBorders>
              <w:top w:val="single" w:sz="47" w:space="0" w:color="D4D4D4"/>
              <w:left w:val="single" w:sz="4" w:space="0" w:color="000000"/>
              <w:bottom w:val="single" w:sz="6" w:space="0" w:color="D4D4D4"/>
              <w:right w:val="single" w:sz="4" w:space="0" w:color="000000"/>
            </w:tcBorders>
          </w:tcPr>
          <w:p>
            <w:pPr/>
          </w:p>
        </w:tc>
        <w:tc>
          <w:tcPr>
            <w:tcW w:w="799" w:type="dxa"/>
            <w:tcBorders>
              <w:top w:val="single" w:sz="47" w:space="0" w:color="D4D4D4"/>
              <w:left w:val="single" w:sz="4" w:space="0" w:color="000000"/>
              <w:bottom w:val="single" w:sz="4" w:space="0" w:color="000000"/>
              <w:right w:val="single" w:sz="4" w:space="0" w:color="000000"/>
            </w:tcBorders>
          </w:tcPr>
          <w:p>
            <w:pPr/>
          </w:p>
        </w:tc>
        <w:tc>
          <w:tcPr>
            <w:tcW w:w="797" w:type="dxa"/>
            <w:tcBorders>
              <w:top w:val="single" w:sz="47" w:space="0" w:color="D4D4D4"/>
              <w:left w:val="single" w:sz="4" w:space="0" w:color="000000"/>
              <w:bottom w:val="single" w:sz="4" w:space="0" w:color="000000"/>
              <w:right w:val="single" w:sz="4" w:space="0" w:color="000000"/>
            </w:tcBorders>
          </w:tcPr>
          <w:p>
            <w:pPr/>
          </w:p>
        </w:tc>
        <w:tc>
          <w:tcPr>
            <w:tcW w:w="799" w:type="dxa"/>
            <w:tcBorders>
              <w:top w:val="single" w:sz="47" w:space="0" w:color="D4D4D4"/>
              <w:left w:val="single" w:sz="4" w:space="0" w:color="000000"/>
              <w:bottom w:val="single" w:sz="4" w:space="0" w:color="000000"/>
              <w:right w:val="single" w:sz="13" w:space="0" w:color="D4D4D4"/>
            </w:tcBorders>
          </w:tcPr>
          <w:p>
            <w:pPr/>
          </w:p>
        </w:tc>
        <w:tc>
          <w:tcPr>
            <w:tcW w:w="797" w:type="dxa"/>
            <w:tcBorders>
              <w:top w:val="single" w:sz="4" w:space="0" w:color="000000"/>
              <w:left w:val="single" w:sz="13" w:space="0" w:color="D4D4D4"/>
              <w:bottom w:val="single" w:sz="4" w:space="0" w:color="000000"/>
              <w:right w:val="single" w:sz="9" w:space="0" w:color="D4D4D4"/>
            </w:tcBorders>
          </w:tcPr>
          <w:p>
            <w:pPr/>
          </w:p>
        </w:tc>
        <w:tc>
          <w:tcPr>
            <w:tcW w:w="799" w:type="dxa"/>
            <w:tcBorders>
              <w:top w:val="single" w:sz="4" w:space="0" w:color="000000"/>
              <w:left w:val="single" w:sz="9" w:space="0" w:color="D4D4D4"/>
              <w:bottom w:val="single" w:sz="4" w:space="0" w:color="000000"/>
              <w:right w:val="single" w:sz="10" w:space="0" w:color="D4D4D4"/>
            </w:tcBorders>
          </w:tcPr>
          <w:p>
            <w:pPr/>
          </w:p>
        </w:tc>
        <w:tc>
          <w:tcPr>
            <w:tcW w:w="797" w:type="dxa"/>
            <w:tcBorders>
              <w:top w:val="single" w:sz="47" w:space="0" w:color="D4D4D4"/>
              <w:left w:val="single" w:sz="10" w:space="0" w:color="D4D4D4"/>
              <w:bottom w:val="single" w:sz="4" w:space="0" w:color="000000"/>
              <w:right w:val="single" w:sz="4" w:space="0" w:color="000000"/>
            </w:tcBorders>
          </w:tcPr>
          <w:p>
            <w:pPr/>
          </w:p>
        </w:tc>
        <w:tc>
          <w:tcPr>
            <w:tcW w:w="799" w:type="dxa"/>
            <w:tcBorders>
              <w:top w:val="single" w:sz="52" w:space="0" w:color="D4D4D4"/>
              <w:left w:val="single" w:sz="4" w:space="0" w:color="000000"/>
              <w:bottom w:val="single" w:sz="4" w:space="0" w:color="000000"/>
              <w:right w:val="single" w:sz="4" w:space="0" w:color="000000"/>
            </w:tcBorders>
          </w:tcPr>
          <w:p>
            <w:pPr/>
          </w:p>
        </w:tc>
        <w:tc>
          <w:tcPr>
            <w:tcW w:w="797" w:type="dxa"/>
            <w:tcBorders>
              <w:top w:val="single" w:sz="47" w:space="0" w:color="D4D4D4"/>
              <w:left w:val="single" w:sz="4" w:space="0" w:color="000000"/>
              <w:bottom w:val="single" w:sz="4" w:space="0" w:color="000000"/>
              <w:right w:val="single" w:sz="4" w:space="0" w:color="000000"/>
            </w:tcBorders>
          </w:tcPr>
          <w:p>
            <w:pPr/>
          </w:p>
        </w:tc>
      </w:tr>
      <w:tr>
        <w:trPr>
          <w:trHeight w:val="324"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12" w:space="0" w:color="D4D4D4"/>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8"/>
          <w:szCs w:val="18"/>
        </w:rPr>
      </w:pPr>
    </w:p>
    <w:p>
      <w:pPr>
        <w:pStyle w:val="Heading4"/>
        <w:spacing w:line="240" w:lineRule="auto" w:before="36"/>
        <w:ind w:right="1127"/>
        <w:jc w:val="left"/>
        <w:rPr>
          <w:b w:val="0"/>
          <w:bCs w:val="0"/>
        </w:rPr>
      </w:pPr>
      <w:bookmarkStart w:name="（3）可转换公司债券的转股条件、转股时间说明" w:id="474"/>
      <w:bookmarkEnd w:id="474"/>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1"/>
          <w:szCs w:val="21"/>
        </w:rPr>
      </w:pPr>
    </w:p>
    <w:p>
      <w:pPr>
        <w:spacing w:line="458" w:lineRule="auto" w:before="0"/>
        <w:ind w:left="572" w:right="4340" w:hanging="421"/>
        <w:jc w:val="left"/>
        <w:rPr>
          <w:rFonts w:ascii="宋体" w:hAnsi="宋体" w:cs="宋体" w:eastAsia="宋体" w:hint="default"/>
          <w:sz w:val="21"/>
          <w:szCs w:val="21"/>
        </w:rPr>
      </w:pPr>
      <w:bookmarkStart w:name="（4）划分为金融负债的其他金融工具说明" w:id="475"/>
      <w:bookmarkEnd w:id="4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r>
        <w:rPr>
          <w:rFonts w:ascii="宋体" w:hAnsi="宋体" w:cs="宋体" w:eastAsia="宋体" w:hint="default"/>
          <w:w w:val="100"/>
          <w:sz w:val="21"/>
          <w:szCs w:val="21"/>
        </w:rPr>
        <w:t> </w:t>
      </w:r>
      <w:r>
        <w:rPr>
          <w:rFonts w:ascii="宋体" w:hAnsi="宋体" w:cs="宋体" w:eastAsia="宋体" w:hint="default"/>
          <w:sz w:val="21"/>
          <w:szCs w:val="21"/>
        </w:rPr>
        <w:t>期末发行在外的优先股、永续债等金融工具变动情况表</w:t>
      </w: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3"/>
        <w:gridCol w:w="1063"/>
        <w:gridCol w:w="1061"/>
        <w:gridCol w:w="1063"/>
        <w:gridCol w:w="1061"/>
      </w:tblGrid>
      <w:tr>
        <w:trPr>
          <w:trHeight w:val="323" w:hRule="exact"/>
        </w:trPr>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77"/>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24" w:hRule="exact"/>
        </w:trPr>
        <w:tc>
          <w:tcPr>
            <w:tcW w:w="1064" w:type="dxa"/>
            <w:vMerge/>
            <w:tcBorders>
              <w:left w:val="single" w:sz="4" w:space="0" w:color="000000"/>
              <w:bottom w:val="single" w:sz="4" w:space="0" w:color="000000"/>
              <w:right w:val="single" w:sz="4" w:space="0" w:color="000000"/>
            </w:tcBorders>
            <w:shd w:val="clear" w:color="auto" w:fill="D4D4D4"/>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444" w:lineRule="auto" w:before="64"/>
        <w:ind w:right="5790"/>
        <w:jc w:val="left"/>
      </w:pPr>
      <w:r>
        <w:rPr>
          <w:spacing w:val="-2"/>
        </w:rPr>
        <w:t>其他金融工具划分为金融负债的依据说明</w:t>
      </w:r>
      <w:r>
        <w:rPr>
          <w:spacing w:val="-69"/>
        </w:rPr>
        <w:t> </w:t>
      </w:r>
      <w:r>
        <w:rPr>
          <w:spacing w:val="-69"/>
        </w:rPr>
      </w:r>
      <w:r>
        <w:rPr/>
        <w:t>其他说明</w:t>
      </w:r>
    </w:p>
    <w:p>
      <w:pPr>
        <w:spacing w:line="240" w:lineRule="auto" w:before="9"/>
        <w:rPr>
          <w:rFonts w:ascii="宋体" w:hAnsi="宋体" w:cs="宋体" w:eastAsia="宋体" w:hint="default"/>
          <w:sz w:val="19"/>
          <w:szCs w:val="19"/>
        </w:rPr>
      </w:pPr>
    </w:p>
    <w:p>
      <w:pPr>
        <w:pStyle w:val="Heading4"/>
        <w:spacing w:line="240" w:lineRule="auto"/>
        <w:ind w:right="1127"/>
        <w:jc w:val="left"/>
        <w:rPr>
          <w:b w:val="0"/>
          <w:bCs w:val="0"/>
        </w:rPr>
      </w:pPr>
      <w:bookmarkStart w:name="47、租赁负债" w:id="476"/>
      <w:bookmarkEnd w:id="476"/>
      <w:r>
        <w:rPr>
          <w:b w:val="0"/>
          <w:bCs w:val="0"/>
        </w:rPr>
      </w:r>
      <w:r>
        <w:rPr>
          <w:rFonts w:ascii="Times New Roman" w:hAnsi="Times New Roman" w:cs="Times New Roman" w:eastAsia="Times New Roman" w:hint="default"/>
        </w:rPr>
        <w:t>47</w:t>
      </w:r>
      <w:r>
        <w:rPr/>
        <w:t>、租赁负债</w:t>
      </w:r>
      <w:r>
        <w:rPr>
          <w:b w:val="0"/>
          <w:bCs w:val="0"/>
        </w:rPr>
      </w:r>
    </w:p>
    <w:p>
      <w:pPr>
        <w:spacing w:after="0" w:line="240" w:lineRule="auto"/>
        <w:jc w:val="left"/>
        <w:sectPr>
          <w:pgSz w:w="11910" w:h="16840"/>
          <w:pgMar w:header="882" w:footer="1134" w:top="1280" w:bottom="1320" w:left="980" w:right="0"/>
        </w:sectPr>
      </w:pPr>
    </w:p>
    <w:p>
      <w:pPr>
        <w:spacing w:before="113"/>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4"/>
        <w:ind w:right="1127"/>
        <w:jc w:val="left"/>
        <w:rPr>
          <w:b w:val="0"/>
          <w:bCs w:val="0"/>
        </w:rPr>
      </w:pPr>
      <w:bookmarkStart w:name="48、长期应付款" w:id="477"/>
      <w:bookmarkEnd w:id="477"/>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32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8"/>
        <w:rPr>
          <w:rFonts w:ascii="宋体" w:hAnsi="宋体" w:cs="宋体" w:eastAsia="宋体" w:hint="default"/>
          <w:sz w:val="17"/>
          <w:szCs w:val="17"/>
        </w:rPr>
      </w:pPr>
    </w:p>
    <w:p>
      <w:pPr>
        <w:pStyle w:val="Heading4"/>
        <w:spacing w:line="240" w:lineRule="auto" w:before="36"/>
        <w:ind w:right="1127"/>
        <w:jc w:val="left"/>
        <w:rPr>
          <w:b w:val="0"/>
          <w:bCs w:val="0"/>
        </w:rPr>
      </w:pPr>
      <w:bookmarkStart w:name="（1）按款项性质列示长期应付款" w:id="478"/>
      <w:bookmarkEnd w:id="478"/>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32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2）专项应付款" w:id="479"/>
      <w:bookmarkEnd w:id="479"/>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83"/>
      </w:tblGrid>
      <w:tr>
        <w:trPr>
          <w:trHeight w:val="324"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49、长期应付职工薪酬" w:id="480"/>
      <w:bookmarkEnd w:id="480"/>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1127"/>
        <w:jc w:val="left"/>
        <w:rPr>
          <w:b w:val="0"/>
          <w:bCs w:val="0"/>
        </w:rPr>
      </w:pPr>
      <w:bookmarkStart w:name="（1）长期应付职工薪酬表" w:id="481"/>
      <w:bookmarkEnd w:id="481"/>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324"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7"/>
        <w:rPr>
          <w:rFonts w:ascii="宋体" w:hAnsi="宋体" w:cs="宋体" w:eastAsia="宋体" w:hint="default"/>
          <w:sz w:val="17"/>
          <w:szCs w:val="17"/>
        </w:rPr>
      </w:pPr>
    </w:p>
    <w:p>
      <w:pPr>
        <w:spacing w:line="472" w:lineRule="auto" w:before="36"/>
        <w:ind w:left="572" w:right="7290" w:hanging="420"/>
        <w:jc w:val="left"/>
        <w:rPr>
          <w:rFonts w:ascii="宋体" w:hAnsi="宋体" w:cs="宋体" w:eastAsia="宋体" w:hint="default"/>
          <w:sz w:val="21"/>
          <w:szCs w:val="21"/>
        </w:rPr>
      </w:pPr>
      <w:bookmarkStart w:name="（2）设定受益计划变动情况" w:id="482"/>
      <w:bookmarkEnd w:id="4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b/>
          <w:bCs/>
          <w:w w:val="100"/>
          <w:sz w:val="21"/>
          <w:szCs w:val="21"/>
        </w:rPr>
        <w:t> </w:t>
      </w:r>
      <w:r>
        <w:rPr>
          <w:rFonts w:ascii="宋体" w:hAnsi="宋体" w:cs="宋体" w:eastAsia="宋体" w:hint="default"/>
          <w:spacing w:val="-2"/>
          <w:sz w:val="21"/>
          <w:szCs w:val="21"/>
        </w:rPr>
        <w:t>设定受益计划义务现值：</w:t>
      </w:r>
    </w:p>
    <w:p>
      <w:pPr>
        <w:spacing w:before="3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32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64"/>
        <w:ind w:right="1127"/>
        <w:jc w:val="left"/>
      </w:pPr>
      <w:r>
        <w:rPr/>
        <w:t>计划资产：</w:t>
      </w:r>
    </w:p>
    <w:p>
      <w:pPr>
        <w:spacing w:line="240" w:lineRule="auto" w:before="10"/>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324"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64"/>
        <w:ind w:right="1127"/>
        <w:jc w:val="left"/>
      </w:pPr>
      <w:r>
        <w:rPr/>
        <w:t>设定受益计划净负债（净资产）</w:t>
      </w:r>
    </w:p>
    <w:p>
      <w:pPr>
        <w:spacing w:line="240" w:lineRule="auto" w:before="8"/>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324"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64"/>
        <w:ind w:right="1127"/>
        <w:jc w:val="left"/>
      </w:pPr>
      <w:r>
        <w:rPr/>
        <w:t>设定受益计划的内容及与之相关风险、对公司未来现金流量、时间和不确定性的影响说明：</w:t>
      </w:r>
    </w:p>
    <w:p>
      <w:pPr>
        <w:spacing w:line="240" w:lineRule="auto" w:before="12"/>
        <w:rPr>
          <w:rFonts w:ascii="宋体" w:hAnsi="宋体" w:cs="宋体" w:eastAsia="宋体" w:hint="default"/>
          <w:sz w:val="17"/>
          <w:szCs w:val="17"/>
        </w:rPr>
      </w:pPr>
    </w:p>
    <w:p>
      <w:pPr>
        <w:pStyle w:val="BodyText"/>
        <w:spacing w:line="240" w:lineRule="auto"/>
        <w:ind w:right="1127"/>
        <w:jc w:val="left"/>
      </w:pPr>
      <w:r>
        <w:rPr/>
        <w:t>设定受益计划重大精算假设及敏感性分析结果说明：</w:t>
      </w:r>
    </w:p>
    <w:p>
      <w:pPr>
        <w:spacing w:after="0" w:line="240" w:lineRule="auto"/>
        <w:jc w:val="left"/>
        <w:sectPr>
          <w:pgSz w:w="11910" w:h="16840"/>
          <w:pgMar w:header="882" w:footer="1134" w:top="1280" w:bottom="1320" w:left="980" w:right="0"/>
        </w:sectPr>
      </w:pPr>
    </w:p>
    <w:p>
      <w:pPr>
        <w:pStyle w:val="BodyText"/>
        <w:spacing w:line="240" w:lineRule="auto" w:before="110"/>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50、预计负债" w:id="483"/>
      <w:bookmarkEnd w:id="483"/>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right="1127"/>
        <w:jc w:val="left"/>
      </w:pPr>
      <w:r>
        <w:rPr/>
        <w:t>是否已执行新收入准则</w:t>
      </w:r>
    </w:p>
    <w:p>
      <w:pPr>
        <w:spacing w:line="240" w:lineRule="auto" w:before="12"/>
        <w:rPr>
          <w:rFonts w:ascii="宋体" w:hAnsi="宋体" w:cs="宋体" w:eastAsia="宋体" w:hint="default"/>
          <w:sz w:val="17"/>
          <w:szCs w:val="17"/>
        </w:rPr>
      </w:pPr>
    </w:p>
    <w:p>
      <w:pPr>
        <w:pStyle w:val="BodyText"/>
        <w:spacing w:line="240" w:lineRule="auto"/>
        <w:ind w:right="11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13"/>
          <w:szCs w:val="1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324"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64"/>
        <w:ind w:right="1127"/>
        <w:jc w:val="left"/>
      </w:pPr>
      <w:r>
        <w:rPr/>
        <w:t>其他说明，包括重要预计负债的相关重要假设、估计说明：</w:t>
      </w:r>
    </w:p>
    <w:p>
      <w:pPr>
        <w:spacing w:line="240" w:lineRule="auto" w:before="0"/>
        <w:rPr>
          <w:rFonts w:ascii="宋体" w:hAnsi="宋体" w:cs="宋体" w:eastAsia="宋体" w:hint="default"/>
          <w:sz w:val="20"/>
          <w:szCs w:val="20"/>
        </w:rPr>
      </w:pPr>
    </w:p>
    <w:p>
      <w:pPr>
        <w:pStyle w:val="Heading4"/>
        <w:spacing w:line="240" w:lineRule="auto" w:before="174"/>
        <w:ind w:right="1127"/>
        <w:jc w:val="left"/>
        <w:rPr>
          <w:b w:val="0"/>
          <w:bCs w:val="0"/>
        </w:rPr>
      </w:pPr>
      <w:bookmarkStart w:name="51、递延收益" w:id="484"/>
      <w:bookmarkEnd w:id="484"/>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19"/>
              <w:jc w:val="left"/>
              <w:rPr>
                <w:rFonts w:ascii="宋体" w:hAnsi="宋体" w:cs="宋体" w:eastAsia="宋体" w:hint="default"/>
                <w:sz w:val="18"/>
                <w:szCs w:val="18"/>
              </w:rPr>
            </w:pPr>
            <w:r>
              <w:rPr>
                <w:rFonts w:ascii="宋体" w:hAnsi="宋体" w:cs="宋体" w:eastAsia="宋体" w:hint="default"/>
                <w:sz w:val="18"/>
                <w:szCs w:val="18"/>
              </w:rPr>
              <w:t>与资产相关政府补 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51,572,480.20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3,220,530.48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48,351,949.72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24" w:right="119"/>
              <w:jc w:val="left"/>
              <w:rPr>
                <w:rFonts w:ascii="宋体" w:hAnsi="宋体" w:cs="宋体" w:eastAsia="宋体" w:hint="default"/>
                <w:sz w:val="18"/>
                <w:szCs w:val="18"/>
              </w:rPr>
            </w:pPr>
            <w:r>
              <w:rPr>
                <w:rFonts w:ascii="宋体" w:hAnsi="宋体" w:cs="宋体" w:eastAsia="宋体" w:hint="default"/>
                <w:sz w:val="18"/>
                <w:szCs w:val="18"/>
              </w:rPr>
              <w:t>与收益相关政府补 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14,227,865.48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7,170,000.00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2,341,022.15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19,056,843.33</w:t>
            </w:r>
          </w:p>
        </w:tc>
        <w:tc>
          <w:tcPr>
            <w:tcW w:w="1594" w:type="dxa"/>
            <w:tcBorders>
              <w:top w:val="single" w:sz="4" w:space="0" w:color="000000"/>
              <w:left w:val="single" w:sz="4" w:space="0" w:color="000000"/>
              <w:bottom w:val="single" w:sz="10" w:space="0" w:color="D4D4D4"/>
              <w:right w:val="single" w:sz="4" w:space="0" w:color="000000"/>
            </w:tcBorders>
          </w:tcPr>
          <w:p>
            <w:pP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65,800,345.68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7,170,000.00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5,561,552.63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67,408,793.05</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4"/>
        <w:ind w:right="1127"/>
        <w:jc w:val="left"/>
      </w:pPr>
      <w:r>
        <w:rPr/>
        <w:t>涉及政府补助的项目：</w:t>
      </w:r>
    </w:p>
    <w:p>
      <w:pPr>
        <w:spacing w:line="240" w:lineRule="auto" w:before="10"/>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0"/>
        <w:gridCol w:w="1010"/>
        <w:gridCol w:w="1010"/>
        <w:gridCol w:w="1008"/>
        <w:gridCol w:w="1010"/>
        <w:gridCol w:w="1248"/>
        <w:gridCol w:w="1010"/>
      </w:tblGrid>
      <w:tr>
        <w:trPr>
          <w:trHeight w:val="790" w:hRule="exact"/>
        </w:trPr>
        <w:tc>
          <w:tcPr>
            <w:tcW w:w="10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150"/>
              <w:ind w:left="230" w:right="48"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150"/>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150"/>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150"/>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55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77"/>
              <w:jc w:val="left"/>
              <w:rPr>
                <w:rFonts w:ascii="宋体" w:hAnsi="宋体" w:cs="宋体" w:eastAsia="宋体" w:hint="default"/>
                <w:sz w:val="18"/>
                <w:szCs w:val="18"/>
              </w:rPr>
            </w:pPr>
            <w:r>
              <w:rPr>
                <w:rFonts w:ascii="宋体" w:hAnsi="宋体" w:cs="宋体" w:eastAsia="宋体" w:hint="default"/>
                <w:sz w:val="18"/>
                <w:szCs w:val="18"/>
              </w:rPr>
              <w:t>金太阳示范 工程项目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48,572,480.20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3,220,530.48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45,351,949.72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5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77"/>
              <w:jc w:val="both"/>
              <w:rPr>
                <w:rFonts w:ascii="宋体" w:hAnsi="宋体" w:cs="宋体" w:eastAsia="宋体" w:hint="default"/>
                <w:sz w:val="18"/>
                <w:szCs w:val="18"/>
              </w:rPr>
            </w:pPr>
            <w:r>
              <w:rPr>
                <w:rFonts w:ascii="宋体" w:hAnsi="宋体" w:cs="宋体" w:eastAsia="宋体" w:hint="default"/>
                <w:sz w:val="18"/>
                <w:szCs w:val="18"/>
              </w:rPr>
              <w:t>基于云计算 的大型工业 群能耗和环 境管理预警 系统项目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2,700,000.00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400,000.00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2,300,000.00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77"/>
              <w:jc w:val="both"/>
              <w:rPr>
                <w:rFonts w:ascii="宋体" w:hAnsi="宋体" w:cs="宋体" w:eastAsia="宋体" w:hint="default"/>
                <w:sz w:val="18"/>
                <w:szCs w:val="18"/>
              </w:rPr>
            </w:pPr>
            <w:r>
              <w:rPr>
                <w:rFonts w:ascii="宋体" w:hAnsi="宋体" w:cs="宋体" w:eastAsia="宋体" w:hint="default"/>
                <w:sz w:val="18"/>
                <w:szCs w:val="18"/>
              </w:rPr>
              <w:t>支撑能源结 构调整的城 市级智慧能 源决策运营 平台</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4,677,916.66</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510,000.00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4,167,916.66</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2"/>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北京经济技 术开发区 </w:t>
            </w:r>
            <w:r>
              <w:rPr>
                <w:rFonts w:ascii="Times New Roman" w:hAnsi="Times New Roman" w:cs="Times New Roman" w:eastAsia="Times New Roman" w:hint="default"/>
                <w:sz w:val="18"/>
                <w:szCs w:val="18"/>
              </w:rPr>
              <w:t>“</w:t>
            </w:r>
            <w:r>
              <w:rPr>
                <w:rFonts w:ascii="宋体" w:hAnsi="宋体" w:cs="宋体" w:eastAsia="宋体" w:hint="default"/>
                <w:sz w:val="18"/>
                <w:szCs w:val="18"/>
              </w:rPr>
              <w:t>金太阳光 伏发电示范 项目</w:t>
            </w:r>
            <w:r>
              <w:rPr>
                <w:rFonts w:ascii="Times New Roman" w:hAnsi="Times New Roman" w:cs="Times New Roman" w:eastAsia="Times New Roman" w:hint="default"/>
                <w:sz w:val="18"/>
                <w:szCs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3,269,948.82</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255,874.92</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3,014,073.90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5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77"/>
              <w:jc w:val="both"/>
              <w:rPr>
                <w:rFonts w:ascii="宋体" w:hAnsi="宋体" w:cs="宋体" w:eastAsia="宋体" w:hint="default"/>
                <w:sz w:val="18"/>
                <w:szCs w:val="18"/>
              </w:rPr>
            </w:pPr>
            <w:r>
              <w:rPr>
                <w:rFonts w:ascii="宋体" w:hAnsi="宋体" w:cs="宋体" w:eastAsia="宋体" w:hint="default"/>
                <w:sz w:val="18"/>
                <w:szCs w:val="18"/>
              </w:rPr>
              <w:t>基于面向城 市大型商务 区建筑物群 能源、设施 管理及智能 化集成服务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6"/>
              <w:jc w:val="right"/>
              <w:rPr>
                <w:rFonts w:ascii="Times New Roman" w:hAnsi="Times New Roman" w:cs="Times New Roman" w:eastAsia="Times New Roman" w:hint="default"/>
                <w:sz w:val="18"/>
                <w:szCs w:val="18"/>
              </w:rPr>
            </w:pPr>
            <w:r>
              <w:rPr>
                <w:rFonts w:ascii="Times New Roman"/>
                <w:sz w:val="18"/>
              </w:rPr>
              <w:t>916,666.67</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44" w:right="0"/>
              <w:jc w:val="center"/>
              <w:rPr>
                <w:rFonts w:ascii="Times New Roman" w:hAnsi="Times New Roman" w:cs="Times New Roman" w:eastAsia="Times New Roman" w:hint="default"/>
                <w:sz w:val="18"/>
                <w:szCs w:val="18"/>
              </w:rPr>
            </w:pPr>
            <w:r>
              <w:rPr>
                <w:rFonts w:ascii="Times New Roman"/>
                <w:sz w:val="18"/>
              </w:rPr>
              <w:t>200,000.00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6"/>
              <w:jc w:val="right"/>
              <w:rPr>
                <w:rFonts w:ascii="Times New Roman" w:hAnsi="Times New Roman" w:cs="Times New Roman" w:eastAsia="Times New Roman" w:hint="default"/>
                <w:sz w:val="18"/>
                <w:szCs w:val="18"/>
              </w:rPr>
            </w:pPr>
            <w:r>
              <w:rPr>
                <w:rFonts w:ascii="Times New Roman"/>
                <w:sz w:val="18"/>
              </w:rPr>
              <w:t>716,666.67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footerReference w:type="default" r:id="rId78"/>
          <w:pgSz w:w="11910" w:h="16840"/>
          <w:pgMar w:footer="1134" w:header="882" w:top="1280" w:bottom="1320" w:left="980" w:right="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0"/>
        <w:gridCol w:w="1010"/>
        <w:gridCol w:w="1010"/>
        <w:gridCol w:w="1008"/>
        <w:gridCol w:w="1010"/>
        <w:gridCol w:w="1248"/>
        <w:gridCol w:w="1010"/>
      </w:tblGrid>
      <w:tr>
        <w:trPr>
          <w:trHeight w:val="28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系统项目</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77"/>
              <w:jc w:val="both"/>
              <w:rPr>
                <w:rFonts w:ascii="宋体" w:hAnsi="宋体" w:cs="宋体" w:eastAsia="宋体" w:hint="default"/>
                <w:sz w:val="18"/>
                <w:szCs w:val="18"/>
              </w:rPr>
            </w:pPr>
            <w:r>
              <w:rPr>
                <w:rFonts w:ascii="宋体" w:hAnsi="宋体" w:cs="宋体" w:eastAsia="宋体" w:hint="default"/>
                <w:sz w:val="18"/>
                <w:szCs w:val="18"/>
              </w:rPr>
              <w:t>基于大数据 的城市环境 信息监测云 管理与分析 平台</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1,548,333.33</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1,348,333.33</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77"/>
              <w:jc w:val="both"/>
              <w:rPr>
                <w:rFonts w:ascii="宋体" w:hAnsi="宋体" w:cs="宋体" w:eastAsia="宋体" w:hint="default"/>
                <w:sz w:val="18"/>
                <w:szCs w:val="18"/>
              </w:rPr>
            </w:pPr>
            <w:r>
              <w:rPr>
                <w:rFonts w:ascii="宋体" w:hAnsi="宋体" w:cs="宋体" w:eastAsia="宋体" w:hint="default"/>
                <w:sz w:val="18"/>
                <w:szCs w:val="18"/>
              </w:rPr>
              <w:t>大型公共建 筑高效空气 净化设备及 职能传感监 控系统</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1,115,000.00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77"/>
              <w:jc w:val="both"/>
              <w:rPr>
                <w:rFonts w:ascii="宋体" w:hAnsi="宋体" w:cs="宋体" w:eastAsia="宋体" w:hint="default"/>
                <w:sz w:val="18"/>
                <w:szCs w:val="18"/>
              </w:rPr>
            </w:pPr>
            <w:r>
              <w:rPr>
                <w:rFonts w:ascii="宋体" w:hAnsi="宋体" w:cs="宋体" w:eastAsia="宋体" w:hint="default"/>
                <w:sz w:val="18"/>
                <w:szCs w:val="18"/>
              </w:rPr>
              <w:t>中关村联盟 光伏发电监 控系统应用 示范</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9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77"/>
              <w:jc w:val="both"/>
              <w:rPr>
                <w:rFonts w:ascii="宋体" w:hAnsi="宋体" w:cs="宋体" w:eastAsia="宋体" w:hint="default"/>
                <w:sz w:val="18"/>
                <w:szCs w:val="18"/>
              </w:rPr>
            </w:pPr>
            <w:r>
              <w:rPr>
                <w:rFonts w:ascii="宋体" w:hAnsi="宋体" w:cs="宋体" w:eastAsia="宋体" w:hint="default"/>
                <w:sz w:val="18"/>
                <w:szCs w:val="18"/>
              </w:rPr>
              <w:t>创新实验室 的研究与技 术研发经费</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625,897.23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5,374,102.77</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2"/>
              <w:ind w:left="24"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年度上 海市软件和 集成电路产 业发展专项 资金第一笔</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1,170,000.00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29,250.00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1,140,750.00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65,800,345.68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7,170,000.00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5,561,552.63</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67,408,793.05</w:t>
            </w:r>
          </w:p>
        </w:tc>
        <w:tc>
          <w:tcPr>
            <w:tcW w:w="10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4"/>
        <w:ind w:left="152" w:right="1127" w:firstLine="420"/>
        <w:jc w:val="left"/>
      </w:pPr>
      <w:r>
        <w:rPr/>
        <w:t>其他说明：</w:t>
      </w:r>
    </w:p>
    <w:p>
      <w:pPr>
        <w:spacing w:line="240" w:lineRule="auto" w:before="0"/>
        <w:rPr>
          <w:rFonts w:ascii="宋体" w:hAnsi="宋体" w:cs="宋体" w:eastAsia="宋体" w:hint="default"/>
          <w:sz w:val="20"/>
          <w:szCs w:val="20"/>
        </w:rPr>
      </w:pPr>
    </w:p>
    <w:p>
      <w:pPr>
        <w:spacing w:line="470" w:lineRule="auto" w:before="176"/>
        <w:ind w:left="572" w:right="7290" w:hanging="420"/>
        <w:jc w:val="left"/>
        <w:rPr>
          <w:rFonts w:ascii="宋体" w:hAnsi="宋体" w:cs="宋体" w:eastAsia="宋体" w:hint="default"/>
          <w:sz w:val="21"/>
          <w:szCs w:val="21"/>
        </w:rPr>
      </w:pPr>
      <w:bookmarkStart w:name="52、其他非流动负债" w:id="485"/>
      <w:bookmarkEnd w:id="485"/>
      <w:r>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、其他非流动负债</w:t>
      </w:r>
      <w:r>
        <w:rPr>
          <w:rFonts w:ascii="宋体" w:hAnsi="宋体" w:cs="宋体" w:eastAsia="宋体" w:hint="default"/>
          <w:b/>
          <w:bCs/>
          <w:w w:val="100"/>
          <w:sz w:val="21"/>
          <w:szCs w:val="21"/>
        </w:rPr>
        <w:t> </w:t>
      </w:r>
      <w:r>
        <w:rPr>
          <w:rFonts w:ascii="宋体" w:hAnsi="宋体" w:cs="宋体" w:eastAsia="宋体" w:hint="default"/>
          <w:spacing w:val="-2"/>
          <w:sz w:val="21"/>
          <w:szCs w:val="21"/>
        </w:rPr>
        <w:t>是否已执行新收入准则</w:t>
      </w:r>
      <w:r>
        <w:rPr>
          <w:rFonts w:ascii="宋体" w:hAnsi="宋体" w:cs="宋体" w:eastAsia="宋体" w:hint="default"/>
          <w:sz w:val="21"/>
          <w:szCs w:val="21"/>
        </w:rPr>
      </w:r>
    </w:p>
    <w:p>
      <w:pPr>
        <w:pStyle w:val="BodyText"/>
        <w:spacing w:line="240" w:lineRule="auto" w:before="32"/>
        <w:ind w:right="11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13"/>
          <w:szCs w:val="1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324"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4"/>
        <w:ind w:right="1127"/>
        <w:jc w:val="left"/>
        <w:rPr>
          <w:b w:val="0"/>
          <w:bCs w:val="0"/>
        </w:rPr>
      </w:pPr>
      <w:bookmarkStart w:name="53、股本" w:id="486"/>
      <w:bookmarkEnd w:id="486"/>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5"/>
        <w:gridCol w:w="1198"/>
        <w:gridCol w:w="1195"/>
        <w:gridCol w:w="1195"/>
        <w:gridCol w:w="1198"/>
      </w:tblGrid>
      <w:tr>
        <w:trPr>
          <w:trHeight w:val="173" w:hRule="exact"/>
        </w:trPr>
        <w:tc>
          <w:tcPr>
            <w:tcW w:w="1195" w:type="dxa"/>
            <w:tcBorders>
              <w:top w:val="single" w:sz="4" w:space="0" w:color="000000"/>
              <w:left w:val="single" w:sz="4" w:space="0" w:color="000000"/>
              <w:bottom w:val="nil" w:sz="6" w:space="0" w:color="auto"/>
              <w:right w:val="single" w:sz="4" w:space="0" w:color="000000"/>
            </w:tcBorders>
            <w:shd w:val="clear" w:color="auto" w:fill="D4D4D4"/>
          </w:tcPr>
          <w:p>
            <w:pPr/>
          </w:p>
        </w:tc>
        <w:tc>
          <w:tcPr>
            <w:tcW w:w="1198" w:type="dxa"/>
            <w:tcBorders>
              <w:top w:val="single" w:sz="4" w:space="0" w:color="000000"/>
              <w:left w:val="single" w:sz="4" w:space="0" w:color="000000"/>
              <w:bottom w:val="nil" w:sz="6" w:space="0" w:color="auto"/>
              <w:right w:val="single" w:sz="4" w:space="0" w:color="000000"/>
            </w:tcBorders>
            <w:shd w:val="clear" w:color="auto" w:fill="D4D4D4"/>
          </w:tcPr>
          <w:p>
            <w:pPr/>
          </w:p>
        </w:tc>
        <w:tc>
          <w:tcPr>
            <w:tcW w:w="5978"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0" w:hRule="exact"/>
        </w:trPr>
        <w:tc>
          <w:tcPr>
            <w:tcW w:w="1195" w:type="dxa"/>
            <w:vMerge w:val="restart"/>
            <w:tcBorders>
              <w:top w:val="nil" w:sz="6" w:space="0" w:color="auto"/>
              <w:left w:val="single" w:sz="4" w:space="0" w:color="000000"/>
              <w:right w:val="single" w:sz="4" w:space="0" w:color="000000"/>
            </w:tcBorders>
            <w:shd w:val="clear" w:color="auto" w:fill="D4D4D4"/>
          </w:tcPr>
          <w:p>
            <w:pPr/>
          </w:p>
        </w:tc>
        <w:tc>
          <w:tcPr>
            <w:tcW w:w="11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78" w:type="dxa"/>
            <w:gridSpan w:val="5"/>
            <w:vMerge/>
            <w:tcBorders>
              <w:left w:val="single" w:sz="4" w:space="0" w:color="000000"/>
              <w:bottom w:val="single" w:sz="4" w:space="0" w:color="000000"/>
              <w:right w:val="single" w:sz="4" w:space="0" w:color="000000"/>
            </w:tcBorders>
            <w:shd w:val="clear" w:color="auto" w:fill="D4D4D4"/>
          </w:tcPr>
          <w:p>
            <w:pPr/>
          </w:p>
        </w:tc>
        <w:tc>
          <w:tcPr>
            <w:tcW w:w="11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0" w:hRule="exact"/>
        </w:trPr>
        <w:tc>
          <w:tcPr>
            <w:tcW w:w="1195" w:type="dxa"/>
            <w:vMerge/>
            <w:tcBorders>
              <w:left w:val="single" w:sz="4" w:space="0" w:color="000000"/>
              <w:bottom w:val="nil" w:sz="6" w:space="0" w:color="auto"/>
              <w:right w:val="single" w:sz="4" w:space="0" w:color="000000"/>
            </w:tcBorders>
            <w:shd w:val="clear" w:color="auto" w:fill="D4D4D4"/>
          </w:tcPr>
          <w:p>
            <w:pPr/>
          </w:p>
        </w:tc>
        <w:tc>
          <w:tcPr>
            <w:tcW w:w="1198" w:type="dxa"/>
            <w:vMerge/>
            <w:tcBorders>
              <w:left w:val="single" w:sz="4" w:space="0" w:color="000000"/>
              <w:bottom w:val="nil" w:sz="6" w:space="0" w:color="auto"/>
              <w:right w:val="single" w:sz="4" w:space="0" w:color="000000"/>
            </w:tcBorders>
            <w:shd w:val="clear" w:color="auto" w:fill="D4D4D4"/>
          </w:tcPr>
          <w:p>
            <w:pP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4D4D4"/>
          </w:tcPr>
          <w:p>
            <w:pPr/>
          </w:p>
        </w:tc>
      </w:tr>
      <w:tr>
        <w:trPr>
          <w:trHeight w:val="173" w:hRule="exact"/>
        </w:trPr>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96" w:hRule="exact"/>
        </w:trPr>
        <w:tc>
          <w:tcPr>
            <w:tcW w:w="1195" w:type="dxa"/>
            <w:tcBorders>
              <w:top w:val="single" w:sz="4" w:space="0" w:color="000000"/>
              <w:left w:val="single" w:sz="4" w:space="0" w:color="000000"/>
              <w:bottom w:val="nil" w:sz="6" w:space="0" w:color="auto"/>
              <w:right w:val="single" w:sz="4" w:space="0" w:color="000000"/>
            </w:tcBorders>
            <w:shd w:val="clear" w:color="auto" w:fill="D4D4D4"/>
          </w:tcPr>
          <w:p>
            <w:pPr/>
          </w:p>
        </w:tc>
        <w:tc>
          <w:tcPr>
            <w:tcW w:w="1198" w:type="dxa"/>
            <w:vMerge w:val="restart"/>
            <w:tcBorders>
              <w:top w:val="single" w:sz="4" w:space="0" w:color="000000"/>
              <w:left w:val="single" w:sz="12" w:space="0" w:color="D4D4D4"/>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pacing w:val="-1"/>
                <w:sz w:val="18"/>
              </w:rPr>
              <w:t>1,748,662,113.</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1195"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6"/>
              <w:ind w:left="158" w:right="0"/>
              <w:jc w:val="left"/>
              <w:rPr>
                <w:rFonts w:ascii="Times New Roman" w:hAnsi="Times New Roman" w:cs="Times New Roman" w:eastAsia="Times New Roman" w:hint="default"/>
                <w:sz w:val="18"/>
                <w:szCs w:val="18"/>
              </w:rPr>
            </w:pPr>
            <w:r>
              <w:rPr>
                <w:rFonts w:ascii="Times New Roman"/>
                <w:sz w:val="18"/>
              </w:rPr>
              <w:t>-1,527,518.00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6"/>
              <w:ind w:left="158" w:right="0"/>
              <w:jc w:val="left"/>
              <w:rPr>
                <w:rFonts w:ascii="Times New Roman" w:hAnsi="Times New Roman" w:cs="Times New Roman" w:eastAsia="Times New Roman" w:hint="default"/>
                <w:sz w:val="18"/>
                <w:szCs w:val="18"/>
              </w:rPr>
            </w:pPr>
            <w:r>
              <w:rPr>
                <w:rFonts w:ascii="Times New Roman"/>
                <w:sz w:val="18"/>
              </w:rPr>
              <w:t>-1,527,518.00</w:t>
            </w:r>
          </w:p>
        </w:tc>
        <w:tc>
          <w:tcPr>
            <w:tcW w:w="1198" w:type="dxa"/>
            <w:vMerge w:val="restart"/>
            <w:tcBorders>
              <w:top w:val="single" w:sz="4" w:space="0" w:color="000000"/>
              <w:left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1,747,134,595.</w:t>
            </w:r>
            <w:r>
              <w:rPr>
                <w:rFonts w:ascii="Times New Roman"/>
                <w:sz w:val="18"/>
              </w:rPr>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00</w:t>
            </w:r>
          </w:p>
        </w:tc>
      </w:tr>
      <w:tr>
        <w:trPr>
          <w:trHeight w:val="408" w:hRule="exact"/>
        </w:trPr>
        <w:tc>
          <w:tcPr>
            <w:tcW w:w="1195"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12" w:space="0" w:color="D4D4D4"/>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pStyle w:val="BodyText"/>
        <w:spacing w:line="240" w:lineRule="auto" w:before="64"/>
        <w:ind w:right="1127"/>
        <w:jc w:val="left"/>
      </w:pPr>
      <w:r>
        <w:rPr/>
        <w:t>其他说明：</w:t>
      </w:r>
    </w:p>
    <w:p>
      <w:pPr>
        <w:spacing w:line="240" w:lineRule="auto" w:before="1"/>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  </w:t>
      </w:r>
      <w:r>
        <w:rPr/>
        <w:t>年回购并于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spacing w:val="2"/>
        </w:rPr>
        <w:t>月注销的社会公众股数量为 </w:t>
      </w:r>
      <w:r>
        <w:rPr>
          <w:rFonts w:ascii="Times New Roman" w:hAnsi="Times New Roman" w:cs="Times New Roman" w:eastAsia="Times New Roman" w:hint="default"/>
        </w:rPr>
        <w:t>12,400,125.00  </w:t>
      </w:r>
      <w:r>
        <w:rPr>
          <w:rFonts w:ascii="Times New Roman" w:hAnsi="Times New Roman" w:cs="Times New Roman" w:eastAsia="Times New Roman" w:hint="default"/>
          <w:spacing w:val="17"/>
        </w:rPr>
        <w:t> </w:t>
      </w:r>
      <w:r>
        <w:rPr>
          <w:spacing w:val="2"/>
        </w:rPr>
        <w:t>股，减少股本及库存股</w:t>
      </w:r>
    </w:p>
    <w:p>
      <w:pPr>
        <w:pStyle w:val="BodyText"/>
        <w:spacing w:line="240" w:lineRule="auto" w:before="115"/>
        <w:ind w:left="152" w:right="1127"/>
        <w:jc w:val="left"/>
      </w:pPr>
      <w:r>
        <w:rPr>
          <w:rFonts w:ascii="Times New Roman" w:hAnsi="Times New Roman" w:cs="Times New Roman" w:eastAsia="Times New Roman" w:hint="default"/>
        </w:rPr>
        <w:t>12,400,125.00</w:t>
      </w:r>
      <w:r>
        <w:rPr>
          <w:rFonts w:ascii="Times New Roman" w:hAnsi="Times New Roman" w:cs="Times New Roman" w:eastAsia="Times New Roman" w:hint="default"/>
          <w:spacing w:val="3"/>
        </w:rPr>
        <w:t> </w:t>
      </w:r>
      <w:r>
        <w:rPr>
          <w:spacing w:val="-3"/>
        </w:rPr>
        <w:t>元。</w:t>
      </w:r>
      <w:r>
        <w:rPr/>
      </w:r>
    </w:p>
    <w:p>
      <w:pPr>
        <w:spacing w:line="240" w:lineRule="auto" w:before="11"/>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8 </w:t>
      </w:r>
      <w:r>
        <w:rPr/>
        <w:t>月回购并于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4 </w:t>
      </w:r>
      <w:r>
        <w:rPr/>
        <w:t>月注销的限制性股票数量为 </w:t>
      </w:r>
      <w:r>
        <w:rPr>
          <w:rFonts w:ascii="Times New Roman" w:hAnsi="Times New Roman" w:cs="Times New Roman" w:eastAsia="Times New Roman" w:hint="default"/>
        </w:rPr>
        <w:t>816,809.00  </w:t>
      </w:r>
      <w:r>
        <w:rPr>
          <w:rFonts w:ascii="Times New Roman" w:hAnsi="Times New Roman" w:cs="Times New Roman" w:eastAsia="Times New Roman" w:hint="default"/>
          <w:spacing w:val="18"/>
        </w:rPr>
        <w:t> </w:t>
      </w:r>
      <w:r>
        <w:rPr/>
        <w:t>股，减少股本及库存股</w:t>
      </w:r>
    </w:p>
    <w:p>
      <w:pPr>
        <w:spacing w:after="0" w:line="240" w:lineRule="auto"/>
        <w:jc w:val="left"/>
        <w:sectPr>
          <w:footerReference w:type="default" r:id="rId79"/>
          <w:pgSz w:w="11910" w:h="16840"/>
          <w:pgMar w:footer="1134" w:header="882" w:top="1280" w:bottom="1320" w:left="980" w:right="0"/>
          <w:pgNumType w:start="231"/>
        </w:sectPr>
      </w:pPr>
    </w:p>
    <w:p>
      <w:pPr>
        <w:pStyle w:val="BodyText"/>
        <w:spacing w:line="240" w:lineRule="auto" w:before="110"/>
        <w:ind w:left="152" w:right="1127"/>
        <w:jc w:val="left"/>
      </w:pPr>
      <w:r>
        <w:rPr>
          <w:rFonts w:ascii="Times New Roman" w:hAnsi="Times New Roman" w:cs="Times New Roman" w:eastAsia="Times New Roman" w:hint="default"/>
        </w:rPr>
        <w:t>816,809.00</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月回购的限制性股票数量为</w:t>
      </w:r>
      <w:r>
        <w:rPr>
          <w:spacing w:val="-49"/>
        </w:rPr>
        <w:t> </w:t>
      </w:r>
      <w:r>
        <w:rPr>
          <w:rFonts w:ascii="Times New Roman" w:hAnsi="Times New Roman" w:cs="Times New Roman" w:eastAsia="Times New Roman" w:hint="default"/>
        </w:rPr>
        <w:t>24,642,584.00</w:t>
      </w:r>
      <w:r>
        <w:rPr>
          <w:rFonts w:ascii="Times New Roman" w:hAnsi="Times New Roman" w:cs="Times New Roman" w:eastAsia="Times New Roman" w:hint="default"/>
          <w:spacing w:val="1"/>
        </w:rPr>
        <w:t> </w:t>
      </w:r>
      <w:r>
        <w:rPr/>
        <w:t>股，增加库存股</w:t>
      </w:r>
      <w:r>
        <w:rPr>
          <w:spacing w:val="-49"/>
        </w:rPr>
        <w:t> </w:t>
      </w:r>
      <w:r>
        <w:rPr>
          <w:rFonts w:ascii="Times New Roman" w:hAnsi="Times New Roman" w:cs="Times New Roman" w:eastAsia="Times New Roman" w:hint="default"/>
        </w:rPr>
        <w:t>24,642,584.00</w:t>
      </w:r>
      <w:r>
        <w:rPr>
          <w:rFonts w:ascii="Times New Roman" w:hAnsi="Times New Roman" w:cs="Times New Roman" w:eastAsia="Times New Roman" w:hint="default"/>
          <w:spacing w:val="1"/>
        </w:rPr>
        <w:t> </w:t>
      </w:r>
      <w:r>
        <w:rPr/>
        <w:t>元，减少资本公积</w:t>
      </w:r>
    </w:p>
    <w:p>
      <w:pPr>
        <w:pStyle w:val="BodyText"/>
        <w:spacing w:line="240" w:lineRule="auto" w:before="117"/>
        <w:ind w:left="152" w:right="0"/>
        <w:jc w:val="left"/>
      </w:pPr>
      <w:r>
        <w:rPr>
          <w:rFonts w:ascii="Times New Roman" w:hAnsi="Times New Roman" w:cs="Times New Roman" w:eastAsia="Times New Roman" w:hint="default"/>
        </w:rPr>
        <w:t>157,088,882.37 </w:t>
      </w:r>
      <w:r>
        <w:rPr/>
        <w:t>元，回购股份发生的佣金手续费增加资本公积 </w:t>
      </w:r>
      <w:r>
        <w:rPr>
          <w:rFonts w:ascii="Times New Roman" w:hAnsi="Times New Roman" w:cs="Times New Roman" w:eastAsia="Times New Roman" w:hint="default"/>
        </w:rPr>
        <w:t>4,170.89</w:t>
      </w:r>
      <w:r>
        <w:rPr>
          <w:rFonts w:ascii="Times New Roman" w:hAnsi="Times New Roman" w:cs="Times New Roman" w:eastAsia="Times New Roman" w:hint="default"/>
          <w:spacing w:val="17"/>
        </w:rPr>
        <w:t> </w:t>
      </w:r>
      <w:r>
        <w:rPr/>
        <w:t>元；同时终止确认预计负债，减少</w:t>
      </w:r>
    </w:p>
    <w:p>
      <w:pPr>
        <w:pStyle w:val="BodyText"/>
        <w:spacing w:line="240" w:lineRule="auto" w:before="117"/>
        <w:ind w:left="152" w:right="0"/>
        <w:jc w:val="left"/>
      </w:pPr>
      <w:r>
        <w:rPr>
          <w:spacing w:val="3"/>
        </w:rPr>
        <w:t>库存股 </w:t>
      </w:r>
      <w:r>
        <w:rPr>
          <w:rFonts w:ascii="Times New Roman" w:hAnsi="Times New Roman" w:cs="Times New Roman" w:eastAsia="Times New Roman" w:hint="default"/>
        </w:rPr>
        <w:t>181,731,466.37  </w:t>
      </w:r>
      <w:r>
        <w:rPr/>
        <w:t>元。</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4  </w:t>
      </w:r>
      <w:r>
        <w:rPr>
          <w:spacing w:val="3"/>
        </w:rPr>
        <w:t>月注销限制性股票数量为 </w:t>
      </w:r>
      <w:r>
        <w:rPr>
          <w:rFonts w:ascii="Times New Roman" w:hAnsi="Times New Roman" w:cs="Times New Roman" w:eastAsia="Times New Roman" w:hint="default"/>
        </w:rPr>
        <w:t>24,642,584.00  </w:t>
      </w:r>
      <w:r>
        <w:rPr>
          <w:rFonts w:ascii="Times New Roman" w:hAnsi="Times New Roman" w:cs="Times New Roman" w:eastAsia="Times New Roman" w:hint="default"/>
          <w:spacing w:val="40"/>
        </w:rPr>
        <w:t> </w:t>
      </w:r>
      <w:r>
        <w:rPr>
          <w:spacing w:val="3"/>
        </w:rPr>
        <w:t>股，减少股本及库存股</w:t>
      </w:r>
      <w:r>
        <w:rPr/>
      </w:r>
    </w:p>
    <w:p>
      <w:pPr>
        <w:pStyle w:val="BodyText"/>
        <w:spacing w:line="240" w:lineRule="auto" w:before="117"/>
        <w:ind w:left="153" w:right="1127"/>
        <w:jc w:val="left"/>
      </w:pPr>
      <w:r>
        <w:rPr>
          <w:rFonts w:ascii="Times New Roman" w:hAnsi="Times New Roman" w:cs="Times New Roman" w:eastAsia="Times New Roman" w:hint="default"/>
        </w:rPr>
        <w:t>24,642,584.00</w:t>
      </w:r>
      <w:r>
        <w:rPr>
          <w:rFonts w:ascii="Times New Roman" w:hAnsi="Times New Roman" w:cs="Times New Roman" w:eastAsia="Times New Roman" w:hint="default"/>
          <w:spacing w:val="3"/>
        </w:rPr>
        <w:t> </w:t>
      </w:r>
      <w:r>
        <w:rPr>
          <w:spacing w:val="-3"/>
        </w:rPr>
        <w:t>元。</w:t>
      </w:r>
      <w:r>
        <w:rPr/>
      </w:r>
    </w:p>
    <w:p>
      <w:pPr>
        <w:spacing w:line="240" w:lineRule="auto" w:before="9"/>
        <w:rPr>
          <w:rFonts w:ascii="宋体" w:hAnsi="宋体" w:cs="宋体" w:eastAsia="宋体" w:hint="default"/>
          <w:sz w:val="16"/>
          <w:szCs w:val="16"/>
        </w:rPr>
      </w:pPr>
    </w:p>
    <w:p>
      <w:pPr>
        <w:pStyle w:val="BodyText"/>
        <w:spacing w:line="240" w:lineRule="auto"/>
        <w:ind w:left="573" w:right="0"/>
        <w:jc w:val="left"/>
        <w:rPr>
          <w:rFonts w:ascii="Times New Roman" w:hAnsi="Times New Roman" w:cs="Times New Roman" w:eastAsia="Times New Roman" w:hint="default"/>
        </w:rPr>
      </w:pPr>
      <w:r>
        <w:rPr>
          <w:spacing w:val="-6"/>
        </w:rPr>
        <w:t>该次股权变动已经立信会计师事务所（特殊普通合伙）进行验资，并出具信会师报字</w:t>
      </w:r>
      <w:r>
        <w:rPr>
          <w:rFonts w:ascii="Times New Roman" w:hAnsi="Times New Roman" w:cs="Times New Roman" w:eastAsia="Times New Roman" w:hint="default"/>
          <w:spacing w:val="-6"/>
        </w:rPr>
        <w:t>[2019]</w:t>
      </w:r>
      <w:r>
        <w:rPr>
          <w:spacing w:val="-6"/>
        </w:rPr>
        <w:t>第</w:t>
      </w:r>
      <w:r>
        <w:rPr>
          <w:spacing w:val="32"/>
        </w:rPr>
        <w:t> </w:t>
      </w:r>
      <w:r>
        <w:rPr>
          <w:rFonts w:ascii="Times New Roman" w:hAnsi="Times New Roman" w:cs="Times New Roman" w:eastAsia="Times New Roman" w:hint="default"/>
        </w:rPr>
        <w:t>ZB10326</w:t>
      </w:r>
    </w:p>
    <w:p>
      <w:pPr>
        <w:pStyle w:val="BodyText"/>
        <w:spacing w:line="240" w:lineRule="auto" w:before="117"/>
        <w:ind w:left="153" w:right="1127"/>
        <w:jc w:val="left"/>
      </w:pPr>
      <w:r>
        <w:rPr/>
        <w:t>号验资报告。</w:t>
      </w:r>
    </w:p>
    <w:p>
      <w:pPr>
        <w:spacing w:line="240" w:lineRule="auto" w:before="12"/>
        <w:rPr>
          <w:rFonts w:ascii="宋体" w:hAnsi="宋体" w:cs="宋体" w:eastAsia="宋体" w:hint="default"/>
          <w:sz w:val="17"/>
          <w:szCs w:val="17"/>
        </w:rPr>
      </w:pPr>
    </w:p>
    <w:p>
      <w:pPr>
        <w:pStyle w:val="BodyText"/>
        <w:spacing w:line="240" w:lineRule="auto"/>
        <w:ind w:left="573" w:right="1127"/>
        <w:jc w:val="left"/>
      </w:pPr>
      <w:r>
        <w:rPr>
          <w:rFonts w:ascii="Times New Roman" w:hAnsi="Times New Roman" w:cs="Times New Roman" w:eastAsia="Times New Roman" w:hint="default"/>
          <w:w w:val="100"/>
        </w:rPr>
        <w:t>3</w:t>
      </w:r>
      <w:r>
        <w:rPr>
          <w:w w:val="100"/>
        </w:rPr>
        <w:t>、</w:t>
      </w:r>
      <w:r>
        <w:rPr>
          <w:spacing w:val="-3"/>
          <w:w w:val="100"/>
        </w:rPr>
        <w:t>公</w:t>
      </w:r>
      <w:r>
        <w:rPr>
          <w:w w:val="100"/>
        </w:rPr>
        <w:t>司</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19</w:t>
      </w:r>
      <w:r>
        <w:rPr>
          <w:rFonts w:ascii="Times New Roman" w:hAnsi="Times New Roman" w:cs="Times New Roman" w:eastAsia="Times New Roman" w:hint="default"/>
        </w:rPr>
        <w:t> </w:t>
      </w:r>
      <w:r>
        <w:rPr>
          <w:spacing w:val="-3"/>
          <w:w w:val="100"/>
        </w:rPr>
        <w:t>年</w:t>
      </w:r>
      <w:r>
        <w:rPr>
          <w:w w:val="100"/>
        </w:rPr>
        <w:t>股</w:t>
      </w:r>
      <w:r>
        <w:rPr>
          <w:spacing w:val="-3"/>
          <w:w w:val="100"/>
        </w:rPr>
        <w:t>票</w:t>
      </w:r>
      <w:r>
        <w:rPr>
          <w:w w:val="100"/>
        </w:rPr>
        <w:t>期</w:t>
      </w:r>
      <w:r>
        <w:rPr>
          <w:spacing w:val="-3"/>
          <w:w w:val="100"/>
        </w:rPr>
        <w:t>权</w:t>
      </w:r>
      <w:r>
        <w:rPr>
          <w:w w:val="100"/>
        </w:rPr>
        <w:t>与限</w:t>
      </w:r>
      <w:r>
        <w:rPr>
          <w:spacing w:val="-3"/>
          <w:w w:val="100"/>
        </w:rPr>
        <w:t>制</w:t>
      </w:r>
      <w:r>
        <w:rPr>
          <w:w w:val="100"/>
        </w:rPr>
        <w:t>性</w:t>
      </w:r>
      <w:r>
        <w:rPr>
          <w:spacing w:val="-3"/>
          <w:w w:val="100"/>
        </w:rPr>
        <w:t>股</w:t>
      </w:r>
      <w:r>
        <w:rPr>
          <w:w w:val="100"/>
        </w:rPr>
        <w:t>票</w:t>
      </w:r>
      <w:r>
        <w:rPr>
          <w:spacing w:val="-3"/>
          <w:w w:val="100"/>
        </w:rPr>
        <w:t>激</w:t>
      </w:r>
      <w:r>
        <w:rPr>
          <w:w w:val="100"/>
        </w:rPr>
        <w:t>励</w:t>
      </w:r>
      <w:r>
        <w:rPr>
          <w:spacing w:val="-3"/>
          <w:w w:val="100"/>
        </w:rPr>
        <w:t>计</w:t>
      </w:r>
      <w:r>
        <w:rPr>
          <w:w w:val="100"/>
        </w:rPr>
        <w:t>划</w:t>
      </w:r>
      <w:r>
        <w:rPr>
          <w:spacing w:val="-3"/>
          <w:w w:val="100"/>
        </w:rPr>
        <w:t>详</w:t>
      </w:r>
      <w:r>
        <w:rPr>
          <w:w w:val="100"/>
        </w:rPr>
        <w:t>见本</w:t>
      </w:r>
      <w:r>
        <w:rPr>
          <w:spacing w:val="-3"/>
          <w:w w:val="100"/>
        </w:rPr>
        <w:t>附</w:t>
      </w:r>
      <w:r>
        <w:rPr>
          <w:w w:val="100"/>
        </w:rPr>
        <w:t>注</w:t>
      </w:r>
      <w:r>
        <w:rPr>
          <w:rFonts w:ascii="Times New Roman" w:hAnsi="Times New Roman" w:cs="Times New Roman" w:eastAsia="Times New Roman" w:hint="default"/>
          <w:spacing w:val="-3"/>
          <w:w w:val="100"/>
        </w:rPr>
        <w:t>“</w:t>
      </w:r>
      <w:r>
        <w:rPr>
          <w:w w:val="100"/>
        </w:rPr>
        <w:t>十一</w:t>
      </w:r>
      <w:r>
        <w:rPr>
          <w:spacing w:val="-108"/>
          <w:w w:val="100"/>
        </w:rPr>
        <w:t>、</w:t>
      </w:r>
      <w:r>
        <w:rPr>
          <w:w w:val="100"/>
        </w:rPr>
        <w:t>（</w:t>
      </w:r>
      <w:r>
        <w:rPr>
          <w:spacing w:val="-3"/>
          <w:w w:val="100"/>
        </w:rPr>
        <w:t>一</w:t>
      </w:r>
      <w:r>
        <w:rPr>
          <w:w w:val="100"/>
        </w:rPr>
        <w:t>）</w:t>
      </w:r>
      <w:r>
        <w:rPr>
          <w:spacing w:val="-3"/>
          <w:w w:val="100"/>
        </w:rPr>
        <w:t>股</w:t>
      </w:r>
      <w:r>
        <w:rPr>
          <w:w w:val="100"/>
        </w:rPr>
        <w:t>份支</w:t>
      </w:r>
      <w:r>
        <w:rPr>
          <w:spacing w:val="-3"/>
          <w:w w:val="100"/>
        </w:rPr>
        <w:t>付</w:t>
      </w:r>
      <w:r>
        <w:rPr>
          <w:w w:val="100"/>
        </w:rPr>
        <w:t>总</w:t>
      </w:r>
      <w:r>
        <w:rPr>
          <w:spacing w:val="-3"/>
          <w:w w:val="100"/>
        </w:rPr>
        <w:t>体</w:t>
      </w:r>
      <w:r>
        <w:rPr>
          <w:w w:val="100"/>
        </w:rPr>
        <w:t>情</w:t>
      </w:r>
      <w:r>
        <w:rPr>
          <w:spacing w:val="-3"/>
          <w:w w:val="100"/>
        </w:rPr>
        <w:t>况</w:t>
      </w:r>
      <w:r>
        <w:rPr>
          <w:rFonts w:ascii="Times New Roman" w:hAnsi="Times New Roman" w:cs="Times New Roman" w:eastAsia="Times New Roman" w:hint="default"/>
          <w:spacing w:val="-1"/>
          <w:w w:val="100"/>
        </w:rPr>
        <w:t>”</w:t>
      </w:r>
      <w:r>
        <w:rPr>
          <w:w w:val="100"/>
        </w:rPr>
        <w:t>。</w:t>
      </w:r>
    </w:p>
    <w:p>
      <w:pPr>
        <w:spacing w:line="240" w:lineRule="auto" w:before="9"/>
        <w:rPr>
          <w:rFonts w:ascii="宋体" w:hAnsi="宋体" w:cs="宋体" w:eastAsia="宋体" w:hint="default"/>
          <w:sz w:val="16"/>
          <w:szCs w:val="16"/>
        </w:rPr>
      </w:pPr>
    </w:p>
    <w:p>
      <w:pPr>
        <w:pStyle w:val="BodyText"/>
        <w:spacing w:line="240" w:lineRule="auto"/>
        <w:ind w:left="573" w:right="0"/>
        <w:jc w:val="left"/>
        <w:rPr>
          <w:rFonts w:ascii="Times New Roman" w:hAnsi="Times New Roman" w:cs="Times New Roman" w:eastAsia="Times New Roman" w:hint="default"/>
        </w:rPr>
      </w:pPr>
      <w:r>
        <w:rPr/>
        <w:t>截至</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spacing w:val="-4"/>
        </w:rPr>
        <w:t>日止，公司已收到谢军伟等</w:t>
      </w:r>
      <w:r>
        <w:rPr>
          <w:spacing w:val="-51"/>
        </w:rPr>
        <w:t> </w:t>
      </w:r>
      <w:r>
        <w:rPr>
          <w:rFonts w:ascii="Times New Roman" w:hAnsi="Times New Roman" w:cs="Times New Roman" w:eastAsia="Times New Roman" w:hint="default"/>
        </w:rPr>
        <w:t>304</w:t>
      </w:r>
      <w:r>
        <w:rPr>
          <w:rFonts w:ascii="Times New Roman" w:hAnsi="Times New Roman" w:cs="Times New Roman" w:eastAsia="Times New Roman" w:hint="default"/>
          <w:spacing w:val="2"/>
        </w:rPr>
        <w:t> </w:t>
      </w:r>
      <w:r>
        <w:rPr/>
        <w:t>人认缴的限制性股票款合计人民币</w:t>
      </w:r>
      <w:r>
        <w:rPr>
          <w:spacing w:val="-51"/>
        </w:rPr>
        <w:t> </w:t>
      </w:r>
      <w:r>
        <w:rPr>
          <w:rFonts w:ascii="Times New Roman" w:hAnsi="Times New Roman" w:cs="Times New Roman" w:eastAsia="Times New Roman" w:hint="default"/>
        </w:rPr>
        <w:t>90,103,360.00</w:t>
      </w:r>
    </w:p>
    <w:p>
      <w:pPr>
        <w:pStyle w:val="BodyText"/>
        <w:spacing w:line="240" w:lineRule="auto" w:before="119"/>
        <w:ind w:left="153" w:right="0"/>
        <w:jc w:val="left"/>
      </w:pPr>
      <w:r>
        <w:rPr/>
        <w:t>元，其中计入股本人民币</w:t>
      </w:r>
      <w:r>
        <w:rPr>
          <w:spacing w:val="-38"/>
        </w:rPr>
        <w:t> </w:t>
      </w:r>
      <w:r>
        <w:rPr>
          <w:rFonts w:ascii="Times New Roman" w:hAnsi="Times New Roman" w:cs="Times New Roman" w:eastAsia="Times New Roman" w:hint="default"/>
        </w:rPr>
        <w:t>36,332,000.00</w:t>
      </w:r>
      <w:r>
        <w:rPr>
          <w:rFonts w:ascii="Times New Roman" w:hAnsi="Times New Roman" w:cs="Times New Roman" w:eastAsia="Times New Roman" w:hint="default"/>
          <w:spacing w:val="15"/>
        </w:rPr>
        <w:t> </w:t>
      </w:r>
      <w:r>
        <w:rPr/>
        <w:t>元，实际出资超过股本人民币</w:t>
      </w:r>
      <w:r>
        <w:rPr>
          <w:spacing w:val="-38"/>
        </w:rPr>
        <w:t> </w:t>
      </w:r>
      <w:r>
        <w:rPr>
          <w:rFonts w:ascii="Times New Roman" w:hAnsi="Times New Roman" w:cs="Times New Roman" w:eastAsia="Times New Roman" w:hint="default"/>
        </w:rPr>
        <w:t>53,771,360.00</w:t>
      </w:r>
      <w:r>
        <w:rPr>
          <w:rFonts w:ascii="Times New Roman" w:hAnsi="Times New Roman" w:cs="Times New Roman" w:eastAsia="Times New Roman" w:hint="default"/>
          <w:spacing w:val="17"/>
        </w:rPr>
        <w:t> </w:t>
      </w:r>
      <w:r>
        <w:rPr/>
        <w:t>元列入资本公积。同</w:t>
      </w:r>
    </w:p>
    <w:p>
      <w:pPr>
        <w:pStyle w:val="BodyText"/>
        <w:spacing w:line="240" w:lineRule="auto" w:before="115"/>
        <w:ind w:left="153" w:right="1127"/>
        <w:jc w:val="left"/>
      </w:pPr>
      <w:r>
        <w:rPr/>
        <w:t>时确认预计负债，增加库存股</w:t>
      </w:r>
      <w:r>
        <w:rPr>
          <w:spacing w:val="-53"/>
        </w:rPr>
        <w:t> </w:t>
      </w:r>
      <w:r>
        <w:rPr>
          <w:rFonts w:ascii="Times New Roman" w:hAnsi="Times New Roman" w:cs="Times New Roman" w:eastAsia="Times New Roman" w:hint="default"/>
        </w:rPr>
        <w:t>90,103,360.00</w:t>
      </w:r>
      <w:r>
        <w:rPr>
          <w:rFonts w:ascii="Times New Roman" w:hAnsi="Times New Roman" w:cs="Times New Roman" w:eastAsia="Times New Roman" w:hint="default"/>
          <w:spacing w:val="-2"/>
        </w:rPr>
        <w:t> </w:t>
      </w:r>
      <w:r>
        <w:rPr/>
        <w:t>元。</w:t>
      </w:r>
    </w:p>
    <w:p>
      <w:pPr>
        <w:spacing w:line="240" w:lineRule="auto" w:before="11"/>
        <w:rPr>
          <w:rFonts w:ascii="宋体" w:hAnsi="宋体" w:cs="宋体" w:eastAsia="宋体" w:hint="default"/>
          <w:sz w:val="16"/>
          <w:szCs w:val="16"/>
        </w:rPr>
      </w:pPr>
    </w:p>
    <w:p>
      <w:pPr>
        <w:pStyle w:val="BodyText"/>
        <w:spacing w:line="240" w:lineRule="auto"/>
        <w:ind w:left="573" w:right="0"/>
        <w:jc w:val="left"/>
      </w:pPr>
      <w:r>
        <w:rPr>
          <w:spacing w:val="7"/>
        </w:rPr>
        <w:t>截至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30  </w:t>
      </w:r>
      <w:r>
        <w:rPr>
          <w:spacing w:val="13"/>
        </w:rPr>
        <w:t>日止，变更后的注册资本为人民币 </w:t>
      </w:r>
      <w:r>
        <w:rPr>
          <w:rFonts w:ascii="Times New Roman" w:hAnsi="Times New Roman" w:cs="Times New Roman" w:eastAsia="Times New Roman" w:hint="default"/>
        </w:rPr>
        <w:t>1,747,134,595.00    </w:t>
      </w:r>
      <w:r>
        <w:rPr>
          <w:rFonts w:ascii="Times New Roman" w:hAnsi="Times New Roman" w:cs="Times New Roman" w:eastAsia="Times New Roman" w:hint="default"/>
          <w:spacing w:val="8"/>
        </w:rPr>
        <w:t> </w:t>
      </w:r>
      <w:r>
        <w:rPr>
          <w:spacing w:val="13"/>
        </w:rPr>
        <w:t>元、股本为人民币</w:t>
      </w:r>
      <w:r>
        <w:rPr/>
      </w:r>
    </w:p>
    <w:p>
      <w:pPr>
        <w:pStyle w:val="BodyText"/>
        <w:spacing w:line="240" w:lineRule="auto" w:before="117"/>
        <w:ind w:left="153" w:right="0"/>
        <w:jc w:val="left"/>
      </w:pPr>
      <w:r>
        <w:rPr>
          <w:rFonts w:ascii="Times New Roman" w:hAnsi="Times New Roman" w:cs="Times New Roman" w:eastAsia="Times New Roman" w:hint="default"/>
        </w:rPr>
        <w:t>1,747,134,595.00 </w:t>
      </w:r>
      <w:r>
        <w:rPr>
          <w:rFonts w:ascii="Times New Roman" w:hAnsi="Times New Roman" w:cs="Times New Roman" w:eastAsia="Times New Roman" w:hint="default"/>
          <w:spacing w:val="22"/>
        </w:rPr>
        <w:t> </w:t>
      </w:r>
      <w:r>
        <w:rPr>
          <w:spacing w:val="-4"/>
        </w:rPr>
        <w:t>元。该次股权变动已经立信会计师事务所（特殊普通合伙）进行验资，并出具信会师报字</w:t>
      </w:r>
    </w:p>
    <w:p>
      <w:pPr>
        <w:pStyle w:val="BodyText"/>
        <w:spacing w:line="240" w:lineRule="auto" w:before="115"/>
        <w:ind w:left="153" w:right="1127"/>
        <w:jc w:val="left"/>
      </w:pPr>
      <w:r>
        <w:rPr>
          <w:rFonts w:ascii="Times New Roman" w:hAnsi="Times New Roman" w:cs="Times New Roman" w:eastAsia="Times New Roman" w:hint="default"/>
        </w:rPr>
        <w:t>[2019]</w:t>
      </w:r>
      <w:r>
        <w:rPr/>
        <w:t>第</w:t>
      </w:r>
      <w:r>
        <w:rPr>
          <w:spacing w:val="-46"/>
        </w:rPr>
        <w:t> </w:t>
      </w:r>
      <w:r>
        <w:rPr>
          <w:rFonts w:ascii="Times New Roman" w:hAnsi="Times New Roman" w:cs="Times New Roman" w:eastAsia="Times New Roman" w:hint="default"/>
          <w:spacing w:val="-3"/>
        </w:rPr>
        <w:t>ZG11759</w:t>
      </w:r>
      <w:r>
        <w:rPr>
          <w:rFonts w:ascii="Times New Roman" w:hAnsi="Times New Roman" w:cs="Times New Roman" w:eastAsia="Times New Roman" w:hint="default"/>
          <w:spacing w:val="3"/>
        </w:rPr>
        <w:t> </w:t>
      </w:r>
      <w:r>
        <w:rPr/>
        <w:t>号验资报告。</w:t>
      </w:r>
    </w:p>
    <w:p>
      <w:pPr>
        <w:spacing w:line="240" w:lineRule="auto" w:before="4"/>
        <w:rPr>
          <w:rFonts w:ascii="宋体" w:hAnsi="宋体" w:cs="宋体" w:eastAsia="宋体" w:hint="default"/>
          <w:sz w:val="32"/>
          <w:szCs w:val="32"/>
        </w:rPr>
      </w:pPr>
    </w:p>
    <w:p>
      <w:pPr>
        <w:pStyle w:val="Heading4"/>
        <w:spacing w:line="240" w:lineRule="auto"/>
        <w:ind w:left="153" w:right="1127"/>
        <w:jc w:val="left"/>
        <w:rPr>
          <w:b w:val="0"/>
          <w:bCs w:val="0"/>
        </w:rPr>
      </w:pPr>
      <w:bookmarkStart w:name="54、其他权益工具" w:id="487"/>
      <w:bookmarkEnd w:id="487"/>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1127"/>
        <w:jc w:val="left"/>
        <w:rPr>
          <w:b w:val="0"/>
          <w:bCs w:val="0"/>
        </w:rPr>
      </w:pPr>
      <w:bookmarkStart w:name="（1）期末发行在外的优先股、永续债等其他金融工具基本情况" w:id="488"/>
      <w:bookmarkEnd w:id="488"/>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2）期末发行在外的优先股、永续债等金融工具变动情况表" w:id="489"/>
      <w:bookmarkEnd w:id="489"/>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0"/>
        <w:rPr>
          <w:rFonts w:ascii="宋体" w:hAnsi="宋体" w:cs="宋体" w:eastAsia="宋体" w:hint="default"/>
          <w:b/>
          <w:bCs/>
          <w:sz w:val="21"/>
          <w:szCs w:val="21"/>
        </w:rPr>
      </w:pPr>
    </w:p>
    <w:p>
      <w:pPr>
        <w:spacing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3"/>
        <w:gridCol w:w="1063"/>
        <w:gridCol w:w="1061"/>
        <w:gridCol w:w="1063"/>
        <w:gridCol w:w="1061"/>
      </w:tblGrid>
      <w:tr>
        <w:trPr>
          <w:trHeight w:val="324" w:hRule="exact"/>
        </w:trPr>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78"/>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24" w:hRule="exact"/>
        </w:trPr>
        <w:tc>
          <w:tcPr>
            <w:tcW w:w="1064" w:type="dxa"/>
            <w:vMerge/>
            <w:tcBorders>
              <w:left w:val="single" w:sz="4" w:space="0" w:color="000000"/>
              <w:bottom w:val="single" w:sz="4" w:space="0" w:color="000000"/>
              <w:right w:val="single" w:sz="4" w:space="0" w:color="000000"/>
            </w:tcBorders>
            <w:shd w:val="clear" w:color="auto" w:fill="D4D4D4"/>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441" w:lineRule="auto" w:before="64"/>
        <w:ind w:right="3135"/>
        <w:jc w:val="left"/>
      </w:pPr>
      <w:r>
        <w:rPr>
          <w:spacing w:val="-2"/>
        </w:rPr>
        <w:t>其他权益工具本期增减变动情况、变动原因说明，以及相关会计处理的依据：</w:t>
      </w:r>
      <w:r>
        <w:rPr>
          <w:spacing w:val="-42"/>
        </w:rPr>
        <w:t> </w:t>
      </w:r>
      <w:r>
        <w:rPr>
          <w:spacing w:val="-42"/>
        </w:rPr>
      </w:r>
      <w:r>
        <w:rPr/>
        <w:t>其他说明：</w:t>
      </w:r>
    </w:p>
    <w:p>
      <w:pPr>
        <w:spacing w:line="240" w:lineRule="auto" w:before="13"/>
        <w:rPr>
          <w:rFonts w:ascii="宋体" w:hAnsi="宋体" w:cs="宋体" w:eastAsia="宋体" w:hint="default"/>
          <w:sz w:val="19"/>
          <w:szCs w:val="19"/>
        </w:rPr>
      </w:pPr>
    </w:p>
    <w:p>
      <w:pPr>
        <w:pStyle w:val="Heading4"/>
        <w:spacing w:line="240" w:lineRule="auto"/>
        <w:ind w:right="1127"/>
        <w:jc w:val="left"/>
        <w:rPr>
          <w:b w:val="0"/>
          <w:bCs w:val="0"/>
        </w:rPr>
      </w:pPr>
      <w:bookmarkStart w:name="55、资本公积" w:id="490"/>
      <w:bookmarkEnd w:id="490"/>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2,371,001,817.30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66,152,797.01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159,682,899.37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2,277,471,714.94</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64,567,253.47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99,901,207.94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164,468,461.41</w:t>
            </w:r>
            <w:r>
              <w:rPr>
                <w:rFonts w:ascii="Times New Roman"/>
                <w:sz w:val="18"/>
              </w:rPr>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2,435,569,070.77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166,054,004.95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159,682,899.37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2,441,940,176.35</w:t>
            </w:r>
            <w:r>
              <w:rPr>
                <w:rFonts w:ascii="Times New Roman"/>
                <w:sz w:val="18"/>
              </w:rPr>
            </w:r>
          </w:p>
        </w:tc>
      </w:tr>
    </w:tbl>
    <w:p>
      <w:pPr>
        <w:pStyle w:val="BodyText"/>
        <w:spacing w:line="240" w:lineRule="auto" w:before="64"/>
        <w:ind w:right="1127"/>
        <w:jc w:val="left"/>
      </w:pPr>
      <w:r>
        <w:rPr/>
        <w:t>其他说明，包括本期增减变动情况、变动原因说明：</w:t>
      </w:r>
    </w:p>
    <w:p>
      <w:pPr>
        <w:spacing w:line="240" w:lineRule="auto" w:before="9"/>
        <w:rPr>
          <w:rFonts w:ascii="宋体" w:hAnsi="宋体" w:cs="宋体" w:eastAsia="宋体" w:hint="default"/>
          <w:sz w:val="17"/>
          <w:szCs w:val="17"/>
        </w:rPr>
      </w:pPr>
    </w:p>
    <w:p>
      <w:pPr>
        <w:pStyle w:val="Heading4"/>
        <w:spacing w:line="240" w:lineRule="auto"/>
        <w:ind w:left="575" w:right="1127"/>
        <w:jc w:val="left"/>
        <w:rPr>
          <w:b w:val="0"/>
          <w:bCs w:val="0"/>
        </w:rPr>
      </w:pPr>
      <w:r>
        <w:rPr>
          <w:rFonts w:ascii="Times New Roman" w:hAnsi="Times New Roman" w:cs="Times New Roman" w:eastAsia="Times New Roman" w:hint="default"/>
        </w:rPr>
        <w:t>1</w:t>
      </w:r>
      <w:r>
        <w:rPr/>
        <w:t>、资本溢价（股本溢价）变动说明</w:t>
      </w:r>
      <w:r>
        <w:rPr>
          <w:b w:val="0"/>
          <w:bCs w:val="0"/>
        </w:rPr>
      </w:r>
    </w:p>
    <w:p>
      <w:pPr>
        <w:spacing w:after="0" w:line="240" w:lineRule="auto"/>
        <w:jc w:val="left"/>
        <w:sectPr>
          <w:pgSz w:w="11910" w:h="16840"/>
          <w:pgMar w:header="882" w:footer="1134" w:top="1280" w:bottom="1320" w:left="980" w:right="0"/>
        </w:sectPr>
      </w:pPr>
    </w:p>
    <w:p>
      <w:pPr>
        <w:pStyle w:val="BodyText"/>
        <w:spacing w:line="333" w:lineRule="auto" w:before="112"/>
        <w:ind w:left="153" w:right="0" w:firstLine="419"/>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月，资本公积减少</w:t>
      </w:r>
      <w:r>
        <w:rPr>
          <w:spacing w:val="-51"/>
        </w:rPr>
        <w:t> </w:t>
      </w:r>
      <w:r>
        <w:rPr>
          <w:rFonts w:ascii="Times New Roman" w:hAnsi="Times New Roman" w:cs="Times New Roman" w:eastAsia="Times New Roman" w:hint="default"/>
        </w:rPr>
        <w:t>157,088,882.37 </w:t>
      </w:r>
      <w:r>
        <w:rPr/>
        <w:t>元、增加</w:t>
      </w:r>
      <w:r>
        <w:rPr>
          <w:spacing w:val="-53"/>
        </w:rPr>
        <w:t> </w:t>
      </w:r>
      <w:r>
        <w:rPr>
          <w:rFonts w:ascii="Times New Roman" w:hAnsi="Times New Roman" w:cs="Times New Roman" w:eastAsia="Times New Roman" w:hint="default"/>
        </w:rPr>
        <w:t>4,170.89</w:t>
      </w:r>
      <w:r>
        <w:rPr>
          <w:rFonts w:ascii="Times New Roman" w:hAnsi="Times New Roman" w:cs="Times New Roman" w:eastAsia="Times New Roman" w:hint="default"/>
          <w:spacing w:val="-1"/>
        </w:rPr>
        <w:t> </w:t>
      </w:r>
      <w:r>
        <w:rPr>
          <w:spacing w:val="-3"/>
        </w:rPr>
        <w:t>元，详见本附注“五、（三十四）</w:t>
      </w:r>
      <w:r>
        <w:rPr>
          <w:spacing w:val="-3"/>
          <w:w w:val="100"/>
        </w:rPr>
        <w:t> </w:t>
      </w:r>
      <w:r>
        <w:rPr/>
        <w:t>股本其他说明</w:t>
      </w:r>
      <w:r>
        <w:rPr>
          <w:spacing w:val="-52"/>
        </w:rPr>
        <w:t> </w:t>
      </w:r>
      <w:r>
        <w:rPr>
          <w:rFonts w:ascii="Times New Roman" w:hAnsi="Times New Roman" w:cs="Times New Roman" w:eastAsia="Times New Roman" w:hint="default"/>
        </w:rPr>
        <w:t>2</w:t>
      </w:r>
      <w:r>
        <w:rPr/>
        <w:t>”。</w:t>
      </w:r>
    </w:p>
    <w:p>
      <w:pPr>
        <w:pStyle w:val="BodyText"/>
        <w:spacing w:line="240" w:lineRule="auto" w:before="127"/>
        <w:ind w:left="573"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spacing w:val="-3"/>
        </w:rPr>
        <w:t>月，资本公积增加</w:t>
      </w:r>
      <w:r>
        <w:rPr>
          <w:spacing w:val="-46"/>
        </w:rPr>
        <w:t> </w:t>
      </w:r>
      <w:r>
        <w:rPr>
          <w:rFonts w:ascii="Times New Roman" w:hAnsi="Times New Roman" w:cs="Times New Roman" w:eastAsia="Times New Roman" w:hint="default"/>
        </w:rPr>
        <w:t>53,771,360.00</w:t>
      </w:r>
      <w:r>
        <w:rPr>
          <w:rFonts w:ascii="Times New Roman" w:hAnsi="Times New Roman" w:cs="Times New Roman" w:eastAsia="Times New Roman" w:hint="default"/>
          <w:spacing w:val="7"/>
        </w:rPr>
        <w:t> </w:t>
      </w:r>
      <w:r>
        <w:rPr>
          <w:spacing w:val="-4"/>
        </w:rPr>
        <w:t>元，详见本附注“五、（三十四）股本其他说明</w:t>
      </w:r>
      <w:r>
        <w:rPr>
          <w:spacing w:val="-46"/>
        </w:rPr>
        <w:t> </w:t>
      </w:r>
      <w:r>
        <w:rPr>
          <w:rFonts w:ascii="Times New Roman" w:hAnsi="Times New Roman" w:cs="Times New Roman" w:eastAsia="Times New Roman" w:hint="default"/>
          <w:spacing w:val="-5"/>
        </w:rPr>
        <w:t>3</w:t>
      </w:r>
      <w:r>
        <w:rPr>
          <w:spacing w:val="-5"/>
        </w:rPr>
        <w:t>”。</w:t>
      </w:r>
    </w:p>
    <w:p>
      <w:pPr>
        <w:spacing w:line="240" w:lineRule="auto" w:before="11"/>
        <w:rPr>
          <w:rFonts w:ascii="宋体" w:hAnsi="宋体" w:cs="宋体" w:eastAsia="宋体" w:hint="default"/>
          <w:sz w:val="16"/>
          <w:szCs w:val="16"/>
        </w:rPr>
      </w:pPr>
    </w:p>
    <w:p>
      <w:pPr>
        <w:pStyle w:val="BodyText"/>
        <w:spacing w:line="336" w:lineRule="auto"/>
        <w:ind w:left="153" w:right="1127" w:firstLine="42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月，四川北新大弘置业集团有限公司溢价增资本公司之子公司北京旋极伏羲大数据技</w:t>
      </w:r>
      <w:r>
        <w:rPr>
          <w:w w:val="100"/>
        </w:rPr>
        <w:t> </w:t>
      </w:r>
      <w:r>
        <w:rPr/>
        <w:t>术有限公司</w:t>
      </w:r>
      <w:r>
        <w:rPr>
          <w:spacing w:val="-44"/>
        </w:rPr>
        <w:t> </w:t>
      </w:r>
      <w:r>
        <w:rPr>
          <w:rFonts w:ascii="Times New Roman" w:hAnsi="Times New Roman" w:cs="Times New Roman" w:eastAsia="Times New Roman" w:hint="default"/>
        </w:rPr>
        <w:t>40,000.000.00</w:t>
      </w:r>
      <w:r>
        <w:rPr>
          <w:rFonts w:ascii="Times New Roman" w:hAnsi="Times New Roman" w:cs="Times New Roman" w:eastAsia="Times New Roman" w:hint="default"/>
          <w:spacing w:val="6"/>
        </w:rPr>
        <w:t> </w:t>
      </w:r>
      <w:r>
        <w:rPr/>
        <w:t>万元，本公司持股比例从</w:t>
      </w:r>
      <w:r>
        <w:rPr>
          <w:spacing w:val="-46"/>
        </w:rPr>
        <w:t> </w:t>
      </w:r>
      <w:r>
        <w:rPr>
          <w:rFonts w:ascii="Times New Roman" w:hAnsi="Times New Roman" w:cs="Times New Roman" w:eastAsia="Times New Roman" w:hint="default"/>
        </w:rPr>
        <w:t>64%</w:t>
      </w:r>
      <w:r>
        <w:rPr/>
        <w:t>下降到</w:t>
      </w:r>
      <w:r>
        <w:rPr>
          <w:spacing w:val="-44"/>
        </w:rPr>
        <w:t> </w:t>
      </w:r>
      <w:r>
        <w:rPr>
          <w:rFonts w:ascii="Times New Roman" w:hAnsi="Times New Roman" w:cs="Times New Roman" w:eastAsia="Times New Roman" w:hint="default"/>
        </w:rPr>
        <w:t>53.76%</w:t>
      </w:r>
      <w:r>
        <w:rPr/>
        <w:t>，该次增资使本公司对北京旋极伏</w:t>
      </w:r>
      <w:r>
        <w:rPr>
          <w:spacing w:val="-3"/>
          <w:w w:val="100"/>
        </w:rPr>
        <w:t> </w:t>
      </w:r>
      <w:r>
        <w:rPr/>
        <w:t>羲大数据技术有限公司净资产份额变动导致资本公积增加</w:t>
      </w:r>
      <w:r>
        <w:rPr>
          <w:spacing w:val="-55"/>
        </w:rPr>
        <w:t> </w:t>
      </w:r>
      <w:r>
        <w:rPr>
          <w:rFonts w:ascii="Times New Roman" w:hAnsi="Times New Roman" w:cs="Times New Roman" w:eastAsia="Times New Roman" w:hint="default"/>
        </w:rPr>
        <w:t>12,377,266.12</w:t>
      </w:r>
      <w:r>
        <w:rPr>
          <w:rFonts w:ascii="Times New Roman" w:hAnsi="Times New Roman" w:cs="Times New Roman" w:eastAsia="Times New Roman" w:hint="default"/>
          <w:spacing w:val="-2"/>
        </w:rPr>
        <w:t> </w:t>
      </w:r>
      <w:r>
        <w:rPr>
          <w:spacing w:val="-3"/>
        </w:rPr>
        <w:t>元。</w:t>
      </w:r>
      <w:r>
        <w:rPr/>
      </w:r>
    </w:p>
    <w:p>
      <w:pPr>
        <w:pStyle w:val="BodyText"/>
        <w:spacing w:line="336" w:lineRule="auto" w:before="127"/>
        <w:ind w:left="153" w:right="0" w:firstLine="419"/>
        <w:jc w:val="left"/>
      </w:pPr>
      <w:r>
        <w:rPr>
          <w:spacing w:val="-5"/>
        </w:rPr>
        <w:t>（</w:t>
      </w: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2019 </w:t>
      </w:r>
      <w:r>
        <w:rPr/>
        <w:t>年 </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spacing w:val="-3"/>
        </w:rPr>
        <w:t>月，本公司之子公司北京泰豪智能工程有限公司收购北京泰豪智能科技有限公司，使</w:t>
      </w:r>
      <w:r>
        <w:rPr>
          <w:w w:val="100"/>
        </w:rPr>
        <w:t> </w:t>
      </w:r>
      <w:r>
        <w:rPr/>
        <w:t>资本公积减少</w:t>
      </w:r>
      <w:r>
        <w:rPr>
          <w:spacing w:val="-53"/>
        </w:rPr>
        <w:t> </w:t>
      </w:r>
      <w:r>
        <w:rPr>
          <w:rFonts w:ascii="Times New Roman" w:hAnsi="Times New Roman" w:cs="Times New Roman" w:eastAsia="Times New Roman" w:hint="default"/>
        </w:rPr>
        <w:t>1,451,356.69 </w:t>
      </w:r>
      <w:r>
        <w:rPr/>
        <w:t>元。</w:t>
      </w:r>
    </w:p>
    <w:p>
      <w:pPr>
        <w:pStyle w:val="BodyText"/>
        <w:spacing w:line="336" w:lineRule="auto" w:before="125"/>
        <w:ind w:left="153" w:right="0" w:firstLine="419"/>
        <w:jc w:val="left"/>
      </w:pPr>
      <w:r>
        <w:rPr>
          <w:spacing w:val="-7"/>
        </w:rPr>
        <w:t>（</w:t>
      </w:r>
      <w:r>
        <w:rPr>
          <w:rFonts w:ascii="Times New Roman" w:hAnsi="Times New Roman" w:cs="Times New Roman" w:eastAsia="Times New Roman" w:hint="default"/>
          <w:spacing w:val="-7"/>
        </w:rPr>
        <w:t>5</w:t>
      </w:r>
      <w:r>
        <w:rPr>
          <w:spacing w:val="-7"/>
        </w:rPr>
        <w:t>）</w:t>
      </w:r>
      <w:r>
        <w:rPr>
          <w:rFonts w:ascii="Times New Roman" w:hAnsi="Times New Roman" w:cs="Times New Roman" w:eastAsia="Times New Roman" w:hint="default"/>
          <w:spacing w:val="-7"/>
        </w:rPr>
        <w:t>2019 </w:t>
      </w:r>
      <w:r>
        <w:rPr/>
        <w:t>年 </w:t>
      </w:r>
      <w:r>
        <w:rPr>
          <w:rFonts w:ascii="Times New Roman" w:hAnsi="Times New Roman" w:cs="Times New Roman" w:eastAsia="Times New Roman" w:hint="default"/>
        </w:rPr>
        <w:t>12 </w:t>
      </w:r>
      <w:r>
        <w:rPr>
          <w:spacing w:val="-5"/>
        </w:rPr>
        <w:t>月，本公司将天津百望金赋科技有限公司</w:t>
      </w:r>
      <w:r>
        <w:rPr>
          <w:spacing w:val="-64"/>
        </w:rPr>
        <w:t> </w:t>
      </w:r>
      <w:r>
        <w:rPr>
          <w:rFonts w:ascii="Times New Roman" w:hAnsi="Times New Roman" w:cs="Times New Roman" w:eastAsia="Times New Roman" w:hint="default"/>
        </w:rPr>
        <w:t>65%</w:t>
      </w:r>
      <w:r>
        <w:rPr/>
        <w:t>的股权转让于非全资子公司北京旋极百</w:t>
      </w:r>
      <w:r>
        <w:rPr>
          <w:w w:val="100"/>
        </w:rPr>
        <w:t> </w:t>
      </w:r>
      <w:r>
        <w:rPr/>
        <w:t>旺科技有限公司，持股比例从</w:t>
      </w:r>
      <w:r>
        <w:rPr>
          <w:spacing w:val="-55"/>
        </w:rPr>
        <w:t> </w:t>
      </w:r>
      <w:r>
        <w:rPr>
          <w:rFonts w:ascii="Times New Roman" w:hAnsi="Times New Roman" w:cs="Times New Roman" w:eastAsia="Times New Roman" w:hint="default"/>
        </w:rPr>
        <w:t>65.00%</w:t>
      </w:r>
      <w:r>
        <w:rPr/>
        <w:t>下降到</w:t>
      </w:r>
      <w:r>
        <w:rPr>
          <w:spacing w:val="-55"/>
        </w:rPr>
        <w:t> </w:t>
      </w:r>
      <w:r>
        <w:rPr>
          <w:rFonts w:ascii="Times New Roman" w:hAnsi="Times New Roman" w:cs="Times New Roman" w:eastAsia="Times New Roman" w:hint="default"/>
        </w:rPr>
        <w:t>60.24%</w:t>
      </w:r>
      <w:r>
        <w:rPr/>
        <w:t>使资本公积减少</w:t>
      </w:r>
      <w:r>
        <w:rPr>
          <w:spacing w:val="-55"/>
        </w:rPr>
        <w:t> </w:t>
      </w:r>
      <w:r>
        <w:rPr>
          <w:rFonts w:ascii="Times New Roman" w:hAnsi="Times New Roman" w:cs="Times New Roman" w:eastAsia="Times New Roman" w:hint="default"/>
        </w:rPr>
        <w:t>1,142,660.31</w:t>
      </w:r>
      <w:r>
        <w:rPr>
          <w:rFonts w:ascii="Times New Roman" w:hAnsi="Times New Roman" w:cs="Times New Roman" w:eastAsia="Times New Roman" w:hint="default"/>
          <w:spacing w:val="-2"/>
        </w:rPr>
        <w:t> </w:t>
      </w:r>
      <w:r>
        <w:rPr>
          <w:spacing w:val="-3"/>
        </w:rPr>
        <w:t>元。</w:t>
      </w:r>
      <w:r>
        <w:rPr/>
      </w:r>
    </w:p>
    <w:p>
      <w:pPr>
        <w:pStyle w:val="Heading4"/>
        <w:spacing w:line="240" w:lineRule="auto" w:before="123"/>
        <w:ind w:left="575" w:right="1127"/>
        <w:jc w:val="left"/>
        <w:rPr>
          <w:b w:val="0"/>
          <w:bCs w:val="0"/>
        </w:rPr>
      </w:pPr>
      <w:r>
        <w:rPr>
          <w:rFonts w:ascii="Times New Roman" w:hAnsi="Times New Roman" w:cs="Times New Roman" w:eastAsia="Times New Roman" w:hint="default"/>
        </w:rPr>
        <w:t>2</w:t>
      </w:r>
      <w:r>
        <w:rPr/>
        <w:t>、其他资本公积变动说明</w:t>
      </w:r>
      <w:r>
        <w:rPr>
          <w:b w:val="0"/>
          <w:bCs w:val="0"/>
        </w:rPr>
      </w:r>
    </w:p>
    <w:p>
      <w:pPr>
        <w:spacing w:line="240" w:lineRule="auto" w:before="11"/>
        <w:rPr>
          <w:rFonts w:ascii="宋体" w:hAnsi="宋体" w:cs="宋体" w:eastAsia="宋体" w:hint="default"/>
          <w:b/>
          <w:bCs/>
          <w:sz w:val="16"/>
          <w:szCs w:val="16"/>
        </w:rPr>
      </w:pPr>
    </w:p>
    <w:p>
      <w:pPr>
        <w:pStyle w:val="BodyText"/>
        <w:spacing w:line="336" w:lineRule="auto"/>
        <w:ind w:left="152" w:right="1127" w:firstLine="42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月，公司审议通过终止实施</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年限制性股票激励计划，</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年加速行权确认资本</w:t>
      </w:r>
      <w:r>
        <w:rPr>
          <w:w w:val="100"/>
        </w:rPr>
        <w:t> </w:t>
      </w:r>
      <w:r>
        <w:rPr/>
        <w:t>公积</w:t>
      </w:r>
      <w:r>
        <w:rPr>
          <w:spacing w:val="-52"/>
        </w:rPr>
        <w:t> </w:t>
      </w:r>
      <w:r>
        <w:rPr>
          <w:rFonts w:ascii="Times New Roman" w:hAnsi="Times New Roman" w:cs="Times New Roman" w:eastAsia="Times New Roman" w:hint="default"/>
        </w:rPr>
        <w:t>18,727,235.12</w:t>
      </w:r>
      <w:r>
        <w:rPr>
          <w:rFonts w:ascii="Times New Roman" w:hAnsi="Times New Roman" w:cs="Times New Roman" w:eastAsia="Times New Roman" w:hint="default"/>
          <w:spacing w:val="-1"/>
        </w:rPr>
        <w:t> </w:t>
      </w:r>
      <w:r>
        <w:rPr/>
        <w:t>元。</w:t>
      </w:r>
    </w:p>
    <w:p>
      <w:pPr>
        <w:pStyle w:val="BodyText"/>
        <w:spacing w:line="240" w:lineRule="auto" w:before="122"/>
        <w:ind w:right="1127"/>
        <w:jc w:val="left"/>
      </w:pPr>
      <w:r>
        <w:rPr/>
        <w:t>（</w:t>
      </w:r>
      <w:r>
        <w:rPr>
          <w:rFonts w:ascii="Times New Roman" w:hAnsi="Times New Roman" w:cs="Times New Roman" w:eastAsia="Times New Roman" w:hint="default"/>
        </w:rPr>
        <w:t>2</w:t>
      </w:r>
      <w:r>
        <w:rPr/>
        <w:t>）本公司计提</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年股权激励费确认资本公积</w:t>
      </w:r>
      <w:r>
        <w:rPr>
          <w:spacing w:val="-57"/>
        </w:rPr>
        <w:t> </w:t>
      </w:r>
      <w:r>
        <w:rPr>
          <w:rFonts w:ascii="Times New Roman" w:hAnsi="Times New Roman" w:cs="Times New Roman" w:eastAsia="Times New Roman" w:hint="default"/>
        </w:rPr>
        <w:t>32,470,100.00</w:t>
      </w:r>
      <w:r>
        <w:rPr>
          <w:rFonts w:ascii="Times New Roman" w:hAnsi="Times New Roman" w:cs="Times New Roman" w:eastAsia="Times New Roman" w:hint="default"/>
          <w:spacing w:val="-1"/>
        </w:rPr>
        <w:t> </w:t>
      </w:r>
      <w:r>
        <w:rPr>
          <w:spacing w:val="-3"/>
        </w:rPr>
        <w:t>元。</w:t>
      </w:r>
      <w:r>
        <w:rPr/>
      </w:r>
    </w:p>
    <w:p>
      <w:pPr>
        <w:spacing w:line="240" w:lineRule="auto" w:before="11"/>
        <w:rPr>
          <w:rFonts w:ascii="宋体" w:hAnsi="宋体" w:cs="宋体" w:eastAsia="宋体" w:hint="default"/>
          <w:sz w:val="16"/>
          <w:szCs w:val="16"/>
        </w:rPr>
      </w:pPr>
    </w:p>
    <w:p>
      <w:pPr>
        <w:pStyle w:val="BodyText"/>
        <w:spacing w:line="336" w:lineRule="auto"/>
        <w:ind w:left="152" w:right="1127" w:firstLine="420"/>
        <w:jc w:val="left"/>
      </w:pPr>
      <w:r>
        <w:rPr/>
        <w:t>（</w:t>
      </w:r>
      <w:r>
        <w:rPr>
          <w:rFonts w:ascii="Times New Roman" w:hAnsi="Times New Roman" w:cs="Times New Roman" w:eastAsia="Times New Roman" w:hint="default"/>
        </w:rPr>
        <w:t>3</w:t>
      </w:r>
      <w:r>
        <w:rPr/>
        <w:t>）本公司确认联营及合营企业除净损益、其他综合收益和利润分配以外所有者权益的其他变动，</w:t>
      </w:r>
      <w:r>
        <w:rPr>
          <w:w w:val="100"/>
        </w:rPr>
        <w:t> </w:t>
      </w:r>
      <w:r>
        <w:rPr/>
        <w:t>增加资本公积</w:t>
      </w:r>
      <w:r>
        <w:rPr>
          <w:spacing w:val="-54"/>
        </w:rPr>
        <w:t> </w:t>
      </w:r>
      <w:r>
        <w:rPr>
          <w:rFonts w:ascii="Times New Roman" w:hAnsi="Times New Roman" w:cs="Times New Roman" w:eastAsia="Times New Roman" w:hint="default"/>
        </w:rPr>
        <w:t>48,703,872.82</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4"/>
          <w:szCs w:val="24"/>
        </w:rPr>
      </w:pPr>
    </w:p>
    <w:p>
      <w:pPr>
        <w:pStyle w:val="Heading4"/>
        <w:spacing w:line="240" w:lineRule="auto"/>
        <w:ind w:right="1127"/>
        <w:jc w:val="left"/>
        <w:rPr>
          <w:b w:val="0"/>
          <w:bCs w:val="0"/>
        </w:rPr>
      </w:pPr>
      <w:bookmarkStart w:name="56、库存股" w:id="491"/>
      <w:bookmarkEnd w:id="491"/>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9"/>
        <w:rPr>
          <w:rFonts w:ascii="宋体" w:hAnsi="宋体" w:cs="宋体" w:eastAsia="宋体" w:hint="default"/>
          <w:b/>
          <w:bCs/>
          <w:sz w:val="21"/>
          <w:szCs w:val="21"/>
        </w:rPr>
      </w:pPr>
    </w:p>
    <w:p>
      <w:pPr>
        <w:spacing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77"/>
              <w:jc w:val="left"/>
              <w:rPr>
                <w:rFonts w:ascii="宋体" w:hAnsi="宋体" w:cs="宋体" w:eastAsia="宋体" w:hint="default"/>
                <w:sz w:val="18"/>
                <w:szCs w:val="18"/>
              </w:rPr>
            </w:pPr>
            <w:r>
              <w:rPr>
                <w:rFonts w:ascii="宋体" w:hAnsi="宋体" w:cs="宋体" w:eastAsia="宋体" w:hint="default"/>
                <w:sz w:val="18"/>
                <w:szCs w:val="18"/>
              </w:rPr>
              <w:t>因减少注册资本而收购 的本公司股份</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12,400,125.00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12,400,125.00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限制性股票回购业务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182,548,275.37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114,745,944.00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207,190,859.37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90,103,360.00</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194,948,400.37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114,745,944.00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219,590,984.37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90,103,360.00</w:t>
            </w:r>
          </w:p>
        </w:tc>
      </w:tr>
    </w:tbl>
    <w:p>
      <w:pPr>
        <w:pStyle w:val="BodyText"/>
        <w:spacing w:line="240" w:lineRule="auto" w:before="64"/>
        <w:ind w:right="1127"/>
        <w:jc w:val="left"/>
      </w:pPr>
      <w:r>
        <w:rPr/>
        <w:t>其他说明，包括本期增减变动情况、变动原因说明：</w:t>
      </w:r>
    </w:p>
    <w:p>
      <w:pPr>
        <w:spacing w:line="240" w:lineRule="auto" w:before="12"/>
        <w:rPr>
          <w:rFonts w:ascii="宋体" w:hAnsi="宋体" w:cs="宋体" w:eastAsia="宋体" w:hint="default"/>
          <w:sz w:val="17"/>
          <w:szCs w:val="17"/>
        </w:rPr>
      </w:pPr>
    </w:p>
    <w:p>
      <w:pPr>
        <w:pStyle w:val="BodyText"/>
        <w:spacing w:line="240" w:lineRule="auto"/>
        <w:ind w:right="1127"/>
        <w:jc w:val="left"/>
      </w:pPr>
      <w:r>
        <w:rPr>
          <w:rFonts w:ascii="Times New Roman" w:hAnsi="Times New Roman" w:cs="Times New Roman" w:eastAsia="Times New Roman" w:hint="default"/>
          <w:w w:val="100"/>
        </w:rPr>
        <w:t>1</w:t>
      </w:r>
      <w:r>
        <w:rPr>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月</w:t>
      </w:r>
      <w:r>
        <w:rPr>
          <w:w w:val="100"/>
        </w:rPr>
        <w:t>库</w:t>
      </w:r>
      <w:r>
        <w:rPr>
          <w:spacing w:val="-3"/>
          <w:w w:val="100"/>
        </w:rPr>
        <w:t>存</w:t>
      </w:r>
      <w:r>
        <w:rPr>
          <w:w w:val="100"/>
        </w:rPr>
        <w:t>股</w:t>
      </w:r>
      <w:r>
        <w:rPr>
          <w:spacing w:val="-3"/>
          <w:w w:val="100"/>
        </w:rPr>
        <w:t>减</w:t>
      </w:r>
      <w:r>
        <w:rPr>
          <w:w w:val="100"/>
        </w:rPr>
        <w:t>少</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00,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25.</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元</w:t>
      </w:r>
      <w:r>
        <w:rPr>
          <w:w w:val="100"/>
        </w:rPr>
        <w:t>，</w:t>
      </w:r>
      <w:r>
        <w:rPr>
          <w:spacing w:val="-3"/>
          <w:w w:val="100"/>
        </w:rPr>
        <w:t>详见</w:t>
      </w:r>
      <w:r>
        <w:rPr>
          <w:w w:val="100"/>
        </w:rPr>
        <w:t>本附</w:t>
      </w:r>
      <w:r>
        <w:rPr>
          <w:spacing w:val="-3"/>
          <w:w w:val="100"/>
        </w:rPr>
        <w:t>注</w:t>
      </w:r>
      <w:r>
        <w:rPr>
          <w:w w:val="100"/>
        </w:rPr>
        <w:t>“</w:t>
      </w:r>
      <w:r>
        <w:rPr>
          <w:spacing w:val="-3"/>
          <w:w w:val="100"/>
        </w:rPr>
        <w:t>五</w:t>
      </w:r>
      <w:r>
        <w:rPr>
          <w:spacing w:val="-106"/>
          <w:w w:val="100"/>
        </w:rPr>
        <w:t>、</w:t>
      </w:r>
      <w:r>
        <w:rPr>
          <w:spacing w:val="-3"/>
          <w:w w:val="100"/>
        </w:rPr>
        <w:t>（</w:t>
      </w:r>
      <w:r>
        <w:rPr>
          <w:w w:val="100"/>
        </w:rPr>
        <w:t>三</w:t>
      </w:r>
      <w:r>
        <w:rPr>
          <w:spacing w:val="-3"/>
          <w:w w:val="100"/>
        </w:rPr>
        <w:t>十</w:t>
      </w:r>
      <w:r>
        <w:rPr>
          <w:w w:val="100"/>
        </w:rPr>
        <w:t>四</w:t>
      </w:r>
      <w:r>
        <w:rPr>
          <w:spacing w:val="-3"/>
          <w:w w:val="100"/>
        </w:rPr>
        <w:t>）股</w:t>
      </w:r>
      <w:r>
        <w:rPr>
          <w:w w:val="100"/>
        </w:rPr>
        <w:t>本其</w:t>
      </w:r>
      <w:r>
        <w:rPr>
          <w:spacing w:val="-3"/>
          <w:w w:val="100"/>
        </w:rPr>
        <w:t>他说</w:t>
      </w:r>
      <w:r>
        <w:rPr>
          <w:w w:val="100"/>
        </w:rPr>
        <w:t>明</w:t>
      </w:r>
      <w:r>
        <w:rPr>
          <w:spacing w:val="-54"/>
        </w:rPr>
        <w:t> </w:t>
      </w:r>
      <w:r>
        <w:rPr>
          <w:rFonts w:ascii="Times New Roman" w:hAnsi="Times New Roman" w:cs="Times New Roman" w:eastAsia="Times New Roman" w:hint="default"/>
          <w:w w:val="100"/>
        </w:rPr>
        <w:t>1</w:t>
      </w:r>
      <w:r>
        <w:rPr>
          <w:spacing w:val="-108"/>
          <w:w w:val="100"/>
        </w:rPr>
        <w:t>”。</w:t>
      </w:r>
      <w:r>
        <w:rPr>
          <w:w w:val="100"/>
        </w:rPr>
      </w:r>
    </w:p>
    <w:p>
      <w:pPr>
        <w:spacing w:line="240" w:lineRule="auto" w:before="11"/>
        <w:rPr>
          <w:rFonts w:ascii="宋体" w:hAnsi="宋体" w:cs="宋体" w:eastAsia="宋体" w:hint="default"/>
          <w:sz w:val="16"/>
          <w:szCs w:val="16"/>
        </w:rPr>
      </w:pPr>
    </w:p>
    <w:p>
      <w:pPr>
        <w:pStyle w:val="BodyText"/>
        <w:spacing w:line="333" w:lineRule="auto"/>
        <w:ind w:left="152" w:right="1129" w:firstLine="420"/>
        <w:jc w:val="left"/>
      </w:pPr>
      <w:r>
        <w:rPr>
          <w:rFonts w:ascii="Times New Roman" w:hAnsi="Times New Roman" w:cs="Times New Roman" w:eastAsia="Times New Roman" w:hint="default"/>
          <w:w w:val="100"/>
        </w:rPr>
        <w:t>2</w:t>
      </w:r>
      <w:r>
        <w:rPr>
          <w:spacing w:val="-13"/>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月库</w:t>
      </w:r>
      <w:r>
        <w:rPr>
          <w:spacing w:val="-3"/>
          <w:w w:val="100"/>
        </w:rPr>
        <w:t>存</w:t>
      </w:r>
      <w:r>
        <w:rPr>
          <w:w w:val="100"/>
        </w:rPr>
        <w:t>股</w:t>
      </w:r>
      <w:r>
        <w:rPr>
          <w:spacing w:val="-3"/>
          <w:w w:val="100"/>
        </w:rPr>
        <w:t>增</w:t>
      </w:r>
      <w:r>
        <w:rPr>
          <w:w w:val="100"/>
        </w:rPr>
        <w:t>加</w:t>
      </w:r>
      <w:r>
        <w:rPr>
          <w:spacing w:val="-53"/>
        </w:rPr>
        <w:t> </w:t>
      </w:r>
      <w:r>
        <w:rPr>
          <w:rFonts w:ascii="Times New Roman" w:hAnsi="Times New Roman" w:cs="Times New Roman" w:eastAsia="Times New Roman" w:hint="default"/>
          <w:w w:val="100"/>
        </w:rPr>
        <w:t>24,</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42,</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84.</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元</w:t>
      </w:r>
      <w:r>
        <w:rPr>
          <w:spacing w:val="-12"/>
          <w:w w:val="100"/>
        </w:rPr>
        <w:t>、</w:t>
      </w:r>
      <w:r>
        <w:rPr>
          <w:spacing w:val="-3"/>
          <w:w w:val="100"/>
        </w:rPr>
        <w:t>减</w:t>
      </w:r>
      <w:r>
        <w:rPr>
          <w:w w:val="100"/>
        </w:rPr>
        <w:t>少</w:t>
      </w:r>
      <w:r>
        <w:rPr>
          <w:spacing w:val="-55"/>
        </w:rPr>
        <w:t> </w:t>
      </w:r>
      <w:r>
        <w:rPr>
          <w:rFonts w:ascii="Times New Roman" w:hAnsi="Times New Roman" w:cs="Times New Roman" w:eastAsia="Times New Roman" w:hint="default"/>
          <w:w w:val="100"/>
        </w:rPr>
        <w:t>207,1</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0,85</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.37</w:t>
      </w:r>
      <w:r>
        <w:rPr>
          <w:rFonts w:ascii="Times New Roman" w:hAnsi="Times New Roman" w:cs="Times New Roman" w:eastAsia="Times New Roman" w:hint="default"/>
          <w:spacing w:val="-3"/>
        </w:rPr>
        <w:t> </w:t>
      </w:r>
      <w:r>
        <w:rPr>
          <w:w w:val="100"/>
        </w:rPr>
        <w:t>元</w:t>
      </w:r>
      <w:r>
        <w:rPr>
          <w:spacing w:val="-15"/>
          <w:w w:val="100"/>
        </w:rPr>
        <w:t>，</w:t>
      </w:r>
      <w:r>
        <w:rPr>
          <w:w w:val="100"/>
        </w:rPr>
        <w:t>详</w:t>
      </w:r>
      <w:r>
        <w:rPr>
          <w:spacing w:val="-3"/>
          <w:w w:val="100"/>
        </w:rPr>
        <w:t>见本</w:t>
      </w:r>
      <w:r>
        <w:rPr>
          <w:w w:val="100"/>
        </w:rPr>
        <w:t>附</w:t>
      </w:r>
      <w:r>
        <w:rPr>
          <w:spacing w:val="-15"/>
          <w:w w:val="100"/>
        </w:rPr>
        <w:t>注</w:t>
      </w:r>
      <w:r>
        <w:rPr>
          <w:w w:val="100"/>
        </w:rPr>
        <w:t>“五</w:t>
      </w:r>
      <w:r>
        <w:rPr>
          <w:spacing w:val="-120"/>
          <w:w w:val="100"/>
        </w:rPr>
        <w:t>、</w:t>
      </w:r>
      <w:r>
        <w:rPr>
          <w:spacing w:val="-3"/>
          <w:w w:val="100"/>
        </w:rPr>
        <w:t>（</w:t>
      </w:r>
      <w:r>
        <w:rPr>
          <w:w w:val="100"/>
        </w:rPr>
        <w:t>三</w:t>
      </w:r>
      <w:r>
        <w:rPr>
          <w:spacing w:val="-3"/>
          <w:w w:val="100"/>
        </w:rPr>
        <w:t>十</w:t>
      </w:r>
      <w:r>
        <w:rPr>
          <w:w w:val="100"/>
        </w:rPr>
        <w:t>四</w:t>
      </w:r>
      <w:r>
        <w:rPr>
          <w:spacing w:val="-15"/>
          <w:w w:val="100"/>
        </w:rPr>
        <w:t>）</w:t>
      </w:r>
      <w:r>
        <w:rPr>
          <w:w w:val="100"/>
        </w:rPr>
        <w:t>股</w:t>
      </w:r>
      <w:r>
        <w:rPr>
          <w:w w:val="100"/>
        </w:rPr>
        <w:t> 本其</w:t>
      </w:r>
      <w:r>
        <w:rPr>
          <w:spacing w:val="-3"/>
          <w:w w:val="100"/>
        </w:rPr>
        <w:t>他说</w:t>
      </w:r>
      <w:r>
        <w:rPr>
          <w:w w:val="100"/>
        </w:rPr>
        <w:t>明</w:t>
      </w:r>
      <w:r>
        <w:rPr>
          <w:spacing w:val="-53"/>
        </w:rPr>
        <w:t> </w:t>
      </w:r>
      <w:r>
        <w:rPr>
          <w:rFonts w:ascii="Times New Roman" w:hAnsi="Times New Roman" w:cs="Times New Roman" w:eastAsia="Times New Roman" w:hint="default"/>
          <w:w w:val="100"/>
        </w:rPr>
        <w:t>2</w:t>
      </w:r>
      <w:r>
        <w:rPr>
          <w:spacing w:val="-108"/>
          <w:w w:val="100"/>
        </w:rPr>
        <w:t>”。</w:t>
      </w:r>
      <w:r>
        <w:rPr>
          <w:w w:val="100"/>
        </w:rPr>
      </w:r>
    </w:p>
    <w:p>
      <w:pPr>
        <w:pStyle w:val="BodyText"/>
        <w:spacing w:line="240" w:lineRule="auto" w:before="127"/>
        <w:ind w:right="1127"/>
        <w:jc w:val="left"/>
      </w:pPr>
      <w:r>
        <w:rPr>
          <w:rFonts w:ascii="Times New Roman" w:hAnsi="Times New Roman" w:cs="Times New Roman" w:eastAsia="Times New Roman" w:hint="default"/>
          <w:w w:val="100"/>
        </w:rPr>
        <w:t>3</w:t>
      </w:r>
      <w:r>
        <w:rPr>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spacing w:val="-3"/>
          <w:w w:val="100"/>
        </w:rPr>
        <w:t>月</w:t>
      </w:r>
      <w:r>
        <w:rPr>
          <w:w w:val="100"/>
        </w:rPr>
        <w:t>，</w:t>
      </w:r>
      <w:r>
        <w:rPr>
          <w:spacing w:val="-3"/>
          <w:w w:val="100"/>
        </w:rPr>
        <w:t>库</w:t>
      </w:r>
      <w:r>
        <w:rPr>
          <w:w w:val="100"/>
        </w:rPr>
        <w:t>存</w:t>
      </w:r>
      <w:r>
        <w:rPr>
          <w:spacing w:val="-3"/>
          <w:w w:val="100"/>
        </w:rPr>
        <w:t>股</w:t>
      </w:r>
      <w:r>
        <w:rPr>
          <w:w w:val="100"/>
        </w:rPr>
        <w:t>增加</w:t>
      </w:r>
      <w:r>
        <w:rPr>
          <w:spacing w:val="-53"/>
        </w:rPr>
        <w:t> </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0,10</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,360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00</w:t>
      </w:r>
      <w:r>
        <w:rPr>
          <w:rFonts w:ascii="Times New Roman" w:hAnsi="Times New Roman" w:cs="Times New Roman" w:eastAsia="Times New Roman" w:hint="default"/>
          <w:spacing w:val="-2"/>
        </w:rPr>
        <w:t> </w:t>
      </w:r>
      <w:r>
        <w:rPr>
          <w:w w:val="100"/>
        </w:rPr>
        <w:t>元</w:t>
      </w:r>
      <w:r>
        <w:rPr>
          <w:spacing w:val="-3"/>
          <w:w w:val="100"/>
        </w:rPr>
        <w:t>，详</w:t>
      </w:r>
      <w:r>
        <w:rPr>
          <w:w w:val="100"/>
        </w:rPr>
        <w:t>见本</w:t>
      </w:r>
      <w:r>
        <w:rPr>
          <w:spacing w:val="-3"/>
          <w:w w:val="100"/>
        </w:rPr>
        <w:t>附</w:t>
      </w:r>
      <w:r>
        <w:rPr>
          <w:w w:val="100"/>
        </w:rPr>
        <w:t>注</w:t>
      </w:r>
      <w:r>
        <w:rPr>
          <w:spacing w:val="-3"/>
          <w:w w:val="100"/>
        </w:rPr>
        <w:t>“</w:t>
      </w:r>
      <w:r>
        <w:rPr>
          <w:w w:val="100"/>
        </w:rPr>
        <w:t>五</w:t>
      </w:r>
      <w:r>
        <w:rPr>
          <w:spacing w:val="-108"/>
          <w:w w:val="100"/>
        </w:rPr>
        <w:t>、</w:t>
      </w:r>
      <w:r>
        <w:rPr>
          <w:w w:val="100"/>
        </w:rPr>
        <w:t>（</w:t>
      </w:r>
      <w:r>
        <w:rPr>
          <w:spacing w:val="-3"/>
          <w:w w:val="100"/>
        </w:rPr>
        <w:t>三</w:t>
      </w:r>
      <w:r>
        <w:rPr>
          <w:w w:val="100"/>
        </w:rPr>
        <w:t>十</w:t>
      </w:r>
      <w:r>
        <w:rPr>
          <w:spacing w:val="-3"/>
          <w:w w:val="100"/>
        </w:rPr>
        <w:t>四）</w:t>
      </w:r>
      <w:r>
        <w:rPr>
          <w:w w:val="100"/>
        </w:rPr>
        <w:t>股本</w:t>
      </w:r>
      <w:r>
        <w:rPr>
          <w:spacing w:val="-3"/>
          <w:w w:val="100"/>
        </w:rPr>
        <w:t>其</w:t>
      </w:r>
      <w:r>
        <w:rPr>
          <w:w w:val="100"/>
        </w:rPr>
        <w:t>他</w:t>
      </w:r>
      <w:r>
        <w:rPr>
          <w:spacing w:val="-3"/>
          <w:w w:val="100"/>
        </w:rPr>
        <w:t>说</w:t>
      </w:r>
      <w:r>
        <w:rPr>
          <w:w w:val="100"/>
        </w:rPr>
        <w:t>明</w:t>
      </w:r>
      <w:r>
        <w:rPr>
          <w:spacing w:val="-53"/>
        </w:rPr>
        <w:t> </w:t>
      </w:r>
      <w:r>
        <w:rPr>
          <w:rFonts w:ascii="Times New Roman" w:hAnsi="Times New Roman" w:cs="Times New Roman" w:eastAsia="Times New Roman" w:hint="default"/>
          <w:spacing w:val="-3"/>
          <w:w w:val="100"/>
        </w:rPr>
        <w:t>3</w:t>
      </w:r>
      <w:r>
        <w:rPr>
          <w:spacing w:val="-106"/>
          <w:w w:val="100"/>
        </w:rPr>
        <w:t>”。</w:t>
      </w:r>
      <w:r>
        <w:rPr>
          <w:w w:val="100"/>
        </w:rPr>
      </w:r>
    </w:p>
    <w:p>
      <w:pPr>
        <w:spacing w:line="240" w:lineRule="auto" w:before="4"/>
        <w:rPr>
          <w:rFonts w:ascii="宋体" w:hAnsi="宋体" w:cs="宋体" w:eastAsia="宋体" w:hint="default"/>
          <w:sz w:val="32"/>
          <w:szCs w:val="32"/>
        </w:rPr>
      </w:pPr>
    </w:p>
    <w:p>
      <w:pPr>
        <w:pStyle w:val="Heading4"/>
        <w:spacing w:line="240" w:lineRule="auto"/>
        <w:ind w:left="153" w:right="1127"/>
        <w:jc w:val="left"/>
        <w:rPr>
          <w:b w:val="0"/>
          <w:bCs w:val="0"/>
        </w:rPr>
      </w:pPr>
      <w:bookmarkStart w:name="57、其他综合收益" w:id="492"/>
      <w:bookmarkEnd w:id="492"/>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7"/>
        <w:rPr>
          <w:rFonts w:ascii="宋体" w:hAnsi="宋体" w:cs="宋体" w:eastAsia="宋体" w:hint="default"/>
          <w:b/>
          <w:bCs/>
          <w:sz w:val="21"/>
          <w:szCs w:val="21"/>
        </w:rPr>
      </w:pPr>
    </w:p>
    <w:p>
      <w:pPr>
        <w:spacing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555"/>
        <w:gridCol w:w="974"/>
        <w:gridCol w:w="5311"/>
        <w:gridCol w:w="727"/>
      </w:tblGrid>
      <w:tr>
        <w:trPr>
          <w:trHeight w:val="324" w:hRule="exact"/>
        </w:trPr>
        <w:tc>
          <w:tcPr>
            <w:tcW w:w="25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7"/>
              <w:ind w:left="88" w:right="0"/>
              <w:jc w:val="left"/>
              <w:rPr>
                <w:rFonts w:ascii="宋体" w:hAnsi="宋体" w:cs="宋体" w:eastAsia="宋体" w:hint="default"/>
                <w:sz w:val="18"/>
                <w:szCs w:val="18"/>
              </w:rPr>
            </w:pPr>
            <w:r>
              <w:rPr>
                <w:rFonts w:ascii="宋体" w:hAnsi="宋体" w:cs="宋体" w:eastAsia="宋体" w:hint="default"/>
                <w:sz w:val="18"/>
                <w:szCs w:val="18"/>
              </w:rPr>
              <w:t>期末余</w:t>
            </w:r>
          </w:p>
        </w:tc>
      </w:tr>
    </w:tbl>
    <w:p>
      <w:pPr>
        <w:spacing w:after="0" w:line="240" w:lineRule="auto"/>
        <w:jc w:val="left"/>
        <w:rPr>
          <w:rFonts w:ascii="宋体" w:hAnsi="宋体" w:cs="宋体" w:eastAsia="宋体"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544"/>
        <w:gridCol w:w="974"/>
        <w:gridCol w:w="852"/>
        <w:gridCol w:w="1051"/>
        <w:gridCol w:w="852"/>
        <w:gridCol w:w="852"/>
        <w:gridCol w:w="852"/>
        <w:gridCol w:w="852"/>
        <w:gridCol w:w="727"/>
      </w:tblGrid>
      <w:tr>
        <w:trPr>
          <w:trHeight w:val="122" w:hRule="exact"/>
        </w:trPr>
        <w:tc>
          <w:tcPr>
            <w:tcW w:w="2544" w:type="dxa"/>
            <w:vMerge w:val="restart"/>
            <w:tcBorders>
              <w:top w:val="single" w:sz="4" w:space="0" w:color="000000"/>
              <w:left w:val="single" w:sz="4" w:space="0" w:color="000000"/>
              <w:right w:val="single" w:sz="4" w:space="0" w:color="000000"/>
            </w:tcBorders>
            <w:shd w:val="clear" w:color="auto" w:fill="D4D4D4"/>
          </w:tcPr>
          <w:p>
            <w:pPr/>
          </w:p>
        </w:tc>
        <w:tc>
          <w:tcPr>
            <w:tcW w:w="974" w:type="dxa"/>
            <w:vMerge w:val="restart"/>
            <w:tcBorders>
              <w:top w:val="single" w:sz="4" w:space="0" w:color="000000"/>
              <w:left w:val="single" w:sz="4" w:space="0" w:color="000000"/>
              <w:right w:val="single" w:sz="4" w:space="0" w:color="000000"/>
            </w:tcBorders>
            <w:shd w:val="clear" w:color="auto" w:fill="D4D4D4"/>
          </w:tcPr>
          <w:p>
            <w:pPr/>
          </w:p>
        </w:tc>
        <w:tc>
          <w:tcPr>
            <w:tcW w:w="852" w:type="dxa"/>
            <w:vMerge w:val="restart"/>
            <w:tcBorders>
              <w:top w:val="single" w:sz="4" w:space="0" w:color="000000"/>
              <w:left w:val="single" w:sz="4" w:space="0" w:color="000000"/>
              <w:right w:val="single" w:sz="4" w:space="0" w:color="000000"/>
            </w:tcBorders>
            <w:shd w:val="clear" w:color="auto" w:fill="D4D4D4"/>
          </w:tcPr>
          <w:p>
            <w:pPr/>
          </w:p>
        </w:tc>
        <w:tc>
          <w:tcPr>
            <w:tcW w:w="1051" w:type="dxa"/>
            <w:tcBorders>
              <w:top w:val="single" w:sz="4" w:space="0" w:color="000000"/>
              <w:left w:val="single" w:sz="4" w:space="0" w:color="000000"/>
              <w:bottom w:val="nil" w:sz="6" w:space="0" w:color="auto"/>
              <w:right w:val="single" w:sz="4" w:space="0" w:color="000000"/>
            </w:tcBorders>
            <w:shd w:val="clear" w:color="auto" w:fill="D4D4D4"/>
          </w:tcPr>
          <w:p>
            <w:pPr/>
          </w:p>
        </w:tc>
        <w:tc>
          <w:tcPr>
            <w:tcW w:w="852" w:type="dxa"/>
            <w:vMerge w:val="restart"/>
            <w:tcBorders>
              <w:top w:val="single" w:sz="4" w:space="0" w:color="000000"/>
              <w:left w:val="single" w:sz="4" w:space="0" w:color="000000"/>
              <w:right w:val="single" w:sz="4" w:space="0" w:color="000000"/>
            </w:tcBorders>
            <w:shd w:val="clear" w:color="auto" w:fill="D4D4D4"/>
          </w:tcPr>
          <w:p>
            <w:pPr>
              <w:pStyle w:val="TableParagraph"/>
              <w:spacing w:line="237" w:lineRule="auto" w:before="10"/>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4D4D4"/>
          </w:tcPr>
          <w:p>
            <w:pPr/>
          </w:p>
        </w:tc>
        <w:tc>
          <w:tcPr>
            <w:tcW w:w="852" w:type="dxa"/>
            <w:vMerge w:val="restart"/>
            <w:tcBorders>
              <w:top w:val="single" w:sz="4" w:space="0" w:color="000000"/>
              <w:left w:val="single" w:sz="4" w:space="0" w:color="000000"/>
              <w:right w:val="single" w:sz="4" w:space="0" w:color="000000"/>
            </w:tcBorders>
            <w:shd w:val="clear" w:color="auto" w:fill="D4D4D4"/>
          </w:tcPr>
          <w:p>
            <w:pPr/>
          </w:p>
        </w:tc>
        <w:tc>
          <w:tcPr>
            <w:tcW w:w="852" w:type="dxa"/>
            <w:vMerge w:val="restart"/>
            <w:tcBorders>
              <w:top w:val="single" w:sz="4" w:space="0" w:color="000000"/>
              <w:left w:val="single" w:sz="4" w:space="0" w:color="000000"/>
              <w:right w:val="single" w:sz="4" w:space="0" w:color="000000"/>
            </w:tcBorders>
            <w:shd w:val="clear" w:color="auto" w:fill="D4D4D4"/>
          </w:tcPr>
          <w:p>
            <w:pPr/>
          </w:p>
        </w:tc>
        <w:tc>
          <w:tcPr>
            <w:tcW w:w="727" w:type="dxa"/>
            <w:vMerge w:val="restart"/>
            <w:tcBorders>
              <w:top w:val="single" w:sz="4" w:space="0" w:color="000000"/>
              <w:left w:val="single" w:sz="10" w:space="0" w:color="D4D4D4"/>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115" w:hRule="exact"/>
        </w:trPr>
        <w:tc>
          <w:tcPr>
            <w:tcW w:w="2544" w:type="dxa"/>
            <w:vMerge/>
            <w:tcBorders>
              <w:left w:val="single" w:sz="4" w:space="0" w:color="000000"/>
              <w:right w:val="single" w:sz="4" w:space="0" w:color="000000"/>
            </w:tcBorders>
            <w:shd w:val="clear" w:color="auto" w:fill="D4D4D4"/>
          </w:tcPr>
          <w:p>
            <w:pPr/>
          </w:p>
        </w:tc>
        <w:tc>
          <w:tcPr>
            <w:tcW w:w="974" w:type="dxa"/>
            <w:vMerge/>
            <w:tcBorders>
              <w:left w:val="single" w:sz="4" w:space="0" w:color="000000"/>
              <w:right w:val="single" w:sz="4" w:space="0" w:color="000000"/>
            </w:tcBorders>
            <w:shd w:val="clear" w:color="auto" w:fill="D4D4D4"/>
          </w:tcPr>
          <w:p>
            <w:pPr/>
          </w:p>
        </w:tc>
        <w:tc>
          <w:tcPr>
            <w:tcW w:w="852" w:type="dxa"/>
            <w:vMerge/>
            <w:tcBorders>
              <w:left w:val="single" w:sz="4" w:space="0" w:color="000000"/>
              <w:bottom w:val="nil" w:sz="6" w:space="0" w:color="auto"/>
              <w:right w:val="single" w:sz="4" w:space="0" w:color="000000"/>
            </w:tcBorders>
            <w:shd w:val="clear" w:color="auto" w:fill="D4D4D4"/>
          </w:tcPr>
          <w:p>
            <w:pPr/>
          </w:p>
        </w:tc>
        <w:tc>
          <w:tcPr>
            <w:tcW w:w="1051" w:type="dxa"/>
            <w:vMerge w:val="restart"/>
            <w:tcBorders>
              <w:top w:val="nil" w:sz="6" w:space="0" w:color="auto"/>
              <w:left w:val="single" w:sz="4" w:space="0" w:color="000000"/>
              <w:right w:val="single" w:sz="4" w:space="0" w:color="000000"/>
            </w:tcBorders>
            <w:shd w:val="clear" w:color="auto" w:fill="D4D4D4"/>
          </w:tcPr>
          <w:p>
            <w:pPr>
              <w:pStyle w:val="TableParagraph"/>
              <w:spacing w:line="237" w:lineRule="auto" w:before="10"/>
              <w:ind w:left="23" w:right="23"/>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4D4D4"/>
          </w:tcPr>
          <w:p>
            <w:pPr/>
          </w:p>
        </w:tc>
        <w:tc>
          <w:tcPr>
            <w:tcW w:w="852" w:type="dxa"/>
            <w:vMerge/>
            <w:tcBorders>
              <w:left w:val="single" w:sz="4" w:space="0" w:color="000000"/>
              <w:right w:val="single" w:sz="4" w:space="0" w:color="000000"/>
            </w:tcBorders>
            <w:shd w:val="clear" w:color="auto" w:fill="D4D4D4"/>
          </w:tcPr>
          <w:p>
            <w:pPr/>
          </w:p>
        </w:tc>
        <w:tc>
          <w:tcPr>
            <w:tcW w:w="852" w:type="dxa"/>
            <w:vMerge/>
            <w:tcBorders>
              <w:left w:val="single" w:sz="4" w:space="0" w:color="000000"/>
              <w:right w:val="single" w:sz="4" w:space="0" w:color="000000"/>
            </w:tcBorders>
            <w:shd w:val="clear" w:color="auto" w:fill="D4D4D4"/>
          </w:tcPr>
          <w:p>
            <w:pPr/>
          </w:p>
        </w:tc>
        <w:tc>
          <w:tcPr>
            <w:tcW w:w="852" w:type="dxa"/>
            <w:vMerge/>
            <w:tcBorders>
              <w:left w:val="single" w:sz="4" w:space="0" w:color="000000"/>
              <w:bottom w:val="nil" w:sz="6" w:space="0" w:color="auto"/>
              <w:right w:val="single" w:sz="4" w:space="0" w:color="000000"/>
            </w:tcBorders>
            <w:shd w:val="clear" w:color="auto" w:fill="D4D4D4"/>
          </w:tcPr>
          <w:p>
            <w:pPr/>
          </w:p>
        </w:tc>
        <w:tc>
          <w:tcPr>
            <w:tcW w:w="727" w:type="dxa"/>
            <w:vMerge/>
            <w:tcBorders>
              <w:left w:val="single" w:sz="10" w:space="0" w:color="D4D4D4"/>
              <w:right w:val="single" w:sz="4" w:space="0" w:color="000000"/>
            </w:tcBorders>
          </w:tcPr>
          <w:p>
            <w:pPr/>
          </w:p>
        </w:tc>
      </w:tr>
      <w:tr>
        <w:trPr>
          <w:trHeight w:val="118" w:hRule="exact"/>
        </w:trPr>
        <w:tc>
          <w:tcPr>
            <w:tcW w:w="2544" w:type="dxa"/>
            <w:vMerge/>
            <w:tcBorders>
              <w:left w:val="single" w:sz="4" w:space="0" w:color="000000"/>
              <w:right w:val="single" w:sz="4" w:space="0" w:color="000000"/>
            </w:tcBorders>
            <w:shd w:val="clear" w:color="auto" w:fill="D4D4D4"/>
          </w:tcPr>
          <w:p>
            <w:pPr/>
          </w:p>
        </w:tc>
        <w:tc>
          <w:tcPr>
            <w:tcW w:w="974" w:type="dxa"/>
            <w:vMerge/>
            <w:tcBorders>
              <w:left w:val="single" w:sz="4" w:space="0" w:color="000000"/>
              <w:right w:val="single" w:sz="4" w:space="0" w:color="000000"/>
            </w:tcBorders>
            <w:shd w:val="clear" w:color="auto" w:fill="D4D4D4"/>
          </w:tcPr>
          <w:p>
            <w:pPr/>
          </w:p>
        </w:tc>
        <w:tc>
          <w:tcPr>
            <w:tcW w:w="852" w:type="dxa"/>
            <w:vMerge w:val="restart"/>
            <w:tcBorders>
              <w:top w:val="nil" w:sz="6" w:space="0" w:color="auto"/>
              <w:left w:val="single" w:sz="4" w:space="0" w:color="000000"/>
              <w:right w:val="single" w:sz="4" w:space="0" w:color="000000"/>
            </w:tcBorders>
            <w:shd w:val="clear" w:color="auto" w:fill="D4D4D4"/>
          </w:tcPr>
          <w:p>
            <w:pPr>
              <w:pStyle w:val="TableParagraph"/>
              <w:spacing w:line="237" w:lineRule="auto" w:before="10"/>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1" w:type="dxa"/>
            <w:vMerge/>
            <w:tcBorders>
              <w:left w:val="single" w:sz="4" w:space="0" w:color="000000"/>
              <w:right w:val="single" w:sz="4" w:space="0" w:color="000000"/>
            </w:tcBorders>
            <w:shd w:val="clear" w:color="auto" w:fill="D4D4D4"/>
          </w:tcPr>
          <w:p>
            <w:pPr/>
          </w:p>
        </w:tc>
        <w:tc>
          <w:tcPr>
            <w:tcW w:w="852" w:type="dxa"/>
            <w:vMerge/>
            <w:tcBorders>
              <w:left w:val="single" w:sz="4" w:space="0" w:color="000000"/>
              <w:right w:val="single" w:sz="4" w:space="0" w:color="000000"/>
            </w:tcBorders>
            <w:shd w:val="clear" w:color="auto" w:fill="D4D4D4"/>
          </w:tcPr>
          <w:p>
            <w:pPr/>
          </w:p>
        </w:tc>
        <w:tc>
          <w:tcPr>
            <w:tcW w:w="852" w:type="dxa"/>
            <w:vMerge/>
            <w:tcBorders>
              <w:left w:val="single" w:sz="4" w:space="0" w:color="000000"/>
              <w:bottom w:val="nil" w:sz="6" w:space="0" w:color="auto"/>
              <w:right w:val="single" w:sz="4" w:space="0" w:color="000000"/>
            </w:tcBorders>
            <w:shd w:val="clear" w:color="auto" w:fill="D4D4D4"/>
          </w:tcPr>
          <w:p>
            <w:pPr/>
          </w:p>
        </w:tc>
        <w:tc>
          <w:tcPr>
            <w:tcW w:w="852" w:type="dxa"/>
            <w:vMerge/>
            <w:tcBorders>
              <w:left w:val="single" w:sz="4" w:space="0" w:color="000000"/>
              <w:bottom w:val="nil" w:sz="6" w:space="0" w:color="auto"/>
              <w:right w:val="single" w:sz="4" w:space="0" w:color="000000"/>
            </w:tcBorders>
            <w:shd w:val="clear" w:color="auto" w:fill="D4D4D4"/>
          </w:tcPr>
          <w:p>
            <w:pPr/>
          </w:p>
        </w:tc>
        <w:tc>
          <w:tcPr>
            <w:tcW w:w="852" w:type="dxa"/>
            <w:vMerge w:val="restart"/>
            <w:tcBorders>
              <w:top w:val="nil" w:sz="6" w:space="0" w:color="auto"/>
              <w:left w:val="single" w:sz="4" w:space="0" w:color="000000"/>
              <w:right w:val="single" w:sz="4" w:space="0" w:color="000000"/>
            </w:tcBorders>
            <w:shd w:val="clear" w:color="auto" w:fill="D4D4D4"/>
          </w:tcPr>
          <w:p>
            <w:pPr>
              <w:pStyle w:val="TableParagraph"/>
              <w:spacing w:line="237" w:lineRule="auto" w:before="10"/>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tcBorders>
              <w:left w:val="single" w:sz="10" w:space="0" w:color="D4D4D4"/>
              <w:right w:val="single" w:sz="4" w:space="0" w:color="000000"/>
            </w:tcBorders>
          </w:tcPr>
          <w:p>
            <w:pPr/>
          </w:p>
        </w:tc>
      </w:tr>
      <w:tr>
        <w:trPr>
          <w:trHeight w:val="547" w:hRule="exact"/>
        </w:trPr>
        <w:tc>
          <w:tcPr>
            <w:tcW w:w="2544" w:type="dxa"/>
            <w:vMerge/>
            <w:tcBorders>
              <w:left w:val="single" w:sz="4" w:space="0" w:color="000000"/>
              <w:right w:val="single" w:sz="4" w:space="0" w:color="000000"/>
            </w:tcBorders>
            <w:shd w:val="clear" w:color="auto" w:fill="D4D4D4"/>
          </w:tcPr>
          <w:p>
            <w:pPr/>
          </w:p>
        </w:tc>
        <w:tc>
          <w:tcPr>
            <w:tcW w:w="974" w:type="dxa"/>
            <w:vMerge/>
            <w:tcBorders>
              <w:left w:val="single" w:sz="4" w:space="0" w:color="000000"/>
              <w:right w:val="single" w:sz="4" w:space="0" w:color="000000"/>
            </w:tcBorders>
            <w:shd w:val="clear" w:color="auto" w:fill="D4D4D4"/>
          </w:tcPr>
          <w:p>
            <w:pPr/>
          </w:p>
        </w:tc>
        <w:tc>
          <w:tcPr>
            <w:tcW w:w="852" w:type="dxa"/>
            <w:vMerge/>
            <w:tcBorders>
              <w:left w:val="single" w:sz="4" w:space="0" w:color="000000"/>
              <w:right w:val="single" w:sz="4" w:space="0" w:color="000000"/>
            </w:tcBorders>
            <w:shd w:val="clear" w:color="auto" w:fill="D4D4D4"/>
          </w:tcPr>
          <w:p>
            <w:pPr/>
          </w:p>
        </w:tc>
        <w:tc>
          <w:tcPr>
            <w:tcW w:w="1051" w:type="dxa"/>
            <w:vMerge/>
            <w:tcBorders>
              <w:left w:val="single" w:sz="4" w:space="0" w:color="000000"/>
              <w:right w:val="single" w:sz="4" w:space="0" w:color="000000"/>
            </w:tcBorders>
            <w:shd w:val="clear" w:color="auto" w:fill="D4D4D4"/>
          </w:tcPr>
          <w:p>
            <w:pPr/>
          </w:p>
        </w:tc>
        <w:tc>
          <w:tcPr>
            <w:tcW w:w="852" w:type="dxa"/>
            <w:vMerge/>
            <w:tcBorders>
              <w:left w:val="single" w:sz="4" w:space="0" w:color="000000"/>
              <w:right w:val="single" w:sz="4" w:space="0" w:color="000000"/>
            </w:tcBorders>
            <w:shd w:val="clear" w:color="auto" w:fill="D4D4D4"/>
          </w:tcPr>
          <w:p>
            <w:pPr/>
          </w:p>
        </w:tc>
        <w:tc>
          <w:tcPr>
            <w:tcW w:w="85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32" w:lineRule="exact" w:before="32"/>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32" w:lineRule="exact" w:before="32"/>
              <w:ind w:left="62" w:right="5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tcBorders>
              <w:left w:val="single" w:sz="4" w:space="0" w:color="000000"/>
              <w:right w:val="single" w:sz="4" w:space="0" w:color="000000"/>
            </w:tcBorders>
            <w:shd w:val="clear" w:color="auto" w:fill="D4D4D4"/>
          </w:tcPr>
          <w:p>
            <w:pPr/>
          </w:p>
        </w:tc>
        <w:tc>
          <w:tcPr>
            <w:tcW w:w="727" w:type="dxa"/>
            <w:vMerge/>
            <w:tcBorders>
              <w:left w:val="single" w:sz="10" w:space="0" w:color="D4D4D4"/>
              <w:right w:val="single" w:sz="4" w:space="0" w:color="000000"/>
            </w:tcBorders>
          </w:tcPr>
          <w:p>
            <w:pPr/>
          </w:p>
        </w:tc>
      </w:tr>
      <w:tr>
        <w:trPr>
          <w:trHeight w:val="118" w:hRule="exact"/>
        </w:trPr>
        <w:tc>
          <w:tcPr>
            <w:tcW w:w="2544" w:type="dxa"/>
            <w:vMerge/>
            <w:tcBorders>
              <w:left w:val="single" w:sz="4" w:space="0" w:color="000000"/>
              <w:right w:val="single" w:sz="4" w:space="0" w:color="000000"/>
            </w:tcBorders>
            <w:shd w:val="clear" w:color="auto" w:fill="D4D4D4"/>
          </w:tcPr>
          <w:p>
            <w:pPr/>
          </w:p>
        </w:tc>
        <w:tc>
          <w:tcPr>
            <w:tcW w:w="974" w:type="dxa"/>
            <w:vMerge/>
            <w:tcBorders>
              <w:left w:val="single" w:sz="4" w:space="0" w:color="000000"/>
              <w:right w:val="single" w:sz="4" w:space="0" w:color="000000"/>
            </w:tcBorders>
            <w:shd w:val="clear" w:color="auto" w:fill="D4D4D4"/>
          </w:tcPr>
          <w:p>
            <w:pPr/>
          </w:p>
        </w:tc>
        <w:tc>
          <w:tcPr>
            <w:tcW w:w="852" w:type="dxa"/>
            <w:vMerge/>
            <w:tcBorders>
              <w:left w:val="single" w:sz="4" w:space="0" w:color="000000"/>
              <w:bottom w:val="nil" w:sz="6" w:space="0" w:color="auto"/>
              <w:right w:val="single" w:sz="4" w:space="0" w:color="000000"/>
            </w:tcBorders>
            <w:shd w:val="clear" w:color="auto" w:fill="D4D4D4"/>
          </w:tcPr>
          <w:p>
            <w:pPr/>
          </w:p>
        </w:tc>
        <w:tc>
          <w:tcPr>
            <w:tcW w:w="1051" w:type="dxa"/>
            <w:vMerge/>
            <w:tcBorders>
              <w:left w:val="single" w:sz="4" w:space="0" w:color="000000"/>
              <w:right w:val="single" w:sz="4" w:space="0" w:color="000000"/>
            </w:tcBorders>
            <w:shd w:val="clear" w:color="auto" w:fill="D4D4D4"/>
          </w:tcPr>
          <w:p>
            <w:pPr/>
          </w:p>
        </w:tc>
        <w:tc>
          <w:tcPr>
            <w:tcW w:w="852" w:type="dxa"/>
            <w:vMerge/>
            <w:tcBorders>
              <w:left w:val="single" w:sz="4" w:space="0" w:color="000000"/>
              <w:right w:val="single" w:sz="4" w:space="0" w:color="000000"/>
            </w:tcBorders>
            <w:shd w:val="clear" w:color="auto" w:fill="D4D4D4"/>
          </w:tcPr>
          <w:p>
            <w:pPr/>
          </w:p>
        </w:tc>
        <w:tc>
          <w:tcPr>
            <w:tcW w:w="852" w:type="dxa"/>
            <w:vMerge w:val="restart"/>
            <w:tcBorders>
              <w:top w:val="nil" w:sz="6" w:space="0" w:color="auto"/>
              <w:left w:val="single" w:sz="4" w:space="0" w:color="000000"/>
              <w:right w:val="single" w:sz="4" w:space="0" w:color="000000"/>
            </w:tcBorders>
            <w:shd w:val="clear" w:color="auto" w:fill="D4D4D4"/>
          </w:tcPr>
          <w:p>
            <w:pPr/>
          </w:p>
        </w:tc>
        <w:tc>
          <w:tcPr>
            <w:tcW w:w="852" w:type="dxa"/>
            <w:vMerge w:val="restart"/>
            <w:tcBorders>
              <w:top w:val="nil" w:sz="6" w:space="0" w:color="auto"/>
              <w:left w:val="single" w:sz="4" w:space="0" w:color="000000"/>
              <w:right w:val="single" w:sz="4" w:space="0" w:color="000000"/>
            </w:tcBorders>
            <w:shd w:val="clear" w:color="auto" w:fill="D4D4D4"/>
          </w:tcPr>
          <w:p>
            <w:pPr/>
          </w:p>
        </w:tc>
        <w:tc>
          <w:tcPr>
            <w:tcW w:w="852" w:type="dxa"/>
            <w:vMerge/>
            <w:tcBorders>
              <w:left w:val="single" w:sz="4" w:space="0" w:color="000000"/>
              <w:bottom w:val="nil" w:sz="6" w:space="0" w:color="auto"/>
              <w:right w:val="single" w:sz="4" w:space="0" w:color="000000"/>
            </w:tcBorders>
            <w:shd w:val="clear" w:color="auto" w:fill="D4D4D4"/>
          </w:tcPr>
          <w:p>
            <w:pPr/>
          </w:p>
        </w:tc>
        <w:tc>
          <w:tcPr>
            <w:tcW w:w="727" w:type="dxa"/>
            <w:vMerge/>
            <w:tcBorders>
              <w:left w:val="single" w:sz="10" w:space="0" w:color="D4D4D4"/>
              <w:right w:val="single" w:sz="4" w:space="0" w:color="000000"/>
            </w:tcBorders>
          </w:tcPr>
          <w:p>
            <w:pPr/>
          </w:p>
        </w:tc>
      </w:tr>
      <w:tr>
        <w:trPr>
          <w:trHeight w:val="238" w:hRule="exact"/>
        </w:trPr>
        <w:tc>
          <w:tcPr>
            <w:tcW w:w="2544" w:type="dxa"/>
            <w:vMerge/>
            <w:tcBorders>
              <w:left w:val="single" w:sz="4" w:space="0" w:color="000000"/>
              <w:bottom w:val="single" w:sz="4" w:space="0" w:color="000000"/>
              <w:right w:val="single" w:sz="4" w:space="0" w:color="000000"/>
            </w:tcBorders>
            <w:shd w:val="clear" w:color="auto" w:fill="D4D4D4"/>
          </w:tcPr>
          <w:p>
            <w:pPr/>
          </w:p>
        </w:tc>
        <w:tc>
          <w:tcPr>
            <w:tcW w:w="974" w:type="dxa"/>
            <w:vMerge/>
            <w:tcBorders>
              <w:left w:val="single" w:sz="4" w:space="0" w:color="000000"/>
              <w:bottom w:val="single" w:sz="4" w:space="0" w:color="000000"/>
              <w:right w:val="single" w:sz="4" w:space="0" w:color="000000"/>
            </w:tcBorders>
            <w:shd w:val="clear" w:color="auto" w:fill="D4D4D4"/>
          </w:tcPr>
          <w:p>
            <w:pPr/>
          </w:p>
        </w:tc>
        <w:tc>
          <w:tcPr>
            <w:tcW w:w="852" w:type="dxa"/>
            <w:tcBorders>
              <w:top w:val="nil" w:sz="6" w:space="0" w:color="auto"/>
              <w:left w:val="single" w:sz="4" w:space="0" w:color="000000"/>
              <w:bottom w:val="single" w:sz="4" w:space="0" w:color="000000"/>
              <w:right w:val="single" w:sz="4" w:space="0" w:color="000000"/>
            </w:tcBorders>
            <w:shd w:val="clear" w:color="auto" w:fill="D4D4D4"/>
          </w:tcPr>
          <w:p>
            <w:pPr/>
          </w:p>
        </w:tc>
        <w:tc>
          <w:tcPr>
            <w:tcW w:w="1051" w:type="dxa"/>
            <w:vMerge/>
            <w:tcBorders>
              <w:left w:val="single" w:sz="4" w:space="0" w:color="000000"/>
              <w:bottom w:val="single" w:sz="4" w:space="0" w:color="000000"/>
              <w:right w:val="single" w:sz="4" w:space="0" w:color="000000"/>
            </w:tcBorders>
            <w:shd w:val="clear" w:color="auto" w:fill="D4D4D4"/>
          </w:tcPr>
          <w:p>
            <w:pPr/>
          </w:p>
        </w:tc>
        <w:tc>
          <w:tcPr>
            <w:tcW w:w="852" w:type="dxa"/>
            <w:vMerge/>
            <w:tcBorders>
              <w:left w:val="single" w:sz="4" w:space="0" w:color="000000"/>
              <w:bottom w:val="single" w:sz="4" w:space="0" w:color="000000"/>
              <w:right w:val="single" w:sz="4" w:space="0" w:color="000000"/>
            </w:tcBorders>
            <w:shd w:val="clear" w:color="auto" w:fill="D4D4D4"/>
          </w:tcPr>
          <w:p>
            <w:pPr/>
          </w:p>
        </w:tc>
        <w:tc>
          <w:tcPr>
            <w:tcW w:w="852" w:type="dxa"/>
            <w:vMerge/>
            <w:tcBorders>
              <w:left w:val="single" w:sz="4" w:space="0" w:color="000000"/>
              <w:bottom w:val="single" w:sz="4" w:space="0" w:color="000000"/>
              <w:right w:val="single" w:sz="4" w:space="0" w:color="000000"/>
            </w:tcBorders>
            <w:shd w:val="clear" w:color="auto" w:fill="D4D4D4"/>
          </w:tcPr>
          <w:p>
            <w:pPr/>
          </w:p>
        </w:tc>
        <w:tc>
          <w:tcPr>
            <w:tcW w:w="852" w:type="dxa"/>
            <w:vMerge/>
            <w:tcBorders>
              <w:left w:val="single" w:sz="4" w:space="0" w:color="000000"/>
              <w:bottom w:val="single" w:sz="4" w:space="0" w:color="000000"/>
              <w:right w:val="single" w:sz="4" w:space="0" w:color="000000"/>
            </w:tcBorders>
            <w:shd w:val="clear" w:color="auto" w:fill="D4D4D4"/>
          </w:tcPr>
          <w:p>
            <w:pPr/>
          </w:p>
        </w:tc>
        <w:tc>
          <w:tcPr>
            <w:tcW w:w="852" w:type="dxa"/>
            <w:tcBorders>
              <w:top w:val="nil" w:sz="6" w:space="0" w:color="auto"/>
              <w:left w:val="single" w:sz="4" w:space="0" w:color="000000"/>
              <w:bottom w:val="single" w:sz="4" w:space="0" w:color="000000"/>
              <w:right w:val="single" w:sz="4" w:space="0" w:color="000000"/>
            </w:tcBorders>
            <w:shd w:val="clear" w:color="auto" w:fill="D4D4D4"/>
          </w:tcPr>
          <w:p>
            <w:pPr/>
          </w:p>
        </w:tc>
        <w:tc>
          <w:tcPr>
            <w:tcW w:w="727" w:type="dxa"/>
            <w:vMerge/>
            <w:tcBorders>
              <w:left w:val="single" w:sz="10" w:space="0" w:color="D4D4D4"/>
              <w:bottom w:val="single" w:sz="4" w:space="0" w:color="000000"/>
              <w:right w:val="single" w:sz="4" w:space="0" w:color="000000"/>
            </w:tcBorders>
          </w:tcPr>
          <w:p>
            <w:pPr/>
          </w:p>
        </w:tc>
      </w:tr>
      <w:tr>
        <w:trPr>
          <w:trHeight w:val="557" w:hRule="exact"/>
        </w:trPr>
        <w:tc>
          <w:tcPr>
            <w:tcW w:w="2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12" w:right="19"/>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74" w:type="dxa"/>
            <w:tcBorders>
              <w:top w:val="single" w:sz="4" w:space="0" w:color="000000"/>
              <w:left w:val="single" w:sz="10" w:space="0" w:color="D4D4D4"/>
              <w:bottom w:val="single" w:sz="4" w:space="0" w:color="000000"/>
              <w:right w:val="single" w:sz="4" w:space="0" w:color="000000"/>
            </w:tcBorders>
          </w:tcPr>
          <w:p>
            <w:pPr>
              <w:pStyle w:val="TableParagraph"/>
              <w:spacing w:line="207" w:lineRule="exact" w:before="60"/>
              <w:ind w:right="17"/>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100"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07" w:lineRule="exact"/>
              <w:ind w:left="506" w:right="0"/>
              <w:jc w:val="left"/>
              <w:rPr>
                <w:rFonts w:ascii="Times New Roman" w:hAnsi="Times New Roman" w:cs="Times New Roman" w:eastAsia="Times New Roman" w:hint="default"/>
                <w:sz w:val="18"/>
                <w:szCs w:val="18"/>
              </w:rPr>
            </w:pPr>
            <w:r>
              <w:rPr>
                <w:rFonts w:ascii="Times New Roman"/>
                <w:sz w:val="18"/>
              </w:rPr>
              <w:t>0.00</w:t>
            </w:r>
          </w:p>
        </w:tc>
        <w:tc>
          <w:tcPr>
            <w:tcW w:w="1051" w:type="dxa"/>
            <w:tcBorders>
              <w:top w:val="single" w:sz="51" w:space="0" w:color="D4D4D4"/>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100"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07" w:lineRule="exact"/>
              <w:ind w:left="506" w:right="0"/>
              <w:jc w:val="lef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12" w:right="180"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974" w:type="dxa"/>
            <w:tcBorders>
              <w:top w:val="single" w:sz="4" w:space="0" w:color="000000"/>
              <w:left w:val="single" w:sz="10" w:space="0" w:color="D4D4D4"/>
              <w:bottom w:val="single" w:sz="4" w:space="0" w:color="000000"/>
              <w:right w:val="single" w:sz="4" w:space="0" w:color="000000"/>
            </w:tcBorders>
          </w:tcPr>
          <w:p>
            <w:pPr>
              <w:pStyle w:val="TableParagraph"/>
              <w:spacing w:line="207" w:lineRule="exact" w:before="60"/>
              <w:ind w:right="17"/>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100"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07" w:lineRule="exact"/>
              <w:ind w:left="506" w:right="0"/>
              <w:jc w:val="left"/>
              <w:rPr>
                <w:rFonts w:ascii="Times New Roman" w:hAnsi="Times New Roman" w:cs="Times New Roman" w:eastAsia="Times New Roman" w:hint="default"/>
                <w:sz w:val="18"/>
                <w:szCs w:val="18"/>
              </w:rPr>
            </w:pPr>
            <w:r>
              <w:rPr>
                <w:rFonts w:ascii="Times New Roman"/>
                <w:sz w:val="18"/>
              </w:rPr>
              <w:t>0.00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100"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07" w:lineRule="exact"/>
              <w:ind w:left="506" w:right="0"/>
              <w:jc w:val="lef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12" w:right="19"/>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4" w:type="dxa"/>
            <w:tcBorders>
              <w:top w:val="single" w:sz="4" w:space="0" w:color="000000"/>
              <w:left w:val="single" w:sz="10" w:space="0" w:color="D4D4D4"/>
              <w:bottom w:val="single" w:sz="4" w:space="0" w:color="000000"/>
              <w:right w:val="single" w:sz="4" w:space="0" w:color="000000"/>
            </w:tcBorders>
          </w:tcPr>
          <w:p>
            <w:pPr>
              <w:pStyle w:val="TableParagraph"/>
              <w:spacing w:line="207" w:lineRule="exact" w:before="60"/>
              <w:ind w:right="18"/>
              <w:jc w:val="right"/>
              <w:rPr>
                <w:rFonts w:ascii="Times New Roman" w:hAnsi="Times New Roman" w:cs="Times New Roman" w:eastAsia="Times New Roman" w:hint="default"/>
                <w:sz w:val="18"/>
                <w:szCs w:val="18"/>
              </w:rPr>
            </w:pPr>
            <w:r>
              <w:rPr>
                <w:rFonts w:ascii="Times New Roman"/>
                <w:spacing w:val="-1"/>
                <w:sz w:val="18"/>
              </w:rPr>
              <w:t>2,964,265.0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6"/>
              <w:jc w:val="right"/>
              <w:rPr>
                <w:rFonts w:ascii="Times New Roman" w:hAnsi="Times New Roman" w:cs="Times New Roman" w:eastAsia="Times New Roman" w:hint="default"/>
                <w:sz w:val="18"/>
                <w:szCs w:val="18"/>
              </w:rPr>
            </w:pPr>
            <w:r>
              <w:rPr>
                <w:rFonts w:ascii="Times New Roman"/>
                <w:sz w:val="18"/>
              </w:rPr>
              <w:t>1,196,307.</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13</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6"/>
              <w:jc w:val="right"/>
              <w:rPr>
                <w:rFonts w:ascii="Times New Roman" w:hAnsi="Times New Roman" w:cs="Times New Roman" w:eastAsia="Times New Roman" w:hint="default"/>
                <w:sz w:val="18"/>
                <w:szCs w:val="18"/>
              </w:rPr>
            </w:pPr>
            <w:r>
              <w:rPr>
                <w:rFonts w:ascii="Times New Roman"/>
                <w:sz w:val="18"/>
              </w:rPr>
              <w:t>1,196,307.</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13</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62" w:right="0"/>
              <w:jc w:val="left"/>
              <w:rPr>
                <w:rFonts w:ascii="Times New Roman" w:hAnsi="Times New Roman" w:cs="Times New Roman" w:eastAsia="Times New Roman" w:hint="default"/>
                <w:sz w:val="18"/>
                <w:szCs w:val="18"/>
              </w:rPr>
            </w:pPr>
            <w:r>
              <w:rPr>
                <w:rFonts w:ascii="Times New Roman"/>
                <w:sz w:val="18"/>
              </w:rPr>
              <w:t>4,160,57</w:t>
            </w:r>
          </w:p>
          <w:p>
            <w:pPr>
              <w:pStyle w:val="TableParagraph"/>
              <w:spacing w:line="207" w:lineRule="exact"/>
              <w:ind w:left="379" w:right="0"/>
              <w:jc w:val="left"/>
              <w:rPr>
                <w:rFonts w:ascii="Times New Roman" w:hAnsi="Times New Roman" w:cs="Times New Roman" w:eastAsia="Times New Roman" w:hint="default"/>
                <w:sz w:val="18"/>
                <w:szCs w:val="18"/>
              </w:rPr>
            </w:pPr>
            <w:r>
              <w:rPr>
                <w:rFonts w:ascii="Times New Roman"/>
                <w:sz w:val="18"/>
              </w:rPr>
              <w:t>2.17</w:t>
            </w:r>
          </w:p>
        </w:tc>
      </w:tr>
      <w:tr>
        <w:trPr>
          <w:trHeight w:val="96" w:hRule="exact"/>
        </w:trPr>
        <w:tc>
          <w:tcPr>
            <w:tcW w:w="2544" w:type="dxa"/>
            <w:tcBorders>
              <w:top w:val="single" w:sz="4" w:space="0" w:color="000000"/>
              <w:left w:val="single" w:sz="4" w:space="0" w:color="000000"/>
              <w:bottom w:val="nil" w:sz="6" w:space="0" w:color="auto"/>
              <w:right w:val="single" w:sz="4" w:space="0" w:color="000000"/>
            </w:tcBorders>
            <w:shd w:val="clear" w:color="auto" w:fill="D4D4D4"/>
          </w:tcPr>
          <w:p>
            <w:pPr/>
          </w:p>
        </w:tc>
        <w:tc>
          <w:tcPr>
            <w:tcW w:w="974" w:type="dxa"/>
            <w:vMerge w:val="restart"/>
            <w:tcBorders>
              <w:top w:val="single" w:sz="4" w:space="0" w:color="000000"/>
              <w:left w:val="single" w:sz="10" w:space="0" w:color="D4D4D4"/>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2,964,265.0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4</w:t>
            </w:r>
          </w:p>
        </w:tc>
        <w:tc>
          <w:tcPr>
            <w:tcW w:w="852" w:type="dxa"/>
            <w:vMerge w:val="restart"/>
            <w:tcBorders>
              <w:top w:val="single" w:sz="4" w:space="0" w:color="000000"/>
              <w:left w:val="single" w:sz="4" w:space="0" w:color="000000"/>
              <w:right w:val="single" w:sz="4" w:space="0" w:color="000000"/>
            </w:tcBorders>
          </w:tcPr>
          <w:p>
            <w:pPr>
              <w:pStyle w:val="TableParagraph"/>
              <w:spacing w:line="207" w:lineRule="exact" w:before="33"/>
              <w:ind w:right="16"/>
              <w:jc w:val="right"/>
              <w:rPr>
                <w:rFonts w:ascii="Times New Roman" w:hAnsi="Times New Roman" w:cs="Times New Roman" w:eastAsia="Times New Roman" w:hint="default"/>
                <w:sz w:val="18"/>
                <w:szCs w:val="18"/>
              </w:rPr>
            </w:pPr>
            <w:r>
              <w:rPr>
                <w:rFonts w:ascii="Times New Roman"/>
                <w:sz w:val="18"/>
              </w:rPr>
              <w:t>1,196,307.</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13</w:t>
            </w:r>
          </w:p>
        </w:tc>
        <w:tc>
          <w:tcPr>
            <w:tcW w:w="1051"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07" w:lineRule="exact" w:before="33"/>
              <w:ind w:right="16"/>
              <w:jc w:val="right"/>
              <w:rPr>
                <w:rFonts w:ascii="Times New Roman" w:hAnsi="Times New Roman" w:cs="Times New Roman" w:eastAsia="Times New Roman" w:hint="default"/>
                <w:sz w:val="18"/>
                <w:szCs w:val="18"/>
              </w:rPr>
            </w:pPr>
            <w:r>
              <w:rPr>
                <w:rFonts w:ascii="Times New Roman"/>
                <w:sz w:val="18"/>
              </w:rPr>
              <w:t>1,196,307.</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13</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07" w:lineRule="exact" w:before="33"/>
              <w:ind w:left="62" w:right="0"/>
              <w:jc w:val="left"/>
              <w:rPr>
                <w:rFonts w:ascii="Times New Roman" w:hAnsi="Times New Roman" w:cs="Times New Roman" w:eastAsia="Times New Roman" w:hint="default"/>
                <w:sz w:val="18"/>
                <w:szCs w:val="18"/>
              </w:rPr>
            </w:pPr>
            <w:r>
              <w:rPr>
                <w:rFonts w:ascii="Times New Roman"/>
                <w:sz w:val="18"/>
              </w:rPr>
              <w:t>4,160,57</w:t>
            </w:r>
          </w:p>
          <w:p>
            <w:pPr>
              <w:pStyle w:val="TableParagraph"/>
              <w:spacing w:line="207" w:lineRule="exact"/>
              <w:ind w:left="379" w:right="0"/>
              <w:jc w:val="left"/>
              <w:rPr>
                <w:rFonts w:ascii="Times New Roman" w:hAnsi="Times New Roman" w:cs="Times New Roman" w:eastAsia="Times New Roman" w:hint="default"/>
                <w:sz w:val="18"/>
                <w:szCs w:val="18"/>
              </w:rPr>
            </w:pPr>
            <w:r>
              <w:rPr>
                <w:rFonts w:ascii="Times New Roman"/>
                <w:sz w:val="18"/>
              </w:rPr>
              <w:t>2.17</w:t>
            </w:r>
          </w:p>
        </w:tc>
      </w:tr>
      <w:tr>
        <w:trPr>
          <w:trHeight w:val="408" w:hRule="exact"/>
        </w:trPr>
        <w:tc>
          <w:tcPr>
            <w:tcW w:w="2544"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4" w:type="dxa"/>
            <w:vMerge/>
            <w:tcBorders>
              <w:left w:val="single" w:sz="10" w:space="0" w:color="D4D4D4"/>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96" w:hRule="exact"/>
        </w:trPr>
        <w:tc>
          <w:tcPr>
            <w:tcW w:w="2544" w:type="dxa"/>
            <w:tcBorders>
              <w:top w:val="single" w:sz="4" w:space="0" w:color="000000"/>
              <w:left w:val="single" w:sz="4" w:space="0" w:color="000000"/>
              <w:bottom w:val="nil" w:sz="6" w:space="0" w:color="auto"/>
              <w:right w:val="single" w:sz="4" w:space="0" w:color="000000"/>
            </w:tcBorders>
            <w:shd w:val="clear" w:color="auto" w:fill="D4D4D4"/>
          </w:tcPr>
          <w:p>
            <w:pPr/>
          </w:p>
        </w:tc>
        <w:tc>
          <w:tcPr>
            <w:tcW w:w="974" w:type="dxa"/>
            <w:vMerge w:val="restart"/>
            <w:tcBorders>
              <w:top w:val="single" w:sz="4" w:space="0" w:color="000000"/>
              <w:left w:val="single" w:sz="10" w:space="0" w:color="D4D4D4"/>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-7,035,734.9</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6</w:t>
            </w:r>
          </w:p>
        </w:tc>
        <w:tc>
          <w:tcPr>
            <w:tcW w:w="852" w:type="dxa"/>
            <w:vMerge w:val="restart"/>
            <w:tcBorders>
              <w:top w:val="single" w:sz="4" w:space="0" w:color="000000"/>
              <w:left w:val="single" w:sz="4" w:space="0" w:color="000000"/>
              <w:right w:val="single" w:sz="4" w:space="0" w:color="000000"/>
            </w:tcBorders>
          </w:tcPr>
          <w:p>
            <w:pPr>
              <w:pStyle w:val="TableParagraph"/>
              <w:spacing w:line="207" w:lineRule="exact" w:before="33"/>
              <w:ind w:left="108" w:right="0"/>
              <w:jc w:val="left"/>
              <w:rPr>
                <w:rFonts w:ascii="Times New Roman" w:hAnsi="Times New Roman" w:cs="Times New Roman" w:eastAsia="Times New Roman" w:hint="default"/>
                <w:sz w:val="18"/>
                <w:szCs w:val="18"/>
              </w:rPr>
            </w:pPr>
            <w:r>
              <w:rPr>
                <w:rFonts w:ascii="Times New Roman"/>
                <w:sz w:val="18"/>
              </w:rPr>
              <w:t>11,196,30</w:t>
            </w:r>
          </w:p>
          <w:p>
            <w:pPr>
              <w:pStyle w:val="TableParagraph"/>
              <w:spacing w:line="207" w:lineRule="exact"/>
              <w:ind w:left="506" w:right="0"/>
              <w:jc w:val="left"/>
              <w:rPr>
                <w:rFonts w:ascii="Times New Roman" w:hAnsi="Times New Roman" w:cs="Times New Roman" w:eastAsia="Times New Roman" w:hint="default"/>
                <w:sz w:val="18"/>
                <w:szCs w:val="18"/>
              </w:rPr>
            </w:pPr>
            <w:r>
              <w:rPr>
                <w:rFonts w:ascii="Times New Roman"/>
                <w:sz w:val="18"/>
              </w:rPr>
              <w:t>7.13</w:t>
            </w:r>
          </w:p>
        </w:tc>
        <w:tc>
          <w:tcPr>
            <w:tcW w:w="1051"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07" w:lineRule="exact" w:before="33"/>
              <w:ind w:left="108" w:right="0"/>
              <w:jc w:val="left"/>
              <w:rPr>
                <w:rFonts w:ascii="Times New Roman" w:hAnsi="Times New Roman" w:cs="Times New Roman" w:eastAsia="Times New Roman" w:hint="default"/>
                <w:sz w:val="18"/>
                <w:szCs w:val="18"/>
              </w:rPr>
            </w:pPr>
            <w:r>
              <w:rPr>
                <w:rFonts w:ascii="Times New Roman"/>
                <w:sz w:val="18"/>
              </w:rPr>
              <w:t>11,196,30</w:t>
            </w:r>
          </w:p>
          <w:p>
            <w:pPr>
              <w:pStyle w:val="TableParagraph"/>
              <w:spacing w:line="207" w:lineRule="exact"/>
              <w:ind w:left="506" w:right="0"/>
              <w:jc w:val="left"/>
              <w:rPr>
                <w:rFonts w:ascii="Times New Roman" w:hAnsi="Times New Roman" w:cs="Times New Roman" w:eastAsia="Times New Roman" w:hint="default"/>
                <w:sz w:val="18"/>
                <w:szCs w:val="18"/>
              </w:rPr>
            </w:pPr>
            <w:r>
              <w:rPr>
                <w:rFonts w:ascii="Times New Roman"/>
                <w:sz w:val="18"/>
              </w:rPr>
              <w:t>7.13</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07" w:lineRule="exact" w:before="33"/>
              <w:ind w:left="62" w:right="0"/>
              <w:jc w:val="left"/>
              <w:rPr>
                <w:rFonts w:ascii="Times New Roman" w:hAnsi="Times New Roman" w:cs="Times New Roman" w:eastAsia="Times New Roman" w:hint="default"/>
                <w:sz w:val="18"/>
                <w:szCs w:val="18"/>
              </w:rPr>
            </w:pPr>
            <w:r>
              <w:rPr>
                <w:rFonts w:ascii="Times New Roman"/>
                <w:sz w:val="18"/>
              </w:rPr>
              <w:t>4,160,57</w:t>
            </w:r>
          </w:p>
          <w:p>
            <w:pPr>
              <w:pStyle w:val="TableParagraph"/>
              <w:spacing w:line="207" w:lineRule="exact"/>
              <w:ind w:left="379" w:right="0"/>
              <w:jc w:val="left"/>
              <w:rPr>
                <w:rFonts w:ascii="Times New Roman" w:hAnsi="Times New Roman" w:cs="Times New Roman" w:eastAsia="Times New Roman" w:hint="default"/>
                <w:sz w:val="18"/>
                <w:szCs w:val="18"/>
              </w:rPr>
            </w:pPr>
            <w:r>
              <w:rPr>
                <w:rFonts w:ascii="Times New Roman"/>
                <w:sz w:val="18"/>
              </w:rPr>
              <w:t>2.17</w:t>
            </w:r>
          </w:p>
        </w:tc>
      </w:tr>
      <w:tr>
        <w:trPr>
          <w:trHeight w:val="408" w:hRule="exact"/>
        </w:trPr>
        <w:tc>
          <w:tcPr>
            <w:tcW w:w="2544"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4" w:type="dxa"/>
            <w:vMerge/>
            <w:tcBorders>
              <w:left w:val="single" w:sz="10" w:space="0" w:color="D4D4D4"/>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pStyle w:val="BodyText"/>
        <w:spacing w:line="240" w:lineRule="auto" w:before="64"/>
        <w:ind w:right="1127"/>
        <w:jc w:val="left"/>
      </w:pPr>
      <w:r>
        <w:rPr/>
        <w:t>其他说明，包括对现金流量套期损益的有效部分转为被套期项目初始确认金额调整：</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58、专项储备" w:id="493"/>
      <w:bookmarkEnd w:id="493"/>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64"/>
        <w:ind w:right="1127"/>
        <w:jc w:val="left"/>
      </w:pPr>
      <w:r>
        <w:rPr/>
        <w:t>其他说明，包括本期增减变动情况、变动原因说明：</w:t>
      </w:r>
    </w:p>
    <w:p>
      <w:pPr>
        <w:spacing w:line="240" w:lineRule="auto" w:before="0"/>
        <w:rPr>
          <w:rFonts w:ascii="宋体" w:hAnsi="宋体" w:cs="宋体" w:eastAsia="宋体" w:hint="default"/>
          <w:sz w:val="20"/>
          <w:szCs w:val="20"/>
        </w:rPr>
      </w:pPr>
    </w:p>
    <w:p>
      <w:pPr>
        <w:pStyle w:val="Heading4"/>
        <w:spacing w:line="240" w:lineRule="auto" w:before="174"/>
        <w:ind w:right="1127"/>
        <w:jc w:val="left"/>
        <w:rPr>
          <w:b w:val="0"/>
          <w:bCs w:val="0"/>
        </w:rPr>
      </w:pPr>
      <w:bookmarkStart w:name="59、盈余公积" w:id="494"/>
      <w:bookmarkEnd w:id="494"/>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50,173,507.71</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50,173,507.71</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50,173,507.71</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50,173,507.71</w:t>
            </w:r>
          </w:p>
        </w:tc>
      </w:tr>
    </w:tbl>
    <w:p>
      <w:pPr>
        <w:pStyle w:val="BodyText"/>
        <w:spacing w:line="240" w:lineRule="auto" w:before="64"/>
        <w:ind w:right="1127"/>
        <w:jc w:val="left"/>
      </w:pPr>
      <w:r>
        <w:rPr/>
        <w:t>盈余公积说明，包括本期增减变动情况、变动原因说明：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60、未分配利润" w:id="495"/>
      <w:bookmarkEnd w:id="495"/>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702"/>
        <w:gridCol w:w="2934"/>
        <w:gridCol w:w="2918"/>
      </w:tblGrid>
      <w:tr>
        <w:trPr>
          <w:trHeight w:val="324"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845,609,192.48</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4"/>
              <w:jc w:val="right"/>
              <w:rPr>
                <w:rFonts w:ascii="Times New Roman" w:hAnsi="Times New Roman" w:cs="Times New Roman" w:eastAsia="Times New Roman" w:hint="default"/>
                <w:sz w:val="18"/>
                <w:szCs w:val="18"/>
              </w:rPr>
            </w:pPr>
            <w:r>
              <w:rPr>
                <w:rFonts w:ascii="Times New Roman"/>
                <w:spacing w:val="-1"/>
                <w:sz w:val="18"/>
              </w:rPr>
              <w:t>893,758,972.99</w:t>
            </w:r>
            <w:r>
              <w:rPr>
                <w:rFonts w:ascii="Times New Roman"/>
                <w:sz w:val="18"/>
              </w:rPr>
            </w:r>
          </w:p>
        </w:tc>
      </w:tr>
      <w:tr>
        <w:trPr>
          <w:trHeight w:val="324"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10,166,403.05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855,775,595.53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893,758,972.99</w:t>
            </w:r>
            <w:r>
              <w:rPr>
                <w:rFonts w:ascii="Times New Roman"/>
                <w:sz w:val="18"/>
              </w:rPr>
            </w:r>
          </w:p>
        </w:tc>
      </w:tr>
      <w:tr>
        <w:trPr>
          <w:trHeight w:val="324"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258,641,760.54</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5"/>
              <w:jc w:val="right"/>
              <w:rPr>
                <w:rFonts w:ascii="Times New Roman" w:hAnsi="Times New Roman" w:cs="Times New Roman" w:eastAsia="Times New Roman" w:hint="default"/>
                <w:sz w:val="18"/>
                <w:szCs w:val="18"/>
              </w:rPr>
            </w:pPr>
            <w:r>
              <w:rPr>
                <w:rFonts w:ascii="Times New Roman"/>
                <w:spacing w:val="-1"/>
                <w:sz w:val="18"/>
              </w:rPr>
              <w:t>44,120,618.46</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4D4D4"/>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5"/>
              <w:jc w:val="right"/>
              <w:rPr>
                <w:rFonts w:ascii="Times New Roman" w:hAnsi="Times New Roman" w:cs="Times New Roman" w:eastAsia="Times New Roman" w:hint="default"/>
                <w:sz w:val="18"/>
                <w:szCs w:val="18"/>
              </w:rPr>
            </w:pPr>
            <w:r>
              <w:rPr>
                <w:rFonts w:ascii="Times New Roman"/>
                <w:spacing w:val="-1"/>
                <w:sz w:val="18"/>
              </w:rPr>
              <w:t>10,675,153.36</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4D4D4"/>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5"/>
              <w:jc w:val="right"/>
              <w:rPr>
                <w:rFonts w:ascii="Times New Roman" w:hAnsi="Times New Roman" w:cs="Times New Roman" w:eastAsia="Times New Roman" w:hint="default"/>
                <w:sz w:val="18"/>
                <w:szCs w:val="18"/>
              </w:rPr>
            </w:pPr>
            <w:r>
              <w:rPr>
                <w:rFonts w:ascii="Times New Roman"/>
                <w:spacing w:val="-1"/>
                <w:sz w:val="18"/>
              </w:rPr>
              <w:t>81,595,245.61</w:t>
            </w:r>
          </w:p>
        </w:tc>
      </w:tr>
      <w:tr>
        <w:trPr>
          <w:trHeight w:val="324"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加：其他综合收益结转留存收益</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-17,586,551.01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1,096,830,805.06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845,609,192.48</w:t>
            </w:r>
            <w:r>
              <w:rPr>
                <w:rFonts w:ascii="Times New Roman"/>
                <w:sz w:val="18"/>
              </w:rPr>
            </w:r>
          </w:p>
        </w:tc>
      </w:tr>
    </w:tbl>
    <w:p>
      <w:pPr>
        <w:pStyle w:val="BodyText"/>
        <w:spacing w:line="240" w:lineRule="auto" w:before="64"/>
        <w:ind w:right="1127"/>
        <w:jc w:val="left"/>
      </w:pPr>
      <w:r>
        <w:rPr/>
        <w:t>调整期初未分配利润明细：</w:t>
      </w:r>
    </w:p>
    <w:p>
      <w:pPr>
        <w:spacing w:after="0" w:line="240" w:lineRule="auto"/>
        <w:jc w:val="left"/>
        <w:sectPr>
          <w:pgSz w:w="11910" w:h="16840"/>
          <w:pgMar w:header="882" w:footer="1134" w:top="1280" w:bottom="1320" w:left="980" w:right="0"/>
        </w:sectPr>
      </w:pPr>
    </w:p>
    <w:p>
      <w:pPr>
        <w:pStyle w:val="BodyText"/>
        <w:spacing w:line="240" w:lineRule="auto" w:before="110"/>
        <w:ind w:right="1127"/>
        <w:jc w:val="left"/>
      </w:pPr>
      <w:r>
        <w:rPr>
          <w:rFonts w:ascii="Times New Roman" w:hAnsi="Times New Roman" w:cs="Times New Roman" w:eastAsia="Times New Roman" w:hint="default"/>
        </w:rPr>
        <w:t>1)</w:t>
      </w:r>
      <w:r>
        <w:rPr/>
        <w:t>、由于《企业会计准则》及其相关新规定进行追溯调整，影响期初未分配利润元。</w:t>
      </w:r>
    </w:p>
    <w:p>
      <w:pPr>
        <w:spacing w:line="240" w:lineRule="auto" w:before="9"/>
        <w:rPr>
          <w:rFonts w:ascii="宋体" w:hAnsi="宋体" w:cs="宋体" w:eastAsia="宋体" w:hint="default"/>
          <w:sz w:val="16"/>
          <w:szCs w:val="16"/>
        </w:rPr>
      </w:pPr>
    </w:p>
    <w:p>
      <w:pPr>
        <w:pStyle w:val="BodyText"/>
        <w:spacing w:line="240" w:lineRule="auto"/>
        <w:ind w:left="573" w:right="1127"/>
        <w:jc w:val="left"/>
      </w:pPr>
      <w:r>
        <w:rPr>
          <w:rFonts w:ascii="Times New Roman" w:hAnsi="Times New Roman" w:cs="Times New Roman" w:eastAsia="Times New Roman" w:hint="default"/>
        </w:rPr>
        <w:t>2)</w:t>
      </w:r>
      <w:r>
        <w:rPr/>
        <w:t>、由于会计政策变更，影响期初未分配利润元。</w:t>
      </w:r>
    </w:p>
    <w:p>
      <w:pPr>
        <w:spacing w:line="240" w:lineRule="auto" w:before="9"/>
        <w:rPr>
          <w:rFonts w:ascii="宋体" w:hAnsi="宋体" w:cs="宋体" w:eastAsia="宋体" w:hint="default"/>
          <w:sz w:val="16"/>
          <w:szCs w:val="16"/>
        </w:rPr>
      </w:pPr>
    </w:p>
    <w:p>
      <w:pPr>
        <w:pStyle w:val="BodyText"/>
        <w:spacing w:line="240" w:lineRule="auto"/>
        <w:ind w:left="573" w:right="1127"/>
        <w:jc w:val="left"/>
      </w:pPr>
      <w:r>
        <w:rPr>
          <w:rFonts w:ascii="Times New Roman" w:hAnsi="Times New Roman" w:cs="Times New Roman" w:eastAsia="Times New Roman" w:hint="default"/>
        </w:rPr>
        <w:t>3)</w:t>
      </w:r>
      <w:r>
        <w:rPr/>
        <w:t>、由于重大会计差错更正，影响期初未分配利润元。</w:t>
      </w:r>
    </w:p>
    <w:p>
      <w:pPr>
        <w:spacing w:line="240" w:lineRule="auto" w:before="9"/>
        <w:rPr>
          <w:rFonts w:ascii="宋体" w:hAnsi="宋体" w:cs="宋体" w:eastAsia="宋体" w:hint="default"/>
          <w:sz w:val="16"/>
          <w:szCs w:val="16"/>
        </w:rPr>
      </w:pPr>
    </w:p>
    <w:p>
      <w:pPr>
        <w:pStyle w:val="BodyText"/>
        <w:spacing w:line="240" w:lineRule="auto"/>
        <w:ind w:left="573" w:right="1127"/>
        <w:jc w:val="left"/>
      </w:pPr>
      <w:r>
        <w:rPr>
          <w:rFonts w:ascii="Times New Roman" w:hAnsi="Times New Roman" w:cs="Times New Roman" w:eastAsia="Times New Roman" w:hint="default"/>
        </w:rPr>
        <w:t>4)</w:t>
      </w:r>
      <w:r>
        <w:rPr/>
        <w:t>、由于同一控制导致的合并范围变更，影响期初未分配利润元。</w:t>
      </w:r>
    </w:p>
    <w:p>
      <w:pPr>
        <w:spacing w:line="240" w:lineRule="auto" w:before="9"/>
        <w:rPr>
          <w:rFonts w:ascii="宋体" w:hAnsi="宋体" w:cs="宋体" w:eastAsia="宋体" w:hint="default"/>
          <w:sz w:val="16"/>
          <w:szCs w:val="16"/>
        </w:rPr>
      </w:pPr>
    </w:p>
    <w:p>
      <w:pPr>
        <w:pStyle w:val="BodyText"/>
        <w:spacing w:line="240" w:lineRule="auto"/>
        <w:ind w:left="573" w:right="1127"/>
        <w:jc w:val="left"/>
      </w:pPr>
      <w:r>
        <w:rPr>
          <w:rFonts w:ascii="Times New Roman" w:hAnsi="Times New Roman" w:cs="Times New Roman" w:eastAsia="Times New Roman" w:hint="default"/>
        </w:rPr>
        <w:t>5)</w:t>
      </w:r>
      <w:r>
        <w:rPr/>
        <w:t>、其他调整合计影响期初未分配利润元。</w:t>
      </w:r>
    </w:p>
    <w:p>
      <w:pPr>
        <w:spacing w:line="240" w:lineRule="auto" w:before="1"/>
        <w:rPr>
          <w:rFonts w:ascii="宋体" w:hAnsi="宋体" w:cs="宋体" w:eastAsia="宋体" w:hint="default"/>
          <w:sz w:val="32"/>
          <w:szCs w:val="32"/>
        </w:rPr>
      </w:pPr>
    </w:p>
    <w:p>
      <w:pPr>
        <w:pStyle w:val="Heading4"/>
        <w:spacing w:line="240" w:lineRule="auto"/>
        <w:ind w:left="153" w:right="1127"/>
        <w:jc w:val="left"/>
        <w:rPr>
          <w:b w:val="0"/>
          <w:bCs w:val="0"/>
        </w:rPr>
      </w:pPr>
      <w:bookmarkStart w:name="61、营业收入和营业成本" w:id="496"/>
      <w:bookmarkEnd w:id="496"/>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166"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57" w:hRule="exact"/>
        </w:trPr>
        <w:tc>
          <w:tcPr>
            <w:tcW w:w="191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57" w:hRule="exact"/>
        </w:trPr>
        <w:tc>
          <w:tcPr>
            <w:tcW w:w="1913"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66"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3,328,338,156.49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2,195,351,707.28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3,858,334,955.46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2,538,570,348.35</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1,055,671.87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1,088,047.40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1,622,967.24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855,665.12</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3,329,393,828.36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2,196,439,754.68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3,859,957,922.70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2,539,426,013.47</w:t>
            </w:r>
          </w:p>
        </w:tc>
      </w:tr>
    </w:tbl>
    <w:p>
      <w:pPr>
        <w:pStyle w:val="BodyText"/>
        <w:spacing w:line="240" w:lineRule="auto" w:before="64"/>
        <w:ind w:right="1127"/>
        <w:jc w:val="left"/>
      </w:pPr>
      <w:r>
        <w:rPr/>
        <w:t>是否已执行新收入准则</w:t>
      </w:r>
    </w:p>
    <w:p>
      <w:pPr>
        <w:spacing w:line="240" w:lineRule="auto" w:before="9"/>
        <w:rPr>
          <w:rFonts w:ascii="宋体" w:hAnsi="宋体" w:cs="宋体" w:eastAsia="宋体" w:hint="default"/>
          <w:sz w:val="17"/>
          <w:szCs w:val="17"/>
        </w:rPr>
      </w:pPr>
    </w:p>
    <w:p>
      <w:pPr>
        <w:pStyle w:val="BodyText"/>
        <w:spacing w:line="420" w:lineRule="auto"/>
        <w:ind w:right="879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w w:val="100"/>
        </w:rPr>
        <w:t> </w:t>
      </w:r>
      <w:r>
        <w:rPr/>
        <w:t>其他说明</w:t>
      </w:r>
    </w:p>
    <w:p>
      <w:pPr>
        <w:spacing w:line="240" w:lineRule="auto" w:before="6"/>
        <w:rPr>
          <w:rFonts w:ascii="宋体" w:hAnsi="宋体" w:cs="宋体" w:eastAsia="宋体" w:hint="default"/>
          <w:sz w:val="21"/>
          <w:szCs w:val="21"/>
        </w:rPr>
      </w:pPr>
    </w:p>
    <w:p>
      <w:pPr>
        <w:pStyle w:val="Heading4"/>
        <w:spacing w:line="240" w:lineRule="auto"/>
        <w:ind w:right="1127"/>
        <w:jc w:val="left"/>
        <w:rPr>
          <w:b w:val="0"/>
          <w:bCs w:val="0"/>
        </w:rPr>
      </w:pPr>
      <w:bookmarkStart w:name="62、税金及附加" w:id="497"/>
      <w:bookmarkEnd w:id="497"/>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75"/>
        <w:gridCol w:w="3192"/>
        <w:gridCol w:w="3190"/>
      </w:tblGrid>
      <w:tr>
        <w:trPr>
          <w:trHeight w:val="324" w:hRule="exact"/>
        </w:trPr>
        <w:tc>
          <w:tcPr>
            <w:tcW w:w="31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4,334,901.40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7,348,542.51</w:t>
            </w:r>
            <w:r>
              <w:rPr>
                <w:rFonts w:ascii="Times New Roman"/>
                <w:sz w:val="18"/>
              </w:rPr>
            </w:r>
          </w:p>
        </w:tc>
      </w:tr>
      <w:tr>
        <w:trPr>
          <w:trHeight w:val="322" w:hRule="exact"/>
        </w:trPr>
        <w:tc>
          <w:tcPr>
            <w:tcW w:w="31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3,236,037.75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4,613,951.28</w:t>
            </w:r>
            <w:r>
              <w:rPr>
                <w:rFonts w:ascii="Times New Roman"/>
                <w:sz w:val="18"/>
              </w:rPr>
            </w:r>
          </w:p>
        </w:tc>
      </w:tr>
      <w:tr>
        <w:trPr>
          <w:trHeight w:val="324" w:hRule="exact"/>
        </w:trPr>
        <w:tc>
          <w:tcPr>
            <w:tcW w:w="31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645,230.08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707,258.40</w:t>
            </w:r>
          </w:p>
        </w:tc>
      </w:tr>
      <w:tr>
        <w:trPr>
          <w:trHeight w:val="324" w:hRule="exact"/>
        </w:trPr>
        <w:tc>
          <w:tcPr>
            <w:tcW w:w="31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10,895.74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10,709.34</w:t>
            </w:r>
          </w:p>
        </w:tc>
      </w:tr>
      <w:tr>
        <w:trPr>
          <w:trHeight w:val="324" w:hRule="exact"/>
        </w:trPr>
        <w:tc>
          <w:tcPr>
            <w:tcW w:w="31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19,657.47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55,350.80</w:t>
            </w:r>
          </w:p>
        </w:tc>
      </w:tr>
      <w:tr>
        <w:trPr>
          <w:trHeight w:val="324" w:hRule="exact"/>
        </w:trPr>
        <w:tc>
          <w:tcPr>
            <w:tcW w:w="31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1,468,528.03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4,715,251.28</w:t>
            </w:r>
            <w:r>
              <w:rPr>
                <w:rFonts w:ascii="Times New Roman"/>
                <w:sz w:val="18"/>
              </w:rPr>
            </w:r>
          </w:p>
        </w:tc>
      </w:tr>
      <w:tr>
        <w:trPr>
          <w:trHeight w:val="322"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197,499.20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203,979.14</w:t>
            </w:r>
          </w:p>
        </w:tc>
      </w:tr>
      <w:tr>
        <w:trPr>
          <w:trHeight w:val="324"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205,560.04</w:t>
            </w:r>
          </w:p>
        </w:tc>
      </w:tr>
      <w:tr>
        <w:trPr>
          <w:trHeight w:val="324" w:hRule="exact"/>
        </w:trPr>
        <w:tc>
          <w:tcPr>
            <w:tcW w:w="31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9,912,749.67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17,860,602.79</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63、销售费用" w:id="498"/>
      <w:bookmarkEnd w:id="498"/>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145,324,399.50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175,249,293.79</w:t>
            </w:r>
            <w:r>
              <w:rPr>
                <w:rFonts w:ascii="Times New Roman"/>
                <w:sz w:val="18"/>
              </w:rPr>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各项服务费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31,087,591.47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19,589,336.91</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15,642,906.24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10,879,075.18</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13,460,771.22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16,417,037.78</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12,471,247.27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12,539,379.60</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11,066,637.30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1,747,045.14</w:t>
            </w:r>
            <w:r>
              <w:rPr>
                <w:rFonts w:ascii="Times New Roman"/>
                <w:sz w:val="18"/>
              </w:rPr>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4,176,601.01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5,296,133.69</w:t>
            </w:r>
            <w:r>
              <w:rPr>
                <w:rFonts w:ascii="Times New Roman"/>
                <w:sz w:val="18"/>
              </w:rPr>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1,683,065.13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437,540.67</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27,248,554.33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21,810,992.44</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262,161,773.47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263,965,835.20</w:t>
            </w:r>
            <w:r>
              <w:rPr>
                <w:rFonts w:ascii="Times New Roman"/>
                <w:sz w:val="18"/>
              </w:rPr>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64、管理费用" w:id="499"/>
      <w:bookmarkEnd w:id="499"/>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162,207,472.72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212,361,248.68</w:t>
            </w:r>
            <w:r>
              <w:rPr>
                <w:rFonts w:ascii="Times New Roman"/>
                <w:sz w:val="18"/>
              </w:rPr>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股权激励费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40,127,543.32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-6,814,816.56</w:t>
            </w:r>
            <w:r>
              <w:rPr>
                <w:rFonts w:ascii="Times New Roman"/>
                <w:sz w:val="18"/>
              </w:rPr>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35,206,270.80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32,370,815.01</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物业费及租赁费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33,641,653.12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35,565,624.63</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18,188,755.78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19,910,507.90</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17,954,878.75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16,219,015.02</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15,443,375.59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12,772,904.90</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12,187,397.97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5,769,699.32</w:t>
            </w:r>
            <w:r>
              <w:rPr>
                <w:rFonts w:ascii="Times New Roman"/>
                <w:sz w:val="18"/>
              </w:rPr>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9,924,380.45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2,598,440.52</w:t>
            </w:r>
            <w:r>
              <w:rPr>
                <w:rFonts w:ascii="Times New Roman"/>
                <w:sz w:val="18"/>
              </w:rPr>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9,436,776.96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11,889,252.53</w:t>
            </w:r>
            <w:r>
              <w:rPr>
                <w:rFonts w:ascii="Times New Roman"/>
                <w:sz w:val="18"/>
              </w:rPr>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7,567,307.68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5,549,267.07</w:t>
            </w:r>
            <w:r>
              <w:rPr>
                <w:rFonts w:ascii="Times New Roman"/>
                <w:sz w:val="18"/>
              </w:rPr>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1,180,489.03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1,529,109.17</w:t>
            </w:r>
            <w:r>
              <w:rPr>
                <w:rFonts w:ascii="Times New Roman"/>
                <w:sz w:val="18"/>
              </w:rPr>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19,543,952.31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14,827,236.19</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382,610,254.48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364,548,304.38</w:t>
            </w:r>
            <w:r>
              <w:rPr>
                <w:rFonts w:ascii="Times New Roman"/>
                <w:sz w:val="18"/>
              </w:rPr>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4"/>
        <w:ind w:right="1127"/>
        <w:jc w:val="left"/>
        <w:rPr>
          <w:b w:val="0"/>
          <w:bCs w:val="0"/>
        </w:rPr>
      </w:pPr>
      <w:bookmarkStart w:name="65、研发费用" w:id="500"/>
      <w:bookmarkEnd w:id="500"/>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104,473,658.95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94,321,033.28</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27,229,891.78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30,168,450.26</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测试化验加工费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16,947,764.01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3,682,692.25</w:t>
            </w:r>
            <w:r>
              <w:rPr>
                <w:rFonts w:ascii="Times New Roman"/>
                <w:sz w:val="18"/>
              </w:rPr>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5,490,759.48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16,315,553.17</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23,242,122.00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13,038,134.82</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4,414,914.85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5,597,334.47</w:t>
            </w:r>
            <w:r>
              <w:rPr>
                <w:rFonts w:ascii="Times New Roman"/>
                <w:sz w:val="18"/>
              </w:rPr>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租赁物业费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1,482,586.55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3,294,728.50</w:t>
            </w:r>
            <w:r>
              <w:rPr>
                <w:rFonts w:ascii="Times New Roman"/>
                <w:sz w:val="18"/>
              </w:rPr>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769,788.55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937,393.30</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450,864.60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1,639,221.25</w:t>
            </w:r>
            <w:r>
              <w:rPr>
                <w:rFonts w:ascii="Times New Roman"/>
                <w:sz w:val="18"/>
              </w:rPr>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9,758,906.54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1,490,845.05</w:t>
            </w:r>
            <w:r>
              <w:rPr>
                <w:rFonts w:ascii="Times New Roman"/>
                <w:sz w:val="18"/>
              </w:rPr>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194,261,257.31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170,485,386.35</w:t>
            </w:r>
            <w:r>
              <w:rPr>
                <w:rFonts w:ascii="Times New Roman"/>
                <w:sz w:val="18"/>
              </w:rPr>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66、财务费用" w:id="501"/>
      <w:bookmarkEnd w:id="501"/>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30,468,104.16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26,976,125.91</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40,003,158.62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37,451,872.18</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771,208.88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2,990,541.56</w:t>
            </w:r>
            <w:r>
              <w:rPr>
                <w:rFonts w:ascii="Times New Roman"/>
                <w:sz w:val="18"/>
              </w:rPr>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3,297,768.50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4,867,057.08</w:t>
            </w:r>
            <w:r>
              <w:rPr>
                <w:rFonts w:ascii="Times New Roman"/>
                <w:sz w:val="18"/>
              </w:rPr>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-5,466,077.08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-2,618,147.63</w:t>
            </w:r>
            <w:r>
              <w:rPr>
                <w:rFonts w:ascii="Times New Roman"/>
                <w:sz w:val="18"/>
              </w:rPr>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67、其他收益" w:id="502"/>
      <w:bookmarkEnd w:id="502"/>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14,855,154.91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25,173,801.45</w:t>
            </w:r>
            <w:r>
              <w:rPr>
                <w:rFonts w:ascii="Times New Roman"/>
                <w:sz w:val="18"/>
              </w:rPr>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68、投资收益" w:id="503"/>
      <w:bookmarkEnd w:id="503"/>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437"/>
        <w:gridCol w:w="3202"/>
        <w:gridCol w:w="2918"/>
      </w:tblGrid>
      <w:tr>
        <w:trPr>
          <w:trHeight w:val="324"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-2,419,626.20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-2,025,559.16</w:t>
            </w:r>
            <w:r>
              <w:rPr>
                <w:rFonts w:ascii="Times New Roman"/>
                <w:sz w:val="18"/>
              </w:rPr>
            </w:r>
          </w:p>
        </w:tc>
      </w:tr>
      <w:tr>
        <w:trPr>
          <w:trHeight w:val="324"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15,615,850.51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-14,991,337.61</w:t>
            </w:r>
          </w:p>
        </w:tc>
      </w:tr>
      <w:tr>
        <w:trPr>
          <w:trHeight w:val="322"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4D4D4"/>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1,702,281.20</w:t>
            </w:r>
            <w:r>
              <w:rPr>
                <w:rFonts w:ascii="Times New Roman"/>
                <w:sz w:val="18"/>
              </w:rPr>
            </w:r>
          </w:p>
        </w:tc>
      </w:tr>
      <w:tr>
        <w:trPr>
          <w:trHeight w:val="324"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理财产品的投资收益</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3,523,784.54</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16,720,008.85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-15,314,615.57</w:t>
            </w:r>
          </w:p>
        </w:tc>
      </w:tr>
    </w:tbl>
    <w:p>
      <w:pPr>
        <w:pStyle w:val="BodyText"/>
        <w:spacing w:line="240" w:lineRule="auto" w:before="64"/>
        <w:ind w:left="134" w:right="8859"/>
        <w:jc w:val="center"/>
      </w:pPr>
      <w:r>
        <w:rPr/>
        <w:t>其他说明：</w:t>
      </w:r>
    </w:p>
    <w:p>
      <w:pPr>
        <w:spacing w:line="240" w:lineRule="auto" w:before="0"/>
        <w:rPr>
          <w:rFonts w:ascii="宋体" w:hAnsi="宋体" w:cs="宋体" w:eastAsia="宋体" w:hint="default"/>
          <w:sz w:val="20"/>
          <w:szCs w:val="20"/>
        </w:rPr>
      </w:pPr>
    </w:p>
    <w:p>
      <w:pPr>
        <w:pStyle w:val="Heading4"/>
        <w:spacing w:line="240" w:lineRule="auto" w:before="176"/>
        <w:ind w:left="134" w:right="8854"/>
        <w:jc w:val="center"/>
        <w:rPr>
          <w:b w:val="0"/>
          <w:bCs w:val="0"/>
        </w:rPr>
      </w:pPr>
      <w:bookmarkStart w:name="69、净敞口套期收益" w:id="504"/>
      <w:bookmarkEnd w:id="504"/>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8"/>
        <w:ind w:left="152" w:right="1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2"/>
          <w:szCs w:val="22"/>
        </w:rPr>
      </w:pPr>
    </w:p>
    <w:p>
      <w:pPr>
        <w:pStyle w:val="Heading4"/>
        <w:spacing w:line="240" w:lineRule="auto"/>
        <w:ind w:right="1127"/>
        <w:jc w:val="left"/>
        <w:rPr>
          <w:b w:val="0"/>
          <w:bCs w:val="0"/>
        </w:rPr>
      </w:pPr>
      <w:bookmarkStart w:name="70、公允价值变动收益" w:id="505"/>
      <w:bookmarkEnd w:id="505"/>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32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324"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2,568,389.05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2,568,389.05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8"/>
        <w:ind w:left="152" w:right="1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2"/>
          <w:szCs w:val="22"/>
        </w:rPr>
      </w:pPr>
    </w:p>
    <w:p>
      <w:pPr>
        <w:pStyle w:val="Heading4"/>
        <w:spacing w:line="240" w:lineRule="auto"/>
        <w:ind w:right="1127"/>
        <w:jc w:val="left"/>
        <w:rPr>
          <w:b w:val="0"/>
          <w:bCs w:val="0"/>
        </w:rPr>
      </w:pPr>
      <w:bookmarkStart w:name="71、信用减值损失" w:id="506"/>
      <w:bookmarkEnd w:id="506"/>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11,146,458.60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1,159,813.94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-19,313,437.92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-7,007,165.38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spacing w:line="470" w:lineRule="auto" w:before="174"/>
        <w:ind w:left="572" w:right="7290" w:hanging="420"/>
        <w:jc w:val="left"/>
        <w:rPr>
          <w:rFonts w:ascii="宋体" w:hAnsi="宋体" w:cs="宋体" w:eastAsia="宋体" w:hint="default"/>
          <w:sz w:val="21"/>
          <w:szCs w:val="21"/>
        </w:rPr>
      </w:pPr>
      <w:bookmarkStart w:name="72、资产减值损失" w:id="507"/>
      <w:bookmarkEnd w:id="507"/>
      <w:r>
        <w:rPr/>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、资产减值损失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是否已执行新收入准则</w:t>
      </w:r>
    </w:p>
    <w:p>
      <w:pPr>
        <w:pStyle w:val="BodyText"/>
        <w:spacing w:line="240" w:lineRule="auto" w:before="32"/>
        <w:ind w:right="11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13"/>
          <w:szCs w:val="1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-51,372,975.33</w:t>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-368,534.38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w w:val="95"/>
                <w:sz w:val="18"/>
              </w:rPr>
              <w:t>-61,624.07</w:t>
            </w:r>
            <w:r>
              <w:rPr>
                <w:rFonts w:ascii="Times New Roman"/>
                <w:sz w:val="18"/>
              </w:rPr>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-321,608,506.11</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-368,534.38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-373,043,105.51</w:t>
            </w:r>
            <w:r>
              <w:rPr>
                <w:rFonts w:ascii="Times New Roman"/>
                <w:sz w:val="18"/>
              </w:rPr>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73、资产处置收益" w:id="508"/>
      <w:bookmarkEnd w:id="508"/>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165,296.42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62,723.26</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无形资产处置损益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w w:val="95"/>
                <w:sz w:val="18"/>
              </w:rPr>
              <w:t>-13,960.58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151,335.84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62,723.26</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74、营业外收入" w:id="509"/>
      <w:bookmarkEnd w:id="509"/>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39"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7"/>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7"/>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计入当期非经常性损益的金</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8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51" w:space="0" w:color="D4D4D4"/>
              <w:left w:val="single" w:sz="10" w:space="0" w:color="D4D4D4"/>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4,163,709.65</w:t>
            </w:r>
            <w:r>
              <w:rPr>
                <w:rFonts w:ascii="Times New Roman"/>
                <w:sz w:val="18"/>
              </w:rPr>
            </w:r>
          </w:p>
        </w:tc>
        <w:tc>
          <w:tcPr>
            <w:tcW w:w="2393" w:type="dxa"/>
            <w:tcBorders>
              <w:top w:val="single" w:sz="51" w:space="0" w:color="D4D4D4"/>
              <w:left w:val="single" w:sz="4" w:space="0" w:color="000000"/>
              <w:bottom w:val="single" w:sz="4" w:space="0" w:color="000000"/>
              <w:right w:val="single" w:sz="13" w:space="0" w:color="D4D4D4"/>
            </w:tcBorders>
          </w:tcPr>
          <w:p>
            <w:pPr>
              <w:pStyle w:val="TableParagraph"/>
              <w:spacing w:line="240" w:lineRule="auto" w:before="48"/>
              <w:ind w:right="8"/>
              <w:jc w:val="right"/>
              <w:rPr>
                <w:rFonts w:ascii="Times New Roman" w:hAnsi="Times New Roman" w:cs="Times New Roman" w:eastAsia="Times New Roman" w:hint="default"/>
                <w:sz w:val="18"/>
                <w:szCs w:val="18"/>
              </w:rPr>
            </w:pPr>
            <w:r>
              <w:rPr>
                <w:rFonts w:ascii="Times New Roman"/>
                <w:spacing w:val="-1"/>
                <w:sz w:val="18"/>
              </w:rPr>
              <w:t>14,207,863.97</w:t>
            </w:r>
          </w:p>
        </w:tc>
        <w:tc>
          <w:tcPr>
            <w:tcW w:w="2393"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106"/>
              <w:ind w:right="7"/>
              <w:jc w:val="right"/>
              <w:rPr>
                <w:rFonts w:ascii="Times New Roman" w:hAnsi="Times New Roman" w:cs="Times New Roman" w:eastAsia="Times New Roman" w:hint="default"/>
                <w:sz w:val="18"/>
                <w:szCs w:val="18"/>
              </w:rPr>
            </w:pPr>
            <w:r>
              <w:rPr>
                <w:rFonts w:ascii="Times New Roman"/>
                <w:spacing w:val="-1"/>
                <w:sz w:val="18"/>
              </w:rPr>
              <w:t>4,163,709.65</w:t>
            </w:r>
            <w:r>
              <w:rPr>
                <w:rFonts w:ascii="Times New Roman"/>
                <w:sz w:val="18"/>
              </w:rPr>
            </w: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4"/>
              <w:jc w:val="right"/>
              <w:rPr>
                <w:rFonts w:ascii="Times New Roman" w:hAnsi="Times New Roman" w:cs="Times New Roman" w:eastAsia="Times New Roman" w:hint="default"/>
                <w:sz w:val="18"/>
                <w:szCs w:val="18"/>
              </w:rPr>
            </w:pPr>
            <w:r>
              <w:rPr>
                <w:rFonts w:ascii="Times New Roman"/>
                <w:spacing w:val="-1"/>
                <w:sz w:val="18"/>
              </w:rPr>
              <w:t>3,678,756.85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3,678,756.85</w:t>
            </w:r>
            <w:r>
              <w:rPr>
                <w:rFonts w:ascii="Times New Roman"/>
                <w:sz w:val="18"/>
              </w:rPr>
            </w: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2,215,576.60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265,078.77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2,215,576.60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32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无需支付的应付款项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5"/>
              <w:jc w:val="right"/>
              <w:rPr>
                <w:rFonts w:ascii="Times New Roman" w:hAnsi="Times New Roman" w:cs="Times New Roman" w:eastAsia="Times New Roman" w:hint="default"/>
                <w:sz w:val="18"/>
                <w:szCs w:val="18"/>
              </w:rPr>
            </w:pPr>
            <w:r>
              <w:rPr>
                <w:rFonts w:ascii="Times New Roman"/>
                <w:spacing w:val="-1"/>
                <w:sz w:val="18"/>
              </w:rPr>
              <w:t>36,239.28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347,897.19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36,239.28</w:t>
            </w: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赔偿收入</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83,183.40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1,992.04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5"/>
              <w:jc w:val="right"/>
              <w:rPr>
                <w:rFonts w:ascii="Times New Roman" w:hAnsi="Times New Roman" w:cs="Times New Roman" w:eastAsia="Times New Roman" w:hint="default"/>
                <w:sz w:val="18"/>
                <w:szCs w:val="18"/>
              </w:rPr>
            </w:pPr>
            <w:r>
              <w:rPr>
                <w:rFonts w:ascii="Times New Roman"/>
                <w:spacing w:val="-1"/>
                <w:sz w:val="18"/>
              </w:rPr>
              <w:t>10,094,282.38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14,906,015.37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10,094,282.38</w:t>
            </w:r>
          </w:p>
        </w:tc>
      </w:tr>
    </w:tbl>
    <w:p>
      <w:pPr>
        <w:pStyle w:val="BodyText"/>
        <w:spacing w:line="240" w:lineRule="auto" w:before="64"/>
        <w:ind w:right="1127"/>
        <w:jc w:val="left"/>
      </w:pPr>
      <w:r>
        <w:rPr/>
        <w:t>计入当期损益的政府补助：</w:t>
      </w:r>
    </w:p>
    <w:p>
      <w:pPr>
        <w:spacing w:line="240" w:lineRule="auto" w:before="10"/>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557"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24" w:right="23"/>
              <w:jc w:val="left"/>
              <w:rPr>
                <w:rFonts w:ascii="宋体" w:hAnsi="宋体" w:cs="宋体" w:eastAsia="宋体" w:hint="default"/>
                <w:sz w:val="18"/>
                <w:szCs w:val="18"/>
              </w:rPr>
            </w:pPr>
            <w:r>
              <w:rPr>
                <w:rFonts w:ascii="宋体" w:hAnsi="宋体" w:cs="宋体" w:eastAsia="宋体" w:hint="default"/>
                <w:sz w:val="18"/>
                <w:szCs w:val="18"/>
              </w:rPr>
              <w:t>企业扶持专 项</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二批扶持资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6"/>
              <w:jc w:val="right"/>
              <w:rPr>
                <w:rFonts w:ascii="Times New Roman" w:hAnsi="Times New Roman" w:cs="Times New Roman" w:eastAsia="Times New Roman" w:hint="default"/>
                <w:sz w:val="18"/>
                <w:szCs w:val="18"/>
              </w:rPr>
            </w:pPr>
            <w:r>
              <w:rPr>
                <w:rFonts w:ascii="Times New Roman"/>
                <w:sz w:val="18"/>
              </w:rPr>
              <w:t>620,000.00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31"/>
              <w:jc w:val="left"/>
              <w:rPr>
                <w:rFonts w:ascii="宋体" w:hAnsi="宋体" w:cs="宋体" w:eastAsia="宋体" w:hint="default"/>
                <w:sz w:val="18"/>
                <w:szCs w:val="18"/>
              </w:rPr>
            </w:pPr>
            <w:r>
              <w:rPr>
                <w:rFonts w:ascii="宋体" w:hAnsi="宋体" w:cs="宋体" w:eastAsia="宋体" w:hint="default"/>
                <w:sz w:val="18"/>
                <w:szCs w:val="18"/>
              </w:rPr>
              <w:t>军民融合产 业发展资金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558,700.00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131"/>
              <w:jc w:val="both"/>
              <w:rPr>
                <w:rFonts w:ascii="宋体" w:hAnsi="宋体" w:cs="宋体" w:eastAsia="宋体" w:hint="default"/>
                <w:sz w:val="18"/>
                <w:szCs w:val="18"/>
              </w:rPr>
            </w:pPr>
            <w:r>
              <w:rPr>
                <w:rFonts w:ascii="宋体" w:hAnsi="宋体" w:cs="宋体" w:eastAsia="宋体" w:hint="default"/>
                <w:sz w:val="18"/>
                <w:szCs w:val="18"/>
              </w:rPr>
              <w:t>适应智慧城 市与物联网 安全目标的 安全架构和 应用示范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491,900.00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31"/>
              <w:jc w:val="left"/>
              <w:rPr>
                <w:rFonts w:ascii="宋体" w:hAnsi="宋体" w:cs="宋体" w:eastAsia="宋体" w:hint="default"/>
                <w:sz w:val="18"/>
                <w:szCs w:val="18"/>
              </w:rPr>
            </w:pPr>
            <w:r>
              <w:rPr>
                <w:rFonts w:ascii="宋体" w:hAnsi="宋体" w:cs="宋体" w:eastAsia="宋体" w:hint="default"/>
                <w:sz w:val="18"/>
                <w:szCs w:val="18"/>
              </w:rPr>
              <w:t>高新企业补 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474,400.00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291,086.44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131,277.36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31"/>
              <w:jc w:val="left"/>
              <w:rPr>
                <w:rFonts w:ascii="宋体" w:hAnsi="宋体" w:cs="宋体" w:eastAsia="宋体" w:hint="default"/>
                <w:sz w:val="18"/>
                <w:szCs w:val="18"/>
              </w:rPr>
            </w:pPr>
            <w:r>
              <w:rPr>
                <w:rFonts w:ascii="宋体" w:hAnsi="宋体" w:cs="宋体" w:eastAsia="宋体" w:hint="default"/>
                <w:sz w:val="18"/>
                <w:szCs w:val="18"/>
              </w:rPr>
              <w:t>小微企业新 招补助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246,441.52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31"/>
              <w:jc w:val="left"/>
              <w:rPr>
                <w:rFonts w:ascii="宋体" w:hAnsi="宋体" w:cs="宋体" w:eastAsia="宋体" w:hint="default"/>
                <w:sz w:val="18"/>
                <w:szCs w:val="18"/>
              </w:rPr>
            </w:pPr>
            <w:r>
              <w:rPr>
                <w:rFonts w:ascii="宋体" w:hAnsi="宋体" w:cs="宋体" w:eastAsia="宋体" w:hint="default"/>
                <w:sz w:val="18"/>
                <w:szCs w:val="18"/>
              </w:rPr>
              <w:t>并购政策补 贴款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219,263.00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31"/>
              <w:jc w:val="left"/>
              <w:rPr>
                <w:rFonts w:ascii="宋体" w:hAnsi="宋体" w:cs="宋体" w:eastAsia="宋体" w:hint="default"/>
                <w:sz w:val="18"/>
                <w:szCs w:val="18"/>
              </w:rPr>
            </w:pPr>
            <w:r>
              <w:rPr>
                <w:rFonts w:ascii="宋体" w:hAnsi="宋体" w:cs="宋体" w:eastAsia="宋体" w:hint="default"/>
                <w:sz w:val="18"/>
                <w:szCs w:val="18"/>
              </w:rPr>
              <w:t>教育科技局 专项补助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9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31"/>
              <w:jc w:val="both"/>
              <w:rPr>
                <w:rFonts w:ascii="宋体" w:hAnsi="宋体" w:cs="宋体" w:eastAsia="宋体" w:hint="default"/>
                <w:sz w:val="18"/>
                <w:szCs w:val="18"/>
              </w:rPr>
            </w:pPr>
            <w:r>
              <w:rPr>
                <w:rFonts w:ascii="宋体" w:hAnsi="宋体" w:cs="宋体" w:eastAsia="宋体" w:hint="default"/>
                <w:sz w:val="18"/>
                <w:szCs w:val="18"/>
              </w:rPr>
              <w:t>陕西省科技 资源统筹中 心项目补贴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7"/>
              <w:ind w:left="24" w:right="50"/>
              <w:jc w:val="left"/>
              <w:rPr>
                <w:rFonts w:ascii="宋体" w:hAnsi="宋体" w:cs="宋体" w:eastAsia="宋体" w:hint="default"/>
                <w:sz w:val="18"/>
                <w:szCs w:val="18"/>
              </w:rPr>
            </w:pPr>
            <w:r>
              <w:rPr>
                <w:rFonts w:ascii="宋体" w:hAnsi="宋体" w:cs="宋体" w:eastAsia="宋体" w:hint="default"/>
                <w:sz w:val="18"/>
                <w:szCs w:val="18"/>
              </w:rPr>
              <w:t>国家重点研 发计划项目 课题</w:t>
            </w:r>
            <w:r>
              <w:rPr>
                <w:rFonts w:ascii="Times New Roman" w:hAnsi="Times New Roman" w:cs="Times New Roman" w:eastAsia="Times New Roman" w:hint="default"/>
                <w:sz w:val="18"/>
                <w:szCs w:val="18"/>
              </w:rPr>
              <w:t>“</w:t>
            </w:r>
            <w:r>
              <w:rPr>
                <w:rFonts w:ascii="宋体" w:hAnsi="宋体" w:cs="宋体" w:eastAsia="宋体" w:hint="default"/>
                <w:sz w:val="18"/>
                <w:szCs w:val="18"/>
              </w:rPr>
              <w:t>资源池 构建</w:t>
            </w:r>
            <w:r>
              <w:rPr>
                <w:rFonts w:ascii="Times New Roman" w:hAnsi="Times New Roman" w:cs="Times New Roman" w:eastAsia="Times New Roman" w:hint="default"/>
                <w:sz w:val="18"/>
                <w:szCs w:val="18"/>
              </w:rPr>
              <w:t>”</w:t>
            </w:r>
            <w:r>
              <w:rPr>
                <w:rFonts w:ascii="宋体" w:hAnsi="宋体" w:cs="宋体" w:eastAsia="宋体" w:hint="default"/>
                <w:sz w:val="18"/>
                <w:szCs w:val="18"/>
              </w:rPr>
              <w:t>专项款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175,300.00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2"/>
              <w:ind w:left="24" w:right="83"/>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年中关 村商标示范 试点单位高 端推进项目 支持资金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129,600.00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31"/>
              <w:jc w:val="both"/>
              <w:rPr>
                <w:rFonts w:ascii="宋体" w:hAnsi="宋体" w:cs="宋体" w:eastAsia="宋体" w:hint="default"/>
                <w:sz w:val="18"/>
                <w:szCs w:val="18"/>
              </w:rPr>
            </w:pPr>
            <w:r>
              <w:rPr>
                <w:rFonts w:ascii="宋体" w:hAnsi="宋体" w:cs="宋体" w:eastAsia="宋体" w:hint="default"/>
                <w:sz w:val="18"/>
                <w:szCs w:val="18"/>
              </w:rPr>
              <w:t>海淀区知识 产权管理体 系贯标补贴 专项资金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6"/>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9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31"/>
              <w:jc w:val="both"/>
              <w:rPr>
                <w:rFonts w:ascii="宋体" w:hAnsi="宋体" w:cs="宋体" w:eastAsia="宋体" w:hint="default"/>
                <w:sz w:val="18"/>
                <w:szCs w:val="18"/>
              </w:rPr>
            </w:pPr>
            <w:r>
              <w:rPr>
                <w:rFonts w:ascii="宋体" w:hAnsi="宋体" w:cs="宋体" w:eastAsia="宋体" w:hint="default"/>
                <w:sz w:val="18"/>
                <w:szCs w:val="18"/>
              </w:rPr>
              <w:t>西安市财政 局企业研发 投入奖补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31"/>
              <w:jc w:val="both"/>
              <w:rPr>
                <w:rFonts w:ascii="宋体" w:hAnsi="宋体" w:cs="宋体" w:eastAsia="宋体" w:hint="default"/>
                <w:sz w:val="18"/>
                <w:szCs w:val="18"/>
              </w:rPr>
            </w:pPr>
            <w:r>
              <w:rPr>
                <w:rFonts w:ascii="宋体" w:hAnsi="宋体" w:cs="宋体" w:eastAsia="宋体" w:hint="default"/>
                <w:sz w:val="18"/>
                <w:szCs w:val="18"/>
              </w:rPr>
              <w:t>西安高新技 术产业开发 区信用服务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89,860.00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82" w:footer="1134"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51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中心奖励补</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助款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131"/>
              <w:jc w:val="both"/>
              <w:rPr>
                <w:rFonts w:ascii="宋体" w:hAnsi="宋体" w:cs="宋体" w:eastAsia="宋体" w:hint="default"/>
                <w:sz w:val="18"/>
                <w:szCs w:val="18"/>
              </w:rPr>
            </w:pPr>
            <w:r>
              <w:rPr>
                <w:rFonts w:ascii="宋体" w:hAnsi="宋体" w:cs="宋体" w:eastAsia="宋体" w:hint="default"/>
                <w:sz w:val="18"/>
                <w:szCs w:val="18"/>
              </w:rPr>
              <w:t>西安市财政 局技术转移 转化补助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61,100.00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统计局补助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9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131"/>
              <w:jc w:val="both"/>
              <w:rPr>
                <w:rFonts w:ascii="宋体" w:hAnsi="宋体" w:cs="宋体" w:eastAsia="宋体" w:hint="default"/>
                <w:sz w:val="18"/>
                <w:szCs w:val="18"/>
              </w:rPr>
            </w:pPr>
            <w:r>
              <w:rPr>
                <w:rFonts w:ascii="宋体" w:hAnsi="宋体" w:cs="宋体" w:eastAsia="宋体" w:hint="default"/>
                <w:sz w:val="18"/>
                <w:szCs w:val="18"/>
              </w:rPr>
              <w:t>中关村创新 能力建设专 项资金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31"/>
              <w:jc w:val="both"/>
              <w:rPr>
                <w:rFonts w:ascii="宋体" w:hAnsi="宋体" w:cs="宋体" w:eastAsia="宋体" w:hint="default"/>
                <w:sz w:val="18"/>
                <w:szCs w:val="18"/>
              </w:rPr>
            </w:pPr>
            <w:r>
              <w:rPr>
                <w:rFonts w:ascii="宋体" w:hAnsi="宋体" w:cs="宋体" w:eastAsia="宋体" w:hint="default"/>
                <w:sz w:val="18"/>
                <w:szCs w:val="18"/>
              </w:rPr>
              <w:t>海淀区国内 外专利预警 费用补贴专 项资金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专利资助金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34,650.00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31"/>
              <w:jc w:val="left"/>
              <w:rPr>
                <w:rFonts w:ascii="宋体" w:hAnsi="宋体" w:cs="宋体" w:eastAsia="宋体" w:hint="default"/>
                <w:sz w:val="18"/>
                <w:szCs w:val="18"/>
              </w:rPr>
            </w:pPr>
            <w:r>
              <w:rPr>
                <w:rFonts w:ascii="宋体" w:hAnsi="宋体" w:cs="宋体" w:eastAsia="宋体" w:hint="default"/>
                <w:sz w:val="18"/>
                <w:szCs w:val="18"/>
              </w:rPr>
              <w:t>农村工社保 补差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9,985.55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31"/>
              <w:jc w:val="left"/>
              <w:rPr>
                <w:rFonts w:ascii="宋体" w:hAnsi="宋体" w:cs="宋体" w:eastAsia="宋体" w:hint="default"/>
                <w:sz w:val="18"/>
                <w:szCs w:val="18"/>
              </w:rPr>
            </w:pPr>
            <w:r>
              <w:rPr>
                <w:rFonts w:ascii="宋体" w:hAnsi="宋体" w:cs="宋体" w:eastAsia="宋体" w:hint="default"/>
                <w:sz w:val="18"/>
                <w:szCs w:val="18"/>
              </w:rPr>
              <w:t>小规模增值 税免税收入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5,650.49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31"/>
              <w:jc w:val="left"/>
              <w:rPr>
                <w:rFonts w:ascii="宋体" w:hAnsi="宋体" w:cs="宋体" w:eastAsia="宋体" w:hint="default"/>
                <w:sz w:val="18"/>
                <w:szCs w:val="18"/>
              </w:rPr>
            </w:pPr>
            <w:r>
              <w:rPr>
                <w:rFonts w:ascii="宋体" w:hAnsi="宋体" w:cs="宋体" w:eastAsia="宋体" w:hint="default"/>
                <w:sz w:val="18"/>
                <w:szCs w:val="18"/>
              </w:rPr>
              <w:t>火炬补贴专 项资金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31"/>
              <w:jc w:val="both"/>
              <w:rPr>
                <w:rFonts w:ascii="宋体" w:hAnsi="宋体" w:cs="宋体" w:eastAsia="宋体" w:hint="default"/>
                <w:sz w:val="18"/>
                <w:szCs w:val="18"/>
              </w:rPr>
            </w:pPr>
            <w:r>
              <w:rPr>
                <w:rFonts w:ascii="宋体" w:hAnsi="宋体" w:cs="宋体" w:eastAsia="宋体" w:hint="default"/>
                <w:sz w:val="18"/>
                <w:szCs w:val="18"/>
              </w:rPr>
              <w:t>中共北京市 海淀区委海 淀园工作委 员会党委会 经费</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31"/>
              <w:jc w:val="left"/>
              <w:rPr>
                <w:rFonts w:ascii="宋体" w:hAnsi="宋体" w:cs="宋体" w:eastAsia="宋体" w:hint="default"/>
                <w:sz w:val="18"/>
                <w:szCs w:val="18"/>
              </w:rPr>
            </w:pPr>
            <w:r>
              <w:rPr>
                <w:rFonts w:ascii="宋体" w:hAnsi="宋体" w:cs="宋体" w:eastAsia="宋体" w:hint="default"/>
                <w:sz w:val="18"/>
                <w:szCs w:val="18"/>
              </w:rPr>
              <w:t>社保失业保 险金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2,789.95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31"/>
              <w:jc w:val="left"/>
              <w:rPr>
                <w:rFonts w:ascii="宋体" w:hAnsi="宋体" w:cs="宋体" w:eastAsia="宋体" w:hint="default"/>
                <w:sz w:val="18"/>
                <w:szCs w:val="18"/>
              </w:rPr>
            </w:pPr>
            <w:r>
              <w:rPr>
                <w:rFonts w:ascii="宋体" w:hAnsi="宋体" w:cs="宋体" w:eastAsia="宋体" w:hint="default"/>
                <w:sz w:val="18"/>
                <w:szCs w:val="18"/>
              </w:rPr>
              <w:t>自主招工奖 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税控盘减免</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退税收入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202.70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5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66"/>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西安西谷微 电子有限责 任公司电子 元器件</w:t>
            </w:r>
            <w:r>
              <w:rPr>
                <w:rFonts w:ascii="宋体" w:hAnsi="宋体" w:cs="宋体" w:eastAsia="宋体" w:hint="default"/>
                <w:spacing w:val="1"/>
                <w:sz w:val="18"/>
                <w:szCs w:val="18"/>
              </w:rPr>
              <w:t> </w:t>
            </w:r>
            <w:r>
              <w:rPr>
                <w:rFonts w:ascii="Times New Roman" w:hAnsi="Times New Roman" w:cs="Times New Roman" w:eastAsia="Times New Roman" w:hint="default"/>
                <w:spacing w:val="-10"/>
                <w:sz w:val="18"/>
                <w:szCs w:val="18"/>
              </w:rPr>
              <w:t>DPA</w:t>
            </w:r>
            <w:r>
              <w:rPr>
                <w:rFonts w:ascii="Times New Roman" w:hAnsi="Times New Roman" w:cs="Times New Roman" w:eastAsia="Times New Roman" w:hint="default"/>
                <w:sz w:val="18"/>
                <w:szCs w:val="18"/>
              </w:rPr>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（破坏性物</w:t>
            </w:r>
          </w:p>
          <w:p>
            <w:pPr>
              <w:pStyle w:val="TableParagraph"/>
              <w:spacing w:line="235" w:lineRule="auto" w:before="4"/>
              <w:ind w:left="24" w:right="23"/>
              <w:jc w:val="left"/>
              <w:rPr>
                <w:rFonts w:ascii="宋体" w:hAnsi="宋体" w:cs="宋体" w:eastAsia="宋体" w:hint="default"/>
                <w:sz w:val="18"/>
                <w:szCs w:val="18"/>
              </w:rPr>
            </w:pPr>
            <w:r>
              <w:rPr>
                <w:rFonts w:ascii="宋体" w:hAnsi="宋体" w:cs="宋体" w:eastAsia="宋体" w:hint="default"/>
                <w:spacing w:val="-12"/>
                <w:sz w:val="18"/>
                <w:szCs w:val="18"/>
              </w:rPr>
              <w:t>理分析）测试</w:t>
            </w:r>
            <w:r>
              <w:rPr>
                <w:rFonts w:ascii="宋体" w:hAnsi="宋体" w:cs="宋体" w:eastAsia="宋体" w:hint="default"/>
                <w:sz w:val="18"/>
                <w:szCs w:val="18"/>
              </w:rPr>
              <w:t> 分析公共服 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4,500,000.00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9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31"/>
              <w:jc w:val="both"/>
              <w:rPr>
                <w:rFonts w:ascii="宋体" w:hAnsi="宋体" w:cs="宋体" w:eastAsia="宋体" w:hint="default"/>
                <w:sz w:val="18"/>
                <w:szCs w:val="18"/>
              </w:rPr>
            </w:pPr>
            <w:r>
              <w:rPr>
                <w:rFonts w:ascii="宋体" w:hAnsi="宋体" w:cs="宋体" w:eastAsia="宋体" w:hint="default"/>
                <w:sz w:val="18"/>
                <w:szCs w:val="18"/>
              </w:rPr>
              <w:t>直接支付零 余额账户扶 持资金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2,130,000.00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9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4" w:right="71"/>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高 新技术企业 培育补助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1,695,600.00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31"/>
              <w:jc w:val="both"/>
              <w:rPr>
                <w:rFonts w:ascii="宋体" w:hAnsi="宋体" w:cs="宋体" w:eastAsia="宋体" w:hint="default"/>
                <w:sz w:val="18"/>
                <w:szCs w:val="18"/>
              </w:rPr>
            </w:pPr>
            <w:r>
              <w:rPr>
                <w:rFonts w:ascii="宋体" w:hAnsi="宋体" w:cs="宋体" w:eastAsia="宋体" w:hint="default"/>
                <w:sz w:val="18"/>
                <w:szCs w:val="18"/>
              </w:rPr>
              <w:t>西安高新技 术产业开发 区信用服务 中心优惠补 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31"/>
              <w:jc w:val="left"/>
              <w:rPr>
                <w:rFonts w:ascii="宋体" w:hAnsi="宋体" w:cs="宋体" w:eastAsia="宋体" w:hint="default"/>
                <w:sz w:val="18"/>
                <w:szCs w:val="18"/>
              </w:rPr>
            </w:pPr>
            <w:r>
              <w:rPr>
                <w:rFonts w:ascii="宋体" w:hAnsi="宋体" w:cs="宋体" w:eastAsia="宋体" w:hint="default"/>
                <w:sz w:val="18"/>
                <w:szCs w:val="18"/>
              </w:rPr>
              <w:t>街道办事处 扶持金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footerReference w:type="default" r:id="rId80"/>
          <w:pgSz w:w="11910" w:h="16840"/>
          <w:pgMar w:footer="1134" w:header="882" w:top="1280" w:bottom="1320" w:left="980" w:right="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5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71"/>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省 研发后补助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611,100.00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31"/>
              <w:jc w:val="left"/>
              <w:rPr>
                <w:rFonts w:ascii="宋体" w:hAnsi="宋体" w:cs="宋体" w:eastAsia="宋体" w:hint="default"/>
                <w:sz w:val="18"/>
                <w:szCs w:val="18"/>
              </w:rPr>
            </w:pPr>
            <w:r>
              <w:rPr>
                <w:rFonts w:ascii="宋体" w:hAnsi="宋体" w:cs="宋体" w:eastAsia="宋体" w:hint="default"/>
                <w:sz w:val="18"/>
                <w:szCs w:val="18"/>
              </w:rPr>
              <w:t>军民融合专 项资金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9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31"/>
              <w:jc w:val="both"/>
              <w:rPr>
                <w:rFonts w:ascii="宋体" w:hAnsi="宋体" w:cs="宋体" w:eastAsia="宋体" w:hint="default"/>
                <w:sz w:val="18"/>
                <w:szCs w:val="18"/>
              </w:rPr>
            </w:pPr>
            <w:r>
              <w:rPr>
                <w:rFonts w:ascii="宋体" w:hAnsi="宋体" w:cs="宋体" w:eastAsia="宋体" w:hint="default"/>
                <w:sz w:val="18"/>
                <w:szCs w:val="18"/>
              </w:rPr>
              <w:t>西安高新技 术产业开发 区信用服务 中心中小企 业公共示范 平台奖励金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7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31"/>
              <w:jc w:val="both"/>
              <w:rPr>
                <w:rFonts w:ascii="宋体" w:hAnsi="宋体" w:cs="宋体" w:eastAsia="宋体" w:hint="default"/>
                <w:sz w:val="18"/>
                <w:szCs w:val="18"/>
              </w:rPr>
            </w:pPr>
            <w:r>
              <w:rPr>
                <w:rFonts w:ascii="宋体" w:hAnsi="宋体" w:cs="宋体" w:eastAsia="宋体" w:hint="default"/>
                <w:sz w:val="18"/>
                <w:szCs w:val="18"/>
              </w:rPr>
              <w:t>西安高新技 术产业开发 区信用服务 中心服务业 综合改革专 项资金验收 尾款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6"/>
              <w:jc w:val="right"/>
              <w:rPr>
                <w:rFonts w:ascii="Times New Roman" w:hAnsi="Times New Roman" w:cs="Times New Roman" w:eastAsia="Times New Roman" w:hint="default"/>
                <w:sz w:val="18"/>
                <w:szCs w:val="18"/>
              </w:rPr>
            </w:pPr>
            <w:r>
              <w:rPr>
                <w:rFonts w:ascii="Times New Roman"/>
                <w:sz w:val="18"/>
              </w:rPr>
              <w:t>450,000.00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7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2"/>
              <w:ind w:left="24" w:right="131"/>
              <w:jc w:val="left"/>
              <w:rPr>
                <w:rFonts w:ascii="宋体" w:hAnsi="宋体" w:cs="宋体" w:eastAsia="宋体" w:hint="default"/>
                <w:sz w:val="18"/>
                <w:szCs w:val="18"/>
              </w:rPr>
            </w:pPr>
            <w:r>
              <w:rPr>
                <w:rFonts w:ascii="宋体" w:hAnsi="宋体" w:cs="宋体" w:eastAsia="宋体" w:hint="default"/>
                <w:sz w:val="18"/>
                <w:szCs w:val="18"/>
              </w:rPr>
              <w:t>西安高新技 术产业开发 区信用服务 中心</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年中小企业 发展专项资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6"/>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31"/>
              <w:jc w:val="left"/>
              <w:rPr>
                <w:rFonts w:ascii="宋体" w:hAnsi="宋体" w:cs="宋体" w:eastAsia="宋体" w:hint="default"/>
                <w:sz w:val="18"/>
                <w:szCs w:val="18"/>
              </w:rPr>
            </w:pPr>
            <w:r>
              <w:rPr>
                <w:rFonts w:ascii="宋体" w:hAnsi="宋体" w:cs="宋体" w:eastAsia="宋体" w:hint="default"/>
                <w:sz w:val="18"/>
                <w:szCs w:val="18"/>
              </w:rPr>
              <w:t>辅导期支持 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228,400.00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31"/>
              <w:jc w:val="both"/>
              <w:rPr>
                <w:rFonts w:ascii="宋体" w:hAnsi="宋体" w:cs="宋体" w:eastAsia="宋体" w:hint="default"/>
                <w:sz w:val="18"/>
                <w:szCs w:val="18"/>
              </w:rPr>
            </w:pPr>
            <w:r>
              <w:rPr>
                <w:rFonts w:ascii="宋体" w:hAnsi="宋体" w:cs="宋体" w:eastAsia="宋体" w:hint="default"/>
                <w:sz w:val="18"/>
                <w:szCs w:val="18"/>
              </w:rPr>
              <w:t>西安科技大 市场有限公 司技术交易 奖补款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131"/>
              <w:jc w:val="both"/>
              <w:rPr>
                <w:rFonts w:ascii="宋体" w:hAnsi="宋体" w:cs="宋体" w:eastAsia="宋体" w:hint="default"/>
                <w:sz w:val="18"/>
                <w:szCs w:val="18"/>
              </w:rPr>
            </w:pPr>
            <w:r>
              <w:rPr>
                <w:rFonts w:ascii="宋体" w:hAnsi="宋体" w:cs="宋体" w:eastAsia="宋体" w:hint="default"/>
                <w:sz w:val="18"/>
                <w:szCs w:val="18"/>
              </w:rPr>
              <w:t>江西省新余 市渝水区统 计局项目奖 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78,840.00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31"/>
              <w:jc w:val="left"/>
              <w:rPr>
                <w:rFonts w:ascii="宋体" w:hAnsi="宋体" w:cs="宋体" w:eastAsia="宋体" w:hint="default"/>
                <w:sz w:val="18"/>
                <w:szCs w:val="18"/>
              </w:rPr>
            </w:pPr>
            <w:r>
              <w:rPr>
                <w:rFonts w:ascii="宋体" w:hAnsi="宋体" w:cs="宋体" w:eastAsia="宋体" w:hint="default"/>
                <w:sz w:val="18"/>
                <w:szCs w:val="18"/>
              </w:rPr>
              <w:t>应届生的社 医保补贴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67,679.65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31"/>
              <w:jc w:val="left"/>
              <w:rPr>
                <w:rFonts w:ascii="宋体" w:hAnsi="宋体" w:cs="宋体" w:eastAsia="宋体" w:hint="default"/>
                <w:sz w:val="18"/>
                <w:szCs w:val="18"/>
              </w:rPr>
            </w:pPr>
            <w:r>
              <w:rPr>
                <w:rFonts w:ascii="宋体" w:hAnsi="宋体" w:cs="宋体" w:eastAsia="宋体" w:hint="default"/>
                <w:sz w:val="18"/>
                <w:szCs w:val="18"/>
              </w:rPr>
              <w:t>统计局补助 款项</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31"/>
              <w:jc w:val="both"/>
              <w:rPr>
                <w:rFonts w:ascii="宋体" w:hAnsi="宋体" w:cs="宋体" w:eastAsia="宋体" w:hint="default"/>
                <w:sz w:val="18"/>
                <w:szCs w:val="18"/>
              </w:rPr>
            </w:pPr>
            <w:r>
              <w:rPr>
                <w:rFonts w:ascii="宋体" w:hAnsi="宋体" w:cs="宋体" w:eastAsia="宋体" w:hint="default"/>
                <w:sz w:val="18"/>
                <w:szCs w:val="18"/>
              </w:rPr>
              <w:t>陕西省科学 技术厅高新 技术企业奖 励项目款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131"/>
              <w:jc w:val="left"/>
              <w:rPr>
                <w:rFonts w:ascii="宋体" w:hAnsi="宋体" w:cs="宋体" w:eastAsia="宋体" w:hint="default"/>
                <w:sz w:val="18"/>
                <w:szCs w:val="18"/>
              </w:rPr>
            </w:pPr>
            <w:r>
              <w:rPr>
                <w:rFonts w:ascii="宋体" w:hAnsi="宋体" w:cs="宋体" w:eastAsia="宋体" w:hint="default"/>
                <w:sz w:val="18"/>
                <w:szCs w:val="18"/>
              </w:rPr>
              <w:t>应届生就业 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41,966.96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人才补贴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9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年度中 关村商标促 进资金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9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四上企业</w:t>
            </w:r>
            <w:r>
              <w:rPr>
                <w:rFonts w:ascii="Times New Roman" w:hAnsi="Times New Roman" w:cs="Times New Roman" w:eastAsia="Times New Roman" w:hint="default"/>
                <w:sz w:val="18"/>
                <w:szCs w:val="18"/>
              </w:rPr>
              <w:t>”</w:t>
            </w:r>
          </w:p>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补</w:t>
            </w:r>
            <w:r>
              <w:rPr>
                <w:rFonts w:ascii="宋体" w:hAnsi="宋体" w:cs="宋体" w:eastAsia="宋体" w:hint="default"/>
                <w:spacing w:val="1"/>
                <w:sz w:val="18"/>
                <w:szCs w:val="18"/>
              </w:rPr>
              <w:t> </w:t>
            </w:r>
            <w:r>
              <w:rPr>
                <w:rFonts w:ascii="宋体" w:hAnsi="宋体" w:cs="宋体" w:eastAsia="宋体" w:hint="default"/>
                <w:sz w:val="18"/>
                <w:szCs w:val="18"/>
              </w:rPr>
              <w:t>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软著资助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4,500.00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footerReference w:type="default" r:id="rId81"/>
          <w:pgSz w:w="11910" w:h="16840"/>
          <w:pgMar w:footer="1134" w:header="882" w:top="1280" w:bottom="1320" w:left="980" w:right="0"/>
          <w:pgNumType w:start="241"/>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5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31"/>
              <w:jc w:val="left"/>
              <w:rPr>
                <w:rFonts w:ascii="宋体" w:hAnsi="宋体" w:cs="宋体" w:eastAsia="宋体" w:hint="default"/>
                <w:sz w:val="18"/>
                <w:szCs w:val="18"/>
              </w:rPr>
            </w:pPr>
            <w:r>
              <w:rPr>
                <w:rFonts w:ascii="宋体" w:hAnsi="宋体" w:cs="宋体" w:eastAsia="宋体" w:hint="default"/>
                <w:sz w:val="18"/>
                <w:szCs w:val="18"/>
              </w:rPr>
              <w:t>安全生产奖 励款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0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86" w:right="0"/>
              <w:jc w:val="left"/>
              <w:rPr>
                <w:rFonts w:ascii="Times New Roman" w:hAnsi="Times New Roman" w:cs="Times New Roman" w:eastAsia="Times New Roman" w:hint="default"/>
                <w:sz w:val="18"/>
                <w:szCs w:val="18"/>
              </w:rPr>
            </w:pPr>
            <w:r>
              <w:rPr>
                <w:rFonts w:ascii="Times New Roman"/>
                <w:sz w:val="18"/>
              </w:rPr>
              <w:t>4,163,709.65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14,207,863.9</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4"/>
        <w:ind w:left="152" w:right="1127" w:firstLine="420"/>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75、营业外支出" w:id="510"/>
      <w:bookmarkEnd w:id="510"/>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39"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7"/>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7"/>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计入当期非经常性损益的金</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8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7" w:space="0" w:color="D4D4D4"/>
              <w:left w:val="single" w:sz="10" w:space="0" w:color="D4D4D4"/>
              <w:bottom w:val="single" w:sz="4" w:space="0" w:color="000000"/>
              <w:right w:val="single" w:sz="4" w:space="0" w:color="000000"/>
            </w:tcBorders>
          </w:tcPr>
          <w:p>
            <w:pPr>
              <w:pStyle w:val="TableParagraph"/>
              <w:spacing w:line="240" w:lineRule="auto" w:before="52"/>
              <w:ind w:right="14"/>
              <w:jc w:val="right"/>
              <w:rPr>
                <w:rFonts w:ascii="Times New Roman" w:hAnsi="Times New Roman" w:cs="Times New Roman" w:eastAsia="Times New Roman" w:hint="default"/>
                <w:sz w:val="18"/>
                <w:szCs w:val="18"/>
              </w:rPr>
            </w:pPr>
            <w:r>
              <w:rPr>
                <w:rFonts w:ascii="Times New Roman"/>
                <w:spacing w:val="-1"/>
                <w:sz w:val="18"/>
              </w:rPr>
              <w:t>4,100,555.00</w:t>
            </w:r>
            <w:r>
              <w:rPr>
                <w:rFonts w:ascii="Times New Roman"/>
                <w:sz w:val="18"/>
              </w:rPr>
            </w:r>
          </w:p>
        </w:tc>
        <w:tc>
          <w:tcPr>
            <w:tcW w:w="2393" w:type="dxa"/>
            <w:tcBorders>
              <w:top w:val="single" w:sz="47" w:space="0" w:color="D4D4D4"/>
              <w:left w:val="single" w:sz="4" w:space="0" w:color="000000"/>
              <w:bottom w:val="single" w:sz="4" w:space="0" w:color="000000"/>
              <w:right w:val="single" w:sz="13" w:space="0" w:color="D4D4D4"/>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6,085,140.00</w:t>
            </w:r>
            <w:r>
              <w:rPr>
                <w:rFonts w:ascii="Times New Roman"/>
                <w:sz w:val="18"/>
              </w:rPr>
            </w:r>
          </w:p>
        </w:tc>
        <w:tc>
          <w:tcPr>
            <w:tcW w:w="2393"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106"/>
              <w:ind w:right="7"/>
              <w:jc w:val="right"/>
              <w:rPr>
                <w:rFonts w:ascii="Times New Roman" w:hAnsi="Times New Roman" w:cs="Times New Roman" w:eastAsia="Times New Roman" w:hint="default"/>
                <w:sz w:val="18"/>
                <w:szCs w:val="18"/>
              </w:rPr>
            </w:pPr>
            <w:r>
              <w:rPr>
                <w:rFonts w:ascii="Times New Roman"/>
                <w:spacing w:val="-1"/>
                <w:sz w:val="18"/>
              </w:rPr>
              <w:t>4,100,555.00</w:t>
            </w:r>
            <w:r>
              <w:rPr>
                <w:rFonts w:ascii="Times New Roman"/>
                <w:sz w:val="18"/>
              </w:rPr>
            </w: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4"/>
              <w:jc w:val="right"/>
              <w:rPr>
                <w:rFonts w:ascii="Times New Roman" w:hAnsi="Times New Roman" w:cs="Times New Roman" w:eastAsia="Times New Roman" w:hint="default"/>
                <w:sz w:val="18"/>
                <w:szCs w:val="18"/>
              </w:rPr>
            </w:pPr>
            <w:r>
              <w:rPr>
                <w:rFonts w:ascii="Times New Roman"/>
                <w:sz w:val="18"/>
              </w:rPr>
              <w:t>729,659.39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729,659.39</w:t>
            </w: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1,406,241.85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5"/>
              <w:jc w:val="right"/>
              <w:rPr>
                <w:rFonts w:ascii="Times New Roman" w:hAnsi="Times New Roman" w:cs="Times New Roman" w:eastAsia="Times New Roman" w:hint="default"/>
                <w:sz w:val="18"/>
                <w:szCs w:val="18"/>
              </w:rPr>
            </w:pPr>
            <w:r>
              <w:rPr>
                <w:rFonts w:ascii="Times New Roman"/>
                <w:spacing w:val="-1"/>
                <w:sz w:val="18"/>
              </w:rPr>
              <w:t>35,071.06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90,231.73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35,071.06</w:t>
            </w: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5"/>
              <w:jc w:val="right"/>
              <w:rPr>
                <w:rFonts w:ascii="Times New Roman" w:hAnsi="Times New Roman" w:cs="Times New Roman" w:eastAsia="Times New Roman" w:hint="default"/>
                <w:sz w:val="18"/>
                <w:szCs w:val="18"/>
              </w:rPr>
            </w:pPr>
            <w:r>
              <w:rPr>
                <w:rFonts w:ascii="Times New Roman"/>
                <w:spacing w:val="-1"/>
                <w:sz w:val="18"/>
              </w:rPr>
              <w:t>35,393.89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1,382,212.94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35,393.89</w:t>
            </w: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4"/>
              <w:jc w:val="right"/>
              <w:rPr>
                <w:rFonts w:ascii="Times New Roman" w:hAnsi="Times New Roman" w:cs="Times New Roman" w:eastAsia="Times New Roman" w:hint="default"/>
                <w:sz w:val="18"/>
                <w:szCs w:val="18"/>
              </w:rPr>
            </w:pPr>
            <w:r>
              <w:rPr>
                <w:rFonts w:ascii="Times New Roman"/>
                <w:spacing w:val="-1"/>
                <w:sz w:val="18"/>
              </w:rPr>
              <w:t>4,900,679.34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8,963,826.52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4,900,679.34</w:t>
            </w:r>
            <w:r>
              <w:rPr>
                <w:rFonts w:ascii="Times New Roman"/>
                <w:sz w:val="18"/>
              </w:rPr>
            </w:r>
          </w:p>
        </w:tc>
      </w:tr>
    </w:tbl>
    <w:p>
      <w:pPr>
        <w:pStyle w:val="BodyText"/>
        <w:spacing w:line="240" w:lineRule="auto" w:before="64"/>
        <w:ind w:left="152" w:right="1127" w:firstLine="420"/>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4"/>
        <w:ind w:right="1127"/>
        <w:jc w:val="left"/>
        <w:rPr>
          <w:b w:val="0"/>
          <w:bCs w:val="0"/>
        </w:rPr>
      </w:pPr>
      <w:bookmarkStart w:name="76、所得税费用" w:id="511"/>
      <w:bookmarkEnd w:id="511"/>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1）所得税费用表" w:id="512"/>
      <w:bookmarkEnd w:id="51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61,740,990.84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87,749,612.05</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-3,275,257.76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-9,650,581.93</w:t>
            </w:r>
            <w:r>
              <w:rPr>
                <w:rFonts w:ascii="Times New Roman"/>
                <w:sz w:val="18"/>
              </w:rPr>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58,465,733.08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78,099,030.12</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2）会计利润与所得税费用调整过程" w:id="513"/>
      <w:bookmarkEnd w:id="51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56"/>
        <w:gridCol w:w="4801"/>
      </w:tblGrid>
      <w:tr>
        <w:trPr>
          <w:trHeight w:val="32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24"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321,586,907.76</w:t>
            </w:r>
            <w:r>
              <w:rPr>
                <w:rFonts w:ascii="Times New Roman"/>
                <w:sz w:val="18"/>
              </w:rPr>
            </w:r>
          </w:p>
        </w:tc>
      </w:tr>
      <w:tr>
        <w:trPr>
          <w:trHeight w:val="324"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48,238,036.16</w:t>
            </w:r>
          </w:p>
        </w:tc>
      </w:tr>
      <w:tr>
        <w:trPr>
          <w:trHeight w:val="324"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-3,185,073.16</w:t>
            </w:r>
            <w:r>
              <w:rPr>
                <w:rFonts w:ascii="Times New Roman"/>
                <w:sz w:val="18"/>
              </w:rPr>
            </w:r>
          </w:p>
        </w:tc>
      </w:tr>
      <w:tr>
        <w:trPr>
          <w:trHeight w:val="32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724,288.19</w:t>
            </w:r>
          </w:p>
        </w:tc>
      </w:tr>
      <w:tr>
        <w:trPr>
          <w:trHeight w:val="32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-3,403,288.18</w:t>
            </w:r>
            <w:r>
              <w:rPr>
                <w:rFonts w:ascii="Times New Roman"/>
                <w:sz w:val="18"/>
              </w:rPr>
            </w:r>
          </w:p>
        </w:tc>
      </w:tr>
      <w:tr>
        <w:trPr>
          <w:trHeight w:val="324"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3,291,544.16</w:t>
            </w:r>
          </w:p>
        </w:tc>
      </w:tr>
      <w:tr>
        <w:trPr>
          <w:trHeight w:val="324"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-5,684,606.73</w:t>
            </w:r>
            <w:r>
              <w:rPr>
                <w:rFonts w:ascii="Times New Roman"/>
                <w:sz w:val="18"/>
              </w:rPr>
            </w:r>
          </w:p>
        </w:tc>
      </w:tr>
      <w:tr>
        <w:trPr>
          <w:trHeight w:val="557"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12"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22,007,837.74</w:t>
            </w:r>
            <w:r>
              <w:rPr>
                <w:rFonts w:ascii="Times New Roman"/>
                <w:sz w:val="18"/>
              </w:rPr>
            </w:r>
          </w:p>
        </w:tc>
      </w:tr>
      <w:tr>
        <w:trPr>
          <w:trHeight w:val="322" w:hRule="exact"/>
        </w:trPr>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研发费加计扣除的影响</w:t>
            </w:r>
          </w:p>
        </w:tc>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-2,891,091.74</w:t>
            </w:r>
            <w:r>
              <w:rPr>
                <w:rFonts w:ascii="Times New Roman"/>
                <w:sz w:val="18"/>
              </w:rPr>
            </w:r>
          </w:p>
        </w:tc>
      </w:tr>
      <w:tr>
        <w:trPr>
          <w:trHeight w:val="324" w:hRule="exact"/>
        </w:trPr>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-631,913.36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4777"/>
        <w:gridCol w:w="4790"/>
      </w:tblGrid>
      <w:tr>
        <w:trPr>
          <w:trHeight w:val="324"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58,465,733.08</w:t>
            </w:r>
          </w:p>
        </w:tc>
      </w:tr>
    </w:tbl>
    <w:p>
      <w:pPr>
        <w:pStyle w:val="BodyText"/>
        <w:spacing w:line="240" w:lineRule="auto" w:before="64"/>
        <w:ind w:left="152" w:right="1127" w:firstLine="420"/>
        <w:jc w:val="left"/>
      </w:pPr>
      <w:r>
        <w:rPr/>
        <w:t>其他说明</w:t>
      </w:r>
    </w:p>
    <w:p>
      <w:pPr>
        <w:spacing w:line="240" w:lineRule="auto" w:before="0"/>
        <w:rPr>
          <w:rFonts w:ascii="宋体" w:hAnsi="宋体" w:cs="宋体" w:eastAsia="宋体" w:hint="default"/>
          <w:sz w:val="20"/>
          <w:szCs w:val="20"/>
        </w:rPr>
      </w:pPr>
    </w:p>
    <w:p>
      <w:pPr>
        <w:spacing w:line="470" w:lineRule="auto" w:before="174"/>
        <w:ind w:left="572" w:right="9021" w:hanging="420"/>
        <w:jc w:val="left"/>
        <w:rPr>
          <w:rFonts w:ascii="宋体" w:hAnsi="宋体" w:cs="宋体" w:eastAsia="宋体" w:hint="default"/>
          <w:sz w:val="21"/>
          <w:szCs w:val="21"/>
        </w:rPr>
      </w:pPr>
      <w:bookmarkStart w:name="77、其他综合收益" w:id="514"/>
      <w:bookmarkEnd w:id="514"/>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21"/>
          <w:szCs w:val="21"/>
        </w:rPr>
        <w:t>详见附注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57</w:t>
      </w:r>
      <w:r>
        <w:rPr>
          <w:rFonts w:ascii="宋体" w:hAnsi="宋体" w:cs="宋体" w:eastAsia="宋体" w:hint="default"/>
          <w:sz w:val="21"/>
          <w:szCs w:val="21"/>
        </w:rPr>
        <w:t>。</w:t>
      </w:r>
    </w:p>
    <w:p>
      <w:pPr>
        <w:spacing w:line="240" w:lineRule="auto" w:before="3"/>
        <w:rPr>
          <w:rFonts w:ascii="宋体" w:hAnsi="宋体" w:cs="宋体" w:eastAsia="宋体" w:hint="default"/>
          <w:sz w:val="15"/>
          <w:szCs w:val="15"/>
        </w:rPr>
      </w:pPr>
    </w:p>
    <w:p>
      <w:pPr>
        <w:pStyle w:val="Heading4"/>
        <w:spacing w:line="240" w:lineRule="auto"/>
        <w:ind w:right="1127"/>
        <w:jc w:val="left"/>
        <w:rPr>
          <w:b w:val="0"/>
          <w:bCs w:val="0"/>
        </w:rPr>
      </w:pPr>
      <w:bookmarkStart w:name="78、现金流量表项目" w:id="515"/>
      <w:bookmarkEnd w:id="515"/>
      <w:r>
        <w:rPr>
          <w:b w:val="0"/>
          <w:bCs w:val="0"/>
        </w:rPr>
      </w:r>
      <w:r>
        <w:rPr>
          <w:rFonts w:ascii="Times New Roman" w:hAnsi="Times New Roman" w:cs="Times New Roman" w:eastAsia="Times New Roman" w:hint="default"/>
        </w:rPr>
        <w:t>78</w:t>
      </w:r>
      <w:r>
        <w:rPr/>
        <w:t>、现金流量表项目</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1127"/>
        <w:jc w:val="left"/>
        <w:rPr>
          <w:b w:val="0"/>
          <w:bCs w:val="0"/>
        </w:rPr>
      </w:pPr>
      <w:bookmarkStart w:name="（1）收到的其他与经营活动有关的现金" w:id="516"/>
      <w:bookmarkEnd w:id="51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19,378,569.86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17,659,045.45</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40,003,158.62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32,850,763.64</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5,894,316.01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4,513,119.87</w:t>
            </w:r>
            <w:r>
              <w:rPr>
                <w:rFonts w:ascii="Times New Roman"/>
                <w:sz w:val="18"/>
              </w:rPr>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收回单位往来款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1,105,998,970.38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300,276,185.98</w:t>
            </w:r>
            <w:r>
              <w:rPr>
                <w:rFonts w:ascii="Times New Roman"/>
                <w:sz w:val="18"/>
              </w:rPr>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1,171,275,014.87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355,299,114.94</w:t>
            </w:r>
          </w:p>
        </w:tc>
      </w:tr>
    </w:tbl>
    <w:p>
      <w:pPr>
        <w:pStyle w:val="BodyText"/>
        <w:spacing w:line="240" w:lineRule="auto" w:before="64"/>
        <w:ind w:right="1127"/>
        <w:jc w:val="left"/>
      </w:pPr>
      <w:r>
        <w:rPr/>
        <w:t>收到的其他与经营活动有关的现金说明：</w:t>
      </w:r>
    </w:p>
    <w:p>
      <w:pPr>
        <w:spacing w:line="240" w:lineRule="auto" w:before="0"/>
        <w:rPr>
          <w:rFonts w:ascii="宋体" w:hAnsi="宋体" w:cs="宋体" w:eastAsia="宋体" w:hint="default"/>
          <w:sz w:val="20"/>
          <w:szCs w:val="20"/>
        </w:rPr>
      </w:pPr>
    </w:p>
    <w:p>
      <w:pPr>
        <w:pStyle w:val="Heading4"/>
        <w:spacing w:line="240" w:lineRule="auto" w:before="174"/>
        <w:ind w:right="1127"/>
        <w:jc w:val="left"/>
        <w:rPr>
          <w:b w:val="0"/>
          <w:bCs w:val="0"/>
        </w:rPr>
      </w:pPr>
      <w:bookmarkStart w:name="（2）支付的其他与经营活动有关的现金" w:id="517"/>
      <w:bookmarkEnd w:id="51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费用性支出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326,584,839.07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169,214,209.65</w:t>
            </w:r>
            <w:r>
              <w:rPr>
                <w:rFonts w:ascii="Times New Roman"/>
                <w:sz w:val="18"/>
              </w:rPr>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826,612,125.87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352,948,284.97</w:t>
            </w:r>
            <w:r>
              <w:rPr>
                <w:rFonts w:ascii="Times New Roman"/>
                <w:sz w:val="18"/>
              </w:rPr>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1,153,196,964.94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522,162,494.62</w:t>
            </w:r>
            <w:r>
              <w:rPr>
                <w:rFonts w:ascii="Times New Roman"/>
                <w:sz w:val="18"/>
              </w:rPr>
            </w:r>
          </w:p>
        </w:tc>
      </w:tr>
    </w:tbl>
    <w:p>
      <w:pPr>
        <w:pStyle w:val="BodyText"/>
        <w:spacing w:line="240" w:lineRule="auto" w:before="64"/>
        <w:ind w:right="1127"/>
        <w:jc w:val="left"/>
      </w:pPr>
      <w:r>
        <w:rPr/>
        <w:t>支付的其他与经营活动有关的现金说明：</w:t>
      </w:r>
    </w:p>
    <w:p>
      <w:pPr>
        <w:spacing w:line="240" w:lineRule="auto" w:before="0"/>
        <w:rPr>
          <w:rFonts w:ascii="宋体" w:hAnsi="宋体" w:cs="宋体" w:eastAsia="宋体" w:hint="default"/>
          <w:sz w:val="20"/>
          <w:szCs w:val="20"/>
        </w:rPr>
      </w:pPr>
    </w:p>
    <w:p>
      <w:pPr>
        <w:pStyle w:val="Heading4"/>
        <w:spacing w:line="240" w:lineRule="auto" w:before="174"/>
        <w:ind w:right="1127"/>
        <w:jc w:val="left"/>
        <w:rPr>
          <w:b w:val="0"/>
          <w:bCs w:val="0"/>
        </w:rPr>
      </w:pPr>
      <w:bookmarkStart w:name="（3）收到的其他与投资活动有关的现金" w:id="518"/>
      <w:bookmarkEnd w:id="518"/>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收回理财产品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307,332.13</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收回并购意向金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307,332.13</w:t>
            </w:r>
          </w:p>
        </w:tc>
      </w:tr>
    </w:tbl>
    <w:p>
      <w:pPr>
        <w:pStyle w:val="BodyText"/>
        <w:spacing w:line="240" w:lineRule="auto" w:before="64"/>
        <w:ind w:right="1127"/>
        <w:jc w:val="left"/>
      </w:pPr>
      <w:r>
        <w:rPr/>
        <w:t>收到的其他与投资活动有关的现金说明：</w:t>
      </w:r>
    </w:p>
    <w:p>
      <w:pPr>
        <w:spacing w:line="240" w:lineRule="auto" w:before="0"/>
        <w:rPr>
          <w:rFonts w:ascii="宋体" w:hAnsi="宋体" w:cs="宋体" w:eastAsia="宋体" w:hint="default"/>
          <w:sz w:val="20"/>
          <w:szCs w:val="20"/>
        </w:rPr>
      </w:pPr>
    </w:p>
    <w:p>
      <w:pPr>
        <w:pStyle w:val="Heading4"/>
        <w:spacing w:line="240" w:lineRule="auto" w:before="174"/>
        <w:ind w:right="1127"/>
        <w:jc w:val="left"/>
        <w:rPr>
          <w:b w:val="0"/>
          <w:bCs w:val="0"/>
        </w:rPr>
      </w:pPr>
      <w:bookmarkStart w:name="（4）支付的其他与投资活动有关的现金" w:id="519"/>
      <w:bookmarkEnd w:id="519"/>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324"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并购意向金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购买结构性存款支付的现金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r>
    </w:tbl>
    <w:p>
      <w:pPr>
        <w:pStyle w:val="BodyText"/>
        <w:spacing w:line="240" w:lineRule="auto" w:before="64"/>
        <w:ind w:right="1127"/>
        <w:jc w:val="left"/>
      </w:pPr>
      <w:r>
        <w:rPr/>
        <w:t>支付的其他与投资活动有关的现金说明：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5）收到的其他与筹资活动有关的现金" w:id="520"/>
      <w:bookmarkEnd w:id="520"/>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银行保函</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4,252,464.27</w:t>
            </w:r>
            <w:r>
              <w:rPr>
                <w:rFonts w:ascii="Times New Roman"/>
                <w:sz w:val="18"/>
              </w:rPr>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收到受限货币资金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23,446,735.73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23,446,735.73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4,252,464.27</w:t>
            </w:r>
            <w:r>
              <w:rPr>
                <w:rFonts w:ascii="Times New Roman"/>
                <w:sz w:val="18"/>
              </w:rPr>
            </w:r>
          </w:p>
        </w:tc>
      </w:tr>
    </w:tbl>
    <w:p>
      <w:pPr>
        <w:pStyle w:val="BodyText"/>
        <w:spacing w:line="240" w:lineRule="auto" w:before="64"/>
        <w:ind w:right="1127"/>
        <w:jc w:val="left"/>
      </w:pPr>
      <w:r>
        <w:rPr/>
        <w:t>收到的其他与筹资活动有关的现金说明：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6）支付的其他与筹资活动有关的现金" w:id="521"/>
      <w:bookmarkEnd w:id="521"/>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回购限制性股票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171,060,908.16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275,020,209.13</w:t>
            </w:r>
            <w:r>
              <w:rPr>
                <w:rFonts w:ascii="Times New Roman"/>
                <w:sz w:val="18"/>
              </w:rPr>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支付保函</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946,079.14</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发生筹资费用所支付的现金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存出投资款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22,347,506.75</w:t>
            </w:r>
            <w:r>
              <w:rPr>
                <w:rFonts w:ascii="Times New Roman"/>
                <w:sz w:val="18"/>
              </w:rPr>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同一控制下企业合并支付的现金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171,060,908.16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353,313,795.02</w:t>
            </w:r>
            <w:r>
              <w:rPr>
                <w:rFonts w:ascii="Times New Roman"/>
                <w:sz w:val="18"/>
              </w:rPr>
            </w:r>
          </w:p>
        </w:tc>
      </w:tr>
    </w:tbl>
    <w:p>
      <w:pPr>
        <w:pStyle w:val="BodyText"/>
        <w:spacing w:line="240" w:lineRule="auto" w:before="64"/>
        <w:ind w:right="1127"/>
        <w:jc w:val="left"/>
      </w:pPr>
      <w:r>
        <w:rPr/>
        <w:t>支付的其他与筹资活动有关的现金说明：</w:t>
      </w:r>
    </w:p>
    <w:p>
      <w:pPr>
        <w:spacing w:line="240" w:lineRule="auto" w:before="0"/>
        <w:rPr>
          <w:rFonts w:ascii="宋体" w:hAnsi="宋体" w:cs="宋体" w:eastAsia="宋体" w:hint="default"/>
          <w:sz w:val="20"/>
          <w:szCs w:val="20"/>
        </w:rPr>
      </w:pPr>
    </w:p>
    <w:p>
      <w:pPr>
        <w:pStyle w:val="Heading4"/>
        <w:spacing w:line="240" w:lineRule="auto" w:before="174"/>
        <w:ind w:right="1127"/>
        <w:jc w:val="left"/>
        <w:rPr>
          <w:b w:val="0"/>
          <w:bCs w:val="0"/>
        </w:rPr>
      </w:pPr>
      <w:bookmarkStart w:name="79、现金流量表补充资料" w:id="522"/>
      <w:bookmarkEnd w:id="522"/>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1）现金流量表补充资料" w:id="523"/>
      <w:bookmarkEnd w:id="52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324"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8"/>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tcBorders>
              <w:top w:val="single" w:sz="10" w:space="0" w:color="D4D4D4"/>
              <w:left w:val="single" w:sz="10" w:space="0" w:color="D4D4D4"/>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263,121,174.68</w:t>
            </w:r>
            <w:r>
              <w:rPr>
                <w:rFonts w:ascii="Times New Roman"/>
                <w:sz w:val="18"/>
              </w:rPr>
            </w:r>
          </w:p>
        </w:tc>
        <w:tc>
          <w:tcPr>
            <w:tcW w:w="3185" w:type="dxa"/>
            <w:tcBorders>
              <w:top w:val="single" w:sz="10" w:space="0" w:color="D4D4D4"/>
              <w:left w:val="single" w:sz="4" w:space="0" w:color="000000"/>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71,011,890.50</w:t>
            </w:r>
            <w:r>
              <w:rPr>
                <w:rFonts w:ascii="Times New Roman"/>
                <w:sz w:val="18"/>
              </w:rPr>
            </w:r>
          </w:p>
        </w:tc>
      </w:tr>
      <w:tr>
        <w:trPr>
          <w:trHeight w:val="324"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7,375,699.76</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373,043,105.51</w:t>
            </w:r>
            <w:r>
              <w:rPr>
                <w:rFonts w:ascii="Times New Roman"/>
                <w:sz w:val="18"/>
              </w:rPr>
            </w:r>
          </w:p>
        </w:tc>
      </w:tr>
      <w:tr>
        <w:trPr>
          <w:trHeight w:val="557"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12" w:right="41"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34,112,355.63</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30,794,343.88</w:t>
            </w: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39,205,640.56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38,911,676.64</w:t>
            </w:r>
            <w:r>
              <w:rPr>
                <w:rFonts w:ascii="Times New Roman"/>
                <w:sz w:val="18"/>
              </w:rPr>
            </w:r>
          </w:p>
        </w:tc>
      </w:tr>
      <w:tr>
        <w:trPr>
          <w:trHeight w:val="324"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13,470,102.22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9,675,363.15</w:t>
            </w:r>
            <w:r>
              <w:rPr>
                <w:rFonts w:ascii="Times New Roman"/>
                <w:sz w:val="18"/>
              </w:rPr>
            </w:r>
          </w:p>
        </w:tc>
      </w:tr>
      <w:tr>
        <w:trPr>
          <w:trHeight w:val="557"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12" w:right="41"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-151,335.84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-62,723.26</w:t>
            </w:r>
            <w:r>
              <w:rPr>
                <w:rFonts w:ascii="Times New Roman"/>
                <w:sz w:val="18"/>
              </w:rPr>
            </w:r>
          </w:p>
        </w:tc>
      </w:tr>
      <w:tr>
        <w:trPr>
          <w:trHeight w:val="557"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12" w:right="60" w:firstLine="72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35,071.06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90,231.73</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r>
        <w:rPr/>
        <w:pict>
          <v:group style="position:absolute;margin-left:223.320007pt;margin-top:188.459976pt;width:151.2pt;height:15.5pt;mso-position-horizontal-relative:page;mso-position-vertical-relative:page;z-index:-1426384" coordorigin="4466,3769" coordsize="3024,310">
            <v:group style="position:absolute;left:4477;top:3780;width:2;height:288" coordorigin="4477,3780" coordsize="2,288">
              <v:shape style="position:absolute;left:4477;top:3780;width:2;height:288" coordorigin="4477,3780" coordsize="0,288" path="m4477,3780l4477,4068e" filled="false" stroked="true" strokeweight="1.08pt" strokecolor="#ffffff">
                <v:path arrowok="t"/>
              </v:shape>
            </v:group>
            <v:group style="position:absolute;left:4488;top:3780;width:3003;height:288" coordorigin="4488,3780" coordsize="3003,288">
              <v:shape style="position:absolute;left:4488;top:3780;width:3003;height:288" coordorigin="4488,3780" coordsize="3003,288" path="m4488,4068l7490,4068,7490,3780,4488,3780,4488,406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4"/>
        <w:gridCol w:w="1121"/>
        <w:gridCol w:w="1948"/>
        <w:gridCol w:w="3185"/>
      </w:tblGrid>
      <w:tr>
        <w:trPr>
          <w:trHeight w:val="557"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12" w:right="60" w:firstLine="72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-2,568,389.05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61"/>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left="1993" w:right="0"/>
              <w:jc w:val="left"/>
              <w:rPr>
                <w:rFonts w:ascii="Times New Roman" w:hAnsi="Times New Roman" w:cs="Times New Roman" w:eastAsia="Times New Roman" w:hint="default"/>
                <w:sz w:val="18"/>
                <w:szCs w:val="18"/>
              </w:rPr>
            </w:pPr>
            <w:r>
              <w:rPr>
                <w:rFonts w:ascii="Times New Roman"/>
                <w:sz w:val="18"/>
              </w:rPr>
              <w:t>31,239,313.04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26,976,125.91</w:t>
            </w:r>
          </w:p>
        </w:tc>
      </w:tr>
      <w:tr>
        <w:trPr>
          <w:trHeight w:val="324"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61"/>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left="1933" w:right="0"/>
              <w:jc w:val="left"/>
              <w:rPr>
                <w:rFonts w:ascii="Times New Roman" w:hAnsi="Times New Roman" w:cs="Times New Roman" w:eastAsia="Times New Roman" w:hint="default"/>
                <w:sz w:val="18"/>
                <w:szCs w:val="18"/>
              </w:rPr>
            </w:pPr>
            <w:r>
              <w:rPr>
                <w:rFonts w:ascii="Times New Roman"/>
                <w:sz w:val="18"/>
              </w:rPr>
              <w:t>-16,720,008.85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15,314,615.57</w:t>
            </w:r>
          </w:p>
        </w:tc>
      </w:tr>
      <w:tr>
        <w:trPr>
          <w:trHeight w:val="557"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8"/>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8"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-499,439.68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-2,817,327.46</w:t>
            </w:r>
            <w:r>
              <w:rPr>
                <w:rFonts w:ascii="Times New Roman"/>
                <w:sz w:val="18"/>
              </w:rPr>
            </w:r>
          </w:p>
        </w:tc>
      </w:tr>
      <w:tr>
        <w:trPr>
          <w:trHeight w:val="557"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8"/>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8"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-2,787,592.77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-4,089,493.81</w:t>
            </w:r>
            <w:r>
              <w:rPr>
                <w:rFonts w:ascii="Times New Roman"/>
                <w:sz w:val="18"/>
              </w:rPr>
            </w: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1"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8"/>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047" w:right="0"/>
              <w:jc w:val="left"/>
              <w:rPr>
                <w:rFonts w:ascii="Times New Roman" w:hAnsi="Times New Roman" w:cs="Times New Roman" w:eastAsia="Times New Roman" w:hint="default"/>
                <w:sz w:val="18"/>
                <w:szCs w:val="18"/>
              </w:rPr>
            </w:pPr>
            <w:r>
              <w:rPr>
                <w:rFonts w:ascii="Times New Roman"/>
                <w:sz w:val="18"/>
              </w:rPr>
              <w:t>-458,988.85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-206,430,832.17</w:t>
            </w:r>
            <w:r>
              <w:rPr>
                <w:rFonts w:ascii="Times New Roman"/>
                <w:sz w:val="18"/>
              </w:rPr>
            </w:r>
          </w:p>
        </w:tc>
      </w:tr>
      <w:tr>
        <w:trPr>
          <w:trHeight w:val="557"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3" w:lineRule="exact" w:before="10"/>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509,724,948.63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-1,109,344,336.53</w:t>
            </w:r>
          </w:p>
        </w:tc>
      </w:tr>
      <w:tr>
        <w:trPr>
          <w:trHeight w:val="557"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before="10"/>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8"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-266,435,314.68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690,661,298.73</w:t>
            </w:r>
            <w:r>
              <w:rPr>
                <w:rFonts w:ascii="Times New Roman"/>
                <w:sz w:val="18"/>
              </w:rPr>
            </w:r>
          </w:p>
        </w:tc>
      </w:tr>
      <w:tr>
        <w:trPr>
          <w:trHeight w:val="324"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left="1993" w:right="0"/>
              <w:jc w:val="left"/>
              <w:rPr>
                <w:rFonts w:ascii="Times New Roman" w:hAnsi="Times New Roman" w:cs="Times New Roman" w:eastAsia="Times New Roman" w:hint="default"/>
                <w:sz w:val="18"/>
                <w:szCs w:val="18"/>
              </w:rPr>
            </w:pPr>
            <w:r>
              <w:rPr>
                <w:rFonts w:ascii="Times New Roman"/>
                <w:sz w:val="18"/>
              </w:rPr>
              <w:t>51,197,335.12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221"/>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8" w:type="dxa"/>
            <w:gridSpan w:val="2"/>
            <w:tcBorders>
              <w:top w:val="single" w:sz="4" w:space="0" w:color="000000"/>
              <w:left w:val="single" w:sz="10" w:space="0" w:color="D4D4D4"/>
              <w:bottom w:val="single" w:sz="56" w:space="0" w:color="D4D4D4"/>
              <w:right w:val="single" w:sz="4" w:space="0" w:color="000000"/>
            </w:tcBorders>
          </w:tcPr>
          <w:p>
            <w:pPr>
              <w:pStyle w:val="TableParagraph"/>
              <w:spacing w:line="240" w:lineRule="auto" w:before="48"/>
              <w:ind w:left="1902" w:right="0"/>
              <w:jc w:val="left"/>
              <w:rPr>
                <w:rFonts w:ascii="Times New Roman" w:hAnsi="Times New Roman" w:cs="Times New Roman" w:eastAsia="Times New Roman" w:hint="default"/>
                <w:sz w:val="18"/>
                <w:szCs w:val="18"/>
              </w:rPr>
            </w:pPr>
            <w:r>
              <w:rPr>
                <w:rFonts w:ascii="Times New Roman"/>
                <w:sz w:val="18"/>
              </w:rPr>
              <w:t>659,860,570.98</w:t>
            </w:r>
          </w:p>
        </w:tc>
        <w:tc>
          <w:tcPr>
            <w:tcW w:w="3185" w:type="dxa"/>
            <w:tcBorders>
              <w:top w:val="single" w:sz="4" w:space="0" w:color="000000"/>
              <w:left w:val="single" w:sz="4" w:space="0" w:color="000000"/>
              <w:bottom w:val="single" w:sz="56" w:space="0" w:color="D4D4D4"/>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-66,266,061.61</w:t>
            </w:r>
          </w:p>
        </w:tc>
      </w:tr>
      <w:tr>
        <w:trPr>
          <w:trHeight w:val="434"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184"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w:t>
            </w:r>
          </w:p>
          <w:p>
            <w:pPr>
              <w:pStyle w:val="TableParagraph"/>
              <w:spacing w:line="227" w:lineRule="exact"/>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8"/>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8"/>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38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5"/>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5"/>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8" w:type="dxa"/>
            <w:gridSpan w:val="2"/>
            <w:tcBorders>
              <w:top w:val="single" w:sz="10" w:space="0" w:color="D4D4D4"/>
              <w:left w:val="single" w:sz="10" w:space="0" w:color="D4D4D4"/>
              <w:bottom w:val="single" w:sz="4" w:space="0" w:color="000000"/>
              <w:right w:val="single" w:sz="4" w:space="0" w:color="000000"/>
            </w:tcBorders>
          </w:tcPr>
          <w:p>
            <w:pPr>
              <w:pStyle w:val="TableParagraph"/>
              <w:spacing w:line="240" w:lineRule="auto" w:before="38"/>
              <w:ind w:left="1767" w:right="0"/>
              <w:jc w:val="left"/>
              <w:rPr>
                <w:rFonts w:ascii="Times New Roman" w:hAnsi="Times New Roman" w:cs="Times New Roman" w:eastAsia="Times New Roman" w:hint="default"/>
                <w:sz w:val="18"/>
                <w:szCs w:val="18"/>
              </w:rPr>
            </w:pPr>
            <w:r>
              <w:rPr>
                <w:rFonts w:ascii="Times New Roman"/>
                <w:sz w:val="18"/>
              </w:rPr>
              <w:t>2,017,285,741.08</w:t>
            </w:r>
          </w:p>
        </w:tc>
        <w:tc>
          <w:tcPr>
            <w:tcW w:w="3185" w:type="dxa"/>
            <w:tcBorders>
              <w:top w:val="single" w:sz="10" w:space="0" w:color="D4D4D4"/>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pacing w:val="-1"/>
                <w:sz w:val="18"/>
              </w:rPr>
              <w:t>2,310,857,544.09</w:t>
            </w: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left="1767" w:right="0"/>
              <w:jc w:val="left"/>
              <w:rPr>
                <w:rFonts w:ascii="Times New Roman" w:hAnsi="Times New Roman" w:cs="Times New Roman" w:eastAsia="Times New Roman" w:hint="default"/>
                <w:sz w:val="18"/>
                <w:szCs w:val="18"/>
              </w:rPr>
            </w:pPr>
            <w:r>
              <w:rPr>
                <w:rFonts w:ascii="Times New Roman"/>
                <w:sz w:val="18"/>
              </w:rPr>
              <w:t>2,310,857,544.09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3,021,657,632.76</w:t>
            </w:r>
          </w:p>
        </w:tc>
      </w:tr>
      <w:tr>
        <w:trPr>
          <w:trHeight w:val="324"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left="1842" w:right="0"/>
              <w:jc w:val="left"/>
              <w:rPr>
                <w:rFonts w:ascii="Times New Roman" w:hAnsi="Times New Roman" w:cs="Times New Roman" w:eastAsia="Times New Roman" w:hint="default"/>
                <w:sz w:val="18"/>
                <w:szCs w:val="18"/>
              </w:rPr>
            </w:pPr>
            <w:r>
              <w:rPr>
                <w:rFonts w:ascii="Times New Roman"/>
                <w:sz w:val="18"/>
              </w:rPr>
              <w:t>-293,571,803.01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-710,800,088.67</w:t>
            </w:r>
            <w:r>
              <w:rPr>
                <w:rFonts w:ascii="Times New Roman"/>
                <w:sz w:val="18"/>
              </w:rPr>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2）本期支付的取得子公司的现金净额" w:id="524"/>
      <w:bookmarkEnd w:id="524"/>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987"/>
        <w:gridCol w:w="4582"/>
      </w:tblGrid>
      <w:tr>
        <w:trPr>
          <w:trHeight w:val="310"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31"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2" w:type="dxa"/>
            <w:tcBorders>
              <w:top w:val="single" w:sz="4" w:space="0" w:color="000000"/>
              <w:left w:val="single" w:sz="10" w:space="0" w:color="D4D4D4"/>
              <w:bottom w:val="single" w:sz="9" w:space="0" w:color="D4D4D4"/>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383,775,000.00</w:t>
            </w:r>
            <w:r>
              <w:rPr>
                <w:rFonts w:ascii="Times New Roman"/>
                <w:sz w:val="18"/>
              </w:rPr>
            </w:r>
          </w:p>
        </w:tc>
      </w:tr>
      <w:tr>
        <w:trPr>
          <w:trHeight w:val="32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p>
        </w:tc>
        <w:tc>
          <w:tcPr>
            <w:tcW w:w="4582" w:type="dxa"/>
            <w:tcBorders>
              <w:top w:val="single" w:sz="9" w:space="0" w:color="D4D4D4"/>
              <w:left w:val="single" w:sz="4" w:space="0" w:color="000000"/>
              <w:bottom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pacing w:val="-1"/>
                <w:sz w:val="18"/>
              </w:rPr>
              <w:t>383,775,000.00</w:t>
            </w:r>
            <w:r>
              <w:rPr>
                <w:rFonts w:ascii="Times New Roman"/>
                <w:sz w:val="18"/>
              </w:rPr>
            </w:r>
          </w:p>
        </w:tc>
      </w:tr>
      <w:tr>
        <w:trPr>
          <w:trHeight w:val="324"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2" w:type="dxa"/>
            <w:tcBorders>
              <w:top w:val="single" w:sz="4" w:space="0" w:color="000000"/>
              <w:left w:val="single" w:sz="10" w:space="0" w:color="D4D4D4"/>
              <w:bottom w:val="single" w:sz="10" w:space="0" w:color="D4D4D4"/>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14,444,171.06</w:t>
            </w:r>
          </w:p>
        </w:tc>
      </w:tr>
      <w:tr>
        <w:trPr>
          <w:trHeight w:val="324"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p>
        </w:tc>
        <w:tc>
          <w:tcPr>
            <w:tcW w:w="4582" w:type="dxa"/>
            <w:tcBorders>
              <w:top w:val="single" w:sz="6" w:space="0" w:color="D4D4D4"/>
              <w:left w:val="single" w:sz="4" w:space="0" w:color="000000"/>
              <w:bottom w:val="single" w:sz="10" w:space="0" w:color="D4D4D4"/>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14,444,171.06</w:t>
            </w:r>
          </w:p>
        </w:tc>
      </w:tr>
      <w:tr>
        <w:trPr>
          <w:trHeight w:val="324"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2" w:type="dxa"/>
            <w:tcBorders>
              <w:top w:val="single" w:sz="9" w:space="0" w:color="D4D4D4"/>
              <w:left w:val="single" w:sz="10" w:space="0" w:color="D4D4D4"/>
              <w:bottom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pacing w:val="-1"/>
                <w:sz w:val="18"/>
              </w:rPr>
              <w:t>369,330,828.94</w:t>
            </w:r>
            <w:r>
              <w:rPr>
                <w:rFonts w:ascii="Times New Roman"/>
                <w:sz w:val="18"/>
              </w:rPr>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3）本期收到的处置子公司的现金净额" w:id="525"/>
      <w:bookmarkEnd w:id="525"/>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987"/>
        <w:gridCol w:w="4582"/>
      </w:tblGrid>
      <w:tr>
        <w:trPr>
          <w:trHeight w:val="310"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30"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2" w:type="dxa"/>
            <w:tcBorders>
              <w:top w:val="single" w:sz="4" w:space="0" w:color="000000"/>
              <w:left w:val="single" w:sz="10" w:space="0" w:color="D4D4D4"/>
              <w:bottom w:val="single" w:sz="10" w:space="0" w:color="D4D4D4"/>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1,020,000.00</w:t>
            </w:r>
            <w:r>
              <w:rPr>
                <w:rFonts w:ascii="Times New Roman"/>
                <w:sz w:val="18"/>
              </w:rPr>
            </w:r>
          </w:p>
        </w:tc>
      </w:tr>
      <w:tr>
        <w:trPr>
          <w:trHeight w:val="323"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郑州众合景轩信息技术有限公司</w:t>
            </w:r>
          </w:p>
        </w:tc>
        <w:tc>
          <w:tcPr>
            <w:tcW w:w="4582" w:type="dxa"/>
            <w:tcBorders>
              <w:top w:val="single" w:sz="5" w:space="0" w:color="D4D4D4"/>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1,020,000.00</w:t>
            </w:r>
            <w:r>
              <w:rPr>
                <w:rFonts w:ascii="Times New Roman"/>
                <w:sz w:val="18"/>
              </w:rPr>
            </w:r>
          </w:p>
        </w:tc>
      </w:tr>
      <w:tr>
        <w:trPr>
          <w:trHeight w:val="324"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2" w:type="dxa"/>
            <w:tcBorders>
              <w:top w:val="single" w:sz="4" w:space="0" w:color="000000"/>
              <w:left w:val="single" w:sz="10" w:space="0" w:color="D4D4D4"/>
              <w:bottom w:val="single" w:sz="9" w:space="0" w:color="D4D4D4"/>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662,697.38</w:t>
            </w:r>
          </w:p>
        </w:tc>
      </w:tr>
      <w:tr>
        <w:trPr>
          <w:trHeight w:val="324"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4987"/>
        <w:gridCol w:w="4582"/>
      </w:tblGrid>
      <w:tr>
        <w:trPr>
          <w:trHeight w:val="324"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郑州众合景轩信息技术有限公司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137,249.33</w:t>
            </w:r>
          </w:p>
        </w:tc>
      </w:tr>
      <w:tr>
        <w:trPr>
          <w:trHeight w:val="324"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浙江小望科技有限公司</w:t>
            </w:r>
          </w:p>
        </w:tc>
        <w:tc>
          <w:tcPr>
            <w:tcW w:w="4582"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525,448.05</w:t>
            </w:r>
          </w:p>
        </w:tc>
      </w:tr>
      <w:tr>
        <w:trPr>
          <w:trHeight w:val="32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2" w:type="dxa"/>
            <w:tcBorders>
              <w:top w:val="single" w:sz="9" w:space="0" w:color="D4D4D4"/>
              <w:left w:val="single" w:sz="10" w:space="0" w:color="D4D4D4"/>
              <w:bottom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z w:val="18"/>
              </w:rPr>
              <w:t>357,302.62</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4）现金和现金等价物的构成" w:id="526"/>
      <w:bookmarkEnd w:id="526"/>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324"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2,017,285,741.08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2,310,857,544.09</w:t>
            </w: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392,113.80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594,956.81</w:t>
            </w:r>
          </w:p>
        </w:tc>
      </w:tr>
      <w:tr>
        <w:trPr>
          <w:trHeight w:val="324"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2,016,699,170.09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2,310,262,587.28</w:t>
            </w:r>
          </w:p>
        </w:tc>
      </w:tr>
      <w:tr>
        <w:trPr>
          <w:trHeight w:val="324"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194,457.19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2,017,285,741.08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2,310,857,544.09</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spacing w:line="470" w:lineRule="auto" w:before="174"/>
        <w:ind w:left="572" w:right="1932" w:hanging="420"/>
        <w:jc w:val="left"/>
        <w:rPr>
          <w:rFonts w:ascii="宋体" w:hAnsi="宋体" w:cs="宋体" w:eastAsia="宋体" w:hint="default"/>
          <w:sz w:val="21"/>
          <w:szCs w:val="21"/>
        </w:rPr>
      </w:pPr>
      <w:bookmarkStart w:name="80、所有者权益变动表项目注释" w:id="527"/>
      <w:bookmarkEnd w:id="527"/>
      <w:r>
        <w:rPr/>
      </w: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其他</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项目名称及调整金额等事项：</w:t>
      </w:r>
      <w:r>
        <w:rPr>
          <w:rFonts w:ascii="宋体" w:hAnsi="宋体" w:cs="宋体" w:eastAsia="宋体" w:hint="default"/>
          <w:sz w:val="21"/>
          <w:szCs w:val="21"/>
        </w:rPr>
      </w:r>
    </w:p>
    <w:p>
      <w:pPr>
        <w:pStyle w:val="Heading4"/>
        <w:spacing w:line="240" w:lineRule="auto" w:before="196"/>
        <w:ind w:right="1127"/>
        <w:jc w:val="left"/>
        <w:rPr>
          <w:b w:val="0"/>
          <w:bCs w:val="0"/>
        </w:rPr>
      </w:pPr>
      <w:bookmarkStart w:name="81、所有权或使用权受到限制的资产" w:id="528"/>
      <w:bookmarkEnd w:id="528"/>
      <w:r>
        <w:rPr>
          <w:b w:val="0"/>
          <w:bCs w:val="0"/>
        </w:rPr>
      </w:r>
      <w:r>
        <w:rPr>
          <w:rFonts w:ascii="Times New Roman" w:hAnsi="Times New Roman" w:cs="Times New Roman" w:eastAsia="Times New Roman" w:hint="default"/>
        </w:rPr>
        <w:t>81</w:t>
      </w:r>
      <w:r>
        <w:rPr/>
        <w:t>、所有权或使用权受到限制的资产</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322"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24"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53,798,082.05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324"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18,772,667.34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324"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757,634,836.65</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324"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2,250,290.46</w:t>
            </w:r>
            <w:r>
              <w:rPr>
                <w:rFonts w:ascii="Times New Roman"/>
                <w:sz w:val="18"/>
              </w:rPr>
            </w:r>
          </w:p>
        </w:tc>
        <w:tc>
          <w:tcPr>
            <w:tcW w:w="3185"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开发商涉及诉讼，房产被冻结</w:t>
            </w:r>
          </w:p>
        </w:tc>
      </w:tr>
      <w:tr>
        <w:trPr>
          <w:trHeight w:val="322"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832,455,876.50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4"/>
        <w:ind w:right="1127"/>
        <w:jc w:val="left"/>
      </w:pPr>
      <w:r>
        <w:rPr/>
        <w:t>其他说明：</w:t>
      </w:r>
    </w:p>
    <w:p>
      <w:pPr>
        <w:spacing w:line="240" w:lineRule="auto" w:before="1"/>
        <w:rPr>
          <w:rFonts w:ascii="宋体" w:hAnsi="宋体" w:cs="宋体" w:eastAsia="宋体" w:hint="default"/>
          <w:sz w:val="18"/>
          <w:szCs w:val="18"/>
        </w:rPr>
      </w:pPr>
    </w:p>
    <w:p>
      <w:pPr>
        <w:pStyle w:val="BodyText"/>
        <w:spacing w:line="240" w:lineRule="auto"/>
        <w:ind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33"/>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33"/>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日，本公司子公司北京泰豪智能工程有限公司的全资子公司北京泰豪智能科技</w:t>
      </w:r>
    </w:p>
    <w:p>
      <w:pPr>
        <w:pStyle w:val="BodyText"/>
        <w:spacing w:line="240" w:lineRule="auto" w:before="117"/>
        <w:ind w:left="152" w:right="0"/>
        <w:jc w:val="left"/>
      </w:pPr>
      <w:r>
        <w:rPr/>
        <w:t>有限公司以运城街</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号</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幢房屋及土地使用权设定抵押，抵押权人为北京银行股份有限公司翠微路支行。</w:t>
      </w:r>
    </w:p>
    <w:p>
      <w:pPr>
        <w:pStyle w:val="BodyText"/>
        <w:spacing w:line="240" w:lineRule="auto" w:before="117"/>
        <w:ind w:left="152" w:right="0"/>
        <w:jc w:val="left"/>
      </w:pPr>
      <w:r>
        <w:rPr/>
        <w:t>抵押期限自</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11"/>
        </w:rPr>
        <w:t> </w:t>
      </w:r>
      <w:r>
        <w:rPr/>
        <w:t>日至</w:t>
      </w:r>
      <w:r>
        <w:rPr>
          <w:spacing w:val="-54"/>
        </w:rPr>
        <w:t> </w:t>
      </w:r>
      <w:r>
        <w:rPr>
          <w:rFonts w:ascii="Times New Roman" w:hAnsi="Times New Roman" w:cs="Times New Roman" w:eastAsia="Times New Roman" w:hint="default"/>
        </w:rPr>
        <w:t>2027</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13"/>
        </w:rPr>
        <w:t> </w:t>
      </w:r>
      <w:r>
        <w:rPr/>
        <w:t>日。土地使用证编号为开有限国用（</w:t>
      </w:r>
      <w:r>
        <w:rPr>
          <w:rFonts w:ascii="Times New Roman" w:hAnsi="Times New Roman" w:cs="Times New Roman" w:eastAsia="Times New Roman" w:hint="default"/>
        </w:rPr>
        <w:t>2003</w:t>
      </w:r>
      <w:r>
        <w:rPr/>
        <w:t>）字第</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11"/>
        </w:rPr>
        <w:t> </w:t>
      </w:r>
      <w:r>
        <w:rPr>
          <w:spacing w:val="-3"/>
        </w:rPr>
        <w:t>号，</w:t>
      </w:r>
      <w:r>
        <w:rPr/>
      </w:r>
    </w:p>
    <w:p>
      <w:pPr>
        <w:pStyle w:val="BodyText"/>
        <w:spacing w:line="240" w:lineRule="auto" w:before="117"/>
        <w:ind w:left="152" w:right="1127"/>
        <w:jc w:val="left"/>
      </w:pPr>
      <w:r>
        <w:rPr/>
        <w:t>房产证编号为京房权证开字第</w:t>
      </w:r>
      <w:r>
        <w:rPr>
          <w:spacing w:val="-55"/>
        </w:rPr>
        <w:t> </w:t>
      </w:r>
      <w:r>
        <w:rPr>
          <w:rFonts w:ascii="Times New Roman" w:hAnsi="Times New Roman" w:cs="Times New Roman" w:eastAsia="Times New Roman" w:hint="default"/>
        </w:rPr>
        <w:t>014270</w:t>
      </w:r>
      <w:r>
        <w:rPr>
          <w:rFonts w:ascii="Times New Roman" w:hAnsi="Times New Roman" w:cs="Times New Roman" w:eastAsia="Times New Roman" w:hint="default"/>
          <w:spacing w:val="-13"/>
        </w:rPr>
        <w:t> </w:t>
      </w:r>
      <w:r>
        <w:rPr/>
        <w:t>号，最高借款金额</w:t>
      </w:r>
      <w:r>
        <w:rPr>
          <w:spacing w:val="-55"/>
        </w:rPr>
        <w:t> </w:t>
      </w:r>
      <w:r>
        <w:rPr>
          <w:rFonts w:ascii="Times New Roman" w:hAnsi="Times New Roman" w:cs="Times New Roman" w:eastAsia="Times New Roman" w:hint="default"/>
        </w:rPr>
        <w:t>20,800.00</w:t>
      </w:r>
      <w:r>
        <w:rPr>
          <w:rFonts w:ascii="Times New Roman" w:hAnsi="Times New Roman" w:cs="Times New Roman" w:eastAsia="Times New Roman" w:hint="default"/>
          <w:spacing w:val="-12"/>
        </w:rPr>
        <w:t> </w:t>
      </w:r>
      <w:r>
        <w:rPr/>
        <w:t>万元。</w:t>
      </w:r>
    </w:p>
    <w:p>
      <w:pPr>
        <w:spacing w:line="240" w:lineRule="auto" w:before="11"/>
        <w:rPr>
          <w:rFonts w:ascii="宋体" w:hAnsi="宋体" w:cs="宋体" w:eastAsia="宋体" w:hint="default"/>
          <w:sz w:val="16"/>
          <w:szCs w:val="16"/>
        </w:rPr>
      </w:pPr>
    </w:p>
    <w:p>
      <w:pPr>
        <w:pStyle w:val="BodyText"/>
        <w:spacing w:line="345" w:lineRule="auto"/>
        <w:ind w:left="152" w:right="1106" w:firstLine="419"/>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33"/>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33"/>
        </w:rPr>
        <w:t> </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t>日，本公司子公司北京泰豪智能工程有限公司的全资子公司北京泰豪智能科技</w:t>
      </w:r>
      <w:r>
        <w:rPr>
          <w:w w:val="100"/>
        </w:rPr>
        <w:t> </w:t>
      </w:r>
      <w:r>
        <w:rPr>
          <w:spacing w:val="-2"/>
        </w:rPr>
        <w:t>有限公司与北京农村商业银行股份有限公司科技园支行签订借款合同，以自有房屋及土地使用权为抵押，</w:t>
      </w:r>
      <w:r>
        <w:rPr>
          <w:spacing w:val="-21"/>
        </w:rPr>
        <w:t> </w:t>
      </w:r>
      <w:r>
        <w:rPr>
          <w:spacing w:val="-21"/>
        </w:rPr>
      </w:r>
      <w:r>
        <w:rPr/>
        <w:t>借款人民币</w:t>
      </w:r>
      <w:r>
        <w:rPr>
          <w:spacing w:val="-53"/>
        </w:rPr>
        <w:t> </w:t>
      </w:r>
      <w:r>
        <w:rPr>
          <w:rFonts w:ascii="Times New Roman" w:hAnsi="Times New Roman" w:cs="Times New Roman" w:eastAsia="Times New Roman" w:hint="default"/>
        </w:rPr>
        <w:t>200,000,000.00</w:t>
      </w:r>
      <w:r>
        <w:rPr>
          <w:rFonts w:ascii="Times New Roman" w:hAnsi="Times New Roman" w:cs="Times New Roman" w:eastAsia="Times New Roman" w:hint="default"/>
          <w:spacing w:val="-10"/>
        </w:rPr>
        <w:t> </w:t>
      </w:r>
      <w:r>
        <w:rPr/>
        <w:t>元，借款期限自</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日至</w:t>
      </w:r>
      <w:r>
        <w:rPr>
          <w:spacing w:val="-53"/>
        </w:rPr>
        <w:t> </w:t>
      </w:r>
      <w:r>
        <w:rPr>
          <w:rFonts w:ascii="Times New Roman" w:hAnsi="Times New Roman" w:cs="Times New Roman" w:eastAsia="Times New Roman" w:hint="default"/>
        </w:rPr>
        <w:t>2024</w:t>
      </w:r>
      <w:r>
        <w:rPr>
          <w:rFonts w:ascii="Times New Roman" w:hAnsi="Times New Roman" w:cs="Times New Roman" w:eastAsia="Times New Roman" w:hint="default"/>
          <w:spacing w:val="-12"/>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10"/>
        </w:rPr>
        <w:t> </w:t>
      </w:r>
      <w:r>
        <w:rPr>
          <w:spacing w:val="-3"/>
        </w:rPr>
        <w:t>日。</w:t>
      </w:r>
      <w:r>
        <w:rPr/>
      </w:r>
    </w:p>
    <w:p>
      <w:pPr>
        <w:pStyle w:val="BodyText"/>
        <w:spacing w:line="240" w:lineRule="auto" w:before="118"/>
        <w:ind w:left="573" w:right="0"/>
        <w:jc w:val="left"/>
      </w:pPr>
      <w:r>
        <w:rPr>
          <w:spacing w:val="-4"/>
        </w:rPr>
        <w:t>（</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14"/>
        </w:rPr>
        <w:t> </w:t>
      </w: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16"/>
        </w:rPr>
        <w:t> </w:t>
      </w:r>
      <w:r>
        <w:rPr/>
        <w:t>月</w:t>
      </w:r>
      <w:r>
        <w:rPr>
          <w:spacing w:val="-58"/>
        </w:rPr>
        <w:t> </w:t>
      </w:r>
      <w:r>
        <w:rPr>
          <w:rFonts w:ascii="Times New Roman" w:hAnsi="Times New Roman" w:cs="Times New Roman" w:eastAsia="Times New Roman" w:hint="default"/>
        </w:rPr>
        <w:t>23</w:t>
      </w:r>
      <w:r>
        <w:rPr>
          <w:rFonts w:ascii="Times New Roman" w:hAnsi="Times New Roman" w:cs="Times New Roman" w:eastAsia="Times New Roman" w:hint="default"/>
          <w:spacing w:val="-14"/>
        </w:rPr>
        <w:t> </w:t>
      </w:r>
      <w:r>
        <w:rPr/>
        <w:t>日，北京泰豪智能科技有限公司与宁波银行股份有限公司北京分行签订抵押借款</w:t>
      </w:r>
    </w:p>
    <w:p>
      <w:pPr>
        <w:spacing w:after="0" w:line="240" w:lineRule="auto"/>
        <w:jc w:val="left"/>
        <w:sectPr>
          <w:pgSz w:w="11910" w:h="16840"/>
          <w:pgMar w:header="882" w:footer="1134" w:top="1280" w:bottom="1320" w:left="980" w:right="0"/>
        </w:sectPr>
      </w:pPr>
    </w:p>
    <w:p>
      <w:pPr>
        <w:pStyle w:val="BodyText"/>
        <w:spacing w:line="240" w:lineRule="auto" w:before="112"/>
        <w:ind w:left="152" w:right="0"/>
        <w:jc w:val="left"/>
      </w:pPr>
      <w:r>
        <w:rPr/>
        <w:t>合同，以自有房屋及土地使用权为担保，土地使用证编号开有限国用（</w:t>
      </w:r>
      <w:r>
        <w:rPr>
          <w:rFonts w:ascii="Times New Roman" w:hAnsi="Times New Roman" w:cs="Times New Roman" w:eastAsia="Times New Roman" w:hint="default"/>
        </w:rPr>
        <w:t>2003</w:t>
      </w:r>
      <w:r>
        <w:rPr/>
        <w:t>）字第 </w:t>
      </w:r>
      <w:r>
        <w:rPr>
          <w:rFonts w:ascii="Times New Roman" w:hAnsi="Times New Roman" w:cs="Times New Roman" w:eastAsia="Times New Roman" w:hint="default"/>
        </w:rPr>
        <w:t>20</w:t>
      </w:r>
      <w:r>
        <w:rPr>
          <w:rFonts w:ascii="Times New Roman" w:hAnsi="Times New Roman" w:cs="Times New Roman" w:eastAsia="Times New Roman" w:hint="default"/>
          <w:spacing w:val="21"/>
        </w:rPr>
        <w:t> </w:t>
      </w:r>
      <w:r>
        <w:rPr/>
        <w:t>号，房产证编号为</w:t>
      </w:r>
    </w:p>
    <w:p>
      <w:pPr>
        <w:pStyle w:val="BodyText"/>
        <w:spacing w:line="240" w:lineRule="auto" w:before="117"/>
        <w:ind w:left="152" w:right="0"/>
        <w:jc w:val="left"/>
      </w:pPr>
      <w:r>
        <w:rPr/>
        <w:t>京房权证开股字第</w:t>
      </w:r>
      <w:r>
        <w:rPr>
          <w:spacing w:val="-46"/>
        </w:rPr>
        <w:t> </w:t>
      </w:r>
      <w:r>
        <w:rPr>
          <w:rFonts w:ascii="Times New Roman" w:hAnsi="Times New Roman" w:cs="Times New Roman" w:eastAsia="Times New Roman" w:hint="default"/>
        </w:rPr>
        <w:t>00174</w:t>
      </w:r>
      <w:r>
        <w:rPr>
          <w:rFonts w:ascii="Times New Roman" w:hAnsi="Times New Roman" w:cs="Times New Roman" w:eastAsia="Times New Roman" w:hint="default"/>
          <w:spacing w:val="-13"/>
        </w:rPr>
        <w:t> </w:t>
      </w:r>
      <w:r>
        <w:rPr/>
        <w:t>号，担保的最高债权限额为</w:t>
      </w:r>
      <w:r>
        <w:rPr>
          <w:spacing w:val="-47"/>
        </w:rPr>
        <w:t> </w:t>
      </w:r>
      <w:r>
        <w:rPr>
          <w:rFonts w:ascii="Times New Roman" w:hAnsi="Times New Roman" w:cs="Times New Roman" w:eastAsia="Times New Roman" w:hint="default"/>
        </w:rPr>
        <w:t>12,593.00</w:t>
      </w:r>
      <w:r>
        <w:rPr>
          <w:rFonts w:ascii="Times New Roman" w:hAnsi="Times New Roman" w:cs="Times New Roman" w:eastAsia="Times New Roman" w:hint="default"/>
          <w:spacing w:val="-11"/>
        </w:rPr>
        <w:t> </w:t>
      </w:r>
      <w:r>
        <w:rPr/>
        <w:t>万元，担保期限自</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13"/>
        </w:rPr>
        <w:t> </w:t>
      </w:r>
      <w:r>
        <w:rPr>
          <w:spacing w:val="-3"/>
        </w:rPr>
        <w:t>日起至</w:t>
      </w:r>
      <w:r>
        <w:rPr/>
      </w:r>
    </w:p>
    <w:p>
      <w:pPr>
        <w:pStyle w:val="BodyText"/>
        <w:spacing w:line="240" w:lineRule="auto" w:before="115"/>
        <w:ind w:left="153" w:right="1127"/>
        <w:jc w:val="left"/>
      </w:pPr>
      <w:r>
        <w:rPr>
          <w:rFonts w:ascii="Times New Roman" w:hAnsi="Times New Roman" w:cs="Times New Roman" w:eastAsia="Times New Roman" w:hint="default"/>
        </w:rPr>
        <w:t>2020</w:t>
      </w:r>
      <w:r>
        <w:rPr>
          <w:rFonts w:ascii="Times New Roman" w:hAnsi="Times New Roman" w:cs="Times New Roman" w:eastAsia="Times New Roman" w:hint="default"/>
          <w:spacing w:val="-1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日止。</w:t>
      </w:r>
    </w:p>
    <w:p>
      <w:pPr>
        <w:spacing w:line="240" w:lineRule="auto" w:before="3"/>
        <w:rPr>
          <w:rFonts w:ascii="宋体" w:hAnsi="宋体" w:cs="宋体" w:eastAsia="宋体" w:hint="default"/>
          <w:sz w:val="32"/>
          <w:szCs w:val="32"/>
        </w:rPr>
      </w:pPr>
    </w:p>
    <w:p>
      <w:pPr>
        <w:pStyle w:val="Heading4"/>
        <w:spacing w:line="240" w:lineRule="auto"/>
        <w:ind w:left="153" w:right="1127"/>
        <w:jc w:val="left"/>
        <w:rPr>
          <w:b w:val="0"/>
          <w:bCs w:val="0"/>
        </w:rPr>
      </w:pPr>
      <w:bookmarkStart w:name="82、外币货币性项目" w:id="529"/>
      <w:bookmarkEnd w:id="529"/>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1）外币货币性项目" w:id="530"/>
      <w:bookmarkEnd w:id="530"/>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1"/>
          <w:szCs w:val="21"/>
        </w:rPr>
      </w:pPr>
    </w:p>
    <w:p>
      <w:pPr>
        <w:spacing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496"/>
        <w:gridCol w:w="2292"/>
        <w:gridCol w:w="2390"/>
        <w:gridCol w:w="2390"/>
      </w:tblGrid>
      <w:tr>
        <w:trPr>
          <w:trHeight w:val="33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10"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0"/>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64,154,297.68</w:t>
            </w:r>
          </w:p>
        </w:tc>
      </w:tr>
      <w:tr>
        <w:trPr>
          <w:trHeight w:val="33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6" w:space="0" w:color="D4D4D4"/>
              <w:left w:val="single" w:sz="13" w:space="0" w:color="D4D4D4"/>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pacing w:val="-1"/>
                <w:sz w:val="18"/>
              </w:rPr>
              <w:t>9,091,114.66</w:t>
            </w:r>
            <w:r>
              <w:rPr>
                <w:rFonts w:ascii="Times New Roman"/>
                <w:sz w:val="18"/>
              </w:rPr>
            </w:r>
          </w:p>
        </w:tc>
        <w:tc>
          <w:tcPr>
            <w:tcW w:w="2390" w:type="dxa"/>
            <w:tcBorders>
              <w:top w:val="single" w:sz="6" w:space="0" w:color="D4D4D4"/>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6.9762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63,421,434.08</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37,768.25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Times New Roman" w:hAnsi="Times New Roman" w:cs="Times New Roman" w:eastAsia="Times New Roman" w:hint="default"/>
                <w:sz w:val="18"/>
                <w:szCs w:val="18"/>
              </w:rPr>
            </w:pPr>
            <w:r>
              <w:rPr>
                <w:rFonts w:ascii="Times New Roman"/>
                <w:sz w:val="18"/>
              </w:rPr>
              <w:t>7.8155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295,177.76</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458,518.12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Times New Roman" w:hAnsi="Times New Roman" w:cs="Times New Roman" w:eastAsia="Times New Roman" w:hint="default"/>
                <w:sz w:val="18"/>
                <w:szCs w:val="18"/>
              </w:rPr>
            </w:pPr>
            <w:r>
              <w:rPr>
                <w:rFonts w:ascii="Times New Roman"/>
                <w:sz w:val="18"/>
              </w:rPr>
              <w:t>0.8958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410,740.53</w:t>
            </w:r>
          </w:p>
        </w:tc>
      </w:tr>
      <w:tr>
        <w:trPr>
          <w:trHeight w:val="33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1"/>
              <w:jc w:val="center"/>
              <w:rPr>
                <w:rFonts w:ascii="宋体" w:hAnsi="宋体" w:cs="宋体" w:eastAsia="宋体" w:hint="default"/>
                <w:sz w:val="18"/>
                <w:szCs w:val="18"/>
              </w:rPr>
            </w:pPr>
            <w:r>
              <w:rPr>
                <w:rFonts w:ascii="宋体" w:hAnsi="宋体" w:cs="宋体" w:eastAsia="宋体" w:hint="default"/>
                <w:sz w:val="18"/>
                <w:szCs w:val="18"/>
              </w:rPr>
              <w:t>英镑</w:t>
            </w:r>
          </w:p>
        </w:tc>
        <w:tc>
          <w:tcPr>
            <w:tcW w:w="2292"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2,944.81</w:t>
            </w:r>
          </w:p>
        </w:tc>
        <w:tc>
          <w:tcPr>
            <w:tcW w:w="2390"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9.1501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26,945.31</w:t>
            </w:r>
          </w:p>
        </w:tc>
      </w:tr>
      <w:tr>
        <w:trPr>
          <w:trHeight w:val="310"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0"/>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1,029,119.93</w:t>
            </w:r>
            <w:r>
              <w:rPr>
                <w:rFonts w:ascii="Times New Roman"/>
                <w:sz w:val="18"/>
              </w:rPr>
            </w:r>
          </w:p>
        </w:tc>
      </w:tr>
      <w:tr>
        <w:trPr>
          <w:trHeight w:val="33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6" w:space="0" w:color="D4D4D4"/>
              <w:left w:val="single" w:sz="13" w:space="0" w:color="D4D4D4"/>
              <w:bottom w:val="single" w:sz="4" w:space="0" w:color="000000"/>
              <w:right w:val="single" w:sz="4" w:space="0" w:color="000000"/>
            </w:tcBorders>
          </w:tcPr>
          <w:p>
            <w:pPr/>
          </w:p>
        </w:tc>
        <w:tc>
          <w:tcPr>
            <w:tcW w:w="2390" w:type="dxa"/>
            <w:tcBorders>
              <w:top w:val="single" w:sz="6" w:space="0" w:color="D4D4D4"/>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13"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1,148,827.79</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0.8958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1,029,119.93</w:t>
            </w:r>
            <w:r>
              <w:rPr>
                <w:rFonts w:ascii="Times New Roman"/>
                <w:sz w:val="18"/>
              </w:rPr>
            </w:r>
          </w:p>
        </w:tc>
      </w:tr>
      <w:tr>
        <w:trPr>
          <w:trHeight w:val="305"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10" w:space="0" w:color="D4D4D4"/>
              <w:right w:val="single" w:sz="4" w:space="0" w:color="000000"/>
            </w:tcBorders>
          </w:tcPr>
          <w:p>
            <w:pPr/>
          </w:p>
        </w:tc>
        <w:tc>
          <w:tcPr>
            <w:tcW w:w="2390" w:type="dxa"/>
            <w:tcBorders>
              <w:top w:val="single" w:sz="4" w:space="0" w:color="000000"/>
              <w:left w:val="single" w:sz="4" w:space="0" w:color="000000"/>
              <w:bottom w:val="single" w:sz="10" w:space="0" w:color="D4D4D4"/>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0"/>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12" w:space="0" w:color="D4D4D4"/>
              <w:bottom w:val="single" w:sz="4" w:space="0" w:color="000000"/>
              <w:right w:val="single" w:sz="4" w:space="0" w:color="000000"/>
            </w:tcBorders>
          </w:tcPr>
          <w:p>
            <w:pPr/>
          </w:p>
        </w:tc>
      </w:tr>
      <w:tr>
        <w:trPr>
          <w:trHeight w:val="329"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6" w:space="0" w:color="D4D4D4"/>
              <w:left w:val="single" w:sz="13" w:space="0" w:color="D4D4D4"/>
              <w:bottom w:val="single" w:sz="4" w:space="0" w:color="000000"/>
              <w:right w:val="single" w:sz="4" w:space="0" w:color="000000"/>
            </w:tcBorders>
          </w:tcPr>
          <w:p>
            <w:pPr/>
          </w:p>
        </w:tc>
        <w:tc>
          <w:tcPr>
            <w:tcW w:w="2390" w:type="dxa"/>
            <w:tcBorders>
              <w:top w:val="single" w:sz="6" w:space="0" w:color="D4D4D4"/>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13"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13"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0.8958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89.58</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Times New Roman" w:hAnsi="Times New Roman" w:cs="Times New Roman" w:eastAsia="Times New Roman" w:hint="default"/>
                <w:sz w:val="18"/>
                <w:szCs w:val="18"/>
              </w:rPr>
            </w:pPr>
            <w:r>
              <w:rPr>
                <w:rFonts w:ascii="Times New Roman"/>
                <w:sz w:val="18"/>
              </w:rPr>
              <w:t>0.8958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89.58</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3,827.00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0.8958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3,428.23</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3,827.00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0.8958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3,428.23</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4"/>
        <w:spacing w:line="272" w:lineRule="exact"/>
        <w:ind w:right="1127"/>
        <w:jc w:val="left"/>
        <w:rPr>
          <w:b w:val="0"/>
          <w:bCs w:val="0"/>
        </w:rPr>
      </w:pPr>
      <w:bookmarkStart w:name="（2）境外经营实体说明，包括对于重要的境外经营实体，应披露其境外主要经营地、记账" w:id="531"/>
      <w:bookmarkEnd w:id="531"/>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32"/>
          <w:szCs w:val="32"/>
        </w:rPr>
      </w:pPr>
    </w:p>
    <w:p>
      <w:pPr>
        <w:pStyle w:val="Heading4"/>
        <w:spacing w:line="240" w:lineRule="auto"/>
        <w:ind w:right="1127"/>
        <w:jc w:val="left"/>
        <w:rPr>
          <w:b w:val="0"/>
          <w:bCs w:val="0"/>
        </w:rPr>
      </w:pPr>
      <w:bookmarkStart w:name="83、套期" w:id="532"/>
      <w:bookmarkEnd w:id="532"/>
      <w:r>
        <w:rPr>
          <w:b w:val="0"/>
          <w:bCs w:val="0"/>
        </w:rPr>
      </w:r>
      <w:r>
        <w:rPr>
          <w:rFonts w:ascii="Times New Roman" w:hAnsi="Times New Roman" w:cs="Times New Roman" w:eastAsia="Times New Roman" w:hint="default"/>
        </w:rPr>
        <w:t>83</w:t>
      </w:r>
      <w:r>
        <w:rPr/>
        <w:t>、套期</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right="1127"/>
        <w:jc w:val="left"/>
      </w:pPr>
      <w:r>
        <w:rPr/>
        <w:t>按照套期类别披露套期项目及相关套期工具、被套期风险的定性和定量信息：</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84、政府补助" w:id="533"/>
      <w:bookmarkEnd w:id="533"/>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1127"/>
        <w:jc w:val="left"/>
        <w:rPr>
          <w:b w:val="0"/>
          <w:bCs w:val="0"/>
        </w:rPr>
      </w:pPr>
      <w:bookmarkStart w:name="（1）政府补助基本情况" w:id="534"/>
      <w:bookmarkEnd w:id="534"/>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after="0" w:line="240" w:lineRule="auto"/>
        <w:jc w:val="left"/>
        <w:sectPr>
          <w:pgSz w:w="11910" w:h="16840"/>
          <w:pgMar w:header="882" w:footer="1134" w:top="1280" w:bottom="1320" w:left="980" w:right="0"/>
        </w:sectPr>
      </w:pPr>
    </w:p>
    <w:p>
      <w:pPr>
        <w:spacing w:before="113"/>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324"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金太阳示范工程项目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63,870,000.00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3,220,530.48</w:t>
            </w:r>
            <w:r>
              <w:rPr>
                <w:rFonts w:ascii="Times New Roman"/>
                <w:sz w:val="18"/>
              </w:rPr>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19,185,466.48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6,623,100.87</w:t>
            </w:r>
            <w:r>
              <w:rPr>
                <w:rFonts w:ascii="Times New Roman"/>
                <w:sz w:val="18"/>
              </w:rPr>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年海淀区新兴领域转项 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1,300,000.00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w:t>
            </w:r>
            <w:r>
              <w:rPr>
                <w:rFonts w:ascii="Times New Roman"/>
                <w:sz w:val="18"/>
              </w:rPr>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增值税加计抵减</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1,236,572.93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1,236,572.93</w:t>
            </w:r>
            <w:r>
              <w:rPr>
                <w:rFonts w:ascii="Times New Roman"/>
                <w:sz w:val="18"/>
              </w:rPr>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97"/>
              <w:jc w:val="left"/>
              <w:rPr>
                <w:rFonts w:ascii="宋体" w:hAnsi="宋体" w:cs="宋体" w:eastAsia="宋体" w:hint="default"/>
                <w:sz w:val="18"/>
                <w:szCs w:val="18"/>
              </w:rPr>
            </w:pPr>
            <w:r>
              <w:rPr>
                <w:rFonts w:ascii="宋体" w:hAnsi="宋体" w:cs="宋体" w:eastAsia="宋体" w:hint="default"/>
                <w:sz w:val="18"/>
                <w:szCs w:val="18"/>
              </w:rPr>
              <w:t>支撑能源结构调整的城市级 智慧能源决策运营平台</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859,166.67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510,000.00</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97"/>
              <w:jc w:val="left"/>
              <w:rPr>
                <w:rFonts w:ascii="宋体" w:hAnsi="宋体" w:cs="宋体" w:eastAsia="宋体" w:hint="default"/>
                <w:sz w:val="18"/>
                <w:szCs w:val="18"/>
              </w:rPr>
            </w:pPr>
            <w:r>
              <w:rPr>
                <w:rFonts w:ascii="宋体" w:hAnsi="宋体" w:cs="宋体" w:eastAsia="宋体" w:hint="default"/>
                <w:sz w:val="18"/>
                <w:szCs w:val="18"/>
              </w:rPr>
              <w:t>基于云计算的大型工业群能 耗和环境管理预警系统</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400,000.00</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97"/>
              <w:jc w:val="left"/>
              <w:rPr>
                <w:rFonts w:ascii="宋体" w:hAnsi="宋体" w:cs="宋体" w:eastAsia="宋体" w:hint="default"/>
                <w:sz w:val="18"/>
                <w:szCs w:val="18"/>
              </w:rPr>
            </w:pPr>
            <w:r>
              <w:rPr>
                <w:rFonts w:ascii="宋体" w:hAnsi="宋体" w:cs="宋体" w:eastAsia="宋体" w:hint="default"/>
                <w:sz w:val="18"/>
                <w:szCs w:val="18"/>
              </w:rPr>
              <w:t>创新实验室的研究与技术研 发经费</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625,897.23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625,897.23</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89"/>
              <w:jc w:val="left"/>
              <w:rPr>
                <w:rFonts w:ascii="宋体" w:hAnsi="宋体" w:cs="宋体" w:eastAsia="宋体" w:hint="default"/>
                <w:sz w:val="18"/>
                <w:szCs w:val="18"/>
              </w:rPr>
            </w:pPr>
            <w:r>
              <w:rPr>
                <w:rFonts w:ascii="宋体" w:hAnsi="宋体" w:cs="宋体" w:eastAsia="宋体" w:hint="default"/>
                <w:sz w:val="18"/>
                <w:szCs w:val="18"/>
              </w:rPr>
              <w:t>企业扶持专项</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 扶持资金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620,000.00</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军民融合产业发展资金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558,700.00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558,700.00</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19"/>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北京经济技术开发区</w:t>
            </w:r>
            <w:r>
              <w:rPr>
                <w:rFonts w:ascii="Times New Roman" w:hAnsi="Times New Roman" w:cs="Times New Roman" w:eastAsia="Times New Roman" w:hint="default"/>
                <w:sz w:val="18"/>
                <w:szCs w:val="18"/>
              </w:rPr>
              <w:t>“</w:t>
            </w:r>
            <w:r>
              <w:rPr>
                <w:rFonts w:ascii="宋体" w:hAnsi="宋体" w:cs="宋体" w:eastAsia="宋体" w:hint="default"/>
                <w:sz w:val="18"/>
                <w:szCs w:val="18"/>
              </w:rPr>
              <w:t>金太阳 光伏发电示范项目</w:t>
            </w:r>
            <w:r>
              <w:rPr>
                <w:rFonts w:ascii="Times New Roman" w:hAnsi="Times New Roman" w:cs="Times New Roman" w:eastAsia="Times New Roman" w:hint="default"/>
                <w:sz w:val="18"/>
                <w:szCs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511,749.84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255,874.92</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高新企业补助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504,400.00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474,400.00</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97"/>
              <w:jc w:val="left"/>
              <w:rPr>
                <w:rFonts w:ascii="宋体" w:hAnsi="宋体" w:cs="宋体" w:eastAsia="宋体" w:hint="default"/>
                <w:sz w:val="18"/>
                <w:szCs w:val="18"/>
              </w:rPr>
            </w:pPr>
            <w:r>
              <w:rPr>
                <w:rFonts w:ascii="宋体" w:hAnsi="宋体" w:cs="宋体" w:eastAsia="宋体" w:hint="default"/>
                <w:sz w:val="18"/>
                <w:szCs w:val="18"/>
              </w:rPr>
              <w:t>适应智慧城市与物联网安全 目标的安全架构和应用示范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491,900.00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491,900.00</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97"/>
              <w:jc w:val="left"/>
              <w:rPr>
                <w:rFonts w:ascii="宋体" w:hAnsi="宋体" w:cs="宋体" w:eastAsia="宋体" w:hint="default"/>
                <w:sz w:val="18"/>
                <w:szCs w:val="18"/>
              </w:rPr>
            </w:pPr>
            <w:r>
              <w:rPr>
                <w:rFonts w:ascii="宋体" w:hAnsi="宋体" w:cs="宋体" w:eastAsia="宋体" w:hint="default"/>
                <w:sz w:val="18"/>
                <w:szCs w:val="18"/>
              </w:rPr>
              <w:t>西安高新技术产业开发区信 用服务中心奖励补助款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489,860.00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89,860.00</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422,363.80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291,086.44</w:t>
            </w:r>
          </w:p>
        </w:tc>
      </w:tr>
      <w:tr>
        <w:trPr>
          <w:trHeight w:val="790"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22"/>
              <w:jc w:val="left"/>
              <w:rPr>
                <w:rFonts w:ascii="宋体" w:hAnsi="宋体" w:cs="宋体" w:eastAsia="宋体" w:hint="default"/>
                <w:sz w:val="18"/>
                <w:szCs w:val="18"/>
              </w:rPr>
            </w:pPr>
            <w:r>
              <w:rPr>
                <w:rFonts w:ascii="宋体" w:hAnsi="宋体" w:cs="宋体" w:eastAsia="宋体" w:hint="default"/>
                <w:sz w:val="18"/>
                <w:szCs w:val="18"/>
              </w:rPr>
              <w:t>基于面向城市大型商务区建 筑物群能源、设施管理及智能 化集成服务系统</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97"/>
              <w:jc w:val="left"/>
              <w:rPr>
                <w:rFonts w:ascii="宋体" w:hAnsi="宋体" w:cs="宋体" w:eastAsia="宋体" w:hint="default"/>
                <w:sz w:val="18"/>
                <w:szCs w:val="18"/>
              </w:rPr>
            </w:pPr>
            <w:r>
              <w:rPr>
                <w:rFonts w:ascii="宋体" w:hAnsi="宋体" w:cs="宋体" w:eastAsia="宋体" w:hint="default"/>
                <w:sz w:val="18"/>
                <w:szCs w:val="18"/>
              </w:rPr>
              <w:t>陕西省科技资源统筹中心项 目补贴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186,000.00</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97"/>
              <w:jc w:val="left"/>
              <w:rPr>
                <w:rFonts w:ascii="宋体" w:hAnsi="宋体" w:cs="宋体" w:eastAsia="宋体" w:hint="default"/>
                <w:sz w:val="18"/>
                <w:szCs w:val="18"/>
              </w:rPr>
            </w:pPr>
            <w:r>
              <w:rPr>
                <w:rFonts w:ascii="宋体" w:hAnsi="宋体" w:cs="宋体" w:eastAsia="宋体" w:hint="default"/>
                <w:sz w:val="18"/>
                <w:szCs w:val="18"/>
              </w:rPr>
              <w:t>基于大数据的城市环境信息 监测云管理与分析平台</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381,666.67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小微企业新招补助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246,441.52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246,441.52</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并购政策补贴款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219,263.00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219,263.00</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教育科技局专项补助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200,000.00</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97"/>
              <w:jc w:val="left"/>
              <w:rPr>
                <w:rFonts w:ascii="宋体" w:hAnsi="宋体" w:cs="宋体" w:eastAsia="宋体" w:hint="default"/>
                <w:sz w:val="18"/>
                <w:szCs w:val="18"/>
              </w:rPr>
            </w:pPr>
            <w:r>
              <w:rPr>
                <w:rFonts w:ascii="宋体" w:hAnsi="宋体" w:cs="宋体" w:eastAsia="宋体" w:hint="default"/>
                <w:sz w:val="18"/>
                <w:szCs w:val="18"/>
              </w:rPr>
              <w:t>大型公共建筑高效空气净化 设备及职能传感监控系统</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120,000.00</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国家重点研发计划项目课题</w:t>
            </w:r>
          </w:p>
          <w:p>
            <w:pPr>
              <w:pStyle w:val="TableParagraph"/>
              <w:spacing w:line="248"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资源池构建</w:t>
            </w:r>
            <w:r>
              <w:rPr>
                <w:rFonts w:ascii="Times New Roman" w:hAnsi="Times New Roman" w:cs="Times New Roman" w:eastAsia="Times New Roman" w:hint="default"/>
                <w:sz w:val="18"/>
                <w:szCs w:val="18"/>
              </w:rPr>
              <w:t>”</w:t>
            </w:r>
            <w:r>
              <w:rPr>
                <w:rFonts w:ascii="宋体" w:hAnsi="宋体" w:cs="宋体" w:eastAsia="宋体" w:hint="default"/>
                <w:sz w:val="18"/>
                <w:szCs w:val="18"/>
              </w:rPr>
              <w:t>专项款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175,300.00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175,300.00</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年中关村商标示范试点 单位高端推进项目支持资金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129,600.00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129,600.00</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97"/>
              <w:jc w:val="left"/>
              <w:rPr>
                <w:rFonts w:ascii="宋体" w:hAnsi="宋体" w:cs="宋体" w:eastAsia="宋体" w:hint="default"/>
                <w:sz w:val="18"/>
                <w:szCs w:val="18"/>
              </w:rPr>
            </w:pPr>
            <w:r>
              <w:rPr>
                <w:rFonts w:ascii="宋体" w:hAnsi="宋体" w:cs="宋体" w:eastAsia="宋体" w:hint="default"/>
                <w:sz w:val="18"/>
                <w:szCs w:val="18"/>
              </w:rPr>
              <w:t>中关村创新能力建设专项资 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57,000.00</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97"/>
              <w:jc w:val="left"/>
              <w:rPr>
                <w:rFonts w:ascii="宋体" w:hAnsi="宋体" w:cs="宋体" w:eastAsia="宋体" w:hint="default"/>
                <w:sz w:val="18"/>
                <w:szCs w:val="18"/>
              </w:rPr>
            </w:pPr>
            <w:r>
              <w:rPr>
                <w:rFonts w:ascii="宋体" w:hAnsi="宋体" w:cs="宋体" w:eastAsia="宋体" w:hint="default"/>
                <w:sz w:val="18"/>
                <w:szCs w:val="18"/>
              </w:rPr>
              <w:t>海淀区知识产权管理体系贯 标补贴专项资金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24" w:right="197"/>
              <w:jc w:val="left"/>
              <w:rPr>
                <w:rFonts w:ascii="宋体" w:hAnsi="宋体" w:cs="宋体" w:eastAsia="宋体" w:hint="default"/>
                <w:sz w:val="18"/>
                <w:szCs w:val="18"/>
              </w:rPr>
            </w:pPr>
            <w:r>
              <w:rPr>
                <w:rFonts w:ascii="宋体" w:hAnsi="宋体" w:cs="宋体" w:eastAsia="宋体" w:hint="default"/>
                <w:sz w:val="18"/>
                <w:szCs w:val="18"/>
              </w:rPr>
              <w:t>西安市财政局企业研发投入 奖补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55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24" w:right="197"/>
              <w:jc w:val="left"/>
              <w:rPr>
                <w:rFonts w:ascii="宋体" w:hAnsi="宋体" w:cs="宋体" w:eastAsia="宋体" w:hint="default"/>
                <w:sz w:val="18"/>
                <w:szCs w:val="18"/>
              </w:rPr>
            </w:pPr>
            <w:r>
              <w:rPr>
                <w:rFonts w:ascii="宋体" w:hAnsi="宋体" w:cs="宋体" w:eastAsia="宋体" w:hint="default"/>
                <w:sz w:val="18"/>
                <w:szCs w:val="18"/>
              </w:rPr>
              <w:t>西安市财政局技术转移转化 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61,100.00</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统计局补助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55,000.00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55,000.00</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97"/>
              <w:jc w:val="left"/>
              <w:rPr>
                <w:rFonts w:ascii="宋体" w:hAnsi="宋体" w:cs="宋体" w:eastAsia="宋体" w:hint="default"/>
                <w:sz w:val="18"/>
                <w:szCs w:val="18"/>
              </w:rPr>
            </w:pPr>
            <w:r>
              <w:rPr>
                <w:rFonts w:ascii="宋体" w:hAnsi="宋体" w:cs="宋体" w:eastAsia="宋体" w:hint="default"/>
                <w:sz w:val="18"/>
                <w:szCs w:val="18"/>
              </w:rPr>
              <w:t>海淀区国内外专利预警费用 补贴专项资金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专利资助金</w:t>
            </w:r>
            <w:r>
              <w:rPr>
                <w:rFonts w:ascii="Times New Roman" w:hAnsi="Times New Roman" w:cs="Times New Roman" w:eastAsia="Times New Roman" w:hint="default"/>
                <w:sz w:val="18"/>
                <w:szCs w:val="18"/>
              </w:rPr>
              <w:t>-B</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37,650.00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34,650.00</w:t>
            </w:r>
          </w:p>
        </w:tc>
      </w:tr>
      <w:tr>
        <w:trPr>
          <w:trHeight w:val="79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24"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年度上海市软件和集成 电路产业发展专项资金第一 笔</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29,250.00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29,250.00</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年小微社保补贴收入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28,878.00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28,878.00</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市级补贴</w:t>
            </w:r>
            <w:r>
              <w:rPr>
                <w:rFonts w:ascii="宋体" w:hAnsi="宋体" w:cs="宋体" w:eastAsia="宋体" w:hint="default"/>
                <w:spacing w:val="1"/>
                <w:sz w:val="18"/>
                <w:szCs w:val="18"/>
              </w:rPr>
              <w:t> </w:t>
            </w:r>
            <w:r>
              <w:rPr>
                <w:rFonts w:ascii="宋体" w:hAnsi="宋体" w:cs="宋体" w:eastAsia="宋体" w:hint="default"/>
                <w:sz w:val="18"/>
                <w:szCs w:val="18"/>
              </w:rPr>
              <w:t>百度项目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19,875.60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19,875.60</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税金减免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w w:val="95"/>
                <w:sz w:val="18"/>
              </w:rPr>
              <w:t>11,889.14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w w:val="95"/>
                <w:sz w:val="18"/>
              </w:rPr>
              <w:t>11,889.14</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农村工社保补差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9,985.55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9,985.55</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97"/>
              <w:jc w:val="left"/>
              <w:rPr>
                <w:rFonts w:ascii="宋体" w:hAnsi="宋体" w:cs="宋体" w:eastAsia="宋体" w:hint="default"/>
                <w:sz w:val="18"/>
                <w:szCs w:val="18"/>
              </w:rPr>
            </w:pPr>
            <w:r>
              <w:rPr>
                <w:rFonts w:ascii="宋体" w:hAnsi="宋体" w:cs="宋体" w:eastAsia="宋体" w:hint="default"/>
                <w:sz w:val="18"/>
                <w:szCs w:val="18"/>
              </w:rPr>
              <w:t>企业招用自主就业退役士兵 增值税减免政策</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小规模增值税免税收入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5,650.49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5,650.49</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个税税费返还</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212,525.11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212,525.11</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火炬补贴专项资金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5,000.00</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97"/>
              <w:jc w:val="left"/>
              <w:rPr>
                <w:rFonts w:ascii="宋体" w:hAnsi="宋体" w:cs="宋体" w:eastAsia="宋体" w:hint="default"/>
                <w:sz w:val="18"/>
                <w:szCs w:val="18"/>
              </w:rPr>
            </w:pPr>
            <w:r>
              <w:rPr>
                <w:rFonts w:ascii="宋体" w:hAnsi="宋体" w:cs="宋体" w:eastAsia="宋体" w:hint="default"/>
                <w:sz w:val="18"/>
                <w:szCs w:val="18"/>
              </w:rPr>
              <w:t>南昌高新开发区创业服务中 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年科研人员奖励</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97"/>
              <w:jc w:val="left"/>
              <w:rPr>
                <w:rFonts w:ascii="宋体" w:hAnsi="宋体" w:cs="宋体" w:eastAsia="宋体" w:hint="default"/>
                <w:sz w:val="18"/>
                <w:szCs w:val="18"/>
              </w:rPr>
            </w:pPr>
            <w:r>
              <w:rPr>
                <w:rFonts w:ascii="宋体" w:hAnsi="宋体" w:cs="宋体" w:eastAsia="宋体" w:hint="default"/>
                <w:sz w:val="18"/>
                <w:szCs w:val="18"/>
              </w:rPr>
              <w:t>中共北京市海淀区委海淀园 工作委员会党委会经费</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社保失业保险金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2,789.95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2,789.95</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自主招工奖励</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1,500.00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1,500.00</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税款退回</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1,245.39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1,245.39</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税控盘减免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280.00</w:t>
            </w:r>
            <w:r>
              <w:rPr>
                <w:rFonts w:ascii="Times New Roman"/>
                <w:sz w:val="18"/>
              </w:rPr>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退税收入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202.70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202.70</w:t>
            </w:r>
            <w:r>
              <w:rPr>
                <w:rFonts w:ascii="Times New Roman"/>
                <w:sz w:val="18"/>
              </w:rPr>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94,726,170.07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19,018,864.56</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2）政府补助退回情况" w:id="535"/>
      <w:bookmarkEnd w:id="535"/>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6"/>
        <w:rPr>
          <w:rFonts w:ascii="宋体" w:hAnsi="宋体" w:cs="宋体" w:eastAsia="宋体" w:hint="default"/>
          <w:b/>
          <w:bCs/>
          <w:sz w:val="21"/>
          <w:szCs w:val="21"/>
        </w:rPr>
      </w:pPr>
    </w:p>
    <w:p>
      <w:pPr>
        <w:pStyle w:val="BodyText"/>
        <w:spacing w:line="420" w:lineRule="auto"/>
        <w:ind w:right="8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100"/>
        </w:rPr>
        <w:t> </w:t>
      </w:r>
      <w:r>
        <w:rPr/>
        <w:t>其他说明：</w:t>
      </w:r>
    </w:p>
    <w:p>
      <w:pPr>
        <w:spacing w:line="240" w:lineRule="auto" w:before="6"/>
        <w:rPr>
          <w:rFonts w:ascii="宋体" w:hAnsi="宋体" w:cs="宋体" w:eastAsia="宋体" w:hint="default"/>
          <w:sz w:val="21"/>
          <w:szCs w:val="21"/>
        </w:rPr>
      </w:pPr>
    </w:p>
    <w:p>
      <w:pPr>
        <w:spacing w:line="470" w:lineRule="auto" w:before="0"/>
        <w:ind w:left="152" w:right="8330" w:hanging="1"/>
        <w:jc w:val="left"/>
        <w:rPr>
          <w:rFonts w:ascii="宋体" w:hAnsi="宋体" w:cs="宋体" w:eastAsia="宋体" w:hint="default"/>
          <w:sz w:val="21"/>
          <w:szCs w:val="21"/>
        </w:rPr>
      </w:pPr>
      <w:bookmarkStart w:name="85、其他" w:id="536"/>
      <w:bookmarkEnd w:id="536"/>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537"/>
      <w:bookmarkEnd w:id="537"/>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538"/>
      <w:bookmarkEnd w:id="53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59"/>
        <w:ind w:right="1127"/>
        <w:jc w:val="left"/>
        <w:rPr>
          <w:b w:val="0"/>
          <w:bCs w:val="0"/>
        </w:rPr>
      </w:pPr>
      <w:bookmarkStart w:name="（1）本期发生的非同一控制下企业合并" w:id="539"/>
      <w:bookmarkEnd w:id="539"/>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3"/>
        <w:gridCol w:w="1066"/>
        <w:gridCol w:w="1061"/>
        <w:gridCol w:w="1063"/>
        <w:gridCol w:w="1061"/>
      </w:tblGrid>
      <w:tr>
        <w:trPr>
          <w:trHeight w:val="790"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150"/>
              <w:ind w:left="435"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150"/>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150"/>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150"/>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150"/>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150"/>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after="0" w:line="237" w:lineRule="auto"/>
        <w:jc w:val="both"/>
        <w:rPr>
          <w:rFonts w:ascii="宋体" w:hAnsi="宋体" w:cs="宋体" w:eastAsia="宋体"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6"/>
        <w:gridCol w:w="1063"/>
        <w:gridCol w:w="1063"/>
        <w:gridCol w:w="1066"/>
        <w:gridCol w:w="1061"/>
        <w:gridCol w:w="1063"/>
        <w:gridCol w:w="1061"/>
      </w:tblGrid>
      <w:tr>
        <w:trPr>
          <w:trHeight w:val="790"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27"/>
              <w:jc w:val="both"/>
              <w:rPr>
                <w:rFonts w:ascii="宋体" w:hAnsi="宋体" w:cs="宋体" w:eastAsia="宋体" w:hint="default"/>
                <w:sz w:val="18"/>
                <w:szCs w:val="18"/>
              </w:rPr>
            </w:pPr>
            <w:r>
              <w:rPr>
                <w:rFonts w:ascii="宋体" w:hAnsi="宋体" w:cs="宋体" w:eastAsia="宋体" w:hint="default"/>
                <w:sz w:val="18"/>
                <w:szCs w:val="18"/>
              </w:rPr>
              <w:t>北京泰豪智 能科技有限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834,961,263.</w:t>
            </w:r>
            <w:r>
              <w:rPr>
                <w:rFonts w:ascii="Times New Roman"/>
                <w:sz w:val="18"/>
              </w:rPr>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4" w:right="124"/>
              <w:jc w:val="left"/>
              <w:rPr>
                <w:rFonts w:ascii="宋体" w:hAnsi="宋体" w:cs="宋体" w:eastAsia="宋体" w:hint="default"/>
                <w:sz w:val="18"/>
                <w:szCs w:val="18"/>
              </w:rPr>
            </w:pPr>
            <w:r>
              <w:rPr>
                <w:rFonts w:ascii="宋体" w:hAnsi="宋体" w:cs="宋体" w:eastAsia="宋体" w:hint="default"/>
                <w:sz w:val="18"/>
                <w:szCs w:val="18"/>
              </w:rPr>
              <w:t>完成工商变 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5,822,792.17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-2,088,202.33</w:t>
            </w:r>
          </w:p>
        </w:tc>
      </w:tr>
    </w:tbl>
    <w:p>
      <w:pPr>
        <w:spacing w:before="8"/>
        <w:ind w:left="152" w:right="1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2"/>
          <w:szCs w:val="22"/>
        </w:rPr>
      </w:pPr>
    </w:p>
    <w:p>
      <w:pPr>
        <w:pStyle w:val="Heading4"/>
        <w:spacing w:line="240" w:lineRule="auto"/>
        <w:ind w:right="1127"/>
        <w:jc w:val="left"/>
        <w:rPr>
          <w:b w:val="0"/>
          <w:bCs w:val="0"/>
        </w:rPr>
      </w:pPr>
      <w:bookmarkStart w:name="（2）合并成本及商誉" w:id="540"/>
      <w:bookmarkEnd w:id="540"/>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60"/>
        <w:gridCol w:w="4796"/>
      </w:tblGrid>
      <w:tr>
        <w:trPr>
          <w:trHeight w:val="32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318"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p>
        </w:tc>
      </w:tr>
      <w:tr>
        <w:trPr>
          <w:trHeight w:val="32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834,961,263.29</w:t>
            </w:r>
            <w:r>
              <w:rPr>
                <w:rFonts w:ascii="Times New Roman"/>
                <w:sz w:val="18"/>
              </w:rPr>
            </w:r>
          </w:p>
        </w:tc>
      </w:tr>
      <w:tr>
        <w:trPr>
          <w:trHeight w:val="32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834,961,263.29</w:t>
            </w:r>
            <w:r>
              <w:rPr>
                <w:rFonts w:ascii="Times New Roman"/>
                <w:sz w:val="18"/>
              </w:rPr>
            </w:r>
          </w:p>
        </w:tc>
      </w:tr>
      <w:tr>
        <w:trPr>
          <w:trHeight w:val="32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833,509,906.60</w:t>
            </w:r>
            <w:r>
              <w:rPr>
                <w:rFonts w:ascii="Times New Roman"/>
                <w:sz w:val="18"/>
              </w:rPr>
            </w:r>
          </w:p>
        </w:tc>
      </w:tr>
      <w:tr>
        <w:trPr>
          <w:trHeight w:val="557"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12" w:right="186"/>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1,451,356.69</w:t>
            </w:r>
            <w:r>
              <w:rPr>
                <w:rFonts w:ascii="Times New Roman"/>
                <w:sz w:val="18"/>
              </w:rPr>
            </w:r>
          </w:p>
        </w:tc>
      </w:tr>
    </w:tbl>
    <w:p>
      <w:pPr>
        <w:pStyle w:val="BodyText"/>
        <w:spacing w:line="444" w:lineRule="auto" w:before="64"/>
        <w:ind w:right="4340"/>
        <w:jc w:val="left"/>
      </w:pPr>
      <w:r>
        <w:rPr>
          <w:spacing w:val="-2"/>
        </w:rPr>
        <w:t>合并成本公允价值的确定方法、或有对价及其变动的说明：</w:t>
      </w:r>
      <w:r>
        <w:rPr>
          <w:spacing w:val="-55"/>
        </w:rPr>
        <w:t> </w:t>
      </w:r>
      <w:r>
        <w:rPr>
          <w:spacing w:val="-55"/>
        </w:rPr>
      </w:r>
      <w:r>
        <w:rPr/>
        <w:t>大额商誉形成的主要原因：</w:t>
      </w:r>
    </w:p>
    <w:p>
      <w:pPr>
        <w:pStyle w:val="BodyText"/>
        <w:spacing w:line="240" w:lineRule="auto" w:before="55"/>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4"/>
        <w:ind w:right="1127"/>
        <w:jc w:val="left"/>
        <w:rPr>
          <w:b w:val="0"/>
          <w:bCs w:val="0"/>
        </w:rPr>
      </w:pPr>
      <w:bookmarkStart w:name="（3）被购买方于购买日可辨认资产、负债" w:id="541"/>
      <w:bookmarkEnd w:id="541"/>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2"/>
      </w:tblGrid>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39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115"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1,047,981,595.82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452,061,455.22</w:t>
            </w:r>
            <w:r>
              <w:rPr>
                <w:rFonts w:ascii="Times New Roman"/>
                <w:sz w:val="18"/>
              </w:rPr>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14,444,171.06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14,444,171.06</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252,687,958.94</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252,687,958.94</w:t>
            </w:r>
            <w:r>
              <w:rPr>
                <w:rFonts w:ascii="Times New Roman"/>
                <w:sz w:val="18"/>
              </w:rPr>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18,902,075.93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23,478,963.99</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11,328,095.56</w:t>
            </w:r>
            <w:r>
              <w:rPr>
                <w:rFonts w:ascii="Times New Roman"/>
                <w:sz w:val="18"/>
              </w:rPr>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761,753,791.10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149,928,666.88</w:t>
            </w:r>
            <w:r>
              <w:rPr>
                <w:rFonts w:ascii="Times New Roman"/>
                <w:sz w:val="18"/>
              </w:rPr>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173,767.86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173,767.86</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19,830.93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19,830.93</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214,471,689.22</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214,471,689.22</w:t>
            </w:r>
            <w:r>
              <w:rPr>
                <w:rFonts w:ascii="Times New Roman"/>
                <w:sz w:val="18"/>
              </w:rPr>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179,864,186.86</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179,864,186.86</w:t>
            </w:r>
            <w:r>
              <w:rPr>
                <w:rFonts w:ascii="Times New Roman"/>
                <w:sz w:val="18"/>
              </w:rPr>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34,607,502.36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34,607,502.36</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833,509,906.60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237,589,766.00</w:t>
            </w:r>
            <w:r>
              <w:rPr>
                <w:rFonts w:ascii="Times New Roman"/>
                <w:sz w:val="18"/>
              </w:rPr>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833,509,906.60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237,589,766.00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82"/>
          <w:pgSz w:w="11910" w:h="16840"/>
          <w:pgMar w:footer="1134" w:header="882" w:top="1280" w:bottom="1320" w:left="980" w:right="0"/>
        </w:sectPr>
      </w:pPr>
    </w:p>
    <w:p>
      <w:pPr>
        <w:pStyle w:val="BodyText"/>
        <w:spacing w:line="444" w:lineRule="auto" w:before="110"/>
        <w:ind w:right="6566"/>
        <w:jc w:val="both"/>
      </w:pPr>
      <w:r>
        <w:rPr>
          <w:spacing w:val="-2"/>
        </w:rPr>
        <w:t>可辨认资产、负债公允价值的确定方法：</w:t>
      </w:r>
      <w:r>
        <w:rPr>
          <w:spacing w:val="-69"/>
        </w:rPr>
        <w:t> </w:t>
      </w:r>
      <w:r>
        <w:rPr>
          <w:spacing w:val="-69"/>
        </w:rPr>
      </w:r>
      <w:r>
        <w:rPr>
          <w:spacing w:val="-2"/>
        </w:rPr>
        <w:t>企业合并中承担的被购买方的或有负债：</w:t>
      </w:r>
      <w:r>
        <w:rPr>
          <w:spacing w:val="-69"/>
        </w:rPr>
        <w:t> </w:t>
      </w:r>
      <w:r>
        <w:rPr>
          <w:spacing w:val="-69"/>
        </w:rPr>
      </w:r>
      <w:r>
        <w:rPr/>
        <w:t>其他说明：</w:t>
      </w:r>
    </w:p>
    <w:p>
      <w:pPr>
        <w:spacing w:line="240" w:lineRule="auto" w:before="11"/>
        <w:rPr>
          <w:rFonts w:ascii="宋体" w:hAnsi="宋体" w:cs="宋体" w:eastAsia="宋体" w:hint="default"/>
          <w:sz w:val="19"/>
          <w:szCs w:val="19"/>
        </w:rPr>
      </w:pPr>
    </w:p>
    <w:p>
      <w:pPr>
        <w:spacing w:line="470" w:lineRule="auto" w:before="0"/>
        <w:ind w:left="572" w:right="1127" w:hanging="420"/>
        <w:jc w:val="left"/>
        <w:rPr>
          <w:rFonts w:ascii="宋体" w:hAnsi="宋体" w:cs="宋体" w:eastAsia="宋体" w:hint="default"/>
          <w:sz w:val="21"/>
          <w:szCs w:val="21"/>
        </w:rPr>
      </w:pPr>
      <w:bookmarkStart w:name="（4）购买日之前持有的股权按照公允价值重新计量产生的利得或损失" w:id="542"/>
      <w:bookmarkEnd w:id="5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40" w:lineRule="auto" w:before="32"/>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3"/>
        <w:rPr>
          <w:rFonts w:ascii="宋体" w:hAnsi="宋体" w:cs="宋体" w:eastAsia="宋体" w:hint="default"/>
          <w:sz w:val="32"/>
          <w:szCs w:val="32"/>
        </w:rPr>
      </w:pPr>
    </w:p>
    <w:p>
      <w:pPr>
        <w:pStyle w:val="Heading4"/>
        <w:spacing w:line="240" w:lineRule="auto"/>
        <w:ind w:right="1127"/>
        <w:jc w:val="left"/>
        <w:rPr>
          <w:b w:val="0"/>
          <w:bCs w:val="0"/>
        </w:rPr>
      </w:pPr>
      <w:bookmarkStart w:name="（5）购买日或合并当期期末无法合理确定合并对价或被购买方可辨认资产、负债公允价值" w:id="543"/>
      <w:bookmarkEnd w:id="543"/>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1127"/>
        <w:jc w:val="left"/>
        <w:rPr>
          <w:b w:val="0"/>
          <w:bCs w:val="0"/>
        </w:rPr>
      </w:pPr>
      <w:bookmarkStart w:name="（6）其他说明" w:id="544"/>
      <w:bookmarkEnd w:id="544"/>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2、同一控制下企业合并" w:id="545"/>
      <w:bookmarkEnd w:id="545"/>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1）本期发生的同一控制下企业合并" w:id="546"/>
      <w:bookmarkEnd w:id="546"/>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10"/>
        <w:rPr>
          <w:rFonts w:ascii="宋体" w:hAnsi="宋体" w:cs="宋体" w:eastAsia="宋体" w:hint="default"/>
          <w:b/>
          <w:bCs/>
          <w:sz w:val="21"/>
          <w:szCs w:val="21"/>
        </w:rPr>
      </w:pPr>
    </w:p>
    <w:p>
      <w:pPr>
        <w:spacing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3"/>
        <w:gridCol w:w="1066"/>
        <w:gridCol w:w="1064"/>
        <w:gridCol w:w="1062"/>
        <w:gridCol w:w="1066"/>
        <w:gridCol w:w="1063"/>
      </w:tblGrid>
      <w:tr>
        <w:trPr>
          <w:trHeight w:val="1022" w:hRule="exact"/>
        </w:trPr>
        <w:tc>
          <w:tcPr>
            <w:tcW w:w="1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435"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150"/>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150"/>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
              <w:ind w:left="76" w:right="77"/>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150"/>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150"/>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2）合并成本" w:id="547"/>
      <w:bookmarkEnd w:id="547"/>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p>
      <w:pPr>
        <w:spacing w:line="343" w:lineRule="exact"/>
        <w:ind w:left="148"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78.95pt;height:17.2pt;mso-position-horizontal-relative:char;mso-position-vertical-relative:line" coordorigin="0,0" coordsize="9579,344">
            <v:group style="position:absolute;left:23;top:14;width:2;height:315" coordorigin="23,14" coordsize="2,315">
              <v:shape style="position:absolute;left:23;top:14;width:2;height:315" coordorigin="23,14" coordsize="0,315" path="m23,14l23,329e" filled="false" stroked="true" strokeweight="1.08pt" strokecolor="#d4d4d4">
                <v:path arrowok="t"/>
              </v:shape>
            </v:group>
            <v:group style="position:absolute;left:4774;top:14;width:2;height:315" coordorigin="4774,14" coordsize="2,315">
              <v:shape style="position:absolute;left:4774;top:14;width:2;height:315" coordorigin="4774,14" coordsize="0,315" path="m4774,14l4774,329e" filled="false" stroked="true" strokeweight="1.2pt" strokecolor="#d4d4d4">
                <v:path arrowok="t"/>
              </v:shape>
            </v:group>
            <v:group style="position:absolute;left:34;top:14;width:4728;height:315" coordorigin="34,14" coordsize="4728,315">
              <v:shape style="position:absolute;left:34;top:14;width:4728;height:315" coordorigin="34,14" coordsize="4728,315" path="m34,329l4762,329,4762,14,34,14,34,329xe" filled="true" fillcolor="#d4d4d4" stroked="false">
                <v:path arrowok="t"/>
                <v:fill type="solid"/>
              </v:shape>
            </v:group>
            <v:group style="position:absolute;left:4795;top:22;width:4774;height:2" coordorigin="4795,22" coordsize="4774,2">
              <v:shape style="position:absolute;left:4795;top:22;width:4774;height:2" coordorigin="4795,22" coordsize="4774,0" path="m4795,22l9569,22e" filled="false" stroked="true" strokeweight=".72pt" strokecolor="#d4d4d4">
                <v:path arrowok="t"/>
              </v:shape>
            </v:group>
            <v:group style="position:absolute;left:4806;top:29;width:2;height:286" coordorigin="4806,29" coordsize="2,286">
              <v:shape style="position:absolute;left:4806;top:29;width:2;height:286" coordorigin="4806,29" coordsize="0,286" path="m4806,29l4806,314e" filled="false" stroked="true" strokeweight="1.08pt" strokecolor="#d4d4d4">
                <v:path arrowok="t"/>
              </v:shape>
            </v:group>
            <v:group style="position:absolute;left:9557;top:29;width:2;height:286" coordorigin="9557,29" coordsize="2,286">
              <v:shape style="position:absolute;left:9557;top:29;width:2;height:286" coordorigin="9557,29" coordsize="0,286" path="m9557,29l9557,314e" filled="false" stroked="true" strokeweight="1.2pt" strokecolor="#d4d4d4">
                <v:path arrowok="t"/>
              </v:shape>
            </v:group>
            <v:group style="position:absolute;left:4795;top:322;width:4774;height:2" coordorigin="4795,322" coordsize="4774,2">
              <v:shape style="position:absolute;left:4795;top:322;width:4774;height:2" coordorigin="4795,322" coordsize="4774,0" path="m4795,322l9569,322e" filled="false" stroked="true" strokeweight=".72pt" strokecolor="#d4d4d4">
                <v:path arrowok="t"/>
              </v:shape>
            </v:group>
            <v:group style="position:absolute;left:4817;top:29;width:4728;height:286" coordorigin="4817,29" coordsize="4728,286">
              <v:shape style="position:absolute;left:4817;top:29;width:4728;height:286" coordorigin="4817,29" coordsize="4728,286" path="m4817,314l9545,314,9545,29,4817,29,4817,314xe" filled="true" fillcolor="#d4d4d4"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334" coordorigin="5,5" coordsize="2,334">
              <v:shape style="position:absolute;left:5;top:5;width:2;height:334" coordorigin="5,5" coordsize="0,334" path="m5,5l5,338e" filled="false" stroked="true" strokeweight=".48pt" strokecolor="#000000">
                <v:path arrowok="t"/>
              </v:shape>
            </v:group>
            <v:group style="position:absolute;left:10;top:334;width:4774;height:2" coordorigin="10,334" coordsize="4774,2">
              <v:shape style="position:absolute;left:10;top:334;width:4774;height:2" coordorigin="10,334" coordsize="4774,0" path="m10,334l4783,334e" filled="false" stroked="true" strokeweight=".48pt" strokecolor="#000000">
                <v:path arrowok="t"/>
              </v:shape>
            </v:group>
            <v:group style="position:absolute;left:4788;top:5;width:2;height:334" coordorigin="4788,5" coordsize="2,334">
              <v:shape style="position:absolute;left:4788;top:5;width:2;height:334" coordorigin="4788,5" coordsize="0,334" path="m4788,5l4788,338e" filled="false" stroked="true" strokeweight=".48pt" strokecolor="#000000">
                <v:path arrowok="t"/>
              </v:shape>
            </v:group>
            <v:group style="position:absolute;left:4793;top:334;width:4776;height:2" coordorigin="4793,334" coordsize="4776,2">
              <v:shape style="position:absolute;left:4793;top:334;width:4776;height:2" coordorigin="4793,334" coordsize="4776,0" path="m4793,334l9569,334e" filled="false" stroked="true" strokeweight=".48pt" strokecolor="#000000">
                <v:path arrowok="t"/>
              </v:shape>
            </v:group>
            <v:group style="position:absolute;left:9574;top:5;width:2;height:334" coordorigin="9574,5" coordsize="2,334">
              <v:shape style="position:absolute;left:9574;top:5;width:2;height:334" coordorigin="9574,5" coordsize="0,334" path="m9574,5l9574,338e" filled="false" stroked="true" strokeweight=".48pt" strokecolor="#000000">
                <v:path arrowok="t"/>
              </v:shape>
              <v:shape style="position:absolute;left:6;top:10;width:4782;height:324" type="#_x0000_t202" filled="false" stroked="false">
                <v:textbox inset="0,0,0,0">
                  <w:txbxContent>
                    <w:p>
                      <w:pPr>
                        <w:spacing w:before="13"/>
                        <w:ind w:left="1"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6"/>
          <w:sz w:val="20"/>
          <w:szCs w:val="20"/>
        </w:rPr>
      </w:r>
    </w:p>
    <w:p>
      <w:pPr>
        <w:pStyle w:val="BodyText"/>
        <w:spacing w:line="444" w:lineRule="auto" w:before="59"/>
        <w:ind w:right="7290"/>
        <w:jc w:val="left"/>
      </w:pPr>
      <w:r>
        <w:rPr>
          <w:spacing w:val="-2"/>
        </w:rPr>
        <w:t>或有对价及其变动的说明：</w:t>
      </w:r>
      <w:r>
        <w:rPr>
          <w:spacing w:val="-82"/>
        </w:rPr>
        <w:t> </w:t>
      </w:r>
      <w:r>
        <w:rPr>
          <w:spacing w:val="-82"/>
        </w:rPr>
      </w:r>
      <w:r>
        <w:rPr/>
        <w:t>其他说明：</w:t>
      </w:r>
    </w:p>
    <w:p>
      <w:pPr>
        <w:spacing w:line="240" w:lineRule="auto" w:before="11"/>
        <w:rPr>
          <w:rFonts w:ascii="宋体" w:hAnsi="宋体" w:cs="宋体" w:eastAsia="宋体" w:hint="default"/>
          <w:sz w:val="19"/>
          <w:szCs w:val="19"/>
        </w:rPr>
      </w:pPr>
    </w:p>
    <w:p>
      <w:pPr>
        <w:pStyle w:val="Heading4"/>
        <w:spacing w:line="240" w:lineRule="auto"/>
        <w:ind w:right="1127"/>
        <w:jc w:val="left"/>
        <w:rPr>
          <w:b w:val="0"/>
          <w:bCs w:val="0"/>
        </w:rPr>
      </w:pPr>
      <w:bookmarkStart w:name="（3）合并日被合并方资产、负债的账面价值" w:id="548"/>
      <w:bookmarkEnd w:id="548"/>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p>
      <w:pPr>
        <w:spacing w:line="638" w:lineRule="exact"/>
        <w:ind w:left="148"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79.05pt;height:31.95pt;mso-position-horizontal-relative:char;mso-position-vertical-relative:line" coordorigin="0,0" coordsize="9581,639">
            <v:group style="position:absolute;left:23;top:14;width:2;height:288" coordorigin="23,14" coordsize="2,288">
              <v:shape style="position:absolute;left:23;top:14;width:2;height:288" coordorigin="23,14" coordsize="0,288" path="m23,14l23,302e" filled="false" stroked="true" strokeweight="1.08pt" strokecolor="#d4d4d4">
                <v:path arrowok="t"/>
              </v:shape>
            </v:group>
            <v:group style="position:absolute;left:3180;top:14;width:2;height:288" coordorigin="3180,14" coordsize="2,288">
              <v:shape style="position:absolute;left:3180;top:14;width:2;height:288" coordorigin="3180,14" coordsize="0,288" path="m3180,14l3180,302e" filled="false" stroked="true" strokeweight="1.2pt" strokecolor="#d4d4d4">
                <v:path arrowok="t"/>
              </v:shape>
            </v:group>
            <v:group style="position:absolute;left:34;top:14;width:3135;height:288" coordorigin="34,14" coordsize="3135,288">
              <v:shape style="position:absolute;left:34;top:14;width:3135;height:288" coordorigin="34,14" coordsize="3135,288" path="m34,302l3168,302,3168,14,34,14,34,302xe" filled="true" fillcolor="#d4d4d4" stroked="false">
                <v:path arrowok="t"/>
                <v:fill type="solid"/>
              </v:shape>
            </v:group>
            <v:group style="position:absolute;left:3212;top:14;width:2;height:288" coordorigin="3212,14" coordsize="2,288">
              <v:shape style="position:absolute;left:3212;top:14;width:2;height:288" coordorigin="3212,14" coordsize="0,288" path="m3212,14l3212,302e" filled="false" stroked="true" strokeweight="1.08pt" strokecolor="#d4d4d4">
                <v:path arrowok="t"/>
              </v:shape>
            </v:group>
            <v:group style="position:absolute;left:9559;top:14;width:2;height:288" coordorigin="9559,14" coordsize="2,288">
              <v:shape style="position:absolute;left:9559;top:14;width:2;height:288" coordorigin="9559,14" coordsize="0,288" path="m9559,14l9559,302e" filled="false" stroked="true" strokeweight="1.2pt" strokecolor="#d4d4d4">
                <v:path arrowok="t"/>
              </v:shape>
            </v:group>
            <v:group style="position:absolute;left:3223;top:14;width:6324;height:288" coordorigin="3223,14" coordsize="6324,288">
              <v:shape style="position:absolute;left:3223;top:14;width:6324;height:288" coordorigin="3223,14" coordsize="6324,288" path="m3223,302l9547,302,9547,14,3223,14,3223,302xe" filled="true" fillcolor="#d4d4d4" stroked="false">
                <v:path arrowok="t"/>
                <v:fill type="solid"/>
              </v:shape>
            </v:group>
            <v:group style="position:absolute;left:10;top:10;width:3180;height:2" coordorigin="10,10" coordsize="3180,2">
              <v:shape style="position:absolute;left:10;top:10;width:3180;height:2" coordorigin="10,10" coordsize="3180,0" path="m10,10l3190,10e" filled="false" stroked="true" strokeweight=".48pt" strokecolor="#000000">
                <v:path arrowok="t"/>
              </v:shape>
            </v:group>
            <v:group style="position:absolute;left:3199;top:10;width:6372;height:2" coordorigin="3199,10" coordsize="6372,2">
              <v:shape style="position:absolute;left:3199;top:10;width:6372;height:2" coordorigin="3199,10" coordsize="6372,0" path="m3199,10l9571,10e" filled="false" stroked="true" strokeweight=".48pt" strokecolor="#000000">
                <v:path arrowok="t"/>
              </v:shape>
            </v:group>
            <v:group style="position:absolute;left:12;top:318;width:3180;height:2" coordorigin="12,318" coordsize="3180,2">
              <v:shape style="position:absolute;left:12;top:318;width:3180;height:2" coordorigin="12,318" coordsize="3180,0" path="m12,318l3192,318e" filled="false" stroked="true" strokeweight=".6pt" strokecolor="#d4d4d4">
                <v:path arrowok="t"/>
              </v:shape>
            </v:group>
            <v:group style="position:absolute;left:23;top:324;width:2;height:288" coordorigin="23,324" coordsize="2,288">
              <v:shape style="position:absolute;left:23;top:324;width:2;height:288" coordorigin="23,324" coordsize="0,288" path="m23,324l23,612e" filled="false" stroked="true" strokeweight="1.08pt" strokecolor="#d4d4d4">
                <v:path arrowok="t"/>
              </v:shape>
            </v:group>
            <v:group style="position:absolute;left:3180;top:324;width:2;height:288" coordorigin="3180,324" coordsize="2,288">
              <v:shape style="position:absolute;left:3180;top:324;width:2;height:288" coordorigin="3180,324" coordsize="0,288" path="m3180,324l3180,612e" filled="false" stroked="true" strokeweight="1.2pt" strokecolor="#d4d4d4">
                <v:path arrowok="t"/>
              </v:shape>
            </v:group>
            <v:group style="position:absolute;left:12;top:618;width:3180;height:2" coordorigin="12,618" coordsize="3180,2">
              <v:shape style="position:absolute;left:12;top:618;width:3180;height:2" coordorigin="12,618" coordsize="3180,0" path="m12,618l3192,618e" filled="false" stroked="true" strokeweight=".6pt" strokecolor="#d4d4d4">
                <v:path arrowok="t"/>
              </v:shape>
            </v:group>
            <v:group style="position:absolute;left:34;top:324;width:3135;height:288" coordorigin="34,324" coordsize="3135,288">
              <v:shape style="position:absolute;left:34;top:324;width:3135;height:288" coordorigin="34,324" coordsize="3135,288" path="m34,612l3168,612,3168,324,34,324,34,612xe" filled="true" fillcolor="#d4d4d4" stroked="false">
                <v:path arrowok="t"/>
                <v:fill type="solid"/>
              </v:shape>
            </v:group>
            <v:group style="position:absolute;left:3212;top:312;width:2;height:312" coordorigin="3212,312" coordsize="2,312">
              <v:shape style="position:absolute;left:3212;top:312;width:2;height:312" coordorigin="3212,312" coordsize="0,312" path="m3212,312l3212,624e" filled="false" stroked="true" strokeweight="1.08pt" strokecolor="#d4d4d4">
                <v:path arrowok="t"/>
              </v:shape>
            </v:group>
            <v:group style="position:absolute;left:6370;top:312;width:2;height:312" coordorigin="6370,312" coordsize="2,312">
              <v:shape style="position:absolute;left:6370;top:312;width:2;height:312" coordorigin="6370,312" coordsize="0,312" path="m6370,312l6370,624e" filled="false" stroked="true" strokeweight="1.2pt" strokecolor="#d4d4d4">
                <v:path arrowok="t"/>
              </v:shape>
            </v:group>
            <v:group style="position:absolute;left:3223;top:312;width:3135;height:312" coordorigin="3223,312" coordsize="3135,312">
              <v:shape style="position:absolute;left:3223;top:312;width:3135;height:312" coordorigin="3223,312" coordsize="3135,312" path="m3223,624l6358,624,6358,312,3223,312,3223,624xe" filled="true" fillcolor="#d4d4d4" stroked="false">
                <v:path arrowok="t"/>
                <v:fill type="solid"/>
              </v:shape>
            </v:group>
            <v:group style="position:absolute;left:6402;top:312;width:2;height:312" coordorigin="6402,312" coordsize="2,312">
              <v:shape style="position:absolute;left:6402;top:312;width:2;height:312" coordorigin="6402,312" coordsize="0,312" path="m6402,312l6402,624e" filled="false" stroked="true" strokeweight="1.08pt" strokecolor="#d4d4d4">
                <v:path arrowok="t"/>
              </v:shape>
            </v:group>
            <v:group style="position:absolute;left:9559;top:312;width:2;height:312" coordorigin="9559,312" coordsize="2,312">
              <v:shape style="position:absolute;left:9559;top:312;width:2;height:312" coordorigin="9559,312" coordsize="0,312" path="m9559,312l9559,624e" filled="false" stroked="true" strokeweight="1.2pt" strokecolor="#d4d4d4">
                <v:path arrowok="t"/>
              </v:shape>
            </v:group>
            <v:group style="position:absolute;left:6413;top:312;width:3135;height:312" coordorigin="6413,312" coordsize="3135,312">
              <v:shape style="position:absolute;left:6413;top:312;width:3135;height:312" coordorigin="6413,312" coordsize="3135,312" path="m6413,624l9547,624,9547,312,6413,312,6413,624xe" filled="true" fillcolor="#d4d4d4" stroked="false">
                <v:path arrowok="t"/>
                <v:fill type="solid"/>
              </v:shape>
            </v:group>
            <v:group style="position:absolute;left:10;top:307;width:3180;height:2" coordorigin="10,307" coordsize="3180,2">
              <v:shape style="position:absolute;left:10;top:307;width:3180;height:2" coordorigin="10,307" coordsize="3180,0" path="m10,307l3190,307e" filled="false" stroked="true" strokeweight=".48pt" strokecolor="#000000">
                <v:path arrowok="t"/>
              </v:shape>
            </v:group>
            <v:group style="position:absolute;left:3199;top:307;width:3180;height:2" coordorigin="3199,307" coordsize="3180,2">
              <v:shape style="position:absolute;left:3199;top:307;width:3180;height:2" coordorigin="3199,307" coordsize="3180,0" path="m3199,307l6379,307e" filled="false" stroked="true" strokeweight=".48pt" strokecolor="#000000">
                <v:path arrowok="t"/>
              </v:shape>
            </v:group>
            <v:group style="position:absolute;left:6389;top:307;width:3183;height:2" coordorigin="6389,307" coordsize="3183,2">
              <v:shape style="position:absolute;left:6389;top:307;width:3183;height:2" coordorigin="6389,307" coordsize="3183,0" path="m6389,307l9571,307e" filled="false" stroked="true" strokeweight=".48pt" strokecolor="#000000">
                <v:path arrowok="t"/>
              </v:shape>
            </v:group>
            <v:group style="position:absolute;left:5;top:5;width:2;height:629" coordorigin="5,5" coordsize="2,629">
              <v:shape style="position:absolute;left:5;top:5;width:2;height:629" coordorigin="5,5" coordsize="0,629" path="m5,5l5,634e" filled="false" stroked="true" strokeweight=".48pt" strokecolor="#000000">
                <v:path arrowok="t"/>
              </v:shape>
            </v:group>
            <v:group style="position:absolute;left:10;top:629;width:3180;height:2" coordorigin="10,629" coordsize="3180,2">
              <v:shape style="position:absolute;left:10;top:629;width:3180;height:2" coordorigin="10,629" coordsize="3180,0" path="m10,629l3190,629e" filled="false" stroked="true" strokeweight=".48pt" strokecolor="#000000">
                <v:path arrowok="t"/>
              </v:shape>
            </v:group>
            <v:group style="position:absolute;left:3194;top:5;width:2;height:629" coordorigin="3194,5" coordsize="2,629">
              <v:shape style="position:absolute;left:3194;top:5;width:2;height:629" coordorigin="3194,5" coordsize="0,629" path="m3194,5l3194,634e" filled="false" stroked="true" strokeweight=".48pt" strokecolor="#000000">
                <v:path arrowok="t"/>
              </v:shape>
            </v:group>
            <v:group style="position:absolute;left:3199;top:629;width:3180;height:2" coordorigin="3199,629" coordsize="3180,2">
              <v:shape style="position:absolute;left:3199;top:629;width:3180;height:2" coordorigin="3199,629" coordsize="3180,0" path="m3199,629l6379,629e" filled="false" stroked="true" strokeweight=".48pt" strokecolor="#000000">
                <v:path arrowok="t"/>
              </v:shape>
            </v:group>
            <v:group style="position:absolute;left:6384;top:302;width:2;height:332" coordorigin="6384,302" coordsize="2,332">
              <v:shape style="position:absolute;left:6384;top:302;width:2;height:332" coordorigin="6384,302" coordsize="0,332" path="m6384,302l6384,634e" filled="false" stroked="true" strokeweight=".48pt" strokecolor="#000000">
                <v:path arrowok="t"/>
              </v:shape>
            </v:group>
            <v:group style="position:absolute;left:6389;top:629;width:3183;height:2" coordorigin="6389,629" coordsize="3183,2">
              <v:shape style="position:absolute;left:6389;top:629;width:3183;height:2" coordorigin="6389,629" coordsize="3183,0" path="m6389,629l9571,629e" filled="false" stroked="true" strokeweight=".48pt" strokecolor="#000000">
                <v:path arrowok="t"/>
              </v:shape>
            </v:group>
            <v:group style="position:absolute;left:9576;top:5;width:2;height:629" coordorigin="9576,5" coordsize="2,629">
              <v:shape style="position:absolute;left:9576;top:5;width:2;height:629" coordorigin="9576,5" coordsize="0,629" path="m9576,5l9576,634e" filled="false" stroked="true" strokeweight=".48pt" strokecolor="#000000">
                <v:path arrowok="t"/>
              </v:shape>
              <v:shape style="position:absolute;left:3194;top:313;width:3190;height:316" type="#_x0000_t202" filled="false" stroked="false">
                <v:textbox inset="0,0,0,0">
                  <w:txbxContent>
                    <w:p>
                      <w:pPr>
                        <w:spacing w:before="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4;top:313;width:3192;height:316" type="#_x0000_t202" filled="false" stroked="false">
                <v:textbox inset="0,0,0,0">
                  <w:txbxContent>
                    <w:p>
                      <w:pPr>
                        <w:spacing w:before="7"/>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2"/>
          <w:sz w:val="20"/>
          <w:szCs w:val="20"/>
        </w:rPr>
      </w:r>
    </w:p>
    <w:p>
      <w:pPr>
        <w:pStyle w:val="BodyText"/>
        <w:spacing w:line="444" w:lineRule="auto" w:before="60"/>
        <w:ind w:right="5790"/>
        <w:jc w:val="left"/>
      </w:pPr>
      <w:r>
        <w:rPr>
          <w:spacing w:val="-2"/>
        </w:rPr>
        <w:t>企业合并中承担的被合并方的或有负债：</w:t>
      </w:r>
      <w:r>
        <w:rPr>
          <w:spacing w:val="-69"/>
        </w:rPr>
        <w:t> </w:t>
      </w:r>
      <w:r>
        <w:rPr>
          <w:spacing w:val="-69"/>
        </w:rPr>
      </w:r>
      <w:r>
        <w:rPr/>
        <w:t>其他说明：</w:t>
      </w:r>
    </w:p>
    <w:p>
      <w:pPr>
        <w:spacing w:line="240" w:lineRule="auto" w:before="11"/>
        <w:rPr>
          <w:rFonts w:ascii="宋体" w:hAnsi="宋体" w:cs="宋体" w:eastAsia="宋体" w:hint="default"/>
          <w:sz w:val="19"/>
          <w:szCs w:val="19"/>
        </w:rPr>
      </w:pPr>
    </w:p>
    <w:p>
      <w:pPr>
        <w:pStyle w:val="Heading4"/>
        <w:spacing w:line="240" w:lineRule="auto"/>
        <w:ind w:right="1127"/>
        <w:jc w:val="left"/>
        <w:rPr>
          <w:b w:val="0"/>
          <w:bCs w:val="0"/>
        </w:rPr>
      </w:pPr>
      <w:bookmarkStart w:name="3、反向购买" w:id="549"/>
      <w:bookmarkEnd w:id="549"/>
      <w:r>
        <w:rPr>
          <w:b w:val="0"/>
          <w:bCs w:val="0"/>
        </w:rPr>
      </w:r>
      <w:r>
        <w:rPr>
          <w:rFonts w:ascii="Times New Roman" w:hAnsi="Times New Roman" w:cs="Times New Roman" w:eastAsia="Times New Roman" w:hint="default"/>
        </w:rPr>
        <w:t>3</w:t>
      </w:r>
      <w:r>
        <w:rPr/>
        <w:t>、反向购买</w:t>
      </w:r>
      <w:r>
        <w:rPr>
          <w:b w:val="0"/>
          <w:bCs w:val="0"/>
        </w:rPr>
      </w:r>
    </w:p>
    <w:p>
      <w:pPr>
        <w:spacing w:after="0" w:line="240" w:lineRule="auto"/>
        <w:jc w:val="left"/>
        <w:sectPr>
          <w:footerReference w:type="default" r:id="rId83"/>
          <w:pgSz w:w="11910" w:h="16840"/>
          <w:pgMar w:footer="1134" w:header="882" w:top="1280" w:bottom="1320" w:left="980" w:right="0"/>
          <w:pgNumType w:start="251"/>
        </w:sectPr>
      </w:pPr>
    </w:p>
    <w:p>
      <w:pPr>
        <w:pStyle w:val="BodyText"/>
        <w:spacing w:line="355" w:lineRule="auto" w:before="112"/>
        <w:ind w:left="152" w:right="1127" w:firstLine="420"/>
        <w:jc w:val="left"/>
      </w:pPr>
      <w:r>
        <w:rPr>
          <w:spacing w:val="-3"/>
        </w:rPr>
        <w:t>交易基本信息、交易构成反向购买的依据、上市公司保留的资产、负债是否构成业务及其依据、合并</w:t>
      </w:r>
      <w:r>
        <w:rPr>
          <w:spacing w:val="-3"/>
          <w:w w:val="100"/>
        </w:rPr>
        <w:t> </w:t>
      </w:r>
      <w:r>
        <w:rPr/>
        <w:t>成本的确定、按照权益性交易处理时调整权益的金额及其计算：</w:t>
      </w:r>
    </w:p>
    <w:p>
      <w:pPr>
        <w:spacing w:line="240" w:lineRule="auto" w:before="10"/>
        <w:rPr>
          <w:rFonts w:ascii="宋体" w:hAnsi="宋体" w:cs="宋体" w:eastAsia="宋体" w:hint="default"/>
          <w:sz w:val="25"/>
          <w:szCs w:val="25"/>
        </w:rPr>
      </w:pPr>
    </w:p>
    <w:p>
      <w:pPr>
        <w:pStyle w:val="Heading4"/>
        <w:spacing w:line="240" w:lineRule="auto"/>
        <w:ind w:right="1127"/>
        <w:jc w:val="left"/>
        <w:rPr>
          <w:b w:val="0"/>
          <w:bCs w:val="0"/>
        </w:rPr>
      </w:pPr>
      <w:bookmarkStart w:name="4、处置子公司" w:id="550"/>
      <w:bookmarkEnd w:id="550"/>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right="1127"/>
        <w:jc w:val="left"/>
      </w:pPr>
      <w:r>
        <w:rPr/>
        <w:t>是否存在单次处置对子公司投资即丧失控制权的情形</w:t>
      </w:r>
    </w:p>
    <w:p>
      <w:pPr>
        <w:spacing w:line="240" w:lineRule="auto" w:before="12"/>
        <w:rPr>
          <w:rFonts w:ascii="宋体" w:hAnsi="宋体" w:cs="宋体" w:eastAsia="宋体" w:hint="default"/>
          <w:sz w:val="17"/>
          <w:szCs w:val="17"/>
        </w:rPr>
      </w:pPr>
    </w:p>
    <w:p>
      <w:pPr>
        <w:pStyle w:val="BodyText"/>
        <w:spacing w:line="240" w:lineRule="auto"/>
        <w:ind w:right="11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w:t>
      </w:r>
    </w:p>
    <w:p>
      <w:pPr>
        <w:spacing w:line="240" w:lineRule="auto" w:before="13"/>
        <w:rPr>
          <w:rFonts w:ascii="宋体" w:hAnsi="宋体" w:cs="宋体" w:eastAsia="宋体" w:hint="default"/>
          <w:sz w:val="16"/>
          <w:szCs w:val="16"/>
        </w:rPr>
      </w:pPr>
    </w:p>
    <w:p>
      <w:pPr>
        <w:spacing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4"/>
        <w:gridCol w:w="737"/>
        <w:gridCol w:w="734"/>
        <w:gridCol w:w="734"/>
        <w:gridCol w:w="734"/>
        <w:gridCol w:w="737"/>
        <w:gridCol w:w="737"/>
        <w:gridCol w:w="737"/>
        <w:gridCol w:w="734"/>
        <w:gridCol w:w="737"/>
      </w:tblGrid>
      <w:tr>
        <w:trPr>
          <w:trHeight w:val="2892" w:hRule="exact"/>
        </w:trPr>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32" w:lineRule="exact"/>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32" w:lineRule="exact"/>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32" w:lineRule="exact"/>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32" w:lineRule="exact"/>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19"/>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37"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
              <w:ind w:left="93" w:right="8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93"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258"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61"/>
              <w:jc w:val="both"/>
              <w:rPr>
                <w:rFonts w:ascii="宋体" w:hAnsi="宋体" w:cs="宋体" w:eastAsia="宋体" w:hint="default"/>
                <w:sz w:val="18"/>
                <w:szCs w:val="18"/>
              </w:rPr>
            </w:pPr>
            <w:r>
              <w:rPr>
                <w:rFonts w:ascii="宋体" w:hAnsi="宋体" w:cs="宋体" w:eastAsia="宋体" w:hint="default"/>
                <w:sz w:val="18"/>
                <w:szCs w:val="18"/>
              </w:rPr>
              <w:t>郑州众 合景轩 信息技 术有限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1,020,00</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23" w:right="158"/>
              <w:jc w:val="both"/>
              <w:rPr>
                <w:rFonts w:ascii="宋体" w:hAnsi="宋体" w:cs="宋体" w:eastAsia="宋体" w:hint="default"/>
                <w:sz w:val="18"/>
                <w:szCs w:val="18"/>
              </w:rPr>
            </w:pPr>
            <w:r>
              <w:rPr>
                <w:rFonts w:ascii="宋体" w:hAnsi="宋体" w:cs="宋体" w:eastAsia="宋体" w:hint="default"/>
                <w:sz w:val="18"/>
                <w:szCs w:val="18"/>
              </w:rPr>
              <w:t>收到股 权转让 款</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14,456,8</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98.50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61"/>
              <w:jc w:val="both"/>
              <w:rPr>
                <w:rFonts w:ascii="宋体" w:hAnsi="宋体" w:cs="宋体" w:eastAsia="宋体" w:hint="default"/>
                <w:sz w:val="18"/>
                <w:szCs w:val="18"/>
              </w:rPr>
            </w:pPr>
            <w:r>
              <w:rPr>
                <w:rFonts w:ascii="宋体" w:hAnsi="宋体" w:cs="宋体" w:eastAsia="宋体" w:hint="default"/>
                <w:sz w:val="18"/>
                <w:szCs w:val="18"/>
              </w:rPr>
              <w:t>浙江小 望科技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4,800,00</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6"/>
              <w:jc w:val="right"/>
              <w:rPr>
                <w:rFonts w:ascii="Times New Roman" w:hAnsi="Times New Roman" w:cs="Times New Roman" w:eastAsia="Times New Roman" w:hint="default"/>
                <w:sz w:val="18"/>
                <w:szCs w:val="18"/>
              </w:rPr>
            </w:pPr>
            <w:r>
              <w:rPr>
                <w:rFonts w:ascii="Times New Roman"/>
                <w:sz w:val="18"/>
              </w:rPr>
              <w:t>40.00%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3" w:right="158"/>
              <w:jc w:val="left"/>
              <w:rPr>
                <w:rFonts w:ascii="宋体" w:hAnsi="宋体" w:cs="宋体" w:eastAsia="宋体" w:hint="default"/>
                <w:sz w:val="18"/>
                <w:szCs w:val="18"/>
              </w:rPr>
            </w:pPr>
            <w:r>
              <w:rPr>
                <w:rFonts w:ascii="宋体" w:hAnsi="宋体" w:cs="宋体" w:eastAsia="宋体" w:hint="default"/>
                <w:sz w:val="18"/>
                <w:szCs w:val="18"/>
              </w:rPr>
              <w:t>工商变 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1,158,95</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2.01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48" w:right="0"/>
              <w:jc w:val="left"/>
              <w:rPr>
                <w:rFonts w:ascii="Times New Roman" w:hAnsi="Times New Roman" w:cs="Times New Roman" w:eastAsia="Times New Roman" w:hint="default"/>
                <w:sz w:val="18"/>
                <w:szCs w:val="18"/>
              </w:rPr>
            </w:pPr>
            <w:r>
              <w:rPr>
                <w:rFonts w:ascii="Times New Roman"/>
                <w:sz w:val="18"/>
              </w:rPr>
              <w:t>38.00%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left="74" w:right="0"/>
              <w:jc w:val="left"/>
              <w:rPr>
                <w:rFonts w:ascii="Times New Roman" w:hAnsi="Times New Roman" w:cs="Times New Roman" w:eastAsia="Times New Roman" w:hint="default"/>
                <w:sz w:val="18"/>
                <w:szCs w:val="18"/>
              </w:rPr>
            </w:pPr>
            <w:r>
              <w:rPr>
                <w:rFonts w:ascii="Times New Roman"/>
                <w:sz w:val="18"/>
              </w:rPr>
              <w:t>3,458,99</w:t>
            </w:r>
          </w:p>
          <w:p>
            <w:pPr>
              <w:pStyle w:val="TableParagraph"/>
              <w:spacing w:line="207" w:lineRule="exact"/>
              <w:ind w:left="391" w:right="0"/>
              <w:jc w:val="left"/>
              <w:rPr>
                <w:rFonts w:ascii="Times New Roman" w:hAnsi="Times New Roman" w:cs="Times New Roman" w:eastAsia="Times New Roman" w:hint="default"/>
                <w:sz w:val="18"/>
                <w:szCs w:val="18"/>
              </w:rPr>
            </w:pPr>
            <w:r>
              <w:rPr>
                <w:rFonts w:ascii="Times New Roman"/>
                <w:sz w:val="18"/>
              </w:rPr>
              <w:t>5.59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3,458,99</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5.59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44" w:lineRule="auto" w:before="64"/>
        <w:ind w:right="3135"/>
        <w:jc w:val="left"/>
      </w:pPr>
      <w:r>
        <w:rPr/>
        <w:t>其他说明：</w:t>
      </w:r>
      <w:r>
        <w:rPr>
          <w:spacing w:val="-102"/>
        </w:rPr>
        <w:t> </w:t>
      </w:r>
      <w:r>
        <w:rPr>
          <w:spacing w:val="-102"/>
        </w:rPr>
      </w:r>
      <w:r>
        <w:rPr>
          <w:spacing w:val="-2"/>
        </w:rPr>
        <w:t>是否存在通过多次交易分步处置对子公司投资且在本期丧失控制权的情形</w:t>
      </w:r>
    </w:p>
    <w:p>
      <w:pPr>
        <w:pStyle w:val="BodyText"/>
        <w:spacing w:line="240" w:lineRule="auto" w:before="55"/>
        <w:ind w:right="11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3"/>
        <w:rPr>
          <w:rFonts w:ascii="宋体" w:hAnsi="宋体" w:cs="宋体" w:eastAsia="宋体" w:hint="default"/>
          <w:sz w:val="32"/>
          <w:szCs w:val="32"/>
        </w:rPr>
      </w:pPr>
    </w:p>
    <w:p>
      <w:pPr>
        <w:spacing w:line="456" w:lineRule="auto" w:before="0"/>
        <w:ind w:left="572" w:right="1932" w:hanging="420"/>
        <w:jc w:val="left"/>
        <w:rPr>
          <w:rFonts w:ascii="宋体" w:hAnsi="宋体" w:cs="宋体" w:eastAsia="宋体" w:hint="default"/>
          <w:sz w:val="21"/>
          <w:szCs w:val="21"/>
        </w:rPr>
      </w:pPr>
      <w:bookmarkStart w:name="5、其他原因的合并范围变动" w:id="551"/>
      <w:bookmarkEnd w:id="55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r>
        <w:rPr>
          <w:rFonts w:ascii="宋体" w:hAnsi="宋体" w:cs="宋体" w:eastAsia="宋体" w:hint="default"/>
          <w:w w:val="100"/>
          <w:sz w:val="21"/>
          <w:szCs w:val="21"/>
        </w:rPr>
        <w:t> </w:t>
      </w:r>
      <w:r>
        <w:rPr>
          <w:rFonts w:ascii="宋体" w:hAnsi="宋体" w:cs="宋体" w:eastAsia="宋体" w:hint="default"/>
          <w:sz w:val="21"/>
          <w:szCs w:val="21"/>
        </w:rPr>
        <w:t>新设子公司</w:t>
      </w:r>
    </w:p>
    <w:p>
      <w:pPr>
        <w:pStyle w:val="BodyText"/>
        <w:spacing w:line="336" w:lineRule="auto" w:before="47"/>
        <w:ind w:left="152" w:right="0" w:firstLine="420"/>
        <w:jc w:val="left"/>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2019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3"/>
        </w:rPr>
        <w:t>月，本公司第四届董事会第三十一次会议审议通过了《关于对外投资设立四川旋极智</w:t>
      </w:r>
      <w:r>
        <w:rPr>
          <w:w w:val="100"/>
        </w:rPr>
        <w:t> </w:t>
      </w:r>
      <w:r>
        <w:rPr>
          <w:spacing w:val="-7"/>
          <w:w w:val="100"/>
        </w:rPr>
        <w:t>能科技有限公司的议案》，同意公司使用自筹资金</w:t>
      </w:r>
      <w:r>
        <w:rPr>
          <w:spacing w:val="-46"/>
          <w:w w:val="100"/>
        </w:rPr>
        <w:t> </w:t>
      </w:r>
      <w:r>
        <w:rPr>
          <w:rFonts w:ascii="Times New Roman" w:hAnsi="Times New Roman" w:cs="Times New Roman" w:eastAsia="Times New Roman" w:hint="default"/>
          <w:spacing w:val="-1"/>
          <w:w w:val="100"/>
        </w:rPr>
        <w:t>20,000.00</w:t>
      </w:r>
      <w:r>
        <w:rPr>
          <w:rFonts w:ascii="Times New Roman" w:hAnsi="Times New Roman" w:cs="Times New Roman" w:eastAsia="Times New Roman" w:hint="default"/>
          <w:spacing w:val="-4"/>
          <w:w w:val="100"/>
        </w:rPr>
        <w:t> </w:t>
      </w:r>
      <w:r>
        <w:rPr>
          <w:spacing w:val="-2"/>
          <w:w w:val="100"/>
        </w:rPr>
        <w:t>万元投资设立全资子公司四川旋极智能科技有</w:t>
      </w:r>
      <w:r>
        <w:rPr>
          <w:w w:val="100"/>
        </w:rPr>
      </w:r>
    </w:p>
    <w:p>
      <w:pPr>
        <w:pStyle w:val="BodyText"/>
        <w:spacing w:line="240" w:lineRule="auto" w:before="24"/>
        <w:ind w:left="152" w:right="0"/>
        <w:jc w:val="left"/>
        <w:rPr>
          <w:rFonts w:ascii="Times New Roman" w:hAnsi="Times New Roman" w:cs="Times New Roman" w:eastAsia="Times New Roman" w:hint="default"/>
        </w:rPr>
      </w:pPr>
      <w:r>
        <w:rPr/>
        <w:t>限公司。二级子公司四川旋极智能科技有限公司已完成工商登记并领取营业执照。截止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w:t>
      </w:r>
      <w:r>
        <w:rPr>
          <w:spacing w:val="-28"/>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rPr>
      </w:r>
    </w:p>
    <w:p>
      <w:pPr>
        <w:pStyle w:val="BodyText"/>
        <w:spacing w:line="240" w:lineRule="auto" w:before="115"/>
        <w:ind w:left="152" w:right="1127"/>
        <w:jc w:val="left"/>
      </w:pPr>
      <w:r>
        <w:rPr/>
        <w:t>日，本公司尚未出资。</w:t>
      </w:r>
    </w:p>
    <w:p>
      <w:pPr>
        <w:spacing w:line="240" w:lineRule="auto" w:before="1"/>
        <w:rPr>
          <w:rFonts w:ascii="宋体" w:hAnsi="宋体" w:cs="宋体" w:eastAsia="宋体" w:hint="default"/>
          <w:sz w:val="18"/>
          <w:szCs w:val="18"/>
        </w:rPr>
      </w:pPr>
    </w:p>
    <w:p>
      <w:pPr>
        <w:pStyle w:val="BodyText"/>
        <w:spacing w:line="240" w:lineRule="auto"/>
        <w:ind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月，全资子公司北京百旺金赋科技有限公司投资</w:t>
      </w:r>
      <w:r>
        <w:rPr>
          <w:spacing w:val="-39"/>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8"/>
        </w:rPr>
        <w:t> </w:t>
      </w:r>
      <w:r>
        <w:rPr>
          <w:spacing w:val="-3"/>
        </w:rPr>
        <w:t>万元设立北京百旺众联科技有</w:t>
      </w:r>
      <w:r>
        <w:rPr/>
      </w:r>
    </w:p>
    <w:p>
      <w:pPr>
        <w:spacing w:after="0" w:line="240" w:lineRule="auto"/>
        <w:jc w:val="left"/>
        <w:sectPr>
          <w:pgSz w:w="11910" w:h="16840"/>
          <w:pgMar w:header="882" w:footer="1134" w:top="1280" w:bottom="1320" w:left="980" w:right="0"/>
        </w:sectPr>
      </w:pPr>
    </w:p>
    <w:p>
      <w:pPr>
        <w:pStyle w:val="BodyText"/>
        <w:spacing w:line="240" w:lineRule="auto" w:before="110"/>
        <w:ind w:left="152" w:right="1127"/>
        <w:jc w:val="left"/>
      </w:pPr>
      <w:r>
        <w:rPr/>
        <w:t>限公司，占比</w:t>
      </w:r>
      <w:r>
        <w:rPr>
          <w:spacing w:val="-55"/>
        </w:rPr>
        <w:t> </w:t>
      </w:r>
      <w:r>
        <w:rPr>
          <w:rFonts w:ascii="Times New Roman" w:hAnsi="Times New Roman" w:cs="Times New Roman" w:eastAsia="Times New Roman" w:hint="default"/>
        </w:rPr>
        <w:t>100%</w:t>
      </w:r>
      <w:r>
        <w:rPr/>
        <w:t>；截止</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日，北京百旺金赋科技有限公司出资</w:t>
      </w:r>
      <w:r>
        <w:rPr>
          <w:spacing w:val="-55"/>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1"/>
        </w:rPr>
        <w:t> </w:t>
      </w:r>
      <w:r>
        <w:rPr/>
        <w:t>万元。</w:t>
      </w:r>
    </w:p>
    <w:p>
      <w:pPr>
        <w:spacing w:line="240" w:lineRule="auto" w:before="11"/>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月，全资子公司北京百旺金赋科技有限公司投资</w:t>
      </w:r>
      <w:r>
        <w:rPr>
          <w:spacing w:val="-39"/>
        </w:rPr>
        <w:t> </w:t>
      </w:r>
      <w:r>
        <w:rPr>
          <w:rFonts w:ascii="Times New Roman" w:hAnsi="Times New Roman" w:cs="Times New Roman" w:eastAsia="Times New Roman" w:hint="default"/>
        </w:rPr>
        <w:t>180.00</w:t>
      </w:r>
      <w:r>
        <w:rPr>
          <w:rFonts w:ascii="Times New Roman" w:hAnsi="Times New Roman" w:cs="Times New Roman" w:eastAsia="Times New Roman" w:hint="default"/>
          <w:spacing w:val="-8"/>
        </w:rPr>
        <w:t> </w:t>
      </w:r>
      <w:r>
        <w:rPr>
          <w:spacing w:val="-3"/>
        </w:rPr>
        <w:t>万元设立北京合信财学科技有</w:t>
      </w:r>
      <w:r>
        <w:rPr/>
      </w:r>
    </w:p>
    <w:p>
      <w:pPr>
        <w:pStyle w:val="BodyText"/>
        <w:spacing w:line="240" w:lineRule="auto" w:before="115"/>
        <w:ind w:left="152" w:right="1127"/>
        <w:jc w:val="left"/>
      </w:pPr>
      <w:r>
        <w:rPr/>
        <w:t>限公司，占比</w:t>
      </w:r>
      <w:r>
        <w:rPr>
          <w:spacing w:val="-54"/>
        </w:rPr>
        <w:t> </w:t>
      </w:r>
      <w:r>
        <w:rPr>
          <w:rFonts w:ascii="Times New Roman" w:hAnsi="Times New Roman" w:cs="Times New Roman" w:eastAsia="Times New Roman" w:hint="default"/>
        </w:rPr>
        <w:t>60%</w:t>
      </w:r>
      <w:r>
        <w:rPr/>
        <w:t>；截止</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日，北京百旺金赋科技有限公司出资</w:t>
      </w:r>
      <w:r>
        <w:rPr>
          <w:spacing w:val="-54"/>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3"/>
        </w:rPr>
        <w:t> </w:t>
      </w:r>
      <w:r>
        <w:rPr/>
        <w:t>万元。</w:t>
      </w:r>
    </w:p>
    <w:p>
      <w:pPr>
        <w:spacing w:line="240" w:lineRule="auto" w:before="11"/>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月，全资子公司北京百旺金赋科技有限公司投资</w:t>
      </w:r>
      <w:r>
        <w:rPr>
          <w:spacing w:val="-39"/>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8"/>
        </w:rPr>
        <w:t> </w:t>
      </w:r>
      <w:r>
        <w:rPr>
          <w:spacing w:val="-3"/>
        </w:rPr>
        <w:t>万元设立北京悦财亿华科技有</w:t>
      </w:r>
      <w:r>
        <w:rPr/>
      </w:r>
    </w:p>
    <w:p>
      <w:pPr>
        <w:pStyle w:val="BodyText"/>
        <w:spacing w:line="240" w:lineRule="auto" w:before="115"/>
        <w:ind w:left="152" w:right="1127"/>
        <w:jc w:val="left"/>
      </w:pPr>
      <w:r>
        <w:rPr/>
        <w:t>限公司，占比</w:t>
      </w:r>
      <w:r>
        <w:rPr>
          <w:spacing w:val="-55"/>
        </w:rPr>
        <w:t> </w:t>
      </w:r>
      <w:r>
        <w:rPr>
          <w:rFonts w:ascii="Times New Roman" w:hAnsi="Times New Roman" w:cs="Times New Roman" w:eastAsia="Times New Roman" w:hint="default"/>
        </w:rPr>
        <w:t>100%</w:t>
      </w:r>
      <w:r>
        <w:rPr/>
        <w:t>；截止</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日，北京百旺金赋科技有限公司出资</w:t>
      </w:r>
      <w:r>
        <w:rPr>
          <w:spacing w:val="-5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1"/>
        </w:rPr>
        <w:t> </w:t>
      </w:r>
      <w:r>
        <w:rPr/>
        <w:t>万元。</w:t>
      </w:r>
    </w:p>
    <w:p>
      <w:pPr>
        <w:spacing w:line="240" w:lineRule="auto" w:before="11"/>
        <w:rPr>
          <w:rFonts w:ascii="宋体" w:hAnsi="宋体" w:cs="宋体" w:eastAsia="宋体" w:hint="default"/>
          <w:sz w:val="16"/>
          <w:szCs w:val="16"/>
        </w:rPr>
      </w:pPr>
    </w:p>
    <w:p>
      <w:pPr>
        <w:pStyle w:val="BodyText"/>
        <w:spacing w:line="240" w:lineRule="auto"/>
        <w:ind w:right="0"/>
        <w:jc w:val="left"/>
      </w:pPr>
      <w:r>
        <w:rPr>
          <w:spacing w:val="-8"/>
        </w:rPr>
        <w:t>（</w:t>
      </w:r>
      <w:r>
        <w:rPr>
          <w:rFonts w:ascii="Times New Roman" w:hAnsi="Times New Roman" w:cs="Times New Roman" w:eastAsia="Times New Roman" w:hint="default"/>
          <w:spacing w:val="-8"/>
        </w:rPr>
        <w:t>5</w:t>
      </w:r>
      <w:r>
        <w:rPr>
          <w:spacing w:val="-8"/>
        </w:rPr>
        <w:t>）</w:t>
      </w:r>
      <w:r>
        <w:rPr>
          <w:rFonts w:ascii="Times New Roman" w:hAnsi="Times New Roman" w:cs="Times New Roman" w:eastAsia="Times New Roman" w:hint="default"/>
          <w:spacing w:val="-8"/>
        </w:rPr>
        <w:t>2019</w:t>
      </w:r>
      <w:r>
        <w:rPr>
          <w:rFonts w:ascii="Times New Roman" w:hAnsi="Times New Roman" w:cs="Times New Roman" w:eastAsia="Times New Roman" w:hint="default"/>
          <w:spacing w:val="-1"/>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4"/>
        </w:rPr>
        <w:t>月，子公司北京旋极伏羲大数据技术有限公司投资</w:t>
      </w:r>
      <w:r>
        <w:rPr>
          <w:spacing w:val="-39"/>
        </w:rPr>
        <w:t> </w:t>
      </w:r>
      <w:r>
        <w:rPr>
          <w:rFonts w:ascii="Times New Roman" w:hAnsi="Times New Roman" w:cs="Times New Roman" w:eastAsia="Times New Roman" w:hint="default"/>
        </w:rPr>
        <w:t>6,000.00</w:t>
      </w:r>
      <w:r>
        <w:rPr>
          <w:rFonts w:ascii="Times New Roman" w:hAnsi="Times New Roman" w:cs="Times New Roman" w:eastAsia="Times New Roman" w:hint="default"/>
          <w:spacing w:val="-1"/>
        </w:rPr>
        <w:t> </w:t>
      </w:r>
      <w:r>
        <w:rPr>
          <w:spacing w:val="-6"/>
        </w:rPr>
        <w:t>万元投资设立旋极伏羲（福</w:t>
      </w:r>
    </w:p>
    <w:p>
      <w:pPr>
        <w:pStyle w:val="BodyText"/>
        <w:spacing w:line="240" w:lineRule="auto" w:before="117"/>
        <w:ind w:left="152" w:right="0"/>
        <w:jc w:val="left"/>
      </w:pPr>
      <w:r>
        <w:rPr>
          <w:spacing w:val="-4"/>
        </w:rPr>
        <w:t>州）大数据技术有限公司，占比</w:t>
      </w:r>
      <w:r>
        <w:rPr>
          <w:spacing w:val="-43"/>
        </w:rPr>
        <w:t> </w:t>
      </w:r>
      <w:r>
        <w:rPr>
          <w:rFonts w:ascii="Times New Roman" w:hAnsi="Times New Roman" w:cs="Times New Roman" w:eastAsia="Times New Roman" w:hint="default"/>
          <w:spacing w:val="-3"/>
        </w:rPr>
        <w:t>100.00%</w:t>
      </w:r>
      <w:r>
        <w:rPr>
          <w:spacing w:val="-3"/>
        </w:rPr>
        <w:t>；截止</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日，北京旋极伏羲大数据技术有限公司出</w:t>
      </w:r>
      <w:r>
        <w:rPr/>
      </w:r>
    </w:p>
    <w:p>
      <w:pPr>
        <w:pStyle w:val="BodyText"/>
        <w:spacing w:line="240" w:lineRule="auto" w:before="117"/>
        <w:ind w:left="152" w:right="1127"/>
        <w:jc w:val="left"/>
      </w:pPr>
      <w:r>
        <w:rPr/>
        <w:t>资</w:t>
      </w:r>
      <w:r>
        <w:rPr>
          <w:spacing w:val="-54"/>
        </w:rPr>
        <w:t> </w:t>
      </w:r>
      <w:r>
        <w:rPr>
          <w:rFonts w:ascii="Times New Roman" w:hAnsi="Times New Roman" w:cs="Times New Roman" w:eastAsia="Times New Roman" w:hint="default"/>
        </w:rPr>
        <w:t>600.00</w:t>
      </w:r>
      <w:r>
        <w:rPr>
          <w:rFonts w:ascii="Times New Roman" w:hAnsi="Times New Roman" w:cs="Times New Roman" w:eastAsia="Times New Roman" w:hint="default"/>
          <w:spacing w:val="-13"/>
        </w:rPr>
        <w:t> </w:t>
      </w:r>
      <w:r>
        <w:rPr/>
        <w:t>万元。</w:t>
      </w:r>
    </w:p>
    <w:p>
      <w:pPr>
        <w:spacing w:line="240" w:lineRule="auto" w:before="9"/>
        <w:rPr>
          <w:rFonts w:ascii="宋体" w:hAnsi="宋体" w:cs="宋体" w:eastAsia="宋体" w:hint="default"/>
          <w:sz w:val="16"/>
          <w:szCs w:val="16"/>
        </w:rPr>
      </w:pPr>
    </w:p>
    <w:p>
      <w:pPr>
        <w:pStyle w:val="BodyText"/>
        <w:spacing w:line="336" w:lineRule="auto"/>
        <w:ind w:left="152" w:right="1124" w:firstLine="419"/>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t>月，子公司北京旋极百旺科技有限公司投资设立北京旋极百旺信息技术有限公司，占</w:t>
      </w:r>
      <w:r>
        <w:rPr>
          <w:w w:val="100"/>
        </w:rPr>
        <w:t> </w:t>
      </w:r>
      <w:r>
        <w:rPr/>
        <w:t>比</w:t>
      </w:r>
      <w:r>
        <w:rPr>
          <w:spacing w:val="-55"/>
        </w:rPr>
        <w:t> </w:t>
      </w:r>
      <w:r>
        <w:rPr>
          <w:rFonts w:ascii="Times New Roman" w:hAnsi="Times New Roman" w:cs="Times New Roman" w:eastAsia="Times New Roman" w:hint="default"/>
        </w:rPr>
        <w:t>100%</w:t>
      </w:r>
      <w:r>
        <w:rPr/>
        <w:t>；截止</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日，北京旋极百旺科技有限公司尚未出资。</w:t>
      </w:r>
    </w:p>
    <w:p>
      <w:pPr>
        <w:pStyle w:val="BodyText"/>
        <w:spacing w:line="240" w:lineRule="auto" w:before="125"/>
        <w:ind w:left="573" w:right="0"/>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9  </w:t>
      </w:r>
      <w:r>
        <w:rPr>
          <w:rFonts w:ascii="Times New Roman" w:hAnsi="Times New Roman" w:cs="Times New Roman" w:eastAsia="Times New Roman" w:hint="default"/>
          <w:spacing w:val="21"/>
        </w:rPr>
        <w:t> </w:t>
      </w:r>
      <w:r>
        <w:rPr/>
        <w:t>月，子公司北京旋极百旺科技有限公司投资设立厦门同舟共创科技有限公司，占比</w:t>
      </w:r>
    </w:p>
    <w:p>
      <w:pPr>
        <w:pStyle w:val="BodyText"/>
        <w:spacing w:line="240" w:lineRule="auto" w:before="117"/>
        <w:ind w:left="152" w:right="1127"/>
        <w:jc w:val="left"/>
      </w:pPr>
      <w:r>
        <w:rPr>
          <w:rFonts w:ascii="Times New Roman" w:hAnsi="Times New Roman" w:cs="Times New Roman" w:eastAsia="Times New Roman" w:hint="default"/>
        </w:rPr>
        <w:t>100.00%</w:t>
      </w:r>
      <w:r>
        <w:rPr/>
        <w:t>；截止</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日，北京旋极百旺科技有限公司尚未出资。</w:t>
      </w:r>
    </w:p>
    <w:p>
      <w:pPr>
        <w:spacing w:line="240" w:lineRule="auto" w:before="11"/>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9  </w:t>
      </w:r>
      <w:r>
        <w:rPr>
          <w:rFonts w:ascii="Times New Roman" w:hAnsi="Times New Roman" w:cs="Times New Roman" w:eastAsia="Times New Roman" w:hint="default"/>
          <w:spacing w:val="21"/>
        </w:rPr>
        <w:t> </w:t>
      </w:r>
      <w:r>
        <w:rPr/>
        <w:t>月，子公司北京旋极百旺科技有限公司投资设立江西旋极共创科技有限公司，占比</w:t>
      </w:r>
    </w:p>
    <w:p>
      <w:pPr>
        <w:pStyle w:val="BodyText"/>
        <w:spacing w:line="240" w:lineRule="auto" w:before="115"/>
        <w:ind w:left="152" w:right="1127"/>
        <w:jc w:val="left"/>
      </w:pPr>
      <w:r>
        <w:rPr>
          <w:rFonts w:ascii="Times New Roman" w:hAnsi="Times New Roman" w:cs="Times New Roman" w:eastAsia="Times New Roman" w:hint="default"/>
        </w:rPr>
        <w:t>51.00%</w:t>
      </w:r>
      <w:r>
        <w:rPr/>
        <w:t>；截止</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日，北京旋极百旺科技有限公司尚未出资。</w:t>
      </w:r>
    </w:p>
    <w:p>
      <w:pPr>
        <w:spacing w:line="240" w:lineRule="auto" w:before="11"/>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9  </w:t>
      </w:r>
      <w:r>
        <w:rPr>
          <w:rFonts w:ascii="Times New Roman" w:hAnsi="Times New Roman" w:cs="Times New Roman" w:eastAsia="Times New Roman" w:hint="default"/>
          <w:spacing w:val="21"/>
        </w:rPr>
        <w:t> </w:t>
      </w:r>
      <w:r>
        <w:rPr/>
        <w:t>月，子公司北京旋极百旺科技有限公司投资设立宁波旋极财税科技有限公司，占比</w:t>
      </w:r>
    </w:p>
    <w:p>
      <w:pPr>
        <w:pStyle w:val="BodyText"/>
        <w:spacing w:line="240" w:lineRule="auto" w:before="115"/>
        <w:ind w:left="152" w:right="1127"/>
        <w:jc w:val="left"/>
      </w:pPr>
      <w:r>
        <w:rPr>
          <w:rFonts w:ascii="Times New Roman" w:hAnsi="Times New Roman" w:cs="Times New Roman" w:eastAsia="Times New Roman" w:hint="default"/>
        </w:rPr>
        <w:t>80.00%</w:t>
      </w:r>
      <w:r>
        <w:rPr/>
        <w:t>；截止</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日，北京旋极百旺科技有限公司尚未出资。</w:t>
      </w:r>
    </w:p>
    <w:p>
      <w:pPr>
        <w:spacing w:line="240" w:lineRule="auto" w:before="11"/>
        <w:rPr>
          <w:rFonts w:ascii="宋体" w:hAnsi="宋体" w:cs="宋体" w:eastAsia="宋体" w:hint="default"/>
          <w:sz w:val="16"/>
          <w:szCs w:val="16"/>
        </w:rPr>
      </w:pPr>
    </w:p>
    <w:p>
      <w:pPr>
        <w:pStyle w:val="BodyText"/>
        <w:spacing w:line="333" w:lineRule="auto"/>
        <w:ind w:left="152" w:right="1124" w:firstLine="420"/>
        <w:jc w:val="left"/>
      </w:pP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2019 </w:t>
      </w:r>
      <w:r>
        <w:rPr/>
        <w:t>年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2"/>
        </w:rPr>
        <w:t> </w:t>
      </w:r>
      <w:r>
        <w:rPr/>
        <w:t>月，子公司北京旋极百旺科技有限公司投资设立北京旋极百旺软件技术有限公司，</w:t>
      </w:r>
      <w:r>
        <w:rPr>
          <w:w w:val="100"/>
        </w:rPr>
        <w:t> </w:t>
      </w:r>
      <w:r>
        <w:rPr/>
        <w:t>占比</w:t>
      </w:r>
      <w:r>
        <w:rPr>
          <w:spacing w:val="-54"/>
        </w:rPr>
        <w:t> </w:t>
      </w:r>
      <w:r>
        <w:rPr>
          <w:rFonts w:ascii="Times New Roman" w:hAnsi="Times New Roman" w:cs="Times New Roman" w:eastAsia="Times New Roman" w:hint="default"/>
        </w:rPr>
        <w:t>100%</w:t>
      </w:r>
      <w:r>
        <w:rPr/>
        <w:t>；截止</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日，北京旋极百旺科技有限公司尚未出资。</w:t>
      </w:r>
    </w:p>
    <w:p>
      <w:pPr>
        <w:pStyle w:val="BodyText"/>
        <w:spacing w:line="240" w:lineRule="auto" w:before="129"/>
        <w:ind w:right="0"/>
        <w:jc w:val="left"/>
      </w:pPr>
      <w:r>
        <w:rPr/>
        <w:t>（</w:t>
      </w:r>
      <w:r>
        <w:rPr>
          <w:rFonts w:ascii="Times New Roman" w:hAnsi="Times New Roman" w:cs="Times New Roman" w:eastAsia="Times New Roman" w:hint="default"/>
        </w:rPr>
        <w:t>11</w:t>
      </w:r>
      <w:r>
        <w:rPr/>
        <w:t>）</w:t>
      </w:r>
      <w:r>
        <w:rPr>
          <w:rFonts w:ascii="Times New Roman" w:hAnsi="Times New Roman" w:cs="Times New Roman" w:eastAsia="Times New Roman" w:hint="default"/>
        </w:rPr>
        <w:t>2019 </w:t>
      </w:r>
      <w:r>
        <w:rPr/>
        <w:t>年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2"/>
        </w:rPr>
        <w:t> </w:t>
      </w:r>
      <w:r>
        <w:rPr/>
        <w:t>月，子公司北京旋极百旺科技有限公司投资设立杭州旋极同创科技有限公司，占比</w:t>
      </w:r>
    </w:p>
    <w:p>
      <w:pPr>
        <w:pStyle w:val="BodyText"/>
        <w:spacing w:line="240" w:lineRule="auto" w:before="115"/>
        <w:ind w:left="152" w:right="1127"/>
        <w:jc w:val="left"/>
      </w:pPr>
      <w:r>
        <w:rPr>
          <w:rFonts w:ascii="Times New Roman" w:hAnsi="Times New Roman" w:cs="Times New Roman" w:eastAsia="Times New Roman" w:hint="default"/>
        </w:rPr>
        <w:t>100%</w:t>
      </w:r>
      <w:r>
        <w:rPr/>
        <w:t>；截止</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日，北京旋极百旺科技有限公司尚未出资。</w:t>
      </w:r>
    </w:p>
    <w:p>
      <w:pPr>
        <w:spacing w:line="240" w:lineRule="auto" w:before="11"/>
        <w:rPr>
          <w:rFonts w:ascii="宋体" w:hAnsi="宋体" w:cs="宋体" w:eastAsia="宋体" w:hint="default"/>
          <w:sz w:val="16"/>
          <w:szCs w:val="16"/>
        </w:rPr>
      </w:pPr>
    </w:p>
    <w:p>
      <w:pPr>
        <w:pStyle w:val="BodyText"/>
        <w:spacing w:line="333" w:lineRule="auto"/>
        <w:ind w:left="152" w:right="1124" w:firstLine="420"/>
        <w:jc w:val="left"/>
      </w:pPr>
      <w:r>
        <w:rPr/>
        <w:t>（</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2019 </w:t>
      </w:r>
      <w:r>
        <w:rPr/>
        <w:t>年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2"/>
        </w:rPr>
        <w:t> </w:t>
      </w:r>
      <w:r>
        <w:rPr/>
        <w:t>月，子公司北京旋极百旺科技有限公司投资设立吉林省旋极共创科技有限公司，占</w:t>
      </w:r>
      <w:r>
        <w:rPr>
          <w:w w:val="100"/>
        </w:rPr>
        <w:t> </w:t>
      </w:r>
      <w:r>
        <w:rPr/>
        <w:t>比</w:t>
      </w:r>
      <w:r>
        <w:rPr>
          <w:spacing w:val="-55"/>
        </w:rPr>
        <w:t> </w:t>
      </w:r>
      <w:r>
        <w:rPr>
          <w:rFonts w:ascii="Times New Roman" w:hAnsi="Times New Roman" w:cs="Times New Roman" w:eastAsia="Times New Roman" w:hint="default"/>
        </w:rPr>
        <w:t>80%</w:t>
      </w:r>
      <w:r>
        <w:rPr/>
        <w:t>；截止</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日，北京旋极百旺科技有限公司尚未出资。</w:t>
      </w:r>
    </w:p>
    <w:p>
      <w:pPr>
        <w:pStyle w:val="BodyText"/>
        <w:spacing w:line="333" w:lineRule="auto" w:before="129"/>
        <w:ind w:left="152" w:right="1127" w:firstLine="419"/>
        <w:jc w:val="left"/>
      </w:pPr>
      <w:r>
        <w:rPr>
          <w:spacing w:val="-5"/>
        </w:rPr>
        <w:t>（</w:t>
      </w:r>
      <w:r>
        <w:rPr>
          <w:rFonts w:ascii="Times New Roman" w:hAnsi="Times New Roman" w:cs="Times New Roman" w:eastAsia="Times New Roman" w:hint="default"/>
          <w:spacing w:val="-5"/>
        </w:rPr>
        <w:t>13</w:t>
      </w:r>
      <w:r>
        <w:rPr>
          <w:spacing w:val="-5"/>
        </w:rPr>
        <w:t>）</w:t>
      </w:r>
      <w:r>
        <w:rPr>
          <w:rFonts w:ascii="Times New Roman" w:hAnsi="Times New Roman" w:cs="Times New Roman" w:eastAsia="Times New Roman" w:hint="default"/>
          <w:spacing w:val="-5"/>
        </w:rPr>
        <w:t>2019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spacing w:val="-3"/>
        </w:rPr>
        <w:t>月，三级子公司内蒙古百旺金赋信息技术有限公司投资设立乌兰察布市百旺金赋信息</w:t>
      </w:r>
      <w:r>
        <w:rPr>
          <w:w w:val="100"/>
        </w:rPr>
        <w:t> </w:t>
      </w:r>
      <w:r>
        <w:rPr/>
        <w:t>技术有限公司，占比</w:t>
      </w:r>
      <w:r>
        <w:rPr>
          <w:spacing w:val="-55"/>
        </w:rPr>
        <w:t> </w:t>
      </w:r>
      <w:r>
        <w:rPr>
          <w:rFonts w:ascii="Times New Roman" w:hAnsi="Times New Roman" w:cs="Times New Roman" w:eastAsia="Times New Roman" w:hint="default"/>
        </w:rPr>
        <w:t>100%</w:t>
      </w:r>
      <w:r>
        <w:rPr/>
        <w:t>；截止</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日，内蒙古百旺金赋信息技术有限公司尚未出资。</w:t>
      </w:r>
    </w:p>
    <w:p>
      <w:pPr>
        <w:pStyle w:val="BodyText"/>
        <w:spacing w:line="240" w:lineRule="auto" w:before="129"/>
        <w:ind w:left="573" w:right="0"/>
        <w:jc w:val="left"/>
      </w:pPr>
      <w:r>
        <w:rPr/>
        <w:t>（</w:t>
      </w:r>
      <w:r>
        <w:rPr>
          <w:rFonts w:ascii="Times New Roman" w:hAnsi="Times New Roman" w:cs="Times New Roman" w:eastAsia="Times New Roman" w:hint="default"/>
        </w:rPr>
        <w:t>14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月，三级子公司内蒙古百旺金赋信息技术有限公司投资</w:t>
      </w:r>
      <w:r>
        <w:rPr>
          <w:spacing w:val="-42"/>
        </w:rPr>
        <w:t> </w:t>
      </w:r>
      <w:r>
        <w:rPr>
          <w:rFonts w:ascii="Times New Roman" w:hAnsi="Times New Roman" w:cs="Times New Roman" w:eastAsia="Times New Roman" w:hint="default"/>
        </w:rPr>
        <w:t>50.00</w:t>
      </w:r>
      <w:r>
        <w:rPr>
          <w:rFonts w:ascii="Times New Roman" w:hAnsi="Times New Roman" w:cs="Times New Roman" w:eastAsia="Times New Roman" w:hint="default"/>
          <w:spacing w:val="-8"/>
        </w:rPr>
        <w:t> </w:t>
      </w:r>
      <w:r>
        <w:rPr>
          <w:spacing w:val="-3"/>
        </w:rPr>
        <w:t>万元投资设立通辽市百</w:t>
      </w:r>
      <w:r>
        <w:rPr/>
      </w:r>
    </w:p>
    <w:p>
      <w:pPr>
        <w:pStyle w:val="BodyText"/>
        <w:spacing w:line="240" w:lineRule="auto" w:before="117"/>
        <w:ind w:left="153" w:right="0"/>
        <w:jc w:val="left"/>
      </w:pPr>
      <w:r>
        <w:rPr/>
        <w:t>旺金赋信息技术有限公司，占比</w:t>
      </w:r>
      <w:r>
        <w:rPr>
          <w:spacing w:val="-55"/>
        </w:rPr>
        <w:t> </w:t>
      </w:r>
      <w:r>
        <w:rPr>
          <w:rFonts w:ascii="Times New Roman" w:hAnsi="Times New Roman" w:cs="Times New Roman" w:eastAsia="Times New Roman" w:hint="default"/>
        </w:rPr>
        <w:t>100%</w:t>
      </w:r>
      <w:r>
        <w:rPr/>
        <w:t>；截止</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日，内蒙古百旺金赋信息技术有限公司出资</w:t>
      </w:r>
    </w:p>
    <w:p>
      <w:pPr>
        <w:pStyle w:val="BodyText"/>
        <w:spacing w:line="240" w:lineRule="auto" w:before="117"/>
        <w:ind w:left="153" w:right="1127"/>
        <w:jc w:val="left"/>
      </w:pPr>
      <w:r>
        <w:rPr>
          <w:rFonts w:ascii="Times New Roman" w:hAnsi="Times New Roman" w:cs="Times New Roman" w:eastAsia="Times New Roman" w:hint="default"/>
        </w:rPr>
        <w:t>20.00</w:t>
      </w:r>
      <w:r>
        <w:rPr>
          <w:rFonts w:ascii="Times New Roman" w:hAnsi="Times New Roman" w:cs="Times New Roman" w:eastAsia="Times New Roman" w:hint="default"/>
          <w:spacing w:val="-10"/>
        </w:rPr>
        <w:t> </w:t>
      </w:r>
      <w:r>
        <w:rPr/>
        <w:t>万元。</w:t>
      </w:r>
    </w:p>
    <w:p>
      <w:pPr>
        <w:spacing w:line="240" w:lineRule="auto" w:before="9"/>
        <w:rPr>
          <w:rFonts w:ascii="宋体" w:hAnsi="宋体" w:cs="宋体" w:eastAsia="宋体" w:hint="default"/>
          <w:sz w:val="16"/>
          <w:szCs w:val="16"/>
        </w:rPr>
      </w:pPr>
    </w:p>
    <w:p>
      <w:pPr>
        <w:pStyle w:val="BodyText"/>
        <w:spacing w:line="240" w:lineRule="auto"/>
        <w:ind w:left="573" w:right="0"/>
        <w:jc w:val="left"/>
      </w:pPr>
      <w:r>
        <w:rPr/>
        <w:t>（</w:t>
      </w:r>
      <w:r>
        <w:rPr>
          <w:rFonts w:ascii="Times New Roman" w:hAnsi="Times New Roman" w:cs="Times New Roman" w:eastAsia="Times New Roman" w:hint="default"/>
        </w:rPr>
        <w:t>15</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月，三级子公司内蒙古百旺金赋信息技术有限公司投资</w:t>
      </w:r>
      <w:r>
        <w:rPr>
          <w:spacing w:val="-42"/>
        </w:rPr>
        <w:t> </w:t>
      </w:r>
      <w:r>
        <w:rPr>
          <w:rFonts w:ascii="Times New Roman" w:hAnsi="Times New Roman" w:cs="Times New Roman" w:eastAsia="Times New Roman" w:hint="default"/>
        </w:rPr>
        <w:t>50.00</w:t>
      </w:r>
      <w:r>
        <w:rPr>
          <w:rFonts w:ascii="Times New Roman" w:hAnsi="Times New Roman" w:cs="Times New Roman" w:eastAsia="Times New Roman" w:hint="default"/>
          <w:spacing w:val="-8"/>
        </w:rPr>
        <w:t> </w:t>
      </w:r>
      <w:r>
        <w:rPr>
          <w:spacing w:val="-3"/>
        </w:rPr>
        <w:t>万元投资设立鄂尔多斯</w:t>
      </w:r>
      <w:r>
        <w:rPr/>
      </w:r>
    </w:p>
    <w:p>
      <w:pPr>
        <w:pStyle w:val="BodyText"/>
        <w:spacing w:line="333" w:lineRule="auto" w:before="119"/>
        <w:ind w:left="153" w:right="1129"/>
        <w:jc w:val="left"/>
      </w:pPr>
      <w:r>
        <w:rPr/>
        <w:t>市百旺金赋信息技术有限公司，占比</w:t>
      </w:r>
      <w:r>
        <w:rPr>
          <w:spacing w:val="-55"/>
        </w:rPr>
        <w:t> </w:t>
      </w:r>
      <w:r>
        <w:rPr>
          <w:rFonts w:ascii="Times New Roman" w:hAnsi="Times New Roman" w:cs="Times New Roman" w:eastAsia="Times New Roman" w:hint="default"/>
        </w:rPr>
        <w:t>100%</w:t>
      </w:r>
      <w:r>
        <w:rPr/>
        <w:t>；截止</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日，内蒙古百旺金赋信息技术有限公司</w:t>
      </w:r>
      <w:r>
        <w:rPr>
          <w:w w:val="100"/>
        </w:rPr>
        <w:t> </w:t>
      </w:r>
      <w:r>
        <w:rPr/>
        <w:t>尚未出资。</w:t>
      </w:r>
    </w:p>
    <w:p>
      <w:pPr>
        <w:pStyle w:val="BodyText"/>
        <w:spacing w:line="240" w:lineRule="auto" w:before="154"/>
        <w:ind w:left="573" w:right="0"/>
        <w:jc w:val="left"/>
      </w:pPr>
      <w:r>
        <w:rPr/>
        <w:t>（</w:t>
      </w:r>
      <w:r>
        <w:rPr>
          <w:rFonts w:ascii="Times New Roman" w:hAnsi="Times New Roman" w:cs="Times New Roman" w:eastAsia="Times New Roman" w:hint="default"/>
        </w:rPr>
        <w:t>16</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月，三级子公司内蒙古百旺金赋信息技术有限公司投资</w:t>
      </w:r>
      <w:r>
        <w:rPr>
          <w:spacing w:val="-42"/>
        </w:rPr>
        <w:t> </w:t>
      </w:r>
      <w:r>
        <w:rPr>
          <w:rFonts w:ascii="Times New Roman" w:hAnsi="Times New Roman" w:cs="Times New Roman" w:eastAsia="Times New Roman" w:hint="default"/>
        </w:rPr>
        <w:t>50.00</w:t>
      </w:r>
      <w:r>
        <w:rPr>
          <w:rFonts w:ascii="Times New Roman" w:hAnsi="Times New Roman" w:cs="Times New Roman" w:eastAsia="Times New Roman" w:hint="default"/>
          <w:spacing w:val="-8"/>
        </w:rPr>
        <w:t> </w:t>
      </w:r>
      <w:r>
        <w:rPr>
          <w:spacing w:val="-3"/>
        </w:rPr>
        <w:t>万元投资设立包头市百</w:t>
      </w:r>
      <w:r>
        <w:rPr/>
      </w:r>
    </w:p>
    <w:p>
      <w:pPr>
        <w:spacing w:after="0" w:line="240" w:lineRule="auto"/>
        <w:jc w:val="left"/>
        <w:sectPr>
          <w:pgSz w:w="11910" w:h="16840"/>
          <w:pgMar w:header="882" w:footer="1134" w:top="1280" w:bottom="1320" w:left="980" w:right="0"/>
        </w:sectPr>
      </w:pPr>
    </w:p>
    <w:p>
      <w:pPr>
        <w:pStyle w:val="BodyText"/>
        <w:spacing w:line="240" w:lineRule="auto" w:before="112"/>
        <w:ind w:left="152" w:right="0"/>
        <w:jc w:val="left"/>
      </w:pPr>
      <w:r>
        <w:rPr/>
        <w:t>旺金赋信息技术有限公司，占比</w:t>
      </w:r>
      <w:r>
        <w:rPr>
          <w:spacing w:val="-55"/>
        </w:rPr>
        <w:t> </w:t>
      </w:r>
      <w:r>
        <w:rPr>
          <w:rFonts w:ascii="Times New Roman" w:hAnsi="Times New Roman" w:cs="Times New Roman" w:eastAsia="Times New Roman" w:hint="default"/>
        </w:rPr>
        <w:t>100%</w:t>
      </w:r>
      <w:r>
        <w:rPr/>
        <w:t>；截止</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日，内蒙古百旺金赋信息技术有限公司出资</w:t>
      </w:r>
    </w:p>
    <w:p>
      <w:pPr>
        <w:pStyle w:val="BodyText"/>
        <w:spacing w:line="240" w:lineRule="auto" w:before="115"/>
        <w:ind w:left="152" w:right="1127"/>
        <w:jc w:val="left"/>
      </w:pPr>
      <w:r>
        <w:rPr>
          <w:rFonts w:ascii="Times New Roman" w:hAnsi="Times New Roman" w:cs="Times New Roman" w:eastAsia="Times New Roman" w:hint="default"/>
        </w:rPr>
        <w:t>5.00</w:t>
      </w:r>
      <w:r>
        <w:rPr>
          <w:rFonts w:ascii="Times New Roman" w:hAnsi="Times New Roman" w:cs="Times New Roman" w:eastAsia="Times New Roman" w:hint="default"/>
          <w:spacing w:val="-13"/>
        </w:rPr>
        <w:t> </w:t>
      </w:r>
      <w:r>
        <w:rPr/>
        <w:t>万元。</w:t>
      </w:r>
    </w:p>
    <w:p>
      <w:pPr>
        <w:spacing w:line="240" w:lineRule="auto" w:before="11"/>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17</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月，三级子公司内蒙古百旺金赋信息技术有限公司投资</w:t>
      </w:r>
      <w:r>
        <w:rPr>
          <w:spacing w:val="-42"/>
        </w:rPr>
        <w:t> </w:t>
      </w:r>
      <w:r>
        <w:rPr>
          <w:rFonts w:ascii="Times New Roman" w:hAnsi="Times New Roman" w:cs="Times New Roman" w:eastAsia="Times New Roman" w:hint="default"/>
        </w:rPr>
        <w:t>50.00</w:t>
      </w:r>
      <w:r>
        <w:rPr>
          <w:rFonts w:ascii="Times New Roman" w:hAnsi="Times New Roman" w:cs="Times New Roman" w:eastAsia="Times New Roman" w:hint="default"/>
          <w:spacing w:val="-8"/>
        </w:rPr>
        <w:t> </w:t>
      </w:r>
      <w:r>
        <w:rPr>
          <w:spacing w:val="-3"/>
        </w:rPr>
        <w:t>万元投资设立赤峰市百</w:t>
      </w:r>
      <w:r>
        <w:rPr/>
      </w:r>
    </w:p>
    <w:p>
      <w:pPr>
        <w:pStyle w:val="BodyText"/>
        <w:spacing w:line="336" w:lineRule="auto" w:before="117"/>
        <w:ind w:left="152" w:right="1127"/>
        <w:jc w:val="left"/>
      </w:pPr>
      <w:r>
        <w:rPr/>
        <w:t>旺金赋信息技术有限公司，占比</w:t>
      </w:r>
      <w:r>
        <w:rPr>
          <w:spacing w:val="-55"/>
        </w:rPr>
        <w:t> </w:t>
      </w:r>
      <w:r>
        <w:rPr>
          <w:rFonts w:ascii="Times New Roman" w:hAnsi="Times New Roman" w:cs="Times New Roman" w:eastAsia="Times New Roman" w:hint="default"/>
        </w:rPr>
        <w:t>100%</w:t>
      </w:r>
      <w:r>
        <w:rPr/>
        <w:t>；截止</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日，内蒙古百旺金赋信息技术有限公司尚未</w:t>
      </w:r>
      <w:r>
        <w:rPr>
          <w:w w:val="100"/>
        </w:rPr>
        <w:t> </w:t>
      </w:r>
      <w:r>
        <w:rPr/>
        <w:t>出资。</w:t>
      </w:r>
    </w:p>
    <w:p>
      <w:pPr>
        <w:pStyle w:val="BodyText"/>
        <w:spacing w:line="240" w:lineRule="auto" w:before="150"/>
        <w:ind w:left="573" w:right="0"/>
        <w:jc w:val="left"/>
      </w:pPr>
      <w:r>
        <w:rPr/>
        <w:t>（</w:t>
      </w:r>
      <w:r>
        <w:rPr>
          <w:rFonts w:ascii="Times New Roman" w:hAnsi="Times New Roman" w:cs="Times New Roman" w:eastAsia="Times New Roman" w:hint="default"/>
        </w:rPr>
        <w:t>18</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月，三级子公司内蒙古百旺金赋信息技术有限公司投资</w:t>
      </w:r>
      <w:r>
        <w:rPr>
          <w:spacing w:val="-42"/>
        </w:rPr>
        <w:t> </w:t>
      </w:r>
      <w:r>
        <w:rPr>
          <w:rFonts w:ascii="Times New Roman" w:hAnsi="Times New Roman" w:cs="Times New Roman" w:eastAsia="Times New Roman" w:hint="default"/>
        </w:rPr>
        <w:t>50.00</w:t>
      </w:r>
      <w:r>
        <w:rPr>
          <w:rFonts w:ascii="Times New Roman" w:hAnsi="Times New Roman" w:cs="Times New Roman" w:eastAsia="Times New Roman" w:hint="default"/>
          <w:spacing w:val="-8"/>
        </w:rPr>
        <w:t> </w:t>
      </w:r>
      <w:r>
        <w:rPr>
          <w:spacing w:val="-3"/>
        </w:rPr>
        <w:t>万元投资设立兴安盟百</w:t>
      </w:r>
      <w:r>
        <w:rPr/>
      </w:r>
    </w:p>
    <w:p>
      <w:pPr>
        <w:pStyle w:val="BodyText"/>
        <w:spacing w:line="333" w:lineRule="auto" w:before="119"/>
        <w:ind w:left="153" w:right="1127"/>
        <w:jc w:val="left"/>
      </w:pPr>
      <w:r>
        <w:rPr/>
        <w:t>旺金赋信息技术有限公司，占比</w:t>
      </w:r>
      <w:r>
        <w:rPr>
          <w:spacing w:val="-55"/>
        </w:rPr>
        <w:t> </w:t>
      </w:r>
      <w:r>
        <w:rPr>
          <w:rFonts w:ascii="Times New Roman" w:hAnsi="Times New Roman" w:cs="Times New Roman" w:eastAsia="Times New Roman" w:hint="default"/>
        </w:rPr>
        <w:t>100%</w:t>
      </w:r>
      <w:r>
        <w:rPr/>
        <w:t>；截止</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日，内蒙古百旺金赋信息技术有限公司尚未</w:t>
      </w:r>
      <w:r>
        <w:rPr>
          <w:w w:val="100"/>
        </w:rPr>
        <w:t> </w:t>
      </w:r>
      <w:r>
        <w:rPr/>
        <w:t>出资。</w:t>
      </w:r>
    </w:p>
    <w:p>
      <w:pPr>
        <w:pStyle w:val="BodyText"/>
        <w:spacing w:line="240" w:lineRule="auto" w:before="154"/>
        <w:ind w:left="573" w:right="0"/>
        <w:jc w:val="left"/>
      </w:pPr>
      <w:r>
        <w:rPr/>
        <w:t>（</w:t>
      </w:r>
      <w:r>
        <w:rPr>
          <w:rFonts w:ascii="Times New Roman" w:hAnsi="Times New Roman" w:cs="Times New Roman" w:eastAsia="Times New Roman" w:hint="default"/>
        </w:rPr>
        <w:t>19</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月，三级子公司内蒙古百旺金赋信息技术有限公司投资</w:t>
      </w:r>
      <w:r>
        <w:rPr>
          <w:spacing w:val="-42"/>
        </w:rPr>
        <w:t> </w:t>
      </w:r>
      <w:r>
        <w:rPr>
          <w:rFonts w:ascii="Times New Roman" w:hAnsi="Times New Roman" w:cs="Times New Roman" w:eastAsia="Times New Roman" w:hint="default"/>
        </w:rPr>
        <w:t>50.00</w:t>
      </w:r>
      <w:r>
        <w:rPr>
          <w:rFonts w:ascii="Times New Roman" w:hAnsi="Times New Roman" w:cs="Times New Roman" w:eastAsia="Times New Roman" w:hint="default"/>
          <w:spacing w:val="-8"/>
        </w:rPr>
        <w:t> </w:t>
      </w:r>
      <w:r>
        <w:rPr>
          <w:spacing w:val="-3"/>
        </w:rPr>
        <w:t>万元投资设立巴彦淖尔</w:t>
      </w:r>
      <w:r>
        <w:rPr/>
      </w:r>
    </w:p>
    <w:p>
      <w:pPr>
        <w:pStyle w:val="BodyText"/>
        <w:spacing w:line="333" w:lineRule="auto" w:before="117"/>
        <w:ind w:left="153" w:right="1129"/>
        <w:jc w:val="left"/>
      </w:pPr>
      <w:r>
        <w:rPr/>
        <w:t>市百旺金赋信息技术有限公司，占比</w:t>
      </w:r>
      <w:r>
        <w:rPr>
          <w:spacing w:val="-55"/>
        </w:rPr>
        <w:t> </w:t>
      </w:r>
      <w:r>
        <w:rPr>
          <w:rFonts w:ascii="Times New Roman" w:hAnsi="Times New Roman" w:cs="Times New Roman" w:eastAsia="Times New Roman" w:hint="default"/>
        </w:rPr>
        <w:t>100%</w:t>
      </w:r>
      <w:r>
        <w:rPr/>
        <w:t>；截止</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日，内蒙古百旺金赋信息技术有限公司</w:t>
      </w:r>
      <w:r>
        <w:rPr>
          <w:w w:val="100"/>
        </w:rPr>
        <w:t> </w:t>
      </w:r>
      <w:r>
        <w:rPr/>
        <w:t>尚未出资。</w:t>
      </w:r>
    </w:p>
    <w:p>
      <w:pPr>
        <w:pStyle w:val="BodyText"/>
        <w:spacing w:line="240" w:lineRule="auto" w:before="154"/>
        <w:ind w:left="573" w:right="0"/>
        <w:jc w:val="left"/>
      </w:pPr>
      <w:r>
        <w:rPr/>
        <w:t>（</w:t>
      </w:r>
      <w:r>
        <w:rPr>
          <w:rFonts w:ascii="Times New Roman" w:hAnsi="Times New Roman" w:cs="Times New Roman" w:eastAsia="Times New Roman" w:hint="default"/>
        </w:rPr>
        <w:t>20</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月，三级子公司内蒙古百旺金赋信息技术有限公司投资</w:t>
      </w:r>
      <w:r>
        <w:rPr>
          <w:spacing w:val="-42"/>
        </w:rPr>
        <w:t> </w:t>
      </w:r>
      <w:r>
        <w:rPr>
          <w:rFonts w:ascii="Times New Roman" w:hAnsi="Times New Roman" w:cs="Times New Roman" w:eastAsia="Times New Roman" w:hint="default"/>
        </w:rPr>
        <w:t>50.00</w:t>
      </w:r>
      <w:r>
        <w:rPr>
          <w:rFonts w:ascii="Times New Roman" w:hAnsi="Times New Roman" w:cs="Times New Roman" w:eastAsia="Times New Roman" w:hint="default"/>
          <w:spacing w:val="-8"/>
        </w:rPr>
        <w:t> </w:t>
      </w:r>
      <w:r>
        <w:rPr>
          <w:spacing w:val="-3"/>
        </w:rPr>
        <w:t>万元投资设立乌海市百</w:t>
      </w:r>
      <w:r>
        <w:rPr/>
      </w:r>
    </w:p>
    <w:p>
      <w:pPr>
        <w:pStyle w:val="BodyText"/>
        <w:spacing w:line="333" w:lineRule="auto" w:before="117"/>
        <w:ind w:left="153" w:right="1022"/>
        <w:jc w:val="left"/>
      </w:pPr>
      <w:r>
        <w:rPr/>
        <w:t>旺金赋信息技术有限公司，占比</w:t>
      </w:r>
      <w:r>
        <w:rPr>
          <w:spacing w:val="-55"/>
        </w:rPr>
        <w:t> </w:t>
      </w:r>
      <w:r>
        <w:rPr>
          <w:rFonts w:ascii="Times New Roman" w:hAnsi="Times New Roman" w:cs="Times New Roman" w:eastAsia="Times New Roman" w:hint="default"/>
        </w:rPr>
        <w:t>100%</w:t>
      </w:r>
      <w:r>
        <w:rPr/>
        <w:t>；截止</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日，内蒙古百旺金赋信息技术有限公司尚未</w:t>
      </w:r>
      <w:r>
        <w:rPr>
          <w:w w:val="100"/>
        </w:rPr>
        <w:t> </w:t>
      </w:r>
      <w:r>
        <w:rPr/>
        <w:t>出资。</w:t>
      </w:r>
    </w:p>
    <w:p>
      <w:pPr>
        <w:pStyle w:val="BodyText"/>
        <w:spacing w:line="240" w:lineRule="auto" w:before="154"/>
        <w:ind w:left="573" w:right="0"/>
        <w:jc w:val="left"/>
      </w:pPr>
      <w:r>
        <w:rPr/>
        <w:t>（</w:t>
      </w:r>
      <w:r>
        <w:rPr>
          <w:rFonts w:ascii="Times New Roman" w:hAnsi="Times New Roman" w:cs="Times New Roman" w:eastAsia="Times New Roman" w:hint="default"/>
        </w:rPr>
        <w:t>21</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月，三级子公司内蒙古百旺金赋信息技术有限公司投资</w:t>
      </w:r>
      <w:r>
        <w:rPr>
          <w:spacing w:val="-42"/>
        </w:rPr>
        <w:t> </w:t>
      </w:r>
      <w:r>
        <w:rPr>
          <w:rFonts w:ascii="Times New Roman" w:hAnsi="Times New Roman" w:cs="Times New Roman" w:eastAsia="Times New Roman" w:hint="default"/>
        </w:rPr>
        <w:t>50.00</w:t>
      </w:r>
      <w:r>
        <w:rPr>
          <w:rFonts w:ascii="Times New Roman" w:hAnsi="Times New Roman" w:cs="Times New Roman" w:eastAsia="Times New Roman" w:hint="default"/>
          <w:spacing w:val="-8"/>
        </w:rPr>
        <w:t> </w:t>
      </w:r>
      <w:r>
        <w:rPr>
          <w:spacing w:val="-3"/>
        </w:rPr>
        <w:t>万元投资设立呼伦贝尔</w:t>
      </w:r>
      <w:r>
        <w:rPr/>
      </w:r>
    </w:p>
    <w:p>
      <w:pPr>
        <w:pStyle w:val="BodyText"/>
        <w:spacing w:line="333" w:lineRule="auto" w:before="119"/>
        <w:ind w:left="153" w:right="1127"/>
        <w:jc w:val="left"/>
      </w:pPr>
      <w:r>
        <w:rPr/>
        <w:t>市百旺金赋信息技术有限公司，占比</w:t>
      </w:r>
      <w:r>
        <w:rPr>
          <w:spacing w:val="-56"/>
        </w:rPr>
        <w:t> </w:t>
      </w:r>
      <w:r>
        <w:rPr>
          <w:rFonts w:ascii="Times New Roman" w:hAnsi="Times New Roman" w:cs="Times New Roman" w:eastAsia="Times New Roman" w:hint="default"/>
        </w:rPr>
        <w:t>100%</w:t>
      </w:r>
      <w:r>
        <w:rPr/>
        <w:t>；截止</w:t>
      </w:r>
      <w:r>
        <w:rPr>
          <w:spacing w:val="-5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日，内蒙古百旺金赋信息技术有限公司</w:t>
      </w:r>
      <w:r>
        <w:rPr>
          <w:spacing w:val="-3"/>
          <w:w w:val="100"/>
        </w:rPr>
        <w:t> </w:t>
      </w:r>
      <w:r>
        <w:rPr/>
        <w:t>尚未出资。</w:t>
      </w:r>
    </w:p>
    <w:p>
      <w:pPr>
        <w:pStyle w:val="BodyText"/>
        <w:spacing w:line="240" w:lineRule="auto" w:before="154"/>
        <w:ind w:left="573" w:right="0"/>
        <w:jc w:val="left"/>
      </w:pPr>
      <w:r>
        <w:rPr/>
        <w:t>（</w:t>
      </w:r>
      <w:r>
        <w:rPr>
          <w:rFonts w:ascii="Times New Roman" w:hAnsi="Times New Roman" w:cs="Times New Roman" w:eastAsia="Times New Roman" w:hint="default"/>
        </w:rPr>
        <w:t>22</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月，三级子公司内蒙古百旺金赋信息技术有限公司投资</w:t>
      </w:r>
      <w:r>
        <w:rPr>
          <w:spacing w:val="-42"/>
        </w:rPr>
        <w:t> </w:t>
      </w:r>
      <w:r>
        <w:rPr>
          <w:rFonts w:ascii="Times New Roman" w:hAnsi="Times New Roman" w:cs="Times New Roman" w:eastAsia="Times New Roman" w:hint="default"/>
        </w:rPr>
        <w:t>50.00</w:t>
      </w:r>
      <w:r>
        <w:rPr>
          <w:rFonts w:ascii="Times New Roman" w:hAnsi="Times New Roman" w:cs="Times New Roman" w:eastAsia="Times New Roman" w:hint="default"/>
          <w:spacing w:val="-8"/>
        </w:rPr>
        <w:t> </w:t>
      </w:r>
      <w:r>
        <w:rPr>
          <w:spacing w:val="-3"/>
        </w:rPr>
        <w:t>万元投资设立锡林郭勒</w:t>
      </w:r>
      <w:r>
        <w:rPr/>
      </w:r>
    </w:p>
    <w:p>
      <w:pPr>
        <w:pStyle w:val="BodyText"/>
        <w:spacing w:line="333" w:lineRule="auto" w:before="117"/>
        <w:ind w:left="153" w:right="1129"/>
        <w:jc w:val="left"/>
      </w:pPr>
      <w:r>
        <w:rPr/>
        <w:t>盟百旺金赋信息技术有限公司，占比</w:t>
      </w:r>
      <w:r>
        <w:rPr>
          <w:spacing w:val="-55"/>
        </w:rPr>
        <w:t> </w:t>
      </w:r>
      <w:r>
        <w:rPr>
          <w:rFonts w:ascii="Times New Roman" w:hAnsi="Times New Roman" w:cs="Times New Roman" w:eastAsia="Times New Roman" w:hint="default"/>
        </w:rPr>
        <w:t>100%</w:t>
      </w:r>
      <w:r>
        <w:rPr/>
        <w:t>；截止</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日，内蒙古百旺金赋信息技术有限公司</w:t>
      </w:r>
      <w:r>
        <w:rPr>
          <w:w w:val="100"/>
        </w:rPr>
        <w:t> </w:t>
      </w:r>
      <w:r>
        <w:rPr/>
        <w:t>尚未出资。</w:t>
      </w:r>
    </w:p>
    <w:p>
      <w:pPr>
        <w:pStyle w:val="BodyText"/>
        <w:spacing w:line="333" w:lineRule="auto" w:before="154"/>
        <w:ind w:left="153" w:right="1022" w:firstLine="419"/>
        <w:jc w:val="left"/>
      </w:pPr>
      <w:r>
        <w:rPr>
          <w:spacing w:val="-13"/>
          <w:w w:val="100"/>
        </w:rPr>
        <w:t>（</w:t>
      </w:r>
      <w:r>
        <w:rPr>
          <w:rFonts w:ascii="Times New Roman" w:hAnsi="Times New Roman" w:cs="Times New Roman" w:eastAsia="Times New Roman" w:hint="default"/>
          <w:spacing w:val="-13"/>
          <w:w w:val="100"/>
        </w:rPr>
        <w:t>23</w:t>
      </w:r>
      <w:r>
        <w:rPr>
          <w:spacing w:val="-13"/>
          <w:w w:val="100"/>
        </w:rPr>
        <w:t>）</w:t>
      </w:r>
      <w:r>
        <w:rPr>
          <w:rFonts w:ascii="Times New Roman" w:hAnsi="Times New Roman" w:cs="Times New Roman" w:eastAsia="Times New Roman" w:hint="default"/>
          <w:spacing w:val="-13"/>
          <w:w w:val="100"/>
        </w:rPr>
        <w:t>2019</w:t>
      </w:r>
      <w:r>
        <w:rPr>
          <w:rFonts w:ascii="Times New Roman" w:hAnsi="Times New Roman" w:cs="Times New Roman" w:eastAsia="Times New Roman" w:hint="default"/>
          <w:spacing w:val="-10"/>
          <w:w w:val="100"/>
        </w:rPr>
        <w:t> </w:t>
      </w:r>
      <w:r>
        <w:rPr>
          <w:w w:val="100"/>
        </w:rPr>
        <w:t>年</w:t>
      </w:r>
      <w:r>
        <w:rPr>
          <w:spacing w:val="-50"/>
          <w:w w:val="100"/>
        </w:rPr>
        <w:t> </w:t>
      </w:r>
      <w:r>
        <w:rPr>
          <w:rFonts w:ascii="Times New Roman" w:hAnsi="Times New Roman" w:cs="Times New Roman" w:eastAsia="Times New Roman" w:hint="default"/>
          <w:spacing w:val="-2"/>
          <w:w w:val="100"/>
        </w:rPr>
        <w:t>10</w:t>
      </w:r>
      <w:r>
        <w:rPr>
          <w:rFonts w:ascii="Times New Roman" w:hAnsi="Times New Roman" w:cs="Times New Roman" w:eastAsia="Times New Roman" w:hint="default"/>
          <w:spacing w:val="-8"/>
          <w:w w:val="100"/>
        </w:rPr>
        <w:t> </w:t>
      </w:r>
      <w:r>
        <w:rPr>
          <w:spacing w:val="-7"/>
          <w:w w:val="100"/>
        </w:rPr>
        <w:t>月，三级宁波旋极财税科技有限公司投资设立宁波小望财税科技有限公司，占比</w:t>
      </w:r>
      <w:r>
        <w:rPr>
          <w:spacing w:val="-51"/>
          <w:w w:val="100"/>
        </w:rPr>
        <w:t> </w:t>
      </w:r>
      <w:r>
        <w:rPr>
          <w:rFonts w:ascii="Times New Roman" w:hAnsi="Times New Roman" w:cs="Times New Roman" w:eastAsia="Times New Roman" w:hint="default"/>
          <w:spacing w:val="-1"/>
          <w:w w:val="100"/>
        </w:rPr>
        <w:t>51%</w:t>
      </w:r>
      <w:r>
        <w:rPr>
          <w:spacing w:val="-1"/>
          <w:w w:val="100"/>
        </w:rPr>
        <w:t>；</w:t>
      </w:r>
      <w:r>
        <w:rPr>
          <w:w w:val="100"/>
        </w:rPr>
        <w:t> </w:t>
      </w:r>
      <w:r>
        <w:rPr/>
        <w:t>截止</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日，宁波旋极财税科技有限公司尚未出资。</w:t>
      </w:r>
    </w:p>
    <w:p>
      <w:pPr>
        <w:pStyle w:val="BodyText"/>
        <w:spacing w:line="333" w:lineRule="auto" w:before="129"/>
        <w:ind w:left="154" w:right="1126" w:firstLine="419"/>
        <w:jc w:val="left"/>
      </w:pPr>
      <w:r>
        <w:rPr/>
        <w:t>（</w:t>
      </w:r>
      <w:r>
        <w:rPr>
          <w:rFonts w:ascii="Times New Roman" w:hAnsi="Times New Roman" w:cs="Times New Roman" w:eastAsia="Times New Roman" w:hint="default"/>
        </w:rPr>
        <w:t>24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月，三级宁波旋极财税科技有限公司投资设立宁海小望科技有限公司，占比</w:t>
      </w:r>
      <w:r>
        <w:rPr>
          <w:spacing w:val="-42"/>
        </w:rPr>
        <w:t> </w:t>
      </w:r>
      <w:r>
        <w:rPr>
          <w:rFonts w:ascii="Times New Roman" w:hAnsi="Times New Roman" w:cs="Times New Roman" w:eastAsia="Times New Roman" w:hint="default"/>
        </w:rPr>
        <w:t>51%</w:t>
      </w:r>
      <w:r>
        <w:rPr/>
        <w:t>；</w:t>
      </w:r>
      <w:r>
        <w:rPr>
          <w:w w:val="100"/>
        </w:rPr>
        <w:t> </w:t>
      </w:r>
      <w:r>
        <w:rPr/>
        <w:t>截止</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日，宁波旋极财税科技有限公司尚未出资。</w:t>
      </w:r>
    </w:p>
    <w:p>
      <w:pPr>
        <w:pStyle w:val="BodyText"/>
        <w:spacing w:line="333" w:lineRule="auto" w:before="129"/>
        <w:ind w:left="154" w:right="1022" w:firstLine="419"/>
        <w:jc w:val="left"/>
      </w:pPr>
      <w:r>
        <w:rPr/>
        <w:t>（</w:t>
      </w:r>
      <w:r>
        <w:rPr>
          <w:rFonts w:ascii="Times New Roman" w:hAnsi="Times New Roman" w:cs="Times New Roman" w:eastAsia="Times New Roman" w:hint="default"/>
        </w:rPr>
        <w:t>25</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月，三级宁波旋极财税科技有限公司投资设立象山小望科技有限公司，占比</w:t>
      </w:r>
      <w:r>
        <w:rPr>
          <w:spacing w:val="-42"/>
        </w:rPr>
        <w:t> </w:t>
      </w:r>
      <w:r>
        <w:rPr>
          <w:rFonts w:ascii="Times New Roman" w:hAnsi="Times New Roman" w:cs="Times New Roman" w:eastAsia="Times New Roman" w:hint="default"/>
        </w:rPr>
        <w:t>51%</w:t>
      </w:r>
      <w:r>
        <w:rPr/>
        <w:t>；</w:t>
      </w:r>
      <w:r>
        <w:rPr>
          <w:w w:val="100"/>
        </w:rPr>
        <w:t> </w:t>
      </w:r>
      <w:r>
        <w:rPr/>
        <w:t>截止</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日，宁波旋极财税科技有限公司尚未出资。</w:t>
      </w:r>
    </w:p>
    <w:p>
      <w:pPr>
        <w:pStyle w:val="BodyText"/>
        <w:spacing w:line="333" w:lineRule="auto" w:before="129"/>
        <w:ind w:left="154" w:right="1017" w:firstLine="419"/>
        <w:jc w:val="left"/>
      </w:pPr>
      <w:r>
        <w:rPr>
          <w:spacing w:val="-13"/>
          <w:w w:val="100"/>
        </w:rPr>
        <w:t>（</w:t>
      </w:r>
      <w:r>
        <w:rPr>
          <w:rFonts w:ascii="Times New Roman" w:hAnsi="Times New Roman" w:cs="Times New Roman" w:eastAsia="Times New Roman" w:hint="default"/>
          <w:spacing w:val="-13"/>
          <w:w w:val="100"/>
        </w:rPr>
        <w:t>26</w:t>
      </w:r>
      <w:r>
        <w:rPr>
          <w:spacing w:val="-13"/>
          <w:w w:val="100"/>
        </w:rPr>
        <w:t>）</w:t>
      </w:r>
      <w:r>
        <w:rPr>
          <w:rFonts w:ascii="Times New Roman" w:hAnsi="Times New Roman" w:cs="Times New Roman" w:eastAsia="Times New Roman" w:hint="default"/>
          <w:spacing w:val="-13"/>
          <w:w w:val="100"/>
        </w:rPr>
        <w:t>2019</w:t>
      </w:r>
      <w:r>
        <w:rPr>
          <w:rFonts w:ascii="Times New Roman" w:hAnsi="Times New Roman" w:cs="Times New Roman" w:eastAsia="Times New Roman" w:hint="default"/>
          <w:spacing w:val="-10"/>
          <w:w w:val="100"/>
        </w:rPr>
        <w:t> </w:t>
      </w:r>
      <w:r>
        <w:rPr>
          <w:w w:val="100"/>
        </w:rPr>
        <w:t>年</w:t>
      </w:r>
      <w:r>
        <w:rPr>
          <w:spacing w:val="-50"/>
          <w:w w:val="100"/>
        </w:rPr>
        <w:t> </w:t>
      </w:r>
      <w:r>
        <w:rPr>
          <w:rFonts w:ascii="Times New Roman" w:hAnsi="Times New Roman" w:cs="Times New Roman" w:eastAsia="Times New Roman" w:hint="default"/>
          <w:spacing w:val="-2"/>
          <w:w w:val="100"/>
        </w:rPr>
        <w:t>10</w:t>
      </w:r>
      <w:r>
        <w:rPr>
          <w:rFonts w:ascii="Times New Roman" w:hAnsi="Times New Roman" w:cs="Times New Roman" w:eastAsia="Times New Roman" w:hint="default"/>
          <w:spacing w:val="-8"/>
          <w:w w:val="100"/>
        </w:rPr>
        <w:t> </w:t>
      </w:r>
      <w:r>
        <w:rPr>
          <w:spacing w:val="-7"/>
          <w:w w:val="100"/>
        </w:rPr>
        <w:t>月，三级宁波旋极财税科技有限公司投资设立宁波海曙小望科技有限公司，占比</w:t>
      </w:r>
      <w:r>
        <w:rPr>
          <w:spacing w:val="-51"/>
          <w:w w:val="100"/>
        </w:rPr>
        <w:t> </w:t>
      </w:r>
      <w:r>
        <w:rPr>
          <w:rFonts w:ascii="Times New Roman" w:hAnsi="Times New Roman" w:cs="Times New Roman" w:eastAsia="Times New Roman" w:hint="default"/>
          <w:spacing w:val="-1"/>
          <w:w w:val="100"/>
        </w:rPr>
        <w:t>51%</w:t>
      </w:r>
      <w:r>
        <w:rPr>
          <w:spacing w:val="-1"/>
          <w:w w:val="100"/>
        </w:rPr>
        <w:t>；</w:t>
      </w:r>
      <w:r>
        <w:rPr>
          <w:w w:val="100"/>
        </w:rPr>
        <w:t> </w:t>
      </w:r>
      <w:r>
        <w:rPr/>
        <w:t>截止</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日，宁波旋极财税科技有限公司尚未出资。</w:t>
      </w:r>
    </w:p>
    <w:p>
      <w:pPr>
        <w:pStyle w:val="BodyText"/>
        <w:spacing w:line="336" w:lineRule="auto" w:before="129"/>
        <w:ind w:left="154" w:right="1017" w:firstLine="419"/>
        <w:jc w:val="left"/>
      </w:pPr>
      <w:r>
        <w:rPr>
          <w:spacing w:val="-13"/>
          <w:w w:val="100"/>
        </w:rPr>
        <w:t>（</w:t>
      </w:r>
      <w:r>
        <w:rPr>
          <w:rFonts w:ascii="Times New Roman" w:hAnsi="Times New Roman" w:cs="Times New Roman" w:eastAsia="Times New Roman" w:hint="default"/>
          <w:spacing w:val="-13"/>
          <w:w w:val="100"/>
        </w:rPr>
        <w:t>27</w:t>
      </w:r>
      <w:r>
        <w:rPr>
          <w:spacing w:val="-13"/>
          <w:w w:val="100"/>
        </w:rPr>
        <w:t>）</w:t>
      </w:r>
      <w:r>
        <w:rPr>
          <w:rFonts w:ascii="Times New Roman" w:hAnsi="Times New Roman" w:cs="Times New Roman" w:eastAsia="Times New Roman" w:hint="default"/>
          <w:spacing w:val="-13"/>
          <w:w w:val="100"/>
        </w:rPr>
        <w:t>2019</w:t>
      </w:r>
      <w:r>
        <w:rPr>
          <w:rFonts w:ascii="Times New Roman" w:hAnsi="Times New Roman" w:cs="Times New Roman" w:eastAsia="Times New Roman" w:hint="default"/>
          <w:spacing w:val="-10"/>
          <w:w w:val="100"/>
        </w:rPr>
        <w:t> </w:t>
      </w:r>
      <w:r>
        <w:rPr>
          <w:w w:val="100"/>
        </w:rPr>
        <w:t>年</w:t>
      </w:r>
      <w:r>
        <w:rPr>
          <w:spacing w:val="-50"/>
          <w:w w:val="100"/>
        </w:rPr>
        <w:t> </w:t>
      </w:r>
      <w:r>
        <w:rPr>
          <w:rFonts w:ascii="Times New Roman" w:hAnsi="Times New Roman" w:cs="Times New Roman" w:eastAsia="Times New Roman" w:hint="default"/>
          <w:spacing w:val="-2"/>
          <w:w w:val="100"/>
        </w:rPr>
        <w:t>10</w:t>
      </w:r>
      <w:r>
        <w:rPr>
          <w:rFonts w:ascii="Times New Roman" w:hAnsi="Times New Roman" w:cs="Times New Roman" w:eastAsia="Times New Roman" w:hint="default"/>
          <w:spacing w:val="-8"/>
          <w:w w:val="100"/>
        </w:rPr>
        <w:t> </w:t>
      </w:r>
      <w:r>
        <w:rPr>
          <w:spacing w:val="-7"/>
          <w:w w:val="100"/>
        </w:rPr>
        <w:t>月，三级宁波旋极财税科技有限公司投资设立慈溪小望财税科技有限公司，占比</w:t>
      </w:r>
      <w:r>
        <w:rPr>
          <w:spacing w:val="-51"/>
          <w:w w:val="100"/>
        </w:rPr>
        <w:t> </w:t>
      </w:r>
      <w:r>
        <w:rPr>
          <w:rFonts w:ascii="Times New Roman" w:hAnsi="Times New Roman" w:cs="Times New Roman" w:eastAsia="Times New Roman" w:hint="default"/>
          <w:spacing w:val="-1"/>
          <w:w w:val="100"/>
        </w:rPr>
        <w:t>51%</w:t>
      </w:r>
      <w:r>
        <w:rPr>
          <w:spacing w:val="-1"/>
          <w:w w:val="100"/>
        </w:rPr>
        <w:t>；</w:t>
      </w:r>
      <w:r>
        <w:rPr>
          <w:w w:val="100"/>
        </w:rPr>
        <w:t> </w:t>
      </w:r>
      <w:r>
        <w:rPr/>
        <w:t>截止</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日，宁波旋极财税科技有限公司尚未出资。</w:t>
      </w:r>
    </w:p>
    <w:p>
      <w:pPr>
        <w:pStyle w:val="BodyText"/>
        <w:spacing w:line="240" w:lineRule="auto" w:before="125"/>
        <w:ind w:left="574" w:right="0"/>
        <w:jc w:val="left"/>
      </w:pPr>
      <w:r>
        <w:rPr/>
        <w:t>（</w:t>
      </w:r>
      <w:r>
        <w:rPr>
          <w:rFonts w:ascii="Times New Roman" w:hAnsi="Times New Roman" w:cs="Times New Roman" w:eastAsia="Times New Roman" w:hint="default"/>
        </w:rPr>
        <w:t>28</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月，三级宁波旋极财税科技有限公司投资设立余姚小望科技有限公司，占比</w:t>
      </w:r>
      <w:r>
        <w:rPr>
          <w:spacing w:val="-42"/>
        </w:rPr>
        <w:t> </w:t>
      </w:r>
      <w:r>
        <w:rPr>
          <w:rFonts w:ascii="Times New Roman" w:hAnsi="Times New Roman" w:cs="Times New Roman" w:eastAsia="Times New Roman" w:hint="default"/>
        </w:rPr>
        <w:t>51%</w:t>
      </w:r>
      <w:r>
        <w:rPr/>
        <w:t>；</w:t>
      </w:r>
    </w:p>
    <w:p>
      <w:pPr>
        <w:spacing w:after="0" w:line="240" w:lineRule="auto"/>
        <w:jc w:val="left"/>
        <w:sectPr>
          <w:footerReference w:type="default" r:id="rId84"/>
          <w:pgSz w:w="11910" w:h="16840"/>
          <w:pgMar w:footer="1134" w:header="882" w:top="1280" w:bottom="1320" w:left="980" w:right="0"/>
          <w:pgNumType w:start="254"/>
        </w:sectPr>
      </w:pPr>
    </w:p>
    <w:p>
      <w:pPr>
        <w:pStyle w:val="BodyText"/>
        <w:spacing w:line="420" w:lineRule="auto" w:before="110"/>
        <w:ind w:left="573" w:right="4814" w:hanging="421"/>
        <w:jc w:val="left"/>
      </w:pPr>
      <w:r>
        <w:rPr/>
        <w:t>截止</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日，宁波旋极财税科技有限公司尚未出资。</w:t>
      </w:r>
      <w:r>
        <w:rPr>
          <w:spacing w:val="-3"/>
          <w:w w:val="100"/>
        </w:rPr>
        <w:t> </w:t>
      </w:r>
      <w:r>
        <w:rPr/>
        <w:t>处置子公司</w:t>
      </w:r>
    </w:p>
    <w:p>
      <w:pPr>
        <w:pStyle w:val="BodyText"/>
        <w:spacing w:line="333" w:lineRule="auto" w:before="78"/>
        <w:ind w:left="152" w:right="0" w:firstLine="420"/>
        <w:jc w:val="left"/>
      </w:pPr>
      <w:r>
        <w:rPr>
          <w:spacing w:val="-5"/>
        </w:rPr>
        <w:t>（</w:t>
      </w: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2"/>
        </w:rPr>
        <w:t> </w:t>
      </w:r>
      <w:r>
        <w:rPr/>
        <w:t>年</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
        </w:rPr>
        <w:t>月，公司将三级子公司浙江小望科技有限公司</w:t>
      </w:r>
      <w:r>
        <w:rPr>
          <w:spacing w:val="-40"/>
        </w:rPr>
        <w:t> </w:t>
      </w:r>
      <w:r>
        <w:rPr>
          <w:rFonts w:ascii="Times New Roman" w:hAnsi="Times New Roman" w:cs="Times New Roman" w:eastAsia="Times New Roman" w:hint="default"/>
          <w:spacing w:val="-4"/>
        </w:rPr>
        <w:t>40%</w:t>
      </w:r>
      <w:r>
        <w:rPr>
          <w:spacing w:val="-4"/>
        </w:rPr>
        <w:t>股权处置，处置后持股比例为</w:t>
      </w:r>
      <w:r>
        <w:rPr>
          <w:spacing w:val="-40"/>
        </w:rPr>
        <w:t> </w:t>
      </w:r>
      <w:r>
        <w:rPr>
          <w:rFonts w:ascii="Times New Roman" w:hAnsi="Times New Roman" w:cs="Times New Roman" w:eastAsia="Times New Roman" w:hint="default"/>
        </w:rPr>
        <w:t>38%</w:t>
      </w:r>
      <w:r>
        <w:rPr/>
        <w:t>，</w:t>
      </w:r>
      <w:r>
        <w:rPr>
          <w:w w:val="100"/>
        </w:rPr>
        <w:t> </w:t>
      </w:r>
      <w:r>
        <w:rPr/>
        <w:t>公司对其丧失控制权，不再纳入合并范围。</w:t>
      </w:r>
    </w:p>
    <w:p>
      <w:pPr>
        <w:pStyle w:val="BodyText"/>
        <w:spacing w:line="333" w:lineRule="auto" w:before="154"/>
        <w:ind w:left="152" w:right="1127" w:firstLine="420"/>
        <w:jc w:val="left"/>
      </w:pPr>
      <w:r>
        <w:rPr>
          <w:spacing w:val="-5"/>
        </w:rPr>
        <w:t>（</w: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2019 </w:t>
      </w:r>
      <w:r>
        <w:rPr/>
        <w:t>年 </w:t>
      </w:r>
      <w:r>
        <w:rPr>
          <w:rFonts w:ascii="Times New Roman" w:hAnsi="Times New Roman" w:cs="Times New Roman" w:eastAsia="Times New Roman" w:hint="default"/>
        </w:rPr>
        <w:t>1 </w:t>
      </w:r>
      <w:r>
        <w:rPr>
          <w:spacing w:val="-3"/>
        </w:rPr>
        <w:t>月，公司将三级子公司郑州众合景轩信息技术有限公司</w:t>
      </w:r>
      <w:r>
        <w:rPr>
          <w:spacing w:val="-49"/>
        </w:rPr>
        <w:t> </w:t>
      </w:r>
      <w:r>
        <w:rPr>
          <w:rFonts w:ascii="Times New Roman" w:hAnsi="Times New Roman" w:cs="Times New Roman" w:eastAsia="Times New Roman" w:hint="default"/>
          <w:spacing w:val="-4"/>
        </w:rPr>
        <w:t>100%</w:t>
      </w:r>
      <w:r>
        <w:rPr>
          <w:spacing w:val="-4"/>
        </w:rPr>
        <w:t>股权处置，处置后公司对</w:t>
      </w:r>
      <w:r>
        <w:rPr>
          <w:spacing w:val="-3"/>
          <w:w w:val="100"/>
        </w:rPr>
        <w:t> </w:t>
      </w:r>
      <w:r>
        <w:rPr/>
        <w:t>其丧失控制权，不再纳入合并范围。</w:t>
      </w:r>
    </w:p>
    <w:p>
      <w:pPr>
        <w:pStyle w:val="BodyText"/>
        <w:spacing w:line="240" w:lineRule="auto" w:before="152"/>
        <w:ind w:right="1127"/>
        <w:jc w:val="left"/>
      </w:pPr>
      <w:r>
        <w:rPr/>
        <w:t>其他</w:t>
      </w:r>
    </w:p>
    <w:p>
      <w:pPr>
        <w:spacing w:line="240" w:lineRule="auto" w:before="1"/>
        <w:rPr>
          <w:rFonts w:ascii="宋体" w:hAnsi="宋体" w:cs="宋体" w:eastAsia="宋体" w:hint="default"/>
          <w:sz w:val="18"/>
          <w:szCs w:val="18"/>
        </w:rPr>
      </w:pPr>
    </w:p>
    <w:p>
      <w:pPr>
        <w:pStyle w:val="BodyText"/>
        <w:spacing w:line="333" w:lineRule="auto"/>
        <w:ind w:left="152" w:right="1124" w:firstLine="420"/>
        <w:jc w:val="left"/>
      </w:pPr>
      <w:r>
        <w:rPr>
          <w:rFonts w:ascii="Times New Roman" w:hAnsi="Times New Roman" w:cs="Times New Roman" w:eastAsia="Times New Roman" w:hint="default"/>
        </w:rPr>
        <w:t>1</w:t>
      </w:r>
      <w:r>
        <w:rPr/>
        <w:t>、本公司将子公司天津百望金赋科技有限公司</w:t>
      </w:r>
      <w:r>
        <w:rPr>
          <w:spacing w:val="5"/>
        </w:rPr>
        <w:t> </w:t>
      </w:r>
      <w:r>
        <w:rPr>
          <w:rFonts w:ascii="Times New Roman" w:hAnsi="Times New Roman" w:cs="Times New Roman" w:eastAsia="Times New Roman" w:hint="default"/>
        </w:rPr>
        <w:t>65%</w:t>
      </w:r>
      <w:r>
        <w:rPr/>
        <w:t>的股权转让于非全资子公司北京旋极百旺科技有</w:t>
      </w:r>
      <w:r>
        <w:rPr>
          <w:w w:val="100"/>
        </w:rPr>
        <w:t> </w:t>
      </w:r>
      <w:r>
        <w:rPr/>
        <w:t>限公司，天津百望金赋科技有限公司层级由二级变为三级。</w:t>
      </w:r>
    </w:p>
    <w:p>
      <w:pPr>
        <w:pStyle w:val="BodyText"/>
        <w:spacing w:line="240" w:lineRule="auto" w:before="154"/>
        <w:ind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4"/>
        </w:rPr>
        <w:t> </w:t>
      </w:r>
      <w:r>
        <w:rPr/>
        <w:t>月，本公司之子公司北京泰豪智能工程有限公司收购北京泰豪智能科技有限公司</w:t>
      </w:r>
      <w:r>
        <w:rPr>
          <w:spacing w:val="-49"/>
        </w:rPr>
        <w:t> </w:t>
      </w:r>
      <w:r>
        <w:rPr>
          <w:rFonts w:ascii="Times New Roman" w:hAnsi="Times New Roman" w:cs="Times New Roman" w:eastAsia="Times New Roman" w:hint="default"/>
        </w:rPr>
        <w:t>100%</w:t>
      </w:r>
    </w:p>
    <w:p>
      <w:pPr>
        <w:pStyle w:val="BodyText"/>
        <w:spacing w:line="240" w:lineRule="auto" w:before="115"/>
        <w:ind w:left="152" w:right="1127"/>
        <w:jc w:val="left"/>
      </w:pPr>
      <w:r>
        <w:rPr/>
        <w:t>的股权。</w:t>
      </w:r>
    </w:p>
    <w:p>
      <w:pPr>
        <w:spacing w:line="240" w:lineRule="auto" w:before="0"/>
        <w:rPr>
          <w:rFonts w:ascii="宋体" w:hAnsi="宋体" w:cs="宋体" w:eastAsia="宋体" w:hint="default"/>
          <w:sz w:val="20"/>
          <w:szCs w:val="20"/>
        </w:rPr>
      </w:pPr>
    </w:p>
    <w:p>
      <w:pPr>
        <w:spacing w:line="470" w:lineRule="auto" w:before="177"/>
        <w:ind w:left="152" w:right="8104" w:hanging="1"/>
        <w:jc w:val="left"/>
        <w:rPr>
          <w:rFonts w:ascii="宋体" w:hAnsi="宋体" w:cs="宋体" w:eastAsia="宋体" w:hint="default"/>
          <w:sz w:val="21"/>
          <w:szCs w:val="21"/>
        </w:rPr>
      </w:pPr>
      <w:bookmarkStart w:name="6、其他" w:id="552"/>
      <w:bookmarkEnd w:id="55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553"/>
      <w:bookmarkEnd w:id="553"/>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554"/>
      <w:bookmarkEnd w:id="55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57"/>
        <w:ind w:right="1127"/>
        <w:jc w:val="left"/>
        <w:rPr>
          <w:b w:val="0"/>
          <w:bCs w:val="0"/>
        </w:rPr>
      </w:pPr>
      <w:bookmarkStart w:name="（1）企业集团的构成" w:id="555"/>
      <w:bookmarkEnd w:id="55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4"/>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323"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24"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55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74"/>
              <w:jc w:val="left"/>
              <w:rPr>
                <w:rFonts w:ascii="宋体" w:hAnsi="宋体" w:cs="宋体" w:eastAsia="宋体" w:hint="default"/>
                <w:sz w:val="18"/>
                <w:szCs w:val="18"/>
              </w:rPr>
            </w:pPr>
            <w:r>
              <w:rPr>
                <w:rFonts w:ascii="宋体" w:hAnsi="宋体" w:cs="宋体" w:eastAsia="宋体" w:hint="default"/>
                <w:sz w:val="18"/>
                <w:szCs w:val="18"/>
              </w:rPr>
              <w:t>上海旋极信息技 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74"/>
              <w:jc w:val="left"/>
              <w:rPr>
                <w:rFonts w:ascii="宋体" w:hAnsi="宋体" w:cs="宋体" w:eastAsia="宋体" w:hint="default"/>
                <w:sz w:val="18"/>
                <w:szCs w:val="18"/>
              </w:rPr>
            </w:pPr>
            <w:r>
              <w:rPr>
                <w:rFonts w:ascii="宋体" w:hAnsi="宋体" w:cs="宋体" w:eastAsia="宋体" w:hint="default"/>
                <w:sz w:val="18"/>
                <w:szCs w:val="18"/>
              </w:rPr>
              <w:t>成都旋极历通信 息技术有限公司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10"/>
              <w:jc w:val="left"/>
              <w:rPr>
                <w:rFonts w:ascii="宋体" w:hAnsi="宋体" w:cs="宋体" w:eastAsia="宋体" w:hint="default"/>
                <w:sz w:val="18"/>
                <w:szCs w:val="18"/>
              </w:rPr>
            </w:pPr>
            <w:r>
              <w:rPr>
                <w:rFonts w:ascii="宋体" w:hAnsi="宋体" w:cs="宋体" w:eastAsia="宋体" w:hint="default"/>
                <w:spacing w:val="-6"/>
                <w:sz w:val="18"/>
                <w:szCs w:val="18"/>
              </w:rPr>
              <w:t>旋极国际（香港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before="8"/>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7" w:lineRule="exact"/>
              <w:ind w:left="23"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440" w:lineRule="exact"/>
              <w:ind w:left="2" w:right="-38"/>
              <w:jc w:val="left"/>
              <w:rPr>
                <w:rFonts w:ascii="宋体" w:hAnsi="宋体" w:cs="宋体" w:eastAsia="宋体" w:hint="default"/>
                <w:sz w:val="20"/>
                <w:szCs w:val="20"/>
              </w:rPr>
            </w:pPr>
            <w:r>
              <w:rPr>
                <w:rFonts w:ascii="宋体" w:hAnsi="宋体" w:cs="宋体" w:eastAsia="宋体" w:hint="default"/>
                <w:position w:val="-8"/>
                <w:sz w:val="20"/>
                <w:szCs w:val="20"/>
              </w:rPr>
              <w:pict>
                <v:group style="width:67.8pt;height:22.05pt;mso-position-horizontal-relative:char;mso-position-vertical-relative:line" coordorigin="0,0" coordsize="1356,441">
                  <v:group style="position:absolute;left:0;top:0;width:1356;height:118" coordorigin="0,0" coordsize="1356,118">
                    <v:shape style="position:absolute;left:0;top:0;width:1356;height:118" coordorigin="0,0" coordsize="1356,118" path="m0,118l1356,118,1356,0,0,0,0,118xe" filled="true" fillcolor="#ffffff" stroked="false">
                      <v:path arrowok="t"/>
                      <v:fill type="solid"/>
                    </v:shape>
                  </v:group>
                  <v:group style="position:absolute;left:11;top:118;width:2;height:312" coordorigin="11,118" coordsize="2,312">
                    <v:shape style="position:absolute;left:11;top:118;width:2;height:312" coordorigin="11,118" coordsize="0,312" path="m11,118l11,430e" filled="false" stroked="true" strokeweight="1.08pt" strokecolor="#ffffff">
                      <v:path arrowok="t"/>
                    </v:shape>
                  </v:group>
                  <v:group style="position:absolute;left:22;top:118;width:1313;height:312" coordorigin="22,118" coordsize="1313,312">
                    <v:shape style="position:absolute;left:22;top:118;width:1313;height:312" coordorigin="22,118" coordsize="1313,312" path="m22,430l1334,430,1334,118,22,118,22,430xe" filled="true" fillcolor="#ffffff" stroked="false">
                      <v:path arrowok="t"/>
                      <v:fill type="solid"/>
                    </v:shape>
                  </v:group>
                </v:group>
              </w:pict>
            </w:r>
            <w:r>
              <w:rPr>
                <w:rFonts w:ascii="宋体" w:hAnsi="宋体" w:cs="宋体" w:eastAsia="宋体" w:hint="default"/>
                <w:position w:val="-8"/>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74"/>
              <w:jc w:val="left"/>
              <w:rPr>
                <w:rFonts w:ascii="宋体" w:hAnsi="宋体" w:cs="宋体" w:eastAsia="宋体" w:hint="default"/>
                <w:sz w:val="18"/>
                <w:szCs w:val="18"/>
              </w:rPr>
            </w:pPr>
            <w:r>
              <w:rPr>
                <w:rFonts w:ascii="宋体" w:hAnsi="宋体" w:cs="宋体" w:eastAsia="宋体" w:hint="default"/>
                <w:sz w:val="18"/>
                <w:szCs w:val="18"/>
              </w:rPr>
              <w:t>北京中软金卡信 息技术有限公司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55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74"/>
              <w:jc w:val="left"/>
              <w:rPr>
                <w:rFonts w:ascii="宋体" w:hAnsi="宋体" w:cs="宋体" w:eastAsia="宋体" w:hint="default"/>
                <w:sz w:val="18"/>
                <w:szCs w:val="18"/>
              </w:rPr>
            </w:pPr>
            <w:r>
              <w:rPr>
                <w:rFonts w:ascii="宋体" w:hAnsi="宋体" w:cs="宋体" w:eastAsia="宋体" w:hint="default"/>
                <w:sz w:val="18"/>
                <w:szCs w:val="18"/>
              </w:rPr>
              <w:t>西安西谷微电子 有限责任公司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55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74"/>
              <w:jc w:val="left"/>
              <w:rPr>
                <w:rFonts w:ascii="宋体" w:hAnsi="宋体" w:cs="宋体" w:eastAsia="宋体" w:hint="default"/>
                <w:sz w:val="18"/>
                <w:szCs w:val="18"/>
              </w:rPr>
            </w:pPr>
            <w:r>
              <w:rPr>
                <w:rFonts w:ascii="宋体" w:hAnsi="宋体" w:cs="宋体" w:eastAsia="宋体" w:hint="default"/>
                <w:sz w:val="18"/>
                <w:szCs w:val="18"/>
              </w:rPr>
              <w:t>北京泰豪智能工 程有限公司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55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74"/>
              <w:jc w:val="left"/>
              <w:rPr>
                <w:rFonts w:ascii="宋体" w:hAnsi="宋体" w:cs="宋体" w:eastAsia="宋体" w:hint="default"/>
                <w:sz w:val="18"/>
                <w:szCs w:val="18"/>
              </w:rPr>
            </w:pPr>
            <w:r>
              <w:rPr>
                <w:rFonts w:ascii="宋体" w:hAnsi="宋体" w:cs="宋体" w:eastAsia="宋体" w:hint="default"/>
                <w:sz w:val="18"/>
                <w:szCs w:val="18"/>
              </w:rPr>
              <w:t>北京麦禾信通科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92.19%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55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74"/>
              <w:jc w:val="left"/>
              <w:rPr>
                <w:rFonts w:ascii="宋体" w:hAnsi="宋体" w:cs="宋体" w:eastAsia="宋体" w:hint="default"/>
                <w:sz w:val="18"/>
                <w:szCs w:val="18"/>
              </w:rPr>
            </w:pPr>
            <w:r>
              <w:rPr>
                <w:rFonts w:ascii="宋体" w:hAnsi="宋体" w:cs="宋体" w:eastAsia="宋体" w:hint="default"/>
                <w:sz w:val="18"/>
                <w:szCs w:val="18"/>
              </w:rPr>
              <w:t>深圳市旋极历通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9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赛瑞工信科技</w:t>
            </w:r>
          </w:p>
          <w:p>
            <w:pPr>
              <w:pStyle w:val="TableParagraph"/>
              <w:spacing w:line="232" w:lineRule="exact" w:before="24"/>
              <w:ind w:left="24" w:right="74"/>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67.42%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z w:val="18"/>
                <w:szCs w:val="18"/>
              </w:rPr>
              <w:t>航泰恒通（北京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b/>
          <w:bCs/>
          <w:sz w:val="11"/>
          <w:szCs w:val="11"/>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28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74"/>
              <w:jc w:val="left"/>
              <w:rPr>
                <w:rFonts w:ascii="宋体" w:hAnsi="宋体" w:cs="宋体" w:eastAsia="宋体" w:hint="default"/>
                <w:sz w:val="18"/>
                <w:szCs w:val="18"/>
              </w:rPr>
            </w:pPr>
            <w:r>
              <w:rPr>
                <w:rFonts w:ascii="宋体" w:hAnsi="宋体" w:cs="宋体" w:eastAsia="宋体" w:hint="default"/>
                <w:sz w:val="18"/>
                <w:szCs w:val="18"/>
              </w:rPr>
              <w:t>北京分贝海洋信 息技术有限公司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74"/>
              <w:jc w:val="left"/>
              <w:rPr>
                <w:rFonts w:ascii="宋体" w:hAnsi="宋体" w:cs="宋体" w:eastAsia="宋体" w:hint="default"/>
                <w:sz w:val="18"/>
                <w:szCs w:val="18"/>
              </w:rPr>
            </w:pPr>
            <w:r>
              <w:rPr>
                <w:rFonts w:ascii="宋体" w:hAnsi="宋体" w:cs="宋体" w:eastAsia="宋体" w:hint="default"/>
                <w:sz w:val="18"/>
                <w:szCs w:val="18"/>
              </w:rPr>
              <w:t>北京云网信服信 息技术有限公司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9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74"/>
              <w:jc w:val="both"/>
              <w:rPr>
                <w:rFonts w:ascii="宋体" w:hAnsi="宋体" w:cs="宋体" w:eastAsia="宋体" w:hint="default"/>
                <w:sz w:val="18"/>
                <w:szCs w:val="18"/>
              </w:rPr>
            </w:pPr>
            <w:r>
              <w:rPr>
                <w:rFonts w:ascii="宋体" w:hAnsi="宋体" w:cs="宋体" w:eastAsia="宋体" w:hint="default"/>
                <w:sz w:val="18"/>
                <w:szCs w:val="18"/>
              </w:rPr>
              <w:t>北京旋极伏羲大 数据技术有限公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74"/>
              <w:jc w:val="left"/>
              <w:rPr>
                <w:rFonts w:ascii="宋体" w:hAnsi="宋体" w:cs="宋体" w:eastAsia="宋体" w:hint="default"/>
                <w:sz w:val="18"/>
                <w:szCs w:val="18"/>
              </w:rPr>
            </w:pPr>
            <w:r>
              <w:rPr>
                <w:rFonts w:ascii="宋体" w:hAnsi="宋体" w:cs="宋体" w:eastAsia="宋体" w:hint="default"/>
                <w:sz w:val="18"/>
                <w:szCs w:val="18"/>
              </w:rPr>
              <w:t>北京百旺金赋科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税务信息化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55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74"/>
              <w:jc w:val="left"/>
              <w:rPr>
                <w:rFonts w:ascii="宋体" w:hAnsi="宋体" w:cs="宋体" w:eastAsia="宋体" w:hint="default"/>
                <w:sz w:val="18"/>
                <w:szCs w:val="18"/>
              </w:rPr>
            </w:pPr>
            <w:r>
              <w:rPr>
                <w:rFonts w:ascii="宋体" w:hAnsi="宋体" w:cs="宋体" w:eastAsia="宋体" w:hint="default"/>
                <w:sz w:val="18"/>
                <w:szCs w:val="18"/>
              </w:rPr>
              <w:t>北京旋极百旺科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税务信息化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92.68%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74"/>
              <w:jc w:val="left"/>
              <w:rPr>
                <w:rFonts w:ascii="宋体" w:hAnsi="宋体" w:cs="宋体" w:eastAsia="宋体" w:hint="default"/>
                <w:sz w:val="18"/>
                <w:szCs w:val="18"/>
              </w:rPr>
            </w:pPr>
            <w:r>
              <w:rPr>
                <w:rFonts w:ascii="宋体" w:hAnsi="宋体" w:cs="宋体" w:eastAsia="宋体" w:hint="default"/>
                <w:sz w:val="18"/>
                <w:szCs w:val="18"/>
              </w:rPr>
              <w:t>杭州百旺金赋科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税务信息化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55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74"/>
              <w:jc w:val="left"/>
              <w:rPr>
                <w:rFonts w:ascii="宋体" w:hAnsi="宋体" w:cs="宋体" w:eastAsia="宋体" w:hint="default"/>
                <w:sz w:val="18"/>
                <w:szCs w:val="18"/>
              </w:rPr>
            </w:pPr>
            <w:r>
              <w:rPr>
                <w:rFonts w:ascii="宋体" w:hAnsi="宋体" w:cs="宋体" w:eastAsia="宋体" w:hint="default"/>
                <w:sz w:val="18"/>
                <w:szCs w:val="18"/>
              </w:rPr>
              <w:t>宁波百旺金赋信 息科技有限公司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税务信息化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74"/>
              <w:jc w:val="left"/>
              <w:rPr>
                <w:rFonts w:ascii="宋体" w:hAnsi="宋体" w:cs="宋体" w:eastAsia="宋体" w:hint="default"/>
                <w:sz w:val="18"/>
                <w:szCs w:val="18"/>
              </w:rPr>
            </w:pPr>
            <w:r>
              <w:rPr>
                <w:rFonts w:ascii="宋体" w:hAnsi="宋体" w:cs="宋体" w:eastAsia="宋体" w:hint="default"/>
                <w:sz w:val="18"/>
                <w:szCs w:val="18"/>
              </w:rPr>
              <w:t>宁夏百旺金赋科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宁夏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银川市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税务信息化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74"/>
              <w:jc w:val="left"/>
              <w:rPr>
                <w:rFonts w:ascii="宋体" w:hAnsi="宋体" w:cs="宋体" w:eastAsia="宋体" w:hint="default"/>
                <w:sz w:val="18"/>
                <w:szCs w:val="18"/>
              </w:rPr>
            </w:pPr>
            <w:r>
              <w:rPr>
                <w:rFonts w:ascii="宋体" w:hAnsi="宋体" w:cs="宋体" w:eastAsia="宋体" w:hint="default"/>
                <w:sz w:val="18"/>
                <w:szCs w:val="18"/>
              </w:rPr>
              <w:t>北京联合信标测 试技术有限公司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55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74"/>
              <w:jc w:val="left"/>
              <w:rPr>
                <w:rFonts w:ascii="宋体" w:hAnsi="宋体" w:cs="宋体" w:eastAsia="宋体" w:hint="default"/>
                <w:sz w:val="18"/>
                <w:szCs w:val="18"/>
              </w:rPr>
            </w:pPr>
            <w:r>
              <w:rPr>
                <w:rFonts w:ascii="宋体" w:hAnsi="宋体" w:cs="宋体" w:eastAsia="宋体" w:hint="default"/>
                <w:sz w:val="18"/>
                <w:szCs w:val="18"/>
              </w:rPr>
              <w:t>四川旋极智能信 息技术有限公司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宜宾市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宜宾市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444" w:lineRule="auto" w:before="64"/>
        <w:ind w:right="1127"/>
        <w:jc w:val="left"/>
      </w:pPr>
      <w:r>
        <w:rPr/>
        <w:t>在子公司的持股比例不同于表决权比例的说明：</w:t>
      </w:r>
      <w:r>
        <w:rPr>
          <w:w w:val="100"/>
        </w:rPr>
        <w:t> </w:t>
      </w:r>
      <w:r>
        <w:rPr>
          <w:spacing w:val="-2"/>
        </w:rPr>
        <w:t>持有半数或以下表决权但仍控制被投资单位、以及持有半数以上表决权但不控制被投资单位的依据：</w:t>
      </w:r>
      <w:r>
        <w:rPr>
          <w:spacing w:val="-30"/>
        </w:rPr>
        <w:t> </w:t>
      </w:r>
      <w:r>
        <w:rPr>
          <w:spacing w:val="-30"/>
        </w:rPr>
      </w:r>
      <w:r>
        <w:rPr/>
        <w:t>对于纳入合并范围的重要的结构化主体，控制的依据：</w:t>
      </w:r>
    </w:p>
    <w:p>
      <w:pPr>
        <w:pStyle w:val="BodyText"/>
        <w:spacing w:line="444" w:lineRule="auto" w:before="55"/>
        <w:ind w:right="5790"/>
        <w:jc w:val="left"/>
      </w:pPr>
      <w:r>
        <w:rPr>
          <w:spacing w:val="-2"/>
        </w:rPr>
        <w:t>确定公司是代理人还是委托人的依据：</w:t>
      </w:r>
      <w:r>
        <w:rPr>
          <w:spacing w:val="-72"/>
        </w:rPr>
        <w:t> </w:t>
      </w:r>
      <w:r>
        <w:rPr>
          <w:spacing w:val="-72"/>
        </w:rPr>
      </w:r>
      <w:r>
        <w:rPr/>
        <w:t>其他说明：</w:t>
      </w:r>
    </w:p>
    <w:p>
      <w:pPr>
        <w:spacing w:line="240" w:lineRule="auto" w:before="11"/>
        <w:rPr>
          <w:rFonts w:ascii="宋体" w:hAnsi="宋体" w:cs="宋体" w:eastAsia="宋体" w:hint="default"/>
          <w:sz w:val="19"/>
          <w:szCs w:val="19"/>
        </w:rPr>
      </w:pPr>
    </w:p>
    <w:p>
      <w:pPr>
        <w:pStyle w:val="Heading4"/>
        <w:spacing w:line="240" w:lineRule="auto"/>
        <w:ind w:right="1127"/>
        <w:jc w:val="left"/>
        <w:rPr>
          <w:b w:val="0"/>
          <w:bCs w:val="0"/>
        </w:rPr>
      </w:pPr>
      <w:bookmarkStart w:name="（2）重要的非全资子公司" w:id="556"/>
      <w:bookmarkEnd w:id="55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7"/>
        <w:rPr>
          <w:rFonts w:ascii="宋体" w:hAnsi="宋体" w:cs="宋体" w:eastAsia="宋体" w:hint="default"/>
          <w:b/>
          <w:bCs/>
          <w:sz w:val="21"/>
          <w:szCs w:val="21"/>
        </w:rPr>
      </w:pPr>
    </w:p>
    <w:p>
      <w:pPr>
        <w:spacing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76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136"/>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136"/>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557"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79"/>
              <w:jc w:val="left"/>
              <w:rPr>
                <w:rFonts w:ascii="宋体" w:hAnsi="宋体" w:cs="宋体" w:eastAsia="宋体" w:hint="default"/>
                <w:sz w:val="18"/>
                <w:szCs w:val="18"/>
              </w:rPr>
            </w:pPr>
            <w:r>
              <w:rPr>
                <w:rFonts w:ascii="宋体" w:hAnsi="宋体" w:cs="宋体" w:eastAsia="宋体" w:hint="default"/>
                <w:sz w:val="18"/>
                <w:szCs w:val="18"/>
              </w:rPr>
              <w:t>成都旋极历通信息技术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1,558,239.44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27,430,994.88</w:t>
            </w:r>
          </w:p>
        </w:tc>
      </w:tr>
      <w:tr>
        <w:trPr>
          <w:trHeight w:val="559"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79"/>
              <w:jc w:val="left"/>
              <w:rPr>
                <w:rFonts w:ascii="宋体" w:hAnsi="宋体" w:cs="宋体" w:eastAsia="宋体" w:hint="default"/>
                <w:sz w:val="18"/>
                <w:szCs w:val="18"/>
              </w:rPr>
            </w:pPr>
            <w:r>
              <w:rPr>
                <w:rFonts w:ascii="宋体" w:hAnsi="宋体" w:cs="宋体" w:eastAsia="宋体" w:hint="default"/>
                <w:sz w:val="18"/>
                <w:szCs w:val="18"/>
              </w:rPr>
              <w:t>北京旋极伏羲大数据技 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-11,135,194.28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16,248,986.96</w:t>
            </w:r>
          </w:p>
        </w:tc>
      </w:tr>
      <w:tr>
        <w:trPr>
          <w:trHeight w:val="557"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79"/>
              <w:jc w:val="left"/>
              <w:rPr>
                <w:rFonts w:ascii="宋体" w:hAnsi="宋体" w:cs="宋体" w:eastAsia="宋体" w:hint="default"/>
                <w:sz w:val="18"/>
                <w:szCs w:val="18"/>
              </w:rPr>
            </w:pPr>
            <w:r>
              <w:rPr>
                <w:rFonts w:ascii="宋体" w:hAnsi="宋体" w:cs="宋体" w:eastAsia="宋体" w:hint="default"/>
                <w:sz w:val="18"/>
                <w:szCs w:val="18"/>
              </w:rPr>
              <w:t>北京旋极百旺科技有限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2,539,428.51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6,833,616.58</w:t>
            </w:r>
            <w:r>
              <w:rPr>
                <w:rFonts w:ascii="Times New Roman"/>
                <w:sz w:val="18"/>
              </w:rPr>
            </w:r>
          </w:p>
        </w:tc>
      </w:tr>
    </w:tbl>
    <w:p>
      <w:pPr>
        <w:pStyle w:val="BodyText"/>
        <w:spacing w:line="441" w:lineRule="auto" w:before="64"/>
        <w:ind w:right="4340"/>
        <w:jc w:val="left"/>
      </w:pPr>
      <w:r>
        <w:rPr>
          <w:spacing w:val="-2"/>
        </w:rPr>
        <w:t>子公司少数股东的持股比例不同于表决权比例的说明：</w:t>
      </w:r>
      <w:r>
        <w:rPr>
          <w:spacing w:val="-59"/>
        </w:rPr>
        <w:t> </w:t>
      </w:r>
      <w:r>
        <w:rPr>
          <w:spacing w:val="-59"/>
        </w:rPr>
      </w:r>
      <w:r>
        <w:rPr/>
        <w:t>其他说明：</w:t>
      </w:r>
    </w:p>
    <w:p>
      <w:pPr>
        <w:spacing w:line="240" w:lineRule="auto" w:before="13"/>
        <w:rPr>
          <w:rFonts w:ascii="宋体" w:hAnsi="宋体" w:cs="宋体" w:eastAsia="宋体" w:hint="default"/>
          <w:sz w:val="19"/>
          <w:szCs w:val="19"/>
        </w:rPr>
      </w:pPr>
    </w:p>
    <w:p>
      <w:pPr>
        <w:pStyle w:val="Heading4"/>
        <w:spacing w:line="240" w:lineRule="auto"/>
        <w:ind w:right="1127"/>
        <w:jc w:val="left"/>
        <w:rPr>
          <w:b w:val="0"/>
          <w:bCs w:val="0"/>
        </w:rPr>
      </w:pPr>
      <w:bookmarkStart w:name="（3）重要非全资子公司的主要财务信息" w:id="557"/>
      <w:bookmarkEnd w:id="55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after="0" w:line="240" w:lineRule="auto"/>
        <w:jc w:val="left"/>
        <w:sectPr>
          <w:pgSz w:w="11910" w:h="16840"/>
          <w:pgMar w:header="882" w:footer="1134" w:top="1280" w:bottom="1320" w:left="980" w:right="0"/>
        </w:sectPr>
      </w:pPr>
    </w:p>
    <w:p>
      <w:pPr>
        <w:spacing w:before="113"/>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324" w:hRule="exact"/>
        </w:trPr>
        <w:tc>
          <w:tcPr>
            <w:tcW w:w="73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4"/>
                <w:szCs w:val="14"/>
              </w:rPr>
            </w:pPr>
          </w:p>
          <w:p>
            <w:pPr>
              <w:pStyle w:val="TableParagraph"/>
              <w:spacing w:line="232" w:lineRule="exact"/>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7" w:hRule="exact"/>
        </w:trPr>
        <w:tc>
          <w:tcPr>
            <w:tcW w:w="737" w:type="dxa"/>
            <w:vMerge/>
            <w:tcBorders>
              <w:left w:val="single" w:sz="4" w:space="0" w:color="000000"/>
              <w:bottom w:val="single" w:sz="4" w:space="0" w:color="000000"/>
              <w:right w:val="single" w:sz="4" w:space="0" w:color="000000"/>
            </w:tcBorders>
            <w:shd w:val="clear" w:color="auto" w:fill="D4D4D4"/>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258"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61"/>
              <w:jc w:val="both"/>
              <w:rPr>
                <w:rFonts w:ascii="宋体" w:hAnsi="宋体" w:cs="宋体" w:eastAsia="宋体" w:hint="default"/>
                <w:sz w:val="18"/>
                <w:szCs w:val="18"/>
              </w:rPr>
            </w:pPr>
            <w:r>
              <w:rPr>
                <w:rFonts w:ascii="宋体" w:hAnsi="宋体" w:cs="宋体" w:eastAsia="宋体" w:hint="default"/>
                <w:sz w:val="18"/>
                <w:szCs w:val="18"/>
              </w:rPr>
              <w:t>成都旋 极历通 信息技 术有限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76,070,0</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33.88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10,628,0</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58.05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86,698,0</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91.93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29,127,0</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13.63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29,127,0</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13.63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65,283,8</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46.44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9" w:right="0"/>
              <w:jc w:val="left"/>
              <w:rPr>
                <w:rFonts w:ascii="Times New Roman" w:hAnsi="Times New Roman" w:cs="Times New Roman" w:eastAsia="Times New Roman" w:hint="default"/>
                <w:sz w:val="18"/>
                <w:szCs w:val="18"/>
              </w:rPr>
            </w:pPr>
            <w:r>
              <w:rPr>
                <w:rFonts w:ascii="Times New Roman"/>
                <w:sz w:val="18"/>
              </w:rPr>
              <w:t>11,817,8</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88.17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77,101,7</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34.61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4" w:right="0"/>
              <w:jc w:val="left"/>
              <w:rPr>
                <w:rFonts w:ascii="Times New Roman" w:hAnsi="Times New Roman" w:cs="Times New Roman" w:eastAsia="Times New Roman" w:hint="default"/>
                <w:sz w:val="18"/>
                <w:szCs w:val="18"/>
              </w:rPr>
            </w:pPr>
            <w:r>
              <w:rPr>
                <w:rFonts w:ascii="Times New Roman"/>
                <w:sz w:val="18"/>
              </w:rPr>
              <w:t>22,732,8</w:t>
            </w:r>
          </w:p>
          <w:p>
            <w:pPr>
              <w:pStyle w:val="TableParagraph"/>
              <w:spacing w:line="207" w:lineRule="exact"/>
              <w:ind w:left="299" w:right="0"/>
              <w:jc w:val="left"/>
              <w:rPr>
                <w:rFonts w:ascii="Times New Roman" w:hAnsi="Times New Roman" w:cs="Times New Roman" w:eastAsia="Times New Roman" w:hint="default"/>
                <w:sz w:val="18"/>
                <w:szCs w:val="18"/>
              </w:rPr>
            </w:pPr>
            <w:r>
              <w:rPr>
                <w:rFonts w:ascii="Times New Roman"/>
                <w:sz w:val="18"/>
              </w:rPr>
              <w:t>64.19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22,732,8</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64.19</w:t>
            </w:r>
          </w:p>
        </w:tc>
      </w:tr>
      <w:tr>
        <w:trPr>
          <w:trHeight w:val="125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61"/>
              <w:jc w:val="both"/>
              <w:rPr>
                <w:rFonts w:ascii="宋体" w:hAnsi="宋体" w:cs="宋体" w:eastAsia="宋体" w:hint="default"/>
                <w:sz w:val="18"/>
                <w:szCs w:val="18"/>
              </w:rPr>
            </w:pPr>
            <w:r>
              <w:rPr>
                <w:rFonts w:ascii="宋体" w:hAnsi="宋体" w:cs="宋体" w:eastAsia="宋体" w:hint="default"/>
                <w:sz w:val="18"/>
                <w:szCs w:val="18"/>
              </w:rPr>
              <w:t>北京旋 极伏羲 大数据 技术有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33,728,1</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00.12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9,078,47</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4.28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42,806,5</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74.40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2,328,05</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4.05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5,374,10</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2.77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7,702,15</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6.82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7,554,76</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8.29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14,851,3</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69.77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22,406,1</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38.06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4" w:right="0"/>
              <w:jc w:val="left"/>
              <w:rPr>
                <w:rFonts w:ascii="Times New Roman" w:hAnsi="Times New Roman" w:cs="Times New Roman" w:eastAsia="Times New Roman" w:hint="default"/>
                <w:sz w:val="18"/>
                <w:szCs w:val="18"/>
              </w:rPr>
            </w:pPr>
            <w:r>
              <w:rPr>
                <w:rFonts w:ascii="Times New Roman"/>
                <w:sz w:val="18"/>
              </w:rPr>
              <w:t>5,617,08</w:t>
            </w:r>
          </w:p>
          <w:p>
            <w:pPr>
              <w:pStyle w:val="TableParagraph"/>
              <w:spacing w:line="207" w:lineRule="exact"/>
              <w:ind w:left="391" w:right="0"/>
              <w:jc w:val="left"/>
              <w:rPr>
                <w:rFonts w:ascii="Times New Roman" w:hAnsi="Times New Roman" w:cs="Times New Roman" w:eastAsia="Times New Roman" w:hint="default"/>
                <w:sz w:val="18"/>
                <w:szCs w:val="18"/>
              </w:rPr>
            </w:pPr>
            <w:r>
              <w:rPr>
                <w:rFonts w:ascii="Times New Roman"/>
                <w:sz w:val="18"/>
              </w:rPr>
              <w:t>8.87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5,617,08</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8.87</w:t>
            </w:r>
          </w:p>
        </w:tc>
      </w:tr>
      <w:tr>
        <w:trPr>
          <w:trHeight w:val="102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161"/>
              <w:jc w:val="both"/>
              <w:rPr>
                <w:rFonts w:ascii="宋体" w:hAnsi="宋体" w:cs="宋体" w:eastAsia="宋体" w:hint="default"/>
                <w:sz w:val="18"/>
                <w:szCs w:val="18"/>
              </w:rPr>
            </w:pPr>
            <w:r>
              <w:rPr>
                <w:rFonts w:ascii="宋体" w:hAnsi="宋体" w:cs="宋体" w:eastAsia="宋体" w:hint="default"/>
                <w:sz w:val="18"/>
                <w:szCs w:val="18"/>
              </w:rPr>
              <w:t>北京旋 极百旺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left="53" w:right="0"/>
              <w:jc w:val="center"/>
              <w:rPr>
                <w:rFonts w:ascii="Times New Roman" w:hAnsi="Times New Roman" w:cs="Times New Roman" w:eastAsia="Times New Roman" w:hint="default"/>
                <w:sz w:val="18"/>
                <w:szCs w:val="18"/>
              </w:rPr>
            </w:pPr>
            <w:r>
              <w:rPr>
                <w:rFonts w:ascii="Times New Roman"/>
                <w:sz w:val="18"/>
              </w:rPr>
              <w:t>337,737,</w:t>
            </w:r>
          </w:p>
          <w:p>
            <w:pPr>
              <w:pStyle w:val="TableParagraph"/>
              <w:spacing w:line="207" w:lineRule="exact"/>
              <w:ind w:left="187" w:right="0"/>
              <w:jc w:val="center"/>
              <w:rPr>
                <w:rFonts w:ascii="Times New Roman" w:hAnsi="Times New Roman" w:cs="Times New Roman" w:eastAsia="Times New Roman" w:hint="default"/>
                <w:sz w:val="18"/>
                <w:szCs w:val="18"/>
              </w:rPr>
            </w:pPr>
            <w:r>
              <w:rPr>
                <w:rFonts w:ascii="Times New Roman"/>
                <w:sz w:val="18"/>
              </w:rPr>
              <w:t>312.65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89,851,1</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51.35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left="51" w:right="0"/>
              <w:jc w:val="center"/>
              <w:rPr>
                <w:rFonts w:ascii="Times New Roman" w:hAnsi="Times New Roman" w:cs="Times New Roman" w:eastAsia="Times New Roman" w:hint="default"/>
                <w:sz w:val="18"/>
                <w:szCs w:val="18"/>
              </w:rPr>
            </w:pPr>
            <w:r>
              <w:rPr>
                <w:rFonts w:ascii="Times New Roman"/>
                <w:sz w:val="18"/>
              </w:rPr>
              <w:t>427,588,</w:t>
            </w:r>
          </w:p>
          <w:p>
            <w:pPr>
              <w:pStyle w:val="TableParagraph"/>
              <w:spacing w:line="207" w:lineRule="exact"/>
              <w:ind w:left="184" w:right="0"/>
              <w:jc w:val="center"/>
              <w:rPr>
                <w:rFonts w:ascii="Times New Roman" w:hAnsi="Times New Roman" w:cs="Times New Roman" w:eastAsia="Times New Roman" w:hint="default"/>
                <w:sz w:val="18"/>
                <w:szCs w:val="18"/>
              </w:rPr>
            </w:pPr>
            <w:r>
              <w:rPr>
                <w:rFonts w:ascii="Times New Roman"/>
                <w:sz w:val="18"/>
              </w:rPr>
              <w:t>464.00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left="53" w:right="0"/>
              <w:jc w:val="center"/>
              <w:rPr>
                <w:rFonts w:ascii="Times New Roman" w:hAnsi="Times New Roman" w:cs="Times New Roman" w:eastAsia="Times New Roman" w:hint="default"/>
                <w:sz w:val="18"/>
                <w:szCs w:val="18"/>
              </w:rPr>
            </w:pPr>
            <w:r>
              <w:rPr>
                <w:rFonts w:ascii="Times New Roman"/>
                <w:sz w:val="18"/>
              </w:rPr>
              <w:t>239,270,</w:t>
            </w:r>
          </w:p>
          <w:p>
            <w:pPr>
              <w:pStyle w:val="TableParagraph"/>
              <w:spacing w:line="207" w:lineRule="exact"/>
              <w:ind w:left="187" w:right="0"/>
              <w:jc w:val="center"/>
              <w:rPr>
                <w:rFonts w:ascii="Times New Roman" w:hAnsi="Times New Roman" w:cs="Times New Roman" w:eastAsia="Times New Roman" w:hint="default"/>
                <w:sz w:val="18"/>
                <w:szCs w:val="18"/>
              </w:rPr>
            </w:pPr>
            <w:r>
              <w:rPr>
                <w:rFonts w:ascii="Times New Roman"/>
                <w:sz w:val="18"/>
              </w:rPr>
              <w:t>088.69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left="53" w:right="0"/>
              <w:jc w:val="center"/>
              <w:rPr>
                <w:rFonts w:ascii="Times New Roman" w:hAnsi="Times New Roman" w:cs="Times New Roman" w:eastAsia="Times New Roman" w:hint="default"/>
                <w:sz w:val="18"/>
                <w:szCs w:val="18"/>
              </w:rPr>
            </w:pPr>
            <w:r>
              <w:rPr>
                <w:rFonts w:ascii="Times New Roman"/>
                <w:sz w:val="18"/>
              </w:rPr>
              <w:t>239,270,</w:t>
            </w:r>
          </w:p>
          <w:p>
            <w:pPr>
              <w:pStyle w:val="TableParagraph"/>
              <w:spacing w:line="207" w:lineRule="exact"/>
              <w:ind w:left="187" w:right="0"/>
              <w:jc w:val="center"/>
              <w:rPr>
                <w:rFonts w:ascii="Times New Roman" w:hAnsi="Times New Roman" w:cs="Times New Roman" w:eastAsia="Times New Roman" w:hint="default"/>
                <w:sz w:val="18"/>
                <w:szCs w:val="18"/>
              </w:rPr>
            </w:pPr>
            <w:r>
              <w:rPr>
                <w:rFonts w:ascii="Times New Roman"/>
                <w:sz w:val="18"/>
              </w:rPr>
              <w:t>088.69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left="53" w:right="0"/>
              <w:jc w:val="center"/>
              <w:rPr>
                <w:rFonts w:ascii="Times New Roman" w:hAnsi="Times New Roman" w:cs="Times New Roman" w:eastAsia="Times New Roman" w:hint="default"/>
                <w:sz w:val="18"/>
                <w:szCs w:val="18"/>
              </w:rPr>
            </w:pPr>
            <w:r>
              <w:rPr>
                <w:rFonts w:ascii="Times New Roman"/>
                <w:sz w:val="18"/>
              </w:rPr>
              <w:t>217,974,</w:t>
            </w:r>
          </w:p>
          <w:p>
            <w:pPr>
              <w:pStyle w:val="TableParagraph"/>
              <w:spacing w:line="207" w:lineRule="exact"/>
              <w:ind w:left="187" w:right="0"/>
              <w:jc w:val="center"/>
              <w:rPr>
                <w:rFonts w:ascii="Times New Roman" w:hAnsi="Times New Roman" w:cs="Times New Roman" w:eastAsia="Times New Roman" w:hint="default"/>
                <w:sz w:val="18"/>
                <w:szCs w:val="18"/>
              </w:rPr>
            </w:pPr>
            <w:r>
              <w:rPr>
                <w:rFonts w:ascii="Times New Roman"/>
                <w:sz w:val="18"/>
              </w:rPr>
              <w:t>473.50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70,491,5</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96.15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left="51" w:right="0"/>
              <w:jc w:val="center"/>
              <w:rPr>
                <w:rFonts w:ascii="Times New Roman" w:hAnsi="Times New Roman" w:cs="Times New Roman" w:eastAsia="Times New Roman" w:hint="default"/>
                <w:sz w:val="18"/>
                <w:szCs w:val="18"/>
              </w:rPr>
            </w:pPr>
            <w:r>
              <w:rPr>
                <w:rFonts w:ascii="Times New Roman"/>
                <w:sz w:val="18"/>
              </w:rPr>
              <w:t>288,466,</w:t>
            </w:r>
          </w:p>
          <w:p>
            <w:pPr>
              <w:pStyle w:val="TableParagraph"/>
              <w:spacing w:line="207" w:lineRule="exact"/>
              <w:ind w:left="184" w:right="0"/>
              <w:jc w:val="center"/>
              <w:rPr>
                <w:rFonts w:ascii="Times New Roman" w:hAnsi="Times New Roman" w:cs="Times New Roman" w:eastAsia="Times New Roman" w:hint="default"/>
                <w:sz w:val="18"/>
                <w:szCs w:val="18"/>
              </w:rPr>
            </w:pPr>
            <w:r>
              <w:rPr>
                <w:rFonts w:ascii="Times New Roman"/>
                <w:sz w:val="18"/>
              </w:rPr>
              <w:t>069.65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left="56" w:right="0"/>
              <w:jc w:val="center"/>
              <w:rPr>
                <w:rFonts w:ascii="Times New Roman" w:hAnsi="Times New Roman" w:cs="Times New Roman" w:eastAsia="Times New Roman" w:hint="default"/>
                <w:sz w:val="18"/>
                <w:szCs w:val="18"/>
              </w:rPr>
            </w:pPr>
            <w:r>
              <w:rPr>
                <w:rFonts w:ascii="Times New Roman"/>
                <w:sz w:val="18"/>
              </w:rPr>
              <w:t>165,508,</w:t>
            </w:r>
          </w:p>
          <w:p>
            <w:pPr>
              <w:pStyle w:val="TableParagraph"/>
              <w:spacing w:line="207" w:lineRule="exact"/>
              <w:ind w:left="189" w:right="0"/>
              <w:jc w:val="center"/>
              <w:rPr>
                <w:rFonts w:ascii="Times New Roman" w:hAnsi="Times New Roman" w:cs="Times New Roman" w:eastAsia="Times New Roman" w:hint="default"/>
                <w:sz w:val="18"/>
                <w:szCs w:val="18"/>
              </w:rPr>
            </w:pPr>
            <w:r>
              <w:rPr>
                <w:rFonts w:ascii="Times New Roman"/>
                <w:sz w:val="18"/>
              </w:rPr>
              <w:t>776.54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left="51" w:right="0"/>
              <w:jc w:val="center"/>
              <w:rPr>
                <w:rFonts w:ascii="Times New Roman" w:hAnsi="Times New Roman" w:cs="Times New Roman" w:eastAsia="Times New Roman" w:hint="default"/>
                <w:sz w:val="18"/>
                <w:szCs w:val="18"/>
              </w:rPr>
            </w:pPr>
            <w:r>
              <w:rPr>
                <w:rFonts w:ascii="Times New Roman"/>
                <w:sz w:val="18"/>
              </w:rPr>
              <w:t>165,508,</w:t>
            </w:r>
          </w:p>
          <w:p>
            <w:pPr>
              <w:pStyle w:val="TableParagraph"/>
              <w:spacing w:line="207" w:lineRule="exact"/>
              <w:ind w:left="184" w:right="0"/>
              <w:jc w:val="center"/>
              <w:rPr>
                <w:rFonts w:ascii="Times New Roman" w:hAnsi="Times New Roman" w:cs="Times New Roman" w:eastAsia="Times New Roman" w:hint="default"/>
                <w:sz w:val="18"/>
                <w:szCs w:val="18"/>
              </w:rPr>
            </w:pPr>
            <w:r>
              <w:rPr>
                <w:rFonts w:ascii="Times New Roman"/>
                <w:sz w:val="18"/>
              </w:rPr>
              <w:t>776.54</w:t>
            </w:r>
          </w:p>
        </w:tc>
      </w:tr>
    </w:tbl>
    <w:p>
      <w:pPr>
        <w:spacing w:before="8"/>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3"/>
        <w:gridCol w:w="1066"/>
      </w:tblGrid>
      <w:tr>
        <w:trPr>
          <w:trHeight w:val="323" w:hRule="exact"/>
        </w:trPr>
        <w:tc>
          <w:tcPr>
            <w:tcW w:w="10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1061" w:type="dxa"/>
            <w:vMerge/>
            <w:tcBorders>
              <w:left w:val="single" w:sz="4" w:space="0" w:color="000000"/>
              <w:bottom w:val="single" w:sz="4" w:space="0" w:color="000000"/>
              <w:right w:val="single" w:sz="4" w:space="0" w:color="000000"/>
            </w:tcBorders>
            <w:shd w:val="clear" w:color="auto" w:fill="D4D4D4"/>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4"/>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4"/>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4"/>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4"/>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4"/>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9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25"/>
              <w:jc w:val="both"/>
              <w:rPr>
                <w:rFonts w:ascii="宋体" w:hAnsi="宋体" w:cs="宋体" w:eastAsia="宋体" w:hint="default"/>
                <w:sz w:val="18"/>
                <w:szCs w:val="18"/>
              </w:rPr>
            </w:pPr>
            <w:r>
              <w:rPr>
                <w:rFonts w:ascii="宋体" w:hAnsi="宋体" w:cs="宋体" w:eastAsia="宋体" w:hint="default"/>
                <w:sz w:val="18"/>
                <w:szCs w:val="18"/>
              </w:rPr>
              <w:t>成都旋极历 通信息技术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55,469,420.1</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3,188,539.88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3,188,539.88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-7,648,923.50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60,952,389.2</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6,948,324.23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6,948,324.23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-1,051,923.65</w:t>
            </w:r>
          </w:p>
        </w:tc>
      </w:tr>
      <w:tr>
        <w:trPr>
          <w:trHeight w:val="79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25"/>
              <w:jc w:val="both"/>
              <w:rPr>
                <w:rFonts w:ascii="宋体" w:hAnsi="宋体" w:cs="宋体" w:eastAsia="宋体" w:hint="default"/>
                <w:sz w:val="18"/>
                <w:szCs w:val="18"/>
              </w:rPr>
            </w:pPr>
            <w:r>
              <w:rPr>
                <w:rFonts w:ascii="宋体" w:hAnsi="宋体" w:cs="宋体" w:eastAsia="宋体" w:hint="default"/>
                <w:sz w:val="18"/>
                <w:szCs w:val="18"/>
              </w:rPr>
              <w:t>北京旋极伏 羲大数据技 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1,477,463.98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-22,141,033.8</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-22,206,416.9</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-18,556,279.0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6,491,742.31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-24,801,860.8</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-24,801,860.8</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-19,078,884.3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r>
      <w:tr>
        <w:trPr>
          <w:trHeight w:val="79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25"/>
              <w:jc w:val="both"/>
              <w:rPr>
                <w:rFonts w:ascii="宋体" w:hAnsi="宋体" w:cs="宋体" w:eastAsia="宋体" w:hint="default"/>
                <w:sz w:val="18"/>
                <w:szCs w:val="18"/>
              </w:rPr>
            </w:pPr>
            <w:r>
              <w:rPr>
                <w:rFonts w:ascii="宋体" w:hAnsi="宋体" w:cs="宋体" w:eastAsia="宋体" w:hint="default"/>
                <w:sz w:val="18"/>
                <w:szCs w:val="18"/>
              </w:rPr>
              <w:t>北京旋极百 旺科技有限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6"/>
              <w:jc w:val="right"/>
              <w:rPr>
                <w:rFonts w:ascii="Times New Roman" w:hAnsi="Times New Roman" w:cs="Times New Roman" w:eastAsia="Times New Roman" w:hint="default"/>
                <w:sz w:val="18"/>
                <w:szCs w:val="18"/>
              </w:rPr>
            </w:pPr>
            <w:r>
              <w:rPr>
                <w:rFonts w:ascii="Times New Roman"/>
                <w:spacing w:val="-1"/>
                <w:sz w:val="18"/>
              </w:rPr>
              <w:t>337,834,182.</w:t>
            </w:r>
            <w:r>
              <w:rPr>
                <w:rFonts w:ascii="Times New Roman"/>
                <w:sz w:val="18"/>
              </w:rPr>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34,691,646.2</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46,301,978.7</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41,200,879.1</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6"/>
              <w:jc w:val="right"/>
              <w:rPr>
                <w:rFonts w:ascii="Times New Roman" w:hAnsi="Times New Roman" w:cs="Times New Roman" w:eastAsia="Times New Roman" w:hint="default"/>
                <w:sz w:val="18"/>
                <w:szCs w:val="18"/>
              </w:rPr>
            </w:pPr>
            <w:r>
              <w:rPr>
                <w:rFonts w:ascii="Times New Roman"/>
                <w:spacing w:val="-1"/>
                <w:sz w:val="18"/>
              </w:rPr>
              <w:t>537,807,791.</w:t>
            </w:r>
            <w:r>
              <w:rPr>
                <w:rFonts w:ascii="Times New Roman"/>
                <w:sz w:val="18"/>
              </w:rPr>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-11,241,781.2</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-11,241,781.2</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-81,139,510.8</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4"/>
        <w:ind w:right="1127"/>
        <w:jc w:val="left"/>
        <w:rPr>
          <w:b w:val="0"/>
          <w:bCs w:val="0"/>
        </w:rPr>
      </w:pPr>
      <w:bookmarkStart w:name="（4）使用企业集团资产和清偿企业集团债务的重大限制" w:id="558"/>
      <w:bookmarkEnd w:id="558"/>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6"/>
        <w:rPr>
          <w:rFonts w:ascii="宋体" w:hAnsi="宋体" w:cs="宋体" w:eastAsia="宋体" w:hint="default"/>
          <w:b/>
          <w:bCs/>
          <w:sz w:val="21"/>
          <w:szCs w:val="21"/>
        </w:rPr>
      </w:pPr>
    </w:p>
    <w:p>
      <w:pPr>
        <w:pStyle w:val="Heading4"/>
        <w:spacing w:line="472" w:lineRule="auto"/>
        <w:ind w:left="572" w:right="3135" w:hanging="420"/>
        <w:jc w:val="left"/>
        <w:rPr>
          <w:rFonts w:ascii="宋体" w:hAnsi="宋体" w:cs="宋体" w:eastAsia="宋体" w:hint="default"/>
          <w:b w:val="0"/>
          <w:bCs w:val="0"/>
        </w:rPr>
      </w:pPr>
      <w:bookmarkStart w:name="（5）向纳入合并财务报表范围的结构化主体提供的财务支持或其他支持" w:id="559"/>
      <w:bookmarkEnd w:id="559"/>
      <w:r>
        <w:rPr>
          <w:b w:val="0"/>
          <w:bCs w:val="0"/>
        </w:rPr>
      </w:r>
      <w:r>
        <w:rPr>
          <w:spacing w:val="-1"/>
        </w:rPr>
        <w:t>（</w:t>
      </w:r>
      <w:r>
        <w:rPr>
          <w:rFonts w:ascii="Times New Roman" w:hAnsi="Times New Roman" w:cs="Times New Roman" w:eastAsia="Times New Roman" w:hint="default"/>
          <w:spacing w:val="-1"/>
        </w:rPr>
        <w:t>5</w:t>
      </w:r>
      <w:r>
        <w:rPr>
          <w:spacing w:val="-1"/>
        </w:rPr>
        <w:t>）向纳入合并财务报表范围的结构化主体提供的财务支持或其他支持</w:t>
      </w:r>
      <w:r>
        <w:rPr>
          <w:spacing w:val="-75"/>
        </w:rPr>
        <w:t> </w:t>
      </w:r>
      <w:r>
        <w:rPr>
          <w:spacing w:val="-75"/>
        </w:rPr>
      </w:r>
      <w:r>
        <w:rPr>
          <w:rFonts w:ascii="宋体" w:hAnsi="宋体" w:cs="宋体" w:eastAsia="宋体" w:hint="default"/>
          <w:b w:val="0"/>
          <w:bCs w:val="0"/>
        </w:rPr>
        <w:t>其他说明：</w:t>
      </w:r>
    </w:p>
    <w:p>
      <w:pPr>
        <w:spacing w:line="240" w:lineRule="auto" w:before="12"/>
        <w:rPr>
          <w:rFonts w:ascii="宋体" w:hAnsi="宋体" w:cs="宋体" w:eastAsia="宋体" w:hint="default"/>
          <w:sz w:val="17"/>
          <w:szCs w:val="17"/>
        </w:rPr>
      </w:pPr>
    </w:p>
    <w:p>
      <w:pPr>
        <w:pStyle w:val="Heading4"/>
        <w:spacing w:line="240" w:lineRule="auto"/>
        <w:ind w:right="1127"/>
        <w:jc w:val="left"/>
        <w:rPr>
          <w:b w:val="0"/>
          <w:bCs w:val="0"/>
        </w:rPr>
      </w:pPr>
      <w:bookmarkStart w:name="2、在子公司的所有者权益份额发生变化且仍控制子公司的交易" w:id="560"/>
      <w:bookmarkEnd w:id="56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570" w:lineRule="atLeast" w:before="3"/>
        <w:ind w:left="572" w:right="1125" w:hanging="420"/>
        <w:jc w:val="left"/>
        <w:rPr>
          <w:rFonts w:ascii="宋体" w:hAnsi="宋体" w:cs="宋体" w:eastAsia="宋体" w:hint="default"/>
          <w:sz w:val="21"/>
          <w:szCs w:val="21"/>
        </w:rPr>
      </w:pPr>
      <w:bookmarkStart w:name="（1）在子公司所有者权益份额发生变化的情况说明" w:id="561"/>
      <w:bookmarkEnd w:id="5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b/>
          <w:bCs/>
          <w:w w:val="100"/>
          <w:sz w:val="21"/>
          <w:szCs w:val="21"/>
        </w:rPr>
        <w:t> </w:t>
      </w:r>
      <w:r>
        <w:rPr>
          <w:rFonts w:ascii="宋体" w:hAnsi="宋体" w:cs="宋体" w:eastAsia="宋体" w:hint="default"/>
          <w:spacing w:val="-3"/>
          <w:sz w:val="21"/>
          <w:szCs w:val="21"/>
        </w:rPr>
        <w:t>四川北新大弘置业集团有限公司增资北京旋极伏羲大数据技术有限公司，本公司持股比例从</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64%</w:t>
      </w:r>
      <w:r>
        <w:rPr>
          <w:rFonts w:ascii="宋体" w:hAnsi="宋体" w:cs="宋体" w:eastAsia="宋体" w:hint="default"/>
          <w:sz w:val="21"/>
          <w:szCs w:val="21"/>
        </w:rPr>
        <w:t>下降</w:t>
      </w:r>
    </w:p>
    <w:p>
      <w:pPr>
        <w:pStyle w:val="BodyText"/>
        <w:spacing w:line="240" w:lineRule="auto" w:before="117"/>
        <w:ind w:left="152" w:right="1127"/>
        <w:jc w:val="left"/>
      </w:pPr>
      <w:r>
        <w:rPr/>
        <w:t>到</w:t>
      </w:r>
      <w:r>
        <w:rPr>
          <w:spacing w:val="-51"/>
        </w:rPr>
        <w:t> </w:t>
      </w:r>
      <w:r>
        <w:rPr>
          <w:rFonts w:ascii="Times New Roman" w:hAnsi="Times New Roman" w:cs="Times New Roman" w:eastAsia="Times New Roman" w:hint="default"/>
        </w:rPr>
        <w:t>53.76%</w:t>
      </w:r>
      <w:r>
        <w:rPr/>
        <w:t>。</w:t>
      </w:r>
    </w:p>
    <w:p>
      <w:pPr>
        <w:spacing w:line="240" w:lineRule="auto" w:before="9"/>
        <w:rPr>
          <w:rFonts w:ascii="宋体" w:hAnsi="宋体" w:cs="宋体" w:eastAsia="宋体" w:hint="default"/>
          <w:sz w:val="16"/>
          <w:szCs w:val="16"/>
        </w:rPr>
      </w:pPr>
    </w:p>
    <w:p>
      <w:pPr>
        <w:pStyle w:val="BodyText"/>
        <w:spacing w:line="240" w:lineRule="auto"/>
        <w:ind w:right="1127"/>
        <w:jc w:val="left"/>
      </w:pPr>
      <w:r>
        <w:rPr/>
        <w:t>本公司将天津百旺</w:t>
      </w:r>
      <w:r>
        <w:rPr>
          <w:spacing w:val="-54"/>
        </w:rPr>
        <w:t> </w:t>
      </w:r>
      <w:r>
        <w:rPr>
          <w:rFonts w:ascii="Times New Roman" w:hAnsi="Times New Roman" w:cs="Times New Roman" w:eastAsia="Times New Roman" w:hint="default"/>
        </w:rPr>
        <w:t>65%</w:t>
      </w:r>
      <w:r>
        <w:rPr/>
        <w:t>的股权转让于非全资子公司旋极百旺，</w:t>
      </w:r>
      <w:r>
        <w:rPr>
          <w:spacing w:val="-25"/>
        </w:rPr>
        <w:t> </w:t>
      </w:r>
      <w:r>
        <w:rPr/>
        <w:t>持股比例从</w:t>
      </w:r>
      <w:r>
        <w:rPr>
          <w:spacing w:val="-24"/>
        </w:rPr>
        <w:t> </w:t>
      </w:r>
      <w:r>
        <w:rPr>
          <w:rFonts w:ascii="Times New Roman" w:hAnsi="Times New Roman" w:cs="Times New Roman" w:eastAsia="Times New Roman" w:hint="default"/>
        </w:rPr>
        <w:t>65.00%</w:t>
      </w:r>
      <w:r>
        <w:rPr/>
        <w:t>下降到</w:t>
      </w:r>
      <w:r>
        <w:rPr>
          <w:spacing w:val="-54"/>
        </w:rPr>
        <w:t> </w:t>
      </w:r>
      <w:r>
        <w:rPr>
          <w:rFonts w:ascii="Times New Roman" w:hAnsi="Times New Roman" w:cs="Times New Roman" w:eastAsia="Times New Roman" w:hint="default"/>
        </w:rPr>
        <w:t>60.24%</w:t>
      </w:r>
      <w:r>
        <w:rPr/>
        <w:t>。</w:t>
      </w:r>
    </w:p>
    <w:p>
      <w:pPr>
        <w:spacing w:after="0" w:line="240" w:lineRule="auto"/>
        <w:jc w:val="left"/>
        <w:sectPr>
          <w:pgSz w:w="11910" w:h="16840"/>
          <w:pgMar w:header="882" w:footer="1134" w:top="1280" w:bottom="1320" w:left="980" w:right="0"/>
        </w:sectPr>
      </w:pPr>
    </w:p>
    <w:p>
      <w:pPr>
        <w:pStyle w:val="Heading4"/>
        <w:spacing w:line="240" w:lineRule="auto" w:before="114"/>
        <w:ind w:right="1127"/>
        <w:jc w:val="left"/>
        <w:rPr>
          <w:b w:val="0"/>
          <w:bCs w:val="0"/>
        </w:rPr>
      </w:pPr>
      <w:bookmarkStart w:name="（2）交易对于少数股东权益及归属于母公司所有者权益的影响" w:id="562"/>
      <w:bookmarkEnd w:id="56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p>
      <w:pPr>
        <w:spacing w:line="316" w:lineRule="exact"/>
        <w:ind w:left="148"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78.95pt;height:15.85pt;mso-position-horizontal-relative:char;mso-position-vertical-relative:line" coordorigin="0,0" coordsize="9579,317">
            <v:group style="position:absolute;left:23;top:14;width:2;height:288" coordorigin="23,14" coordsize="2,288">
              <v:shape style="position:absolute;left:23;top:14;width:2;height:288" coordorigin="23,14" coordsize="0,288" path="m23,14l23,302e" filled="false" stroked="true" strokeweight="1.08pt" strokecolor="#d4d4d4">
                <v:path arrowok="t"/>
              </v:shape>
            </v:group>
            <v:group style="position:absolute;left:4774;top:14;width:2;height:288" coordorigin="4774,14" coordsize="2,288">
              <v:shape style="position:absolute;left:4774;top:14;width:2;height:288" coordorigin="4774,14" coordsize="0,288" path="m4774,14l4774,302e" filled="false" stroked="true" strokeweight="1.2pt" strokecolor="#d4d4d4">
                <v:path arrowok="t"/>
              </v:shape>
            </v:group>
            <v:group style="position:absolute;left:34;top:14;width:4728;height:288" coordorigin="34,14" coordsize="4728,288">
              <v:shape style="position:absolute;left:34;top:14;width:4728;height:288" coordorigin="34,14" coordsize="4728,288" path="m34,302l4762,302,4762,14,34,14,34,302xe" filled="true" fillcolor="#d4d4d4" stroked="false">
                <v:path arrowok="t"/>
                <v:fill type="solid"/>
              </v:shape>
            </v:group>
            <v:group style="position:absolute;left:4806;top:14;width:2;height:288" coordorigin="4806,14" coordsize="2,288">
              <v:shape style="position:absolute;left:4806;top:14;width:2;height:288" coordorigin="4806,14" coordsize="0,288" path="m4806,14l4806,302e" filled="false" stroked="true" strokeweight="1.08pt" strokecolor="#d4d4d4">
                <v:path arrowok="t"/>
              </v:shape>
            </v:group>
            <v:group style="position:absolute;left:9557;top:14;width:2;height:288" coordorigin="9557,14" coordsize="2,288">
              <v:shape style="position:absolute;left:9557;top:14;width:2;height:288" coordorigin="9557,14" coordsize="0,288" path="m9557,14l9557,302e" filled="false" stroked="true" strokeweight="1.2pt" strokecolor="#d4d4d4">
                <v:path arrowok="t"/>
              </v:shape>
            </v:group>
            <v:group style="position:absolute;left:4817;top:14;width:4728;height:288" coordorigin="4817,14" coordsize="4728,288">
              <v:shape style="position:absolute;left:4817;top:14;width:4728;height:288" coordorigin="4817,14" coordsize="4728,288" path="m4817,302l9545,302,9545,14,4817,14,4817,302xe" filled="true" fillcolor="#d4d4d4"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308" coordorigin="5,5" coordsize="2,308">
              <v:shape style="position:absolute;left:5;top:5;width:2;height:308" coordorigin="5,5" coordsize="0,308" path="m5,5l5,312e" filled="false" stroked="true" strokeweight=".48pt" strokecolor="#000000">
                <v:path arrowok="t"/>
              </v:shape>
            </v:group>
            <v:group style="position:absolute;left:10;top:307;width:4774;height:2" coordorigin="10,307" coordsize="4774,2">
              <v:shape style="position:absolute;left:10;top:307;width:4774;height:2" coordorigin="10,307" coordsize="4774,0" path="m10,307l4783,307e" filled="false" stroked="true" strokeweight=".481pt" strokecolor="#000000">
                <v:path arrowok="t"/>
              </v:shape>
            </v:group>
            <v:group style="position:absolute;left:4788;top:5;width:2;height:308" coordorigin="4788,5" coordsize="2,308">
              <v:shape style="position:absolute;left:4788;top:5;width:2;height:308" coordorigin="4788,5" coordsize="0,308" path="m4788,5l4788,312e" filled="false" stroked="true" strokeweight=".48pt" strokecolor="#000000">
                <v:path arrowok="t"/>
              </v:shape>
            </v:group>
            <v:group style="position:absolute;left:4793;top:307;width:4776;height:2" coordorigin="4793,307" coordsize="4776,2">
              <v:shape style="position:absolute;left:4793;top:307;width:4776;height:2" coordorigin="4793,307" coordsize="4776,0" path="m4793,307l9569,307e" filled="false" stroked="true" strokeweight=".481pt" strokecolor="#000000">
                <v:path arrowok="t"/>
              </v:shape>
            </v:group>
            <v:group style="position:absolute;left:9574;top:5;width:2;height:308" coordorigin="9574,5" coordsize="2,308">
              <v:shape style="position:absolute;left:9574;top:5;width:2;height:308" coordorigin="9574,5" coordsize="0,308" path="m9574,5l9574,312e" filled="false" stroked="true" strokeweight=".48pt" strokecolor="#000000">
                <v:path arrowok="t"/>
              </v:shape>
            </v:group>
          </v:group>
        </w:pict>
      </w:r>
      <w:r>
        <w:rPr>
          <w:rFonts w:ascii="宋体" w:hAnsi="宋体" w:cs="宋体" w:eastAsia="宋体" w:hint="default"/>
          <w:position w:val="-5"/>
          <w:sz w:val="20"/>
          <w:szCs w:val="20"/>
        </w:rPr>
      </w:r>
    </w:p>
    <w:p>
      <w:pPr>
        <w:pStyle w:val="BodyText"/>
        <w:spacing w:line="240" w:lineRule="auto" w:before="60"/>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4"/>
        <w:ind w:right="1127"/>
        <w:jc w:val="left"/>
        <w:rPr>
          <w:b w:val="0"/>
          <w:bCs w:val="0"/>
        </w:rPr>
      </w:pPr>
      <w:bookmarkStart w:name="3、在合营安排或联营企业中的权益" w:id="563"/>
      <w:bookmarkEnd w:id="56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1）重要的合营企业或联营企业" w:id="564"/>
      <w:bookmarkEnd w:id="56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3"/>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358"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148"/>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33" w:space="0" w:color="FFFFFF"/>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37" w:lineRule="auto" w:before="10"/>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432"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33"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33"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55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74"/>
              <w:jc w:val="left"/>
              <w:rPr>
                <w:rFonts w:ascii="宋体" w:hAnsi="宋体" w:cs="宋体" w:eastAsia="宋体" w:hint="default"/>
                <w:sz w:val="18"/>
                <w:szCs w:val="18"/>
              </w:rPr>
            </w:pPr>
            <w:r>
              <w:rPr>
                <w:rFonts w:ascii="宋体" w:hAnsi="宋体" w:cs="宋体" w:eastAsia="宋体" w:hint="default"/>
                <w:sz w:val="18"/>
                <w:szCs w:val="18"/>
              </w:rPr>
              <w:t>上海索乐互娱科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55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74"/>
              <w:jc w:val="left"/>
              <w:rPr>
                <w:rFonts w:ascii="宋体" w:hAnsi="宋体" w:cs="宋体" w:eastAsia="宋体" w:hint="default"/>
                <w:sz w:val="18"/>
                <w:szCs w:val="18"/>
              </w:rPr>
            </w:pPr>
            <w:r>
              <w:rPr>
                <w:rFonts w:ascii="宋体" w:hAnsi="宋体" w:cs="宋体" w:eastAsia="宋体" w:hint="default"/>
                <w:sz w:val="18"/>
                <w:szCs w:val="18"/>
              </w:rPr>
              <w:t>上海海多投资发 展有限公司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9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74"/>
              <w:jc w:val="both"/>
              <w:rPr>
                <w:rFonts w:ascii="宋体" w:hAnsi="宋体" w:cs="宋体" w:eastAsia="宋体" w:hint="default"/>
                <w:sz w:val="18"/>
                <w:szCs w:val="18"/>
              </w:rPr>
            </w:pPr>
            <w:r>
              <w:rPr>
                <w:rFonts w:ascii="宋体" w:hAnsi="宋体" w:cs="宋体" w:eastAsia="宋体" w:hint="default"/>
                <w:sz w:val="18"/>
                <w:szCs w:val="18"/>
              </w:rPr>
              <w:t>北京唯致动力网 络信息科技有限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2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74"/>
              <w:jc w:val="both"/>
              <w:rPr>
                <w:rFonts w:ascii="宋体" w:hAnsi="宋体" w:cs="宋体" w:eastAsia="宋体" w:hint="default"/>
                <w:sz w:val="18"/>
                <w:szCs w:val="18"/>
              </w:rPr>
            </w:pPr>
            <w:r>
              <w:rPr>
                <w:rFonts w:ascii="宋体" w:hAnsi="宋体" w:cs="宋体" w:eastAsia="宋体" w:hint="default"/>
                <w:sz w:val="18"/>
                <w:szCs w:val="18"/>
              </w:rPr>
              <w:t>北京考拉昆仑信 息技术有限公司</w:t>
            </w:r>
          </w:p>
          <w:p>
            <w:pPr>
              <w:pStyle w:val="TableParagraph"/>
              <w:spacing w:line="235" w:lineRule="auto" w:before="4"/>
              <w:ind w:left="24" w:right="74"/>
              <w:jc w:val="both"/>
              <w:rPr>
                <w:rFonts w:ascii="宋体" w:hAnsi="宋体" w:cs="宋体" w:eastAsia="宋体" w:hint="default"/>
                <w:sz w:val="18"/>
                <w:szCs w:val="18"/>
              </w:rPr>
            </w:pPr>
            <w:r>
              <w:rPr>
                <w:rFonts w:ascii="宋体" w:hAnsi="宋体" w:cs="宋体" w:eastAsia="宋体" w:hint="default"/>
                <w:sz w:val="18"/>
                <w:szCs w:val="18"/>
              </w:rPr>
              <w:t>（原北京旋极拉 卡拉信息技术有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64"/>
        <w:ind w:right="1127"/>
        <w:jc w:val="left"/>
      </w:pPr>
      <w:r>
        <w:rPr/>
        <w:t>在合营企业或联营企业的持股比例不同于表决权比例的说明：</w:t>
      </w:r>
    </w:p>
    <w:p>
      <w:pPr>
        <w:spacing w:line="240" w:lineRule="auto" w:before="1"/>
        <w:rPr>
          <w:rFonts w:ascii="宋体" w:hAnsi="宋体" w:cs="宋体" w:eastAsia="宋体" w:hint="default"/>
          <w:sz w:val="18"/>
          <w:szCs w:val="18"/>
        </w:rPr>
      </w:pPr>
    </w:p>
    <w:p>
      <w:pPr>
        <w:pStyle w:val="BodyText"/>
        <w:spacing w:line="240" w:lineRule="auto"/>
        <w:ind w:right="0"/>
        <w:jc w:val="left"/>
      </w:pPr>
      <w:r>
        <w:rPr>
          <w:spacing w:val="-4"/>
        </w:rPr>
        <w:t>（</w:t>
      </w:r>
      <w:r>
        <w:rPr>
          <w:rFonts w:ascii="Times New Roman" w:hAnsi="Times New Roman" w:cs="Times New Roman" w:eastAsia="Times New Roman" w:hint="default"/>
          <w:spacing w:val="-4"/>
        </w:rPr>
        <w:t>1</w:t>
      </w:r>
      <w:r>
        <w:rPr>
          <w:spacing w:val="-4"/>
        </w:rPr>
        <w:t>）北京考拉昆仑信息技术有限公司（原北京旋极拉卡拉信息技术有限公司）于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spacing w:val="-3"/>
        </w:rPr>
        <w:t>月由旋极</w:t>
      </w:r>
      <w:r>
        <w:rPr/>
      </w:r>
    </w:p>
    <w:p>
      <w:pPr>
        <w:pStyle w:val="BodyText"/>
        <w:spacing w:line="336" w:lineRule="auto" w:before="117"/>
        <w:ind w:left="152" w:right="1129"/>
        <w:jc w:val="both"/>
      </w:pPr>
      <w:r>
        <w:rPr/>
        <w:t>信息同拉卡拉支付有限公司共同出资设立，总投资金额</w:t>
      </w:r>
      <w:r>
        <w:rPr>
          <w:spacing w:val="26"/>
        </w:rPr>
        <w:t> </w:t>
      </w:r>
      <w:r>
        <w:rPr>
          <w:rFonts w:ascii="Times New Roman" w:hAnsi="Times New Roman" w:cs="Times New Roman" w:eastAsia="Times New Roman" w:hint="default"/>
        </w:rPr>
        <w:t>20,000,000.00 </w:t>
      </w:r>
      <w:r>
        <w:rPr/>
        <w:t>元，北京旋极信息技术股份有限公</w:t>
      </w:r>
      <w:r>
        <w:rPr>
          <w:spacing w:val="-103"/>
        </w:rPr>
        <w:t> </w:t>
      </w:r>
      <w:r>
        <w:rPr/>
        <w:t>司出资比例是 </w:t>
      </w:r>
      <w:r>
        <w:rPr>
          <w:rFonts w:ascii="Times New Roman" w:hAnsi="Times New Roman" w:cs="Times New Roman" w:eastAsia="Times New Roman" w:hint="default"/>
          <w:spacing w:val="-3"/>
        </w:rPr>
        <w:t>50%</w:t>
      </w:r>
      <w:r>
        <w:rPr>
          <w:spacing w:val="-3"/>
        </w:rPr>
        <w:t>，公司对北京考拉昆仑信息技术有限公司（原北京旋极拉卡拉信息技术有限公司）无实</w:t>
      </w:r>
      <w:r>
        <w:rPr>
          <w:spacing w:val="-86"/>
        </w:rPr>
        <w:t> </w:t>
      </w:r>
      <w:r>
        <w:rPr>
          <w:spacing w:val="-86"/>
        </w:rPr>
      </w:r>
      <w:r>
        <w:rPr/>
        <w:t>际控制权，对其按权益法核算。</w:t>
      </w:r>
    </w:p>
    <w:p>
      <w:pPr>
        <w:pStyle w:val="BodyText"/>
        <w:spacing w:line="336" w:lineRule="auto" w:before="152"/>
        <w:ind w:left="152" w:right="1130" w:firstLine="420"/>
        <w:jc w:val="both"/>
      </w:pPr>
      <w:r>
        <w:rPr>
          <w:spacing w:val="-2"/>
        </w:rPr>
        <w:t>（</w:t>
      </w:r>
      <w:r>
        <w:rPr>
          <w:rFonts w:ascii="Times New Roman" w:hAnsi="Times New Roman" w:cs="Times New Roman" w:eastAsia="Times New Roman" w:hint="default"/>
          <w:spacing w:val="-2"/>
        </w:rPr>
        <w:t>2</w:t>
      </w:r>
      <w:r>
        <w:rPr>
          <w:spacing w:val="-2"/>
        </w:rPr>
        <w:t>）公司持股百望金赋科技有限公司</w:t>
      </w:r>
      <w:r>
        <w:rPr>
          <w:spacing w:val="24"/>
        </w:rPr>
        <w:t> </w:t>
      </w:r>
      <w:r>
        <w:rPr>
          <w:rFonts w:ascii="Times New Roman" w:hAnsi="Times New Roman" w:cs="Times New Roman" w:eastAsia="Times New Roman" w:hint="default"/>
          <w:spacing w:val="-2"/>
        </w:rPr>
        <w:t>50.00%</w:t>
      </w:r>
      <w:r>
        <w:rPr>
          <w:spacing w:val="-2"/>
        </w:rPr>
        <w:t>，公司对百望金赋科技有限公司无实际控制权，对其按</w:t>
      </w:r>
      <w:r>
        <w:rPr>
          <w:w w:val="100"/>
        </w:rPr>
        <w:t> </w:t>
      </w:r>
      <w:r>
        <w:rPr/>
        <w:t>权益法核算。</w:t>
      </w:r>
    </w:p>
    <w:p>
      <w:pPr>
        <w:pStyle w:val="BodyText"/>
        <w:spacing w:line="240" w:lineRule="auto" w:before="147"/>
        <w:ind w:left="573" w:right="1127"/>
        <w:jc w:val="left"/>
      </w:pPr>
      <w:r>
        <w:rPr/>
        <w:t>持有</w:t>
      </w:r>
      <w:r>
        <w:rPr>
          <w:spacing w:val="-58"/>
        </w:rPr>
        <w:t> </w:t>
      </w:r>
      <w:r>
        <w:rPr>
          <w:rFonts w:ascii="Times New Roman" w:hAnsi="Times New Roman" w:cs="Times New Roman" w:eastAsia="Times New Roman" w:hint="default"/>
        </w:rPr>
        <w:t>20%</w:t>
      </w:r>
      <w:r>
        <w:rPr/>
        <w:t>以下表决权但具有重大影响，或者持有</w:t>
      </w:r>
      <w:r>
        <w:rPr>
          <w:spacing w:val="-58"/>
        </w:rPr>
        <w:t> </w:t>
      </w:r>
      <w:r>
        <w:rPr>
          <w:rFonts w:ascii="Times New Roman" w:hAnsi="Times New Roman" w:cs="Times New Roman" w:eastAsia="Times New Roman" w:hint="default"/>
        </w:rPr>
        <w:t>20%</w:t>
      </w:r>
      <w:r>
        <w:rPr/>
        <w:t>或以上表决权但不具有重大影响的依据：</w:t>
      </w:r>
    </w:p>
    <w:p>
      <w:pPr>
        <w:spacing w:line="240" w:lineRule="auto" w:before="11"/>
        <w:rPr>
          <w:rFonts w:ascii="宋体" w:hAnsi="宋体" w:cs="宋体" w:eastAsia="宋体" w:hint="default"/>
          <w:sz w:val="16"/>
          <w:szCs w:val="16"/>
        </w:rPr>
      </w:pPr>
    </w:p>
    <w:p>
      <w:pPr>
        <w:pStyle w:val="BodyText"/>
        <w:spacing w:line="333" w:lineRule="auto"/>
        <w:ind w:left="153" w:right="1130" w:firstLine="419"/>
        <w:jc w:val="both"/>
      </w:pPr>
      <w:r>
        <w:rPr>
          <w:spacing w:val="-2"/>
        </w:rPr>
        <w:t>（</w:t>
      </w:r>
      <w:r>
        <w:rPr>
          <w:rFonts w:ascii="Times New Roman" w:hAnsi="Times New Roman" w:cs="Times New Roman" w:eastAsia="Times New Roman" w:hint="default"/>
          <w:spacing w:val="-2"/>
        </w:rPr>
        <w:t>1</w:t>
      </w:r>
      <w:r>
        <w:rPr>
          <w:spacing w:val="-2"/>
        </w:rPr>
        <w:t>）公司持股上海索乐互娱科技有限公司</w:t>
      </w:r>
      <w:r>
        <w:rPr>
          <w:spacing w:val="24"/>
        </w:rPr>
        <w:t> </w:t>
      </w:r>
      <w:r>
        <w:rPr>
          <w:rFonts w:ascii="Times New Roman" w:hAnsi="Times New Roman" w:cs="Times New Roman" w:eastAsia="Times New Roman" w:hint="default"/>
          <w:spacing w:val="-2"/>
        </w:rPr>
        <w:t>17.55%</w:t>
      </w:r>
      <w:r>
        <w:rPr>
          <w:spacing w:val="-2"/>
        </w:rPr>
        <w:t>，在董事会中派有代表，并享有相应的实质性的参</w:t>
      </w:r>
      <w:r>
        <w:rPr>
          <w:w w:val="100"/>
        </w:rPr>
        <w:t> </w:t>
      </w:r>
      <w:r>
        <w:rPr/>
        <w:t>与决策权，能够对其施加重大影响，对其按权益法核算。</w:t>
      </w:r>
    </w:p>
    <w:p>
      <w:pPr>
        <w:pStyle w:val="BodyText"/>
        <w:spacing w:line="345" w:lineRule="auto" w:before="154"/>
        <w:ind w:left="153" w:right="1127" w:firstLine="420"/>
        <w:jc w:val="both"/>
      </w:pPr>
      <w:r>
        <w:rPr>
          <w:spacing w:val="-8"/>
          <w:w w:val="100"/>
        </w:rPr>
        <w:t>（</w:t>
      </w:r>
      <w:r>
        <w:rPr>
          <w:rFonts w:ascii="Times New Roman" w:hAnsi="Times New Roman" w:cs="Times New Roman" w:eastAsia="Times New Roman" w:hint="default"/>
          <w:spacing w:val="-8"/>
          <w:w w:val="100"/>
        </w:rPr>
        <w:t>2</w:t>
      </w:r>
      <w:r>
        <w:rPr>
          <w:spacing w:val="-8"/>
          <w:w w:val="100"/>
        </w:rPr>
        <w:t>）上海海多投资发展有限公司于</w:t>
      </w:r>
      <w:r>
        <w:rPr>
          <w:spacing w:val="-69"/>
          <w:w w:val="100"/>
        </w:rPr>
        <w:t> </w:t>
      </w:r>
      <w:r>
        <w:rPr>
          <w:rFonts w:ascii="Times New Roman" w:hAnsi="Times New Roman" w:cs="Times New Roman" w:eastAsia="Times New Roman" w:hint="default"/>
          <w:spacing w:val="-1"/>
          <w:w w:val="100"/>
        </w:rPr>
        <w:t>2016</w:t>
      </w:r>
      <w:r>
        <w:rPr>
          <w:rFonts w:ascii="Times New Roman" w:hAnsi="Times New Roman" w:cs="Times New Roman" w:eastAsia="Times New Roman" w:hint="default"/>
          <w:spacing w:val="33"/>
          <w:w w:val="100"/>
        </w:rPr>
        <w:t> </w:t>
      </w:r>
      <w:r>
        <w:rPr>
          <w:w w:val="100"/>
        </w:rPr>
        <w:t>年</w:t>
      </w:r>
      <w:r>
        <w:rPr>
          <w:spacing w:val="-69"/>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7"/>
          <w:w w:val="100"/>
        </w:rPr>
        <w:t> </w:t>
      </w:r>
      <w:r>
        <w:rPr>
          <w:spacing w:val="-2"/>
          <w:w w:val="100"/>
        </w:rPr>
        <w:t>月由原上海索乐互娱科技有限公司按其注册资本</w:t>
      </w:r>
      <w:r>
        <w:rPr>
          <w:spacing w:val="-69"/>
          <w:w w:val="100"/>
        </w:rPr>
        <w:t> </w:t>
      </w:r>
      <w:r>
        <w:rPr>
          <w:rFonts w:ascii="Times New Roman" w:hAnsi="Times New Roman" w:cs="Times New Roman" w:eastAsia="Times New Roman" w:hint="default"/>
          <w:spacing w:val="-1"/>
          <w:w w:val="100"/>
        </w:rPr>
        <w:t>10.20%</w:t>
      </w:r>
      <w:r>
        <w:rPr>
          <w:rFonts w:ascii="Times New Roman" w:hAnsi="Times New Roman" w:cs="Times New Roman" w:eastAsia="Times New Roman" w:hint="default"/>
          <w:w w:val="100"/>
        </w:rPr>
        <w:t> </w:t>
      </w:r>
      <w:r>
        <w:rPr/>
        <w:t>的比例分立而成的。公司在存续的上海索乐互娱科技有限公司的出资比例（</w:t>
      </w:r>
      <w:r>
        <w:rPr>
          <w:rFonts w:ascii="Times New Roman" w:hAnsi="Times New Roman" w:cs="Times New Roman" w:eastAsia="Times New Roman" w:hint="default"/>
        </w:rPr>
        <w:t>18.00%</w:t>
      </w:r>
      <w:r>
        <w:rPr/>
        <w:t>）保持不变，</w:t>
      </w:r>
      <w:r>
        <w:rPr>
          <w:spacing w:val="48"/>
        </w:rPr>
        <w:t> </w:t>
      </w:r>
      <w:r>
        <w:rPr/>
        <w:t>新设立</w:t>
      </w:r>
      <w:r>
        <w:rPr>
          <w:spacing w:val="-93"/>
        </w:rPr>
        <w:t> </w:t>
      </w:r>
      <w:r>
        <w:rPr>
          <w:spacing w:val="-93"/>
        </w:rPr>
      </w:r>
      <w:r>
        <w:rPr>
          <w:spacing w:val="-2"/>
        </w:rPr>
        <w:t>的上海海多投资发展有限公司股东与出资比例与上海索乐互娱科技有限公司股东与出资比例保持一致。公</w:t>
      </w:r>
      <w:r>
        <w:rPr>
          <w:spacing w:val="-42"/>
        </w:rPr>
        <w:t> </w:t>
      </w:r>
      <w:r>
        <w:rPr>
          <w:spacing w:val="-42"/>
        </w:rPr>
      </w:r>
      <w:r>
        <w:rPr>
          <w:spacing w:val="-2"/>
        </w:rPr>
        <w:t>司在上海海多投资发展有限公司的董事会中派有代表，并享有相应的实质性的参与决策权，能够对上海海</w:t>
      </w:r>
      <w:r>
        <w:rPr>
          <w:spacing w:val="-42"/>
        </w:rPr>
        <w:t> </w:t>
      </w:r>
      <w:r>
        <w:rPr>
          <w:spacing w:val="-42"/>
        </w:rPr>
      </w:r>
      <w:r>
        <w:rPr/>
        <w:t>多投资发展有限公司施加重大影响，对其按权益法核算。</w:t>
      </w:r>
    </w:p>
    <w:p>
      <w:pPr>
        <w:spacing w:after="0" w:line="345" w:lineRule="auto"/>
        <w:jc w:val="both"/>
        <w:sectPr>
          <w:pgSz w:w="11910" w:h="16840"/>
          <w:pgMar w:header="882" w:footer="1134" w:top="1280" w:bottom="1320" w:left="980" w:right="0"/>
        </w:sectPr>
      </w:pPr>
    </w:p>
    <w:p>
      <w:pPr>
        <w:pStyle w:val="BodyText"/>
        <w:spacing w:line="336" w:lineRule="auto" w:before="112"/>
        <w:ind w:left="152" w:right="1128" w:firstLine="420"/>
        <w:jc w:val="both"/>
      </w:pPr>
      <w:r>
        <w:rPr>
          <w:spacing w:val="-4"/>
        </w:rPr>
        <w:t>（</w:t>
      </w:r>
      <w:r>
        <w:rPr>
          <w:rFonts w:ascii="Times New Roman" w:hAnsi="Times New Roman" w:cs="Times New Roman" w:eastAsia="Times New Roman" w:hint="default"/>
          <w:spacing w:val="-4"/>
        </w:rPr>
        <w:t>3</w:t>
      </w:r>
      <w:r>
        <w:rPr>
          <w:spacing w:val="-4"/>
        </w:rPr>
        <w:t>）公司持有北京旋极伏羲科技有限公司（原名：北京都在哪网讯科技有限公司）</w:t>
      </w:r>
      <w:r>
        <w:rPr>
          <w:rFonts w:ascii="Times New Roman" w:hAnsi="Times New Roman" w:cs="Times New Roman" w:eastAsia="Times New Roman" w:hint="default"/>
          <w:spacing w:val="-4"/>
        </w:rPr>
        <w:t>15%</w:t>
      </w:r>
      <w:r>
        <w:rPr>
          <w:spacing w:val="-4"/>
        </w:rPr>
        <w:t>的股权，最终</w:t>
      </w:r>
      <w:r>
        <w:rPr>
          <w:w w:val="100"/>
        </w:rPr>
        <w:t> </w:t>
      </w:r>
      <w:r>
        <w:rPr/>
        <w:t>控制人陈江涛持有</w:t>
      </w:r>
      <w:r>
        <w:rPr>
          <w:spacing w:val="15"/>
        </w:rPr>
        <w:t> </w:t>
      </w:r>
      <w:r>
        <w:rPr>
          <w:rFonts w:ascii="Times New Roman" w:hAnsi="Times New Roman" w:cs="Times New Roman" w:eastAsia="Times New Roman" w:hint="default"/>
        </w:rPr>
        <w:t>34%</w:t>
      </w:r>
      <w:r>
        <w:rPr/>
        <w:t>的股权，二者合计持有</w:t>
      </w:r>
      <w:r>
        <w:rPr>
          <w:spacing w:val="15"/>
        </w:rPr>
        <w:t> </w:t>
      </w:r>
      <w:r>
        <w:rPr>
          <w:rFonts w:ascii="Times New Roman" w:hAnsi="Times New Roman" w:cs="Times New Roman" w:eastAsia="Times New Roman" w:hint="default"/>
        </w:rPr>
        <w:t>49%</w:t>
      </w:r>
      <w:r>
        <w:rPr/>
        <w:t>的股权，并享有相应的实质性的参与决策权，能够对</w:t>
      </w:r>
      <w:r>
        <w:rPr>
          <w:spacing w:val="-98"/>
        </w:rPr>
        <w:t> </w:t>
      </w:r>
      <w:r>
        <w:rPr>
          <w:spacing w:val="-98"/>
        </w:rPr>
      </w:r>
      <w:r>
        <w:rPr/>
        <w:t>其施加重大影响，对其按权益法核算。</w:t>
      </w:r>
    </w:p>
    <w:p>
      <w:pPr>
        <w:pStyle w:val="BodyText"/>
        <w:spacing w:line="336" w:lineRule="auto" w:before="152"/>
        <w:ind w:left="152" w:right="1132" w:firstLine="419"/>
        <w:jc w:val="both"/>
      </w:pPr>
      <w:r>
        <w:rPr>
          <w:spacing w:val="-3"/>
        </w:rPr>
        <w:t>（</w:t>
      </w:r>
      <w:r>
        <w:rPr>
          <w:rFonts w:ascii="Times New Roman" w:hAnsi="Times New Roman" w:cs="Times New Roman" w:eastAsia="Times New Roman" w:hint="default"/>
          <w:spacing w:val="-3"/>
        </w:rPr>
        <w:t>4</w:t>
      </w:r>
      <w:r>
        <w:rPr>
          <w:spacing w:val="-3"/>
        </w:rPr>
        <w:t>）公司持有江苏软讯科技有限公司</w:t>
      </w:r>
      <w:r>
        <w:rPr>
          <w:spacing w:val="3"/>
        </w:rPr>
        <w:t> </w:t>
      </w:r>
      <w:r>
        <w:rPr>
          <w:rFonts w:ascii="Times New Roman" w:hAnsi="Times New Roman" w:cs="Times New Roman" w:eastAsia="Times New Roman" w:hint="default"/>
          <w:spacing w:val="-3"/>
        </w:rPr>
        <w:t>5%</w:t>
      </w:r>
      <w:r>
        <w:rPr>
          <w:spacing w:val="-3"/>
        </w:rPr>
        <w:t>的股权，在董事会中派有代表，并享有相应的实质性的参与</w:t>
      </w:r>
      <w:r>
        <w:rPr>
          <w:spacing w:val="-3"/>
          <w:w w:val="100"/>
        </w:rPr>
        <w:t> </w:t>
      </w:r>
      <w:r>
        <w:rPr/>
        <w:t>决策权，能够对其施加重大影响，对其按权益法核算。</w:t>
      </w:r>
    </w:p>
    <w:p>
      <w:pPr>
        <w:pStyle w:val="BodyText"/>
        <w:spacing w:line="336" w:lineRule="auto" w:before="150"/>
        <w:ind w:left="153" w:right="1130" w:firstLine="419"/>
        <w:jc w:val="both"/>
      </w:pPr>
      <w:r>
        <w:rPr>
          <w:spacing w:val="-2"/>
        </w:rPr>
        <w:t>（</w:t>
      </w:r>
      <w:r>
        <w:rPr>
          <w:rFonts w:ascii="Times New Roman" w:hAnsi="Times New Roman" w:cs="Times New Roman" w:eastAsia="Times New Roman" w:hint="default"/>
          <w:spacing w:val="-2"/>
        </w:rPr>
        <w:t>5</w:t>
      </w:r>
      <w:r>
        <w:rPr>
          <w:spacing w:val="-2"/>
        </w:rPr>
        <w:t>）公司持有北京蓝鲸众合投资管理有限公司</w:t>
      </w:r>
      <w:r>
        <w:rPr>
          <w:spacing w:val="24"/>
        </w:rPr>
        <w:t> </w:t>
      </w:r>
      <w:r>
        <w:rPr>
          <w:rFonts w:ascii="Times New Roman" w:hAnsi="Times New Roman" w:cs="Times New Roman" w:eastAsia="Times New Roman" w:hint="default"/>
          <w:spacing w:val="-2"/>
        </w:rPr>
        <w:t>16.67%</w:t>
      </w:r>
      <w:r>
        <w:rPr>
          <w:spacing w:val="-2"/>
        </w:rPr>
        <w:t>的股权，在董事会中派有代表，并享有相应的</w:t>
      </w:r>
      <w:r>
        <w:rPr>
          <w:w w:val="100"/>
        </w:rPr>
        <w:t> </w:t>
      </w:r>
      <w:r>
        <w:rPr/>
        <w:t>实质性的参与决策权，能够对其施加重大影响，对其按权益法核算。</w:t>
      </w:r>
    </w:p>
    <w:p>
      <w:pPr>
        <w:pStyle w:val="BodyText"/>
        <w:spacing w:line="333" w:lineRule="auto" w:before="152"/>
        <w:ind w:left="153" w:right="1127" w:firstLine="503"/>
        <w:jc w:val="both"/>
      </w:pPr>
      <w:r>
        <w:rPr>
          <w:rFonts w:ascii="Times New Roman" w:hAnsi="Times New Roman" w:cs="Times New Roman" w:eastAsia="Times New Roman" w:hint="default"/>
        </w:rPr>
        <w:t>(6) </w:t>
      </w:r>
      <w:r>
        <w:rPr/>
        <w:t>公司持有百望股份有限公司</w:t>
      </w:r>
      <w:r>
        <w:rPr>
          <w:spacing w:val="-5"/>
        </w:rPr>
        <w:t> </w:t>
      </w:r>
      <w:r>
        <w:rPr>
          <w:rFonts w:ascii="Times New Roman" w:hAnsi="Times New Roman" w:cs="Times New Roman" w:eastAsia="Times New Roman" w:hint="default"/>
        </w:rPr>
        <w:t>16.44%</w:t>
      </w:r>
      <w:r>
        <w:rPr/>
        <w:t>的股权</w:t>
      </w:r>
      <w:r>
        <w:rPr>
          <w:rFonts w:ascii="Times New Roman" w:hAnsi="Times New Roman" w:cs="Times New Roman" w:eastAsia="Times New Roman" w:hint="default"/>
        </w:rPr>
        <w:t>,</w:t>
      </w:r>
      <w:r>
        <w:rPr/>
        <w:t>，在董事会中派有代表，并享有相应的实质性的参与</w:t>
      </w:r>
      <w:r>
        <w:rPr>
          <w:w w:val="100"/>
        </w:rPr>
        <w:t> </w:t>
      </w:r>
      <w:r>
        <w:rPr/>
        <w:t>决策权，能够对其施加重大影响，对其按权益法核算。</w:t>
      </w:r>
    </w:p>
    <w:p>
      <w:pPr>
        <w:pStyle w:val="BodyText"/>
        <w:spacing w:line="333" w:lineRule="auto" w:before="154"/>
        <w:ind w:left="153" w:right="1131" w:firstLine="420"/>
        <w:jc w:val="both"/>
      </w:pPr>
      <w:r>
        <w:rPr>
          <w:rFonts w:ascii="Times New Roman" w:hAnsi="Times New Roman" w:cs="Times New Roman" w:eastAsia="Times New Roman" w:hint="default"/>
        </w:rPr>
        <w:t>(7) </w:t>
      </w:r>
      <w:r>
        <w:rPr/>
        <w:t>公司持有北京航星中云科技有限公司</w:t>
      </w:r>
      <w:r>
        <w:rPr>
          <w:spacing w:val="-34"/>
        </w:rPr>
        <w:t> </w:t>
      </w:r>
      <w:r>
        <w:rPr>
          <w:rFonts w:ascii="Times New Roman" w:hAnsi="Times New Roman" w:cs="Times New Roman" w:eastAsia="Times New Roman" w:hint="default"/>
        </w:rPr>
        <w:t>19.35%</w:t>
      </w:r>
      <w:r>
        <w:rPr/>
        <w:t>，在董事会中派有代表，并享有相应的实质性的参与</w:t>
      </w:r>
      <w:r>
        <w:rPr>
          <w:spacing w:val="-3"/>
          <w:w w:val="100"/>
        </w:rPr>
        <w:t> </w:t>
      </w:r>
      <w:r>
        <w:rPr/>
        <w:t>决策权，能够对其施加重大影响，对其按权益法核算。</w:t>
      </w:r>
    </w:p>
    <w:p>
      <w:pPr>
        <w:pStyle w:val="BodyText"/>
        <w:spacing w:line="333" w:lineRule="auto" w:before="154"/>
        <w:ind w:left="153" w:right="1127" w:firstLine="504"/>
        <w:jc w:val="both"/>
      </w:pPr>
      <w:r>
        <w:rPr>
          <w:rFonts w:ascii="Times New Roman" w:hAnsi="Times New Roman" w:cs="Times New Roman" w:eastAsia="Times New Roman" w:hint="default"/>
        </w:rPr>
        <w:t>(8) </w:t>
      </w:r>
      <w:r>
        <w:rPr/>
        <w:t>公司持有沈阳旋飞航空技术有限公司</w:t>
      </w:r>
      <w:r>
        <w:rPr>
          <w:spacing w:val="-60"/>
        </w:rPr>
        <w:t> </w:t>
      </w:r>
      <w:r>
        <w:rPr>
          <w:rFonts w:ascii="Times New Roman" w:hAnsi="Times New Roman" w:cs="Times New Roman" w:eastAsia="Times New Roman" w:hint="default"/>
        </w:rPr>
        <w:t>9.05%</w:t>
      </w:r>
      <w:r>
        <w:rPr/>
        <w:t>，在董事会中派有代表，并享有相应的实质性的参与</w:t>
      </w:r>
      <w:r>
        <w:rPr>
          <w:w w:val="100"/>
        </w:rPr>
        <w:t> </w:t>
      </w:r>
      <w:r>
        <w:rPr/>
        <w:t>决策权，能够对其施加重大影响，对其按权益法核算。</w:t>
      </w:r>
    </w:p>
    <w:p>
      <w:pPr>
        <w:spacing w:line="240" w:lineRule="auto" w:before="4"/>
        <w:rPr>
          <w:rFonts w:ascii="宋体" w:hAnsi="宋体" w:cs="宋体" w:eastAsia="宋体" w:hint="default"/>
          <w:sz w:val="27"/>
          <w:szCs w:val="27"/>
        </w:rPr>
      </w:pPr>
    </w:p>
    <w:p>
      <w:pPr>
        <w:pStyle w:val="Heading4"/>
        <w:spacing w:line="240" w:lineRule="auto"/>
        <w:ind w:right="1127"/>
        <w:jc w:val="left"/>
        <w:rPr>
          <w:b w:val="0"/>
          <w:bCs w:val="0"/>
        </w:rPr>
      </w:pPr>
      <w:bookmarkStart w:name="（2）重要合营企业的主要财务信息" w:id="565"/>
      <w:bookmarkEnd w:id="56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1"/>
          <w:szCs w:val="21"/>
        </w:rPr>
      </w:pPr>
    </w:p>
    <w:p>
      <w:pPr>
        <w:spacing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2"/>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4"/>
        <w:ind w:right="1127"/>
        <w:jc w:val="left"/>
        <w:rPr>
          <w:b w:val="0"/>
          <w:bCs w:val="0"/>
        </w:rPr>
      </w:pPr>
      <w:bookmarkStart w:name="（3）重要联营企业的主要财务信息" w:id="566"/>
      <w:bookmarkEnd w:id="56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3"/>
        <w:gridCol w:w="1063"/>
        <w:gridCol w:w="1063"/>
        <w:gridCol w:w="1063"/>
        <w:gridCol w:w="1061"/>
        <w:gridCol w:w="1063"/>
        <w:gridCol w:w="1063"/>
      </w:tblGrid>
      <w:tr>
        <w:trPr>
          <w:trHeight w:val="317"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8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25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8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27" w:hRule="exact"/>
        </w:trPr>
        <w:tc>
          <w:tcPr>
            <w:tcW w:w="1063" w:type="dxa"/>
            <w:vMerge w:val="restart"/>
            <w:tcBorders>
              <w:top w:val="single" w:sz="4" w:space="0" w:color="000000"/>
              <w:left w:val="single" w:sz="4" w:space="0" w:color="000000"/>
              <w:right w:val="single" w:sz="4" w:space="0" w:color="000000"/>
            </w:tcBorders>
            <w:shd w:val="clear" w:color="auto" w:fill="D4D4D4"/>
          </w:tcPr>
          <w:p>
            <w:pPr/>
          </w:p>
        </w:tc>
        <w:tc>
          <w:tcPr>
            <w:tcW w:w="1063"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237" w:lineRule="auto" w:before="17"/>
              <w:ind w:left="76" w:right="74"/>
              <w:jc w:val="center"/>
              <w:rPr>
                <w:rFonts w:ascii="宋体" w:hAnsi="宋体" w:cs="宋体" w:eastAsia="宋体" w:hint="default"/>
                <w:sz w:val="18"/>
                <w:szCs w:val="18"/>
              </w:rPr>
            </w:pPr>
            <w:r>
              <w:rPr>
                <w:rFonts w:ascii="宋体" w:hAnsi="宋体" w:cs="宋体" w:eastAsia="宋体" w:hint="default"/>
                <w:sz w:val="18"/>
                <w:szCs w:val="18"/>
              </w:rPr>
              <w:t>北京唯致动 力网络信息 科技有限公 司</w:t>
            </w:r>
          </w:p>
        </w:tc>
        <w:tc>
          <w:tcPr>
            <w:tcW w:w="1063"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1"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237" w:lineRule="auto" w:before="17"/>
              <w:ind w:left="76" w:right="74"/>
              <w:jc w:val="center"/>
              <w:rPr>
                <w:rFonts w:ascii="宋体" w:hAnsi="宋体" w:cs="宋体" w:eastAsia="宋体" w:hint="default"/>
                <w:sz w:val="18"/>
                <w:szCs w:val="18"/>
              </w:rPr>
            </w:pPr>
            <w:r>
              <w:rPr>
                <w:rFonts w:ascii="宋体" w:hAnsi="宋体" w:cs="宋体" w:eastAsia="宋体" w:hint="default"/>
                <w:sz w:val="18"/>
                <w:szCs w:val="18"/>
              </w:rPr>
              <w:t>北京唯致动 力网络信息 科技有限公 司</w:t>
            </w:r>
          </w:p>
        </w:tc>
      </w:tr>
      <w:tr>
        <w:trPr>
          <w:trHeight w:val="247" w:hRule="exact"/>
        </w:trPr>
        <w:tc>
          <w:tcPr>
            <w:tcW w:w="1063" w:type="dxa"/>
            <w:vMerge/>
            <w:tcBorders>
              <w:left w:val="single" w:sz="4" w:space="0" w:color="000000"/>
              <w:bottom w:val="nil" w:sz="6" w:space="0" w:color="auto"/>
              <w:right w:val="single" w:sz="4" w:space="0" w:color="000000"/>
            </w:tcBorders>
            <w:shd w:val="clear" w:color="auto" w:fill="D4D4D4"/>
          </w:tcPr>
          <w:p>
            <w:pPr/>
          </w:p>
        </w:tc>
        <w:tc>
          <w:tcPr>
            <w:tcW w:w="1063" w:type="dxa"/>
            <w:vMerge w:val="restart"/>
            <w:tcBorders>
              <w:top w:val="nil" w:sz="6" w:space="0" w:color="auto"/>
              <w:left w:val="single" w:sz="4" w:space="0" w:color="000000"/>
              <w:right w:val="single" w:sz="4" w:space="0" w:color="000000"/>
            </w:tcBorders>
            <w:shd w:val="clear" w:color="auto" w:fill="D4D4D4"/>
          </w:tcPr>
          <w:p>
            <w:pPr>
              <w:pStyle w:val="TableParagraph"/>
              <w:spacing w:line="237" w:lineRule="auto" w:before="10"/>
              <w:ind w:left="76" w:right="74"/>
              <w:jc w:val="center"/>
              <w:rPr>
                <w:rFonts w:ascii="宋体" w:hAnsi="宋体" w:cs="宋体" w:eastAsia="宋体" w:hint="default"/>
                <w:sz w:val="18"/>
                <w:szCs w:val="18"/>
              </w:rPr>
            </w:pPr>
            <w:r>
              <w:rPr>
                <w:rFonts w:ascii="宋体" w:hAnsi="宋体" w:cs="宋体" w:eastAsia="宋体" w:hint="default"/>
                <w:sz w:val="18"/>
                <w:szCs w:val="18"/>
              </w:rPr>
              <w:t>上海索乐互 娱科技有限 公司</w:t>
            </w:r>
          </w:p>
        </w:tc>
        <w:tc>
          <w:tcPr>
            <w:tcW w:w="1063" w:type="dxa"/>
            <w:vMerge w:val="restart"/>
            <w:tcBorders>
              <w:top w:val="nil" w:sz="6" w:space="0" w:color="auto"/>
              <w:left w:val="single" w:sz="4" w:space="0" w:color="000000"/>
              <w:right w:val="single" w:sz="4" w:space="0" w:color="000000"/>
            </w:tcBorders>
            <w:shd w:val="clear" w:color="auto" w:fill="D4D4D4"/>
          </w:tcPr>
          <w:p>
            <w:pPr>
              <w:pStyle w:val="TableParagraph"/>
              <w:spacing w:line="237" w:lineRule="auto" w:before="10"/>
              <w:ind w:left="76" w:right="74"/>
              <w:jc w:val="center"/>
              <w:rPr>
                <w:rFonts w:ascii="宋体" w:hAnsi="宋体" w:cs="宋体" w:eastAsia="宋体" w:hint="default"/>
                <w:sz w:val="18"/>
                <w:szCs w:val="18"/>
              </w:rPr>
            </w:pPr>
            <w:r>
              <w:rPr>
                <w:rFonts w:ascii="宋体" w:hAnsi="宋体" w:cs="宋体" w:eastAsia="宋体" w:hint="default"/>
                <w:sz w:val="18"/>
                <w:szCs w:val="18"/>
              </w:rPr>
              <w:t>上海海多投 资发展有限 公司</w:t>
            </w:r>
          </w:p>
        </w:tc>
        <w:tc>
          <w:tcPr>
            <w:tcW w:w="1063" w:type="dxa"/>
            <w:vMerge w:val="restart"/>
            <w:tcBorders>
              <w:top w:val="nil" w:sz="6" w:space="0" w:color="auto"/>
              <w:left w:val="single" w:sz="4" w:space="0" w:color="000000"/>
              <w:right w:val="single" w:sz="4" w:space="0" w:color="000000"/>
            </w:tcBorders>
            <w:shd w:val="clear" w:color="auto" w:fill="D4D4D4"/>
          </w:tcPr>
          <w:p>
            <w:pPr>
              <w:pStyle w:val="TableParagraph"/>
              <w:spacing w:line="237" w:lineRule="auto" w:before="10"/>
              <w:ind w:left="76" w:right="74"/>
              <w:jc w:val="both"/>
              <w:rPr>
                <w:rFonts w:ascii="宋体" w:hAnsi="宋体" w:cs="宋体" w:eastAsia="宋体" w:hint="default"/>
                <w:sz w:val="18"/>
                <w:szCs w:val="18"/>
              </w:rPr>
            </w:pPr>
            <w:r>
              <w:rPr>
                <w:rFonts w:ascii="宋体" w:hAnsi="宋体" w:cs="宋体" w:eastAsia="宋体" w:hint="default"/>
                <w:sz w:val="18"/>
                <w:szCs w:val="18"/>
              </w:rPr>
              <w:t>北京考拉昆 仑信息技术 有限公司</w:t>
            </w:r>
          </w:p>
        </w:tc>
        <w:tc>
          <w:tcPr>
            <w:tcW w:w="1063" w:type="dxa"/>
            <w:vMerge/>
            <w:tcBorders>
              <w:left w:val="single" w:sz="4" w:space="0" w:color="000000"/>
              <w:right w:val="single" w:sz="4" w:space="0" w:color="000000"/>
            </w:tcBorders>
            <w:shd w:val="clear" w:color="auto" w:fill="D4D4D4"/>
          </w:tcPr>
          <w:p>
            <w:pPr/>
          </w:p>
        </w:tc>
        <w:tc>
          <w:tcPr>
            <w:tcW w:w="1063" w:type="dxa"/>
            <w:vMerge w:val="restart"/>
            <w:tcBorders>
              <w:top w:val="nil" w:sz="6" w:space="0" w:color="auto"/>
              <w:left w:val="single" w:sz="4" w:space="0" w:color="000000"/>
              <w:right w:val="single" w:sz="4" w:space="0" w:color="000000"/>
            </w:tcBorders>
            <w:shd w:val="clear" w:color="auto" w:fill="D4D4D4"/>
          </w:tcPr>
          <w:p>
            <w:pPr>
              <w:pStyle w:val="TableParagraph"/>
              <w:spacing w:line="237" w:lineRule="auto" w:before="10"/>
              <w:ind w:left="76" w:right="74"/>
              <w:jc w:val="center"/>
              <w:rPr>
                <w:rFonts w:ascii="宋体" w:hAnsi="宋体" w:cs="宋体" w:eastAsia="宋体" w:hint="default"/>
                <w:sz w:val="18"/>
                <w:szCs w:val="18"/>
              </w:rPr>
            </w:pPr>
            <w:r>
              <w:rPr>
                <w:rFonts w:ascii="宋体" w:hAnsi="宋体" w:cs="宋体" w:eastAsia="宋体" w:hint="default"/>
                <w:sz w:val="18"/>
                <w:szCs w:val="18"/>
              </w:rPr>
              <w:t>上海索乐互 娱科技有限 公司</w:t>
            </w:r>
          </w:p>
        </w:tc>
        <w:tc>
          <w:tcPr>
            <w:tcW w:w="1061" w:type="dxa"/>
            <w:vMerge w:val="restart"/>
            <w:tcBorders>
              <w:top w:val="nil" w:sz="6" w:space="0" w:color="auto"/>
              <w:left w:val="single" w:sz="4" w:space="0" w:color="000000"/>
              <w:right w:val="single" w:sz="4" w:space="0" w:color="000000"/>
            </w:tcBorders>
            <w:shd w:val="clear" w:color="auto" w:fill="D4D4D4"/>
          </w:tcPr>
          <w:p>
            <w:pPr>
              <w:pStyle w:val="TableParagraph"/>
              <w:spacing w:line="237" w:lineRule="auto" w:before="10"/>
              <w:ind w:left="76" w:right="72"/>
              <w:jc w:val="center"/>
              <w:rPr>
                <w:rFonts w:ascii="宋体" w:hAnsi="宋体" w:cs="宋体" w:eastAsia="宋体" w:hint="default"/>
                <w:sz w:val="18"/>
                <w:szCs w:val="18"/>
              </w:rPr>
            </w:pPr>
            <w:r>
              <w:rPr>
                <w:rFonts w:ascii="宋体" w:hAnsi="宋体" w:cs="宋体" w:eastAsia="宋体" w:hint="default"/>
                <w:sz w:val="18"/>
                <w:szCs w:val="18"/>
              </w:rPr>
              <w:t>上海海多投 资发展有限 公司</w:t>
            </w:r>
          </w:p>
        </w:tc>
        <w:tc>
          <w:tcPr>
            <w:tcW w:w="1063" w:type="dxa"/>
            <w:vMerge w:val="restart"/>
            <w:tcBorders>
              <w:top w:val="nil" w:sz="6" w:space="0" w:color="auto"/>
              <w:left w:val="single" w:sz="4" w:space="0" w:color="000000"/>
              <w:right w:val="single" w:sz="4" w:space="0" w:color="000000"/>
            </w:tcBorders>
            <w:shd w:val="clear" w:color="auto" w:fill="D4D4D4"/>
          </w:tcPr>
          <w:p>
            <w:pPr>
              <w:pStyle w:val="TableParagraph"/>
              <w:spacing w:line="237" w:lineRule="auto" w:before="10"/>
              <w:ind w:left="79" w:right="72"/>
              <w:jc w:val="both"/>
              <w:rPr>
                <w:rFonts w:ascii="宋体" w:hAnsi="宋体" w:cs="宋体" w:eastAsia="宋体" w:hint="default"/>
                <w:sz w:val="18"/>
                <w:szCs w:val="18"/>
              </w:rPr>
            </w:pPr>
            <w:r>
              <w:rPr>
                <w:rFonts w:ascii="宋体" w:hAnsi="宋体" w:cs="宋体" w:eastAsia="宋体" w:hint="default"/>
                <w:sz w:val="18"/>
                <w:szCs w:val="18"/>
              </w:rPr>
              <w:t>北京考拉昆 仑信息技术 有限公司</w:t>
            </w:r>
          </w:p>
        </w:tc>
        <w:tc>
          <w:tcPr>
            <w:tcW w:w="1063" w:type="dxa"/>
            <w:vMerge/>
            <w:tcBorders>
              <w:left w:val="single" w:sz="4" w:space="0" w:color="000000"/>
              <w:right w:val="single" w:sz="4" w:space="0" w:color="000000"/>
            </w:tcBorders>
            <w:shd w:val="clear" w:color="auto" w:fill="D4D4D4"/>
          </w:tcPr>
          <w:p>
            <w:pPr/>
          </w:p>
        </w:tc>
      </w:tr>
      <w:tr>
        <w:trPr>
          <w:trHeight w:val="288" w:hRule="exact"/>
        </w:trPr>
        <w:tc>
          <w:tcPr>
            <w:tcW w:w="1063" w:type="dxa"/>
            <w:tcBorders>
              <w:top w:val="nil" w:sz="6" w:space="0" w:color="auto"/>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061" w:type="dxa"/>
            <w:vMerge/>
            <w:tcBorders>
              <w:left w:val="single" w:sz="4" w:space="0" w:color="000000"/>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r>
      <w:tr>
        <w:trPr>
          <w:trHeight w:val="367" w:hRule="exact"/>
        </w:trPr>
        <w:tc>
          <w:tcPr>
            <w:tcW w:w="1063"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061"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r>
      <w:tr>
        <w:trPr>
          <w:trHeight w:val="96" w:hRule="exact"/>
        </w:trPr>
        <w:tc>
          <w:tcPr>
            <w:tcW w:w="1063"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vMerge w:val="restart"/>
            <w:tcBorders>
              <w:top w:val="single" w:sz="51" w:space="0" w:color="D4D4D4"/>
              <w:left w:val="single" w:sz="12" w:space="0" w:color="D4D4D4"/>
              <w:right w:val="single" w:sz="4" w:space="0" w:color="000000"/>
            </w:tcBorders>
          </w:tcPr>
          <w:p>
            <w:pPr>
              <w:pStyle w:val="TableParagraph"/>
              <w:spacing w:line="240" w:lineRule="auto" w:before="78"/>
              <w:ind w:left="75" w:right="0"/>
              <w:jc w:val="left"/>
              <w:rPr>
                <w:rFonts w:ascii="Times New Roman" w:hAnsi="Times New Roman" w:cs="Times New Roman" w:eastAsia="Times New Roman" w:hint="default"/>
                <w:sz w:val="18"/>
                <w:szCs w:val="18"/>
              </w:rPr>
            </w:pPr>
            <w:r>
              <w:rPr>
                <w:rFonts w:ascii="Times New Roman"/>
                <w:sz w:val="18"/>
              </w:rPr>
              <w:t>7,536,313.46</w:t>
            </w:r>
          </w:p>
        </w:tc>
        <w:tc>
          <w:tcPr>
            <w:tcW w:w="1063" w:type="dxa"/>
            <w:vMerge w:val="restart"/>
            <w:tcBorders>
              <w:top w:val="single" w:sz="51" w:space="0" w:color="D4D4D4"/>
              <w:left w:val="single" w:sz="4" w:space="0" w:color="000000"/>
              <w:right w:val="single" w:sz="4" w:space="0" w:color="000000"/>
            </w:tcBorders>
          </w:tcPr>
          <w:p>
            <w:pPr>
              <w:pStyle w:val="TableParagraph"/>
              <w:spacing w:line="240" w:lineRule="auto" w:before="78"/>
              <w:ind w:left="86" w:right="0"/>
              <w:jc w:val="left"/>
              <w:rPr>
                <w:rFonts w:ascii="Times New Roman" w:hAnsi="Times New Roman" w:cs="Times New Roman" w:eastAsia="Times New Roman" w:hint="default"/>
                <w:sz w:val="18"/>
                <w:szCs w:val="18"/>
              </w:rPr>
            </w:pPr>
            <w:r>
              <w:rPr>
                <w:rFonts w:ascii="Times New Roman"/>
                <w:sz w:val="18"/>
              </w:rPr>
              <w:t>3,322,642.61</w:t>
            </w:r>
          </w:p>
        </w:tc>
        <w:tc>
          <w:tcPr>
            <w:tcW w:w="1063" w:type="dxa"/>
            <w:vMerge w:val="restart"/>
            <w:tcBorders>
              <w:top w:val="single" w:sz="51" w:space="0" w:color="D4D4D4"/>
              <w:left w:val="single" w:sz="4" w:space="0" w:color="000000"/>
              <w:right w:val="single" w:sz="4" w:space="0" w:color="000000"/>
            </w:tcBorders>
          </w:tcPr>
          <w:p>
            <w:pPr>
              <w:pStyle w:val="TableParagraph"/>
              <w:spacing w:line="181" w:lineRule="exact"/>
              <w:ind w:right="18"/>
              <w:jc w:val="right"/>
              <w:rPr>
                <w:rFonts w:ascii="Times New Roman" w:hAnsi="Times New Roman" w:cs="Times New Roman" w:eastAsia="Times New Roman" w:hint="default"/>
                <w:sz w:val="18"/>
                <w:szCs w:val="18"/>
              </w:rPr>
            </w:pPr>
            <w:r>
              <w:rPr>
                <w:rFonts w:ascii="Times New Roman"/>
                <w:spacing w:val="-1"/>
                <w:sz w:val="18"/>
              </w:rPr>
              <w:t>11,224,654.1</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32,138,500.2</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51" w:space="0" w:color="D4D4D4"/>
              <w:left w:val="single" w:sz="4" w:space="0" w:color="000000"/>
              <w:right w:val="single" w:sz="4" w:space="0" w:color="000000"/>
            </w:tcBorders>
          </w:tcPr>
          <w:p>
            <w:pPr>
              <w:pStyle w:val="TableParagraph"/>
              <w:spacing w:line="181" w:lineRule="exact"/>
              <w:ind w:right="18"/>
              <w:jc w:val="right"/>
              <w:rPr>
                <w:rFonts w:ascii="Times New Roman" w:hAnsi="Times New Roman" w:cs="Times New Roman" w:eastAsia="Times New Roman" w:hint="default"/>
                <w:sz w:val="18"/>
                <w:szCs w:val="18"/>
              </w:rPr>
            </w:pPr>
            <w:r>
              <w:rPr>
                <w:rFonts w:ascii="Times New Roman"/>
                <w:spacing w:val="-1"/>
                <w:sz w:val="18"/>
              </w:rPr>
              <w:t>13,466,964.7</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5</w:t>
            </w:r>
          </w:p>
        </w:tc>
        <w:tc>
          <w:tcPr>
            <w:tcW w:w="1061" w:type="dxa"/>
            <w:vMerge w:val="restart"/>
            <w:tcBorders>
              <w:top w:val="single" w:sz="51" w:space="0" w:color="D4D4D4"/>
              <w:left w:val="single" w:sz="4" w:space="0" w:color="000000"/>
              <w:right w:val="single" w:sz="4" w:space="0" w:color="000000"/>
            </w:tcBorders>
          </w:tcPr>
          <w:p>
            <w:pPr>
              <w:pStyle w:val="TableParagraph"/>
              <w:spacing w:line="240" w:lineRule="auto" w:before="78"/>
              <w:ind w:left="86" w:right="0"/>
              <w:jc w:val="left"/>
              <w:rPr>
                <w:rFonts w:ascii="Times New Roman" w:hAnsi="Times New Roman" w:cs="Times New Roman" w:eastAsia="Times New Roman" w:hint="default"/>
                <w:sz w:val="18"/>
                <w:szCs w:val="18"/>
              </w:rPr>
            </w:pPr>
            <w:r>
              <w:rPr>
                <w:rFonts w:ascii="Times New Roman"/>
                <w:sz w:val="18"/>
              </w:rPr>
              <w:t>3,307,268.96</w:t>
            </w:r>
          </w:p>
        </w:tc>
        <w:tc>
          <w:tcPr>
            <w:tcW w:w="1063" w:type="dxa"/>
            <w:vMerge w:val="restart"/>
            <w:tcBorders>
              <w:top w:val="single" w:sz="51" w:space="0" w:color="D4D4D4"/>
              <w:left w:val="single" w:sz="4" w:space="0" w:color="000000"/>
              <w:right w:val="single" w:sz="4" w:space="0" w:color="000000"/>
            </w:tcBorders>
          </w:tcPr>
          <w:p>
            <w:pPr>
              <w:pStyle w:val="TableParagraph"/>
              <w:spacing w:line="181" w:lineRule="exact"/>
              <w:ind w:right="15"/>
              <w:jc w:val="right"/>
              <w:rPr>
                <w:rFonts w:ascii="Times New Roman" w:hAnsi="Times New Roman" w:cs="Times New Roman" w:eastAsia="Times New Roman" w:hint="default"/>
                <w:sz w:val="18"/>
                <w:szCs w:val="18"/>
              </w:rPr>
            </w:pPr>
            <w:r>
              <w:rPr>
                <w:rFonts w:ascii="Times New Roman"/>
                <w:spacing w:val="-1"/>
                <w:sz w:val="18"/>
              </w:rPr>
              <w:t>11,086,314.3</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31,016,269.0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5</w:t>
            </w:r>
          </w:p>
        </w:tc>
      </w:tr>
      <w:tr>
        <w:trPr>
          <w:trHeight w:val="408" w:hRule="exact"/>
        </w:trPr>
        <w:tc>
          <w:tcPr>
            <w:tcW w:w="1063"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63" w:type="dxa"/>
            <w:vMerge/>
            <w:tcBorders>
              <w:left w:val="single" w:sz="12"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96" w:hRule="exact"/>
        </w:trPr>
        <w:tc>
          <w:tcPr>
            <w:tcW w:w="1063"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vMerge w:val="restart"/>
            <w:tcBorders>
              <w:top w:val="single" w:sz="4" w:space="0" w:color="000000"/>
              <w:left w:val="single" w:sz="12" w:space="0" w:color="D4D4D4"/>
              <w:right w:val="single" w:sz="4" w:space="0" w:color="000000"/>
            </w:tcBorders>
          </w:tcPr>
          <w:p>
            <w:pPr>
              <w:pStyle w:val="TableParagraph"/>
              <w:spacing w:line="240" w:lineRule="auto" w:before="136"/>
              <w:ind w:left="75" w:right="0"/>
              <w:jc w:val="left"/>
              <w:rPr>
                <w:rFonts w:ascii="Times New Roman" w:hAnsi="Times New Roman" w:cs="Times New Roman" w:eastAsia="Times New Roman" w:hint="default"/>
                <w:sz w:val="18"/>
                <w:szCs w:val="18"/>
              </w:rPr>
            </w:pPr>
            <w:r>
              <w:rPr>
                <w:rFonts w:ascii="Times New Roman"/>
                <w:sz w:val="18"/>
              </w:rPr>
              <w:t>7,652,952.85</w:t>
            </w:r>
          </w:p>
        </w:tc>
        <w:tc>
          <w:tcPr>
            <w:tcW w:w="1063" w:type="dxa"/>
            <w:vMerge w:val="restart"/>
            <w:tcBorders>
              <w:top w:val="single" w:sz="4" w:space="0" w:color="000000"/>
              <w:left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10,930,600.9</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6"/>
              <w:ind w:left="400" w:right="0"/>
              <w:jc w:val="left"/>
              <w:rPr>
                <w:rFonts w:ascii="Times New Roman" w:hAnsi="Times New Roman" w:cs="Times New Roman" w:eastAsia="Times New Roman" w:hint="default"/>
                <w:sz w:val="18"/>
                <w:szCs w:val="18"/>
              </w:rPr>
            </w:pPr>
            <w:r>
              <w:rPr>
                <w:rFonts w:ascii="Times New Roman"/>
                <w:sz w:val="18"/>
              </w:rPr>
              <w:t>1,054.20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6"/>
              <w:ind w:left="86" w:right="0"/>
              <w:jc w:val="left"/>
              <w:rPr>
                <w:rFonts w:ascii="Times New Roman" w:hAnsi="Times New Roman" w:cs="Times New Roman" w:eastAsia="Times New Roman" w:hint="default"/>
                <w:sz w:val="18"/>
                <w:szCs w:val="18"/>
              </w:rPr>
            </w:pPr>
            <w:r>
              <w:rPr>
                <w:rFonts w:ascii="Times New Roman"/>
                <w:sz w:val="18"/>
              </w:rPr>
              <w:t>2,802,665.52</w:t>
            </w:r>
          </w:p>
        </w:tc>
        <w:tc>
          <w:tcPr>
            <w:tcW w:w="1063" w:type="dxa"/>
            <w:vMerge w:val="restart"/>
            <w:tcBorders>
              <w:top w:val="single" w:sz="4" w:space="0" w:color="000000"/>
              <w:left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12,769,329.0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w:t>
            </w:r>
          </w:p>
        </w:tc>
        <w:tc>
          <w:tcPr>
            <w:tcW w:w="1061" w:type="dxa"/>
            <w:vMerge w:val="restart"/>
            <w:tcBorders>
              <w:top w:val="single" w:sz="4" w:space="0" w:color="000000"/>
              <w:left w:val="single" w:sz="4" w:space="0" w:color="000000"/>
              <w:right w:val="single" w:sz="4" w:space="0" w:color="000000"/>
            </w:tcBorders>
          </w:tcPr>
          <w:p>
            <w:pPr>
              <w:pStyle w:val="TableParagraph"/>
              <w:spacing w:line="207" w:lineRule="exact" w:before="33"/>
              <w:ind w:right="15"/>
              <w:jc w:val="right"/>
              <w:rPr>
                <w:rFonts w:ascii="Times New Roman" w:hAnsi="Times New Roman" w:cs="Times New Roman" w:eastAsia="Times New Roman" w:hint="default"/>
                <w:sz w:val="18"/>
                <w:szCs w:val="18"/>
              </w:rPr>
            </w:pPr>
            <w:r>
              <w:rPr>
                <w:rFonts w:ascii="Times New Roman"/>
                <w:spacing w:val="-1"/>
                <w:sz w:val="18"/>
              </w:rPr>
              <w:t>35,908,296.9</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6"/>
              <w:ind w:left="403" w:right="0"/>
              <w:jc w:val="left"/>
              <w:rPr>
                <w:rFonts w:ascii="Times New Roman" w:hAnsi="Times New Roman" w:cs="Times New Roman" w:eastAsia="Times New Roman" w:hint="default"/>
                <w:sz w:val="18"/>
                <w:szCs w:val="18"/>
              </w:rPr>
            </w:pPr>
            <w:r>
              <w:rPr>
                <w:rFonts w:ascii="Times New Roman"/>
                <w:sz w:val="18"/>
              </w:rPr>
              <w:t>1,054.20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6"/>
              <w:ind w:left="220" w:right="0"/>
              <w:jc w:val="left"/>
              <w:rPr>
                <w:rFonts w:ascii="Times New Roman" w:hAnsi="Times New Roman" w:cs="Times New Roman" w:eastAsia="Times New Roman" w:hint="default"/>
                <w:sz w:val="18"/>
                <w:szCs w:val="18"/>
              </w:rPr>
            </w:pPr>
            <w:r>
              <w:rPr>
                <w:rFonts w:ascii="Times New Roman"/>
                <w:sz w:val="18"/>
              </w:rPr>
              <w:t>531,540.00</w:t>
            </w:r>
          </w:p>
        </w:tc>
      </w:tr>
      <w:tr>
        <w:trPr>
          <w:trHeight w:val="408" w:hRule="exact"/>
        </w:trPr>
        <w:tc>
          <w:tcPr>
            <w:tcW w:w="1063"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063" w:type="dxa"/>
            <w:vMerge/>
            <w:tcBorders>
              <w:left w:val="single" w:sz="12"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96" w:hRule="exact"/>
        </w:trPr>
        <w:tc>
          <w:tcPr>
            <w:tcW w:w="1063"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vMerge w:val="restart"/>
            <w:tcBorders>
              <w:top w:val="single" w:sz="4" w:space="0" w:color="000000"/>
              <w:left w:val="single" w:sz="12" w:space="0" w:color="D4D4D4"/>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15,189,266.3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14,253,243.5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11,225,708.3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34,941,165.7</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26,236,293.8</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3</w:t>
            </w:r>
          </w:p>
        </w:tc>
        <w:tc>
          <w:tcPr>
            <w:tcW w:w="1061" w:type="dxa"/>
            <w:vMerge w:val="restart"/>
            <w:tcBorders>
              <w:top w:val="single" w:sz="4" w:space="0" w:color="000000"/>
              <w:left w:val="single" w:sz="4" w:space="0" w:color="000000"/>
              <w:right w:val="single" w:sz="4" w:space="0" w:color="000000"/>
            </w:tcBorders>
          </w:tcPr>
          <w:p>
            <w:pPr>
              <w:pStyle w:val="TableParagraph"/>
              <w:spacing w:line="207" w:lineRule="exact" w:before="33"/>
              <w:ind w:right="15"/>
              <w:jc w:val="right"/>
              <w:rPr>
                <w:rFonts w:ascii="Times New Roman" w:hAnsi="Times New Roman" w:cs="Times New Roman" w:eastAsia="Times New Roman" w:hint="default"/>
                <w:sz w:val="18"/>
                <w:szCs w:val="18"/>
              </w:rPr>
            </w:pPr>
            <w:r>
              <w:rPr>
                <w:rFonts w:ascii="Times New Roman"/>
                <w:spacing w:val="-1"/>
                <w:sz w:val="18"/>
              </w:rPr>
              <w:t>39,215,565.9</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07" w:lineRule="exact" w:before="33"/>
              <w:ind w:right="15"/>
              <w:jc w:val="right"/>
              <w:rPr>
                <w:rFonts w:ascii="Times New Roman" w:hAnsi="Times New Roman" w:cs="Times New Roman" w:eastAsia="Times New Roman" w:hint="default"/>
                <w:sz w:val="18"/>
                <w:szCs w:val="18"/>
              </w:rPr>
            </w:pPr>
            <w:r>
              <w:rPr>
                <w:rFonts w:ascii="Times New Roman"/>
                <w:spacing w:val="-1"/>
                <w:sz w:val="18"/>
              </w:rPr>
              <w:t>11,087,368.5</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31,547,809.0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5</w:t>
            </w:r>
          </w:p>
        </w:tc>
      </w:tr>
      <w:tr>
        <w:trPr>
          <w:trHeight w:val="408" w:hRule="exact"/>
        </w:trPr>
        <w:tc>
          <w:tcPr>
            <w:tcW w:w="1063"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63" w:type="dxa"/>
            <w:vMerge/>
            <w:tcBorders>
              <w:left w:val="single" w:sz="12"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96" w:hRule="exact"/>
        </w:trPr>
        <w:tc>
          <w:tcPr>
            <w:tcW w:w="1063"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vMerge w:val="restart"/>
            <w:tcBorders>
              <w:top w:val="single" w:sz="4" w:space="0" w:color="000000"/>
              <w:left w:val="single" w:sz="12" w:space="0" w:color="D4D4D4"/>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14,294,637.7</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6"/>
              <w:ind w:left="86" w:right="0"/>
              <w:jc w:val="left"/>
              <w:rPr>
                <w:rFonts w:ascii="Times New Roman" w:hAnsi="Times New Roman" w:cs="Times New Roman" w:eastAsia="Times New Roman" w:hint="default"/>
                <w:sz w:val="18"/>
                <w:szCs w:val="18"/>
              </w:rPr>
            </w:pPr>
            <w:r>
              <w:rPr>
                <w:rFonts w:ascii="Times New Roman"/>
                <w:sz w:val="18"/>
              </w:rPr>
              <w:t>5,340,848.40</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10,466,933.2</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19,500,151.5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1</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36"/>
              <w:ind w:left="86" w:right="0"/>
              <w:jc w:val="left"/>
              <w:rPr>
                <w:rFonts w:ascii="Times New Roman" w:hAnsi="Times New Roman" w:cs="Times New Roman" w:eastAsia="Times New Roman" w:hint="default"/>
                <w:sz w:val="18"/>
                <w:szCs w:val="18"/>
              </w:rPr>
            </w:pPr>
            <w:r>
              <w:rPr>
                <w:rFonts w:ascii="Times New Roman"/>
                <w:sz w:val="18"/>
              </w:rPr>
              <w:t>5,248,437.96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6"/>
              <w:ind w:left="480" w:right="0"/>
              <w:jc w:val="left"/>
              <w:rPr>
                <w:rFonts w:ascii="Times New Roman" w:hAnsi="Times New Roman" w:cs="Times New Roman" w:eastAsia="Times New Roman" w:hint="default"/>
                <w:sz w:val="18"/>
                <w:szCs w:val="18"/>
              </w:rPr>
            </w:pPr>
            <w:r>
              <w:rPr>
                <w:rFonts w:ascii="Times New Roman"/>
                <w:sz w:val="18"/>
              </w:rPr>
              <w:t>-549.54</w:t>
            </w:r>
          </w:p>
        </w:tc>
        <w:tc>
          <w:tcPr>
            <w:tcW w:w="1063" w:type="dxa"/>
            <w:vMerge w:val="restart"/>
            <w:tcBorders>
              <w:top w:val="single" w:sz="4" w:space="0" w:color="000000"/>
              <w:left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11,288,250.0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1063"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63" w:type="dxa"/>
            <w:vMerge/>
            <w:tcBorders>
              <w:left w:val="single" w:sz="12"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96" w:hRule="exact"/>
        </w:trPr>
        <w:tc>
          <w:tcPr>
            <w:tcW w:w="1063"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vMerge w:val="restart"/>
            <w:tcBorders>
              <w:top w:val="single" w:sz="4" w:space="0" w:color="000000"/>
              <w:left w:val="single" w:sz="12" w:space="0" w:color="D4D4D4"/>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14,294,637.7</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10,466,933.2</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19,500,151.5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1</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36"/>
              <w:ind w:left="86" w:right="0"/>
              <w:jc w:val="left"/>
              <w:rPr>
                <w:rFonts w:ascii="Times New Roman" w:hAnsi="Times New Roman" w:cs="Times New Roman" w:eastAsia="Times New Roman" w:hint="default"/>
                <w:sz w:val="18"/>
                <w:szCs w:val="18"/>
              </w:rPr>
            </w:pPr>
            <w:r>
              <w:rPr>
                <w:rFonts w:ascii="Times New Roman"/>
                <w:sz w:val="18"/>
              </w:rPr>
              <w:t>5,248,437.96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6"/>
              <w:ind w:left="480" w:right="0"/>
              <w:jc w:val="left"/>
              <w:rPr>
                <w:rFonts w:ascii="Times New Roman" w:hAnsi="Times New Roman" w:cs="Times New Roman" w:eastAsia="Times New Roman" w:hint="default"/>
                <w:sz w:val="18"/>
                <w:szCs w:val="18"/>
              </w:rPr>
            </w:pPr>
            <w:r>
              <w:rPr>
                <w:rFonts w:ascii="Times New Roman"/>
                <w:sz w:val="18"/>
              </w:rPr>
              <w:t>-549.54</w:t>
            </w:r>
          </w:p>
        </w:tc>
        <w:tc>
          <w:tcPr>
            <w:tcW w:w="1063" w:type="dxa"/>
            <w:vMerge w:val="restart"/>
            <w:tcBorders>
              <w:top w:val="single" w:sz="4" w:space="0" w:color="000000"/>
              <w:left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11,288,250.0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1063"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063" w:type="dxa"/>
            <w:vMerge/>
            <w:tcBorders>
              <w:left w:val="single" w:sz="12"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557"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24" w:right="127"/>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06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-4,666,403.75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-2,292,188.03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-3,852,376.41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6,791,694.16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24" w:right="127"/>
              <w:jc w:val="left"/>
              <w:rPr>
                <w:rFonts w:ascii="宋体" w:hAnsi="宋体" w:cs="宋体" w:eastAsia="宋体" w:hint="default"/>
                <w:sz w:val="18"/>
                <w:szCs w:val="18"/>
              </w:rPr>
            </w:pPr>
            <w:r>
              <w:rPr>
                <w:rFonts w:ascii="宋体" w:hAnsi="宋体" w:cs="宋体" w:eastAsia="宋体" w:hint="default"/>
                <w:sz w:val="18"/>
                <w:szCs w:val="18"/>
              </w:rPr>
              <w:t>归属于母公 司股东权益</w:t>
            </w:r>
          </w:p>
        </w:tc>
        <w:tc>
          <w:tcPr>
            <w:tcW w:w="106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5,561,032.28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8"/>
              <w:jc w:val="right"/>
              <w:rPr>
                <w:rFonts w:ascii="Times New Roman" w:hAnsi="Times New Roman" w:cs="Times New Roman" w:eastAsia="Times New Roman" w:hint="default"/>
                <w:sz w:val="18"/>
                <w:szCs w:val="18"/>
              </w:rPr>
            </w:pPr>
            <w:r>
              <w:rPr>
                <w:rFonts w:ascii="Times New Roman"/>
                <w:spacing w:val="-1"/>
                <w:sz w:val="18"/>
              </w:rPr>
              <w:t>11,204,583.1</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8"/>
              <w:jc w:val="right"/>
              <w:rPr>
                <w:rFonts w:ascii="Times New Roman" w:hAnsi="Times New Roman" w:cs="Times New Roman" w:eastAsia="Times New Roman" w:hint="default"/>
                <w:sz w:val="18"/>
                <w:szCs w:val="18"/>
              </w:rPr>
            </w:pPr>
            <w:r>
              <w:rPr>
                <w:rFonts w:ascii="Times New Roman"/>
                <w:spacing w:val="-1"/>
                <w:sz w:val="18"/>
              </w:rPr>
              <w:t>11,225,708.3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8"/>
              <w:jc w:val="right"/>
              <w:rPr>
                <w:rFonts w:ascii="Times New Roman" w:hAnsi="Times New Roman" w:cs="Times New Roman" w:eastAsia="Times New Roman" w:hint="default"/>
                <w:sz w:val="18"/>
                <w:szCs w:val="18"/>
              </w:rPr>
            </w:pPr>
            <w:r>
              <w:rPr>
                <w:rFonts w:ascii="Times New Roman"/>
                <w:spacing w:val="-1"/>
                <w:sz w:val="18"/>
              </w:rPr>
              <w:t>24,474,232.5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8"/>
              <w:jc w:val="right"/>
              <w:rPr>
                <w:rFonts w:ascii="Times New Roman" w:hAnsi="Times New Roman" w:cs="Times New Roman" w:eastAsia="Times New Roman" w:hint="default"/>
                <w:sz w:val="18"/>
                <w:szCs w:val="18"/>
              </w:rPr>
            </w:pPr>
            <w:r>
              <w:rPr>
                <w:rFonts w:ascii="Times New Roman"/>
                <w:spacing w:val="-1"/>
                <w:sz w:val="18"/>
              </w:rPr>
              <w:t>10,588,518.7</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5"/>
              <w:jc w:val="right"/>
              <w:rPr>
                <w:rFonts w:ascii="Times New Roman" w:hAnsi="Times New Roman" w:cs="Times New Roman" w:eastAsia="Times New Roman" w:hint="default"/>
                <w:sz w:val="18"/>
                <w:szCs w:val="18"/>
              </w:rPr>
            </w:pPr>
            <w:r>
              <w:rPr>
                <w:rFonts w:ascii="Times New Roman"/>
                <w:spacing w:val="-1"/>
                <w:sz w:val="18"/>
              </w:rPr>
              <w:t>27,175,433.8</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5"/>
              <w:jc w:val="right"/>
              <w:rPr>
                <w:rFonts w:ascii="Times New Roman" w:hAnsi="Times New Roman" w:cs="Times New Roman" w:eastAsia="Times New Roman" w:hint="default"/>
                <w:sz w:val="18"/>
                <w:szCs w:val="18"/>
              </w:rPr>
            </w:pPr>
            <w:r>
              <w:rPr>
                <w:rFonts w:ascii="Times New Roman"/>
                <w:spacing w:val="-1"/>
                <w:sz w:val="18"/>
              </w:rPr>
              <w:t>11,087,918.1</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8"/>
              <w:jc w:val="right"/>
              <w:rPr>
                <w:rFonts w:ascii="Times New Roman" w:hAnsi="Times New Roman" w:cs="Times New Roman" w:eastAsia="Times New Roman" w:hint="default"/>
                <w:sz w:val="18"/>
                <w:szCs w:val="18"/>
              </w:rPr>
            </w:pPr>
            <w:r>
              <w:rPr>
                <w:rFonts w:ascii="Times New Roman"/>
                <w:spacing w:val="-1"/>
                <w:sz w:val="18"/>
              </w:rPr>
              <w:t>20,259,559.0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5</w:t>
            </w:r>
          </w:p>
        </w:tc>
      </w:tr>
    </w:tbl>
    <w:p>
      <w:pPr>
        <w:spacing w:after="0" w:line="207" w:lineRule="exact"/>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3"/>
        <w:gridCol w:w="1063"/>
        <w:gridCol w:w="1063"/>
        <w:gridCol w:w="1063"/>
        <w:gridCol w:w="1061"/>
        <w:gridCol w:w="1063"/>
        <w:gridCol w:w="1063"/>
      </w:tblGrid>
      <w:tr>
        <w:trPr>
          <w:trHeight w:val="790"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
              <w:ind w:left="22" w:right="127"/>
              <w:jc w:val="both"/>
              <w:rPr>
                <w:rFonts w:ascii="宋体" w:hAnsi="宋体" w:cs="宋体" w:eastAsia="宋体" w:hint="default"/>
                <w:sz w:val="18"/>
                <w:szCs w:val="18"/>
              </w:rPr>
            </w:pPr>
            <w:r>
              <w:rPr>
                <w:rFonts w:ascii="宋体" w:hAnsi="宋体" w:cs="宋体" w:eastAsia="宋体" w:hint="default"/>
                <w:sz w:val="18"/>
                <w:szCs w:val="18"/>
              </w:rPr>
              <w:t>按持股比例 计算的净资 产份额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975,961.17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2,016,824.97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5,612,854.20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9,860,668.29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1,858,285.04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4,891,578.09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5,543,959.07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8,162,576.34</w:t>
            </w:r>
            <w:r>
              <w:rPr>
                <w:rFonts w:ascii="Times New Roman"/>
                <w:sz w:val="18"/>
              </w:rPr>
            </w:r>
          </w:p>
        </w:tc>
      </w:tr>
      <w:tr>
        <w:trPr>
          <w:trHeight w:val="504"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51,396,907.6</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6"/>
              <w:jc w:val="right"/>
              <w:rPr>
                <w:rFonts w:ascii="Times New Roman" w:hAnsi="Times New Roman" w:cs="Times New Roman" w:eastAsia="Times New Roman" w:hint="default"/>
                <w:sz w:val="18"/>
                <w:szCs w:val="18"/>
              </w:rPr>
            </w:pPr>
            <w:r>
              <w:rPr>
                <w:rFonts w:ascii="Times New Roman"/>
                <w:spacing w:val="-1"/>
                <w:sz w:val="18"/>
              </w:rPr>
              <w:t>-2,016,824.97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7"/>
              <w:jc w:val="right"/>
              <w:rPr>
                <w:rFonts w:ascii="Times New Roman" w:hAnsi="Times New Roman" w:cs="Times New Roman" w:eastAsia="Times New Roman" w:hint="default"/>
                <w:sz w:val="18"/>
                <w:szCs w:val="18"/>
              </w:rPr>
            </w:pPr>
            <w:r>
              <w:rPr>
                <w:rFonts w:ascii="Times New Roman"/>
                <w:spacing w:val="-1"/>
                <w:sz w:val="18"/>
              </w:rPr>
              <w:t>20,445,716.0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51,397,098.8</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20,445,716.0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r>
      <w:tr>
        <w:trPr>
          <w:trHeight w:val="504"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43,158,421.4</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11,789,687.1</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43,158,421.4</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11,789,687.1</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5</w:t>
            </w:r>
          </w:p>
        </w:tc>
      </w:tr>
      <w:tr>
        <w:trPr>
          <w:trHeight w:val="324"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8,238,486.14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-2,016,824.97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7" w:right="0"/>
              <w:jc w:val="center"/>
              <w:rPr>
                <w:rFonts w:ascii="Times New Roman" w:hAnsi="Times New Roman" w:cs="Times New Roman" w:eastAsia="Times New Roman" w:hint="default"/>
                <w:sz w:val="18"/>
                <w:szCs w:val="18"/>
              </w:rPr>
            </w:pPr>
            <w:r>
              <w:rPr>
                <w:rFonts w:ascii="Times New Roman"/>
                <w:sz w:val="18"/>
              </w:rPr>
              <w:t>8,656,028.85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7" w:right="0"/>
              <w:jc w:val="center"/>
              <w:rPr>
                <w:rFonts w:ascii="Times New Roman" w:hAnsi="Times New Roman" w:cs="Times New Roman" w:eastAsia="Times New Roman" w:hint="default"/>
                <w:sz w:val="18"/>
                <w:szCs w:val="18"/>
              </w:rPr>
            </w:pPr>
            <w:r>
              <w:rPr>
                <w:rFonts w:ascii="Times New Roman"/>
                <w:sz w:val="18"/>
              </w:rPr>
              <w:t>8,238,677.39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 w:right="0"/>
              <w:jc w:val="center"/>
              <w:rPr>
                <w:rFonts w:ascii="Times New Roman" w:hAnsi="Times New Roman" w:cs="Times New Roman" w:eastAsia="Times New Roman" w:hint="default"/>
                <w:sz w:val="18"/>
                <w:szCs w:val="18"/>
              </w:rPr>
            </w:pPr>
            <w:r>
              <w:rPr>
                <w:rFonts w:ascii="Times New Roman"/>
                <w:sz w:val="18"/>
              </w:rPr>
              <w:t>-4,685,115.51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8,656,028.85</w:t>
            </w:r>
            <w:r>
              <w:rPr>
                <w:rFonts w:ascii="Times New Roman"/>
                <w:sz w:val="18"/>
              </w:rPr>
            </w:r>
          </w:p>
        </w:tc>
      </w:tr>
      <w:tr>
        <w:trPr>
          <w:trHeight w:val="790"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
              <w:ind w:left="22" w:right="127"/>
              <w:jc w:val="both"/>
              <w:rPr>
                <w:rFonts w:ascii="宋体" w:hAnsi="宋体" w:cs="宋体" w:eastAsia="宋体" w:hint="default"/>
                <w:sz w:val="18"/>
                <w:szCs w:val="18"/>
              </w:rPr>
            </w:pPr>
            <w:r>
              <w:rPr>
                <w:rFonts w:ascii="宋体" w:hAnsi="宋体" w:cs="宋体" w:eastAsia="宋体" w:hint="default"/>
                <w:sz w:val="18"/>
                <w:szCs w:val="18"/>
              </w:rPr>
              <w:t>对联营企业 权益投资的 账面价值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52,372,868.8</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5,612,854.20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30,306,384.2</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pacing w:val="-1"/>
                <w:sz w:val="18"/>
              </w:rPr>
              <w:t>53,255,383.9</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4,891,578.09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5,543,959.07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28,608,292.3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4</w:t>
            </w:r>
          </w:p>
        </w:tc>
      </w:tr>
      <w:tr>
        <w:trPr>
          <w:trHeight w:val="504"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6"/>
              <w:jc w:val="right"/>
              <w:rPr>
                <w:rFonts w:ascii="Times New Roman" w:hAnsi="Times New Roman" w:cs="Times New Roman" w:eastAsia="Times New Roman" w:hint="default"/>
                <w:sz w:val="18"/>
                <w:szCs w:val="18"/>
              </w:rPr>
            </w:pPr>
            <w:r>
              <w:rPr>
                <w:rFonts w:ascii="Times New Roman"/>
                <w:spacing w:val="-1"/>
                <w:sz w:val="18"/>
              </w:rPr>
              <w:t>2,105,984.27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6"/>
              <w:jc w:val="right"/>
              <w:rPr>
                <w:rFonts w:ascii="Times New Roman" w:hAnsi="Times New Roman" w:cs="Times New Roman" w:eastAsia="Times New Roman" w:hint="default"/>
                <w:sz w:val="18"/>
                <w:szCs w:val="18"/>
              </w:rPr>
            </w:pPr>
            <w:r>
              <w:rPr>
                <w:rFonts w:ascii="Times New Roman"/>
                <w:sz w:val="18"/>
              </w:rPr>
              <w:t>273,164.19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26,873,546.9</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67" w:right="0"/>
              <w:jc w:val="center"/>
              <w:rPr>
                <w:rFonts w:ascii="Times New Roman" w:hAnsi="Times New Roman" w:cs="Times New Roman" w:eastAsia="Times New Roman" w:hint="default"/>
                <w:sz w:val="18"/>
                <w:szCs w:val="18"/>
              </w:rPr>
            </w:pPr>
            <w:r>
              <w:rPr>
                <w:rFonts w:ascii="Times New Roman"/>
                <w:sz w:val="18"/>
              </w:rPr>
              <w:t>6,581,858.41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70" w:right="0"/>
              <w:jc w:val="center"/>
              <w:rPr>
                <w:rFonts w:ascii="Times New Roman" w:hAnsi="Times New Roman" w:cs="Times New Roman" w:eastAsia="Times New Roman" w:hint="default"/>
                <w:sz w:val="18"/>
                <w:szCs w:val="18"/>
              </w:rPr>
            </w:pPr>
            <w:r>
              <w:rPr>
                <w:rFonts w:ascii="Times New Roman"/>
                <w:sz w:val="18"/>
              </w:rPr>
              <w:t>2,041,372.21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23,510,054.8</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1</w:t>
            </w:r>
          </w:p>
        </w:tc>
      </w:tr>
      <w:tr>
        <w:trPr>
          <w:trHeight w:val="504"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6"/>
              <w:jc w:val="right"/>
              <w:rPr>
                <w:rFonts w:ascii="Times New Roman" w:hAnsi="Times New Roman" w:cs="Times New Roman" w:eastAsia="Times New Roman" w:hint="default"/>
                <w:sz w:val="18"/>
                <w:szCs w:val="18"/>
              </w:rPr>
            </w:pPr>
            <w:r>
              <w:rPr>
                <w:rFonts w:ascii="Times New Roman"/>
                <w:spacing w:val="-1"/>
                <w:sz w:val="18"/>
              </w:rPr>
              <w:t>-5,028,576.20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-17,580,113.5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6"/>
              <w:jc w:val="right"/>
              <w:rPr>
                <w:rFonts w:ascii="Times New Roman" w:hAnsi="Times New Roman" w:cs="Times New Roman" w:eastAsia="Times New Roman" w:hint="default"/>
                <w:sz w:val="18"/>
                <w:szCs w:val="18"/>
              </w:rPr>
            </w:pPr>
            <w:r>
              <w:rPr>
                <w:rFonts w:ascii="Times New Roman"/>
                <w:sz w:val="18"/>
              </w:rPr>
              <w:t>137,790.25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67" w:right="0"/>
              <w:jc w:val="center"/>
              <w:rPr>
                <w:rFonts w:ascii="Times New Roman" w:hAnsi="Times New Roman" w:cs="Times New Roman" w:eastAsia="Times New Roman" w:hint="default"/>
                <w:sz w:val="18"/>
                <w:szCs w:val="18"/>
              </w:rPr>
            </w:pPr>
            <w:r>
              <w:rPr>
                <w:rFonts w:ascii="Times New Roman"/>
                <w:sz w:val="18"/>
              </w:rPr>
              <w:t>4,214,673.48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7" w:right="0"/>
              <w:jc w:val="center"/>
              <w:rPr>
                <w:rFonts w:ascii="Times New Roman" w:hAnsi="Times New Roman" w:cs="Times New Roman" w:eastAsia="Times New Roman" w:hint="default"/>
                <w:sz w:val="18"/>
                <w:szCs w:val="18"/>
              </w:rPr>
            </w:pPr>
            <w:r>
              <w:rPr>
                <w:rFonts w:ascii="Times New Roman"/>
                <w:sz w:val="18"/>
              </w:rPr>
              <w:t>-9,664,084.56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5"/>
              <w:jc w:val="right"/>
              <w:rPr>
                <w:rFonts w:ascii="Times New Roman" w:hAnsi="Times New Roman" w:cs="Times New Roman" w:eastAsia="Times New Roman" w:hint="default"/>
                <w:sz w:val="18"/>
                <w:szCs w:val="18"/>
              </w:rPr>
            </w:pPr>
            <w:r>
              <w:rPr>
                <w:rFonts w:ascii="Times New Roman"/>
                <w:spacing w:val="-1"/>
                <w:sz w:val="18"/>
              </w:rPr>
              <w:t>-25,767,303.2</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
              <w:jc w:val="right"/>
              <w:rPr>
                <w:rFonts w:ascii="Times New Roman" w:hAnsi="Times New Roman" w:cs="Times New Roman" w:eastAsia="Times New Roman" w:hint="default"/>
                <w:sz w:val="18"/>
                <w:szCs w:val="18"/>
              </w:rPr>
            </w:pPr>
            <w:r>
              <w:rPr>
                <w:rFonts w:ascii="Times New Roman"/>
                <w:sz w:val="18"/>
              </w:rPr>
              <w:t>123,837.13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18,620,763.5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1</w:t>
            </w:r>
          </w:p>
        </w:tc>
      </w:tr>
      <w:tr>
        <w:trPr>
          <w:trHeight w:val="557"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22" w:right="127"/>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-5,028,576.20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8"/>
              <w:jc w:val="right"/>
              <w:rPr>
                <w:rFonts w:ascii="Times New Roman" w:hAnsi="Times New Roman" w:cs="Times New Roman" w:eastAsia="Times New Roman" w:hint="default"/>
                <w:sz w:val="18"/>
                <w:szCs w:val="18"/>
              </w:rPr>
            </w:pPr>
            <w:r>
              <w:rPr>
                <w:rFonts w:ascii="Times New Roman"/>
                <w:spacing w:val="-1"/>
                <w:sz w:val="18"/>
              </w:rPr>
              <w:t>-17,580,113.5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137,790.25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4,214,673.48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-9,664,084.56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5"/>
              <w:jc w:val="right"/>
              <w:rPr>
                <w:rFonts w:ascii="Times New Roman" w:hAnsi="Times New Roman" w:cs="Times New Roman" w:eastAsia="Times New Roman" w:hint="default"/>
                <w:sz w:val="18"/>
                <w:szCs w:val="18"/>
              </w:rPr>
            </w:pPr>
            <w:r>
              <w:rPr>
                <w:rFonts w:ascii="Times New Roman"/>
                <w:spacing w:val="-1"/>
                <w:sz w:val="18"/>
              </w:rPr>
              <w:t>-25,767,303.2</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123,837.13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8"/>
              <w:jc w:val="right"/>
              <w:rPr>
                <w:rFonts w:ascii="Times New Roman" w:hAnsi="Times New Roman" w:cs="Times New Roman" w:eastAsia="Times New Roman" w:hint="default"/>
                <w:sz w:val="18"/>
                <w:szCs w:val="18"/>
              </w:rPr>
            </w:pPr>
            <w:r>
              <w:rPr>
                <w:rFonts w:ascii="Times New Roman"/>
                <w:spacing w:val="-1"/>
                <w:sz w:val="18"/>
              </w:rPr>
              <w:t>18,620,763.5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4）不重要的合营企业和联营企业的汇总财务信息" w:id="567"/>
      <w:bookmarkEnd w:id="56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325"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16"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8"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37"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6" w:space="0" w:color="D4D4D4"/>
              <w:left w:val="single" w:sz="9" w:space="0" w:color="D4D4D4"/>
              <w:bottom w:val="single" w:sz="9" w:space="0" w:color="D4D4D4"/>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344,150,447.55</w:t>
            </w:r>
            <w:r>
              <w:rPr>
                <w:rFonts w:ascii="Times New Roman"/>
                <w:sz w:val="18"/>
              </w:rPr>
            </w:r>
          </w:p>
        </w:tc>
        <w:tc>
          <w:tcPr>
            <w:tcW w:w="3185" w:type="dxa"/>
            <w:tcBorders>
              <w:top w:val="single" w:sz="6" w:space="0" w:color="D4D4D4"/>
              <w:left w:val="single" w:sz="4" w:space="0" w:color="000000"/>
              <w:bottom w:val="single" w:sz="9" w:space="0" w:color="D4D4D4"/>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137,418,628.44</w:t>
            </w:r>
            <w:r>
              <w:rPr>
                <w:rFonts w:ascii="Times New Roman"/>
                <w:sz w:val="18"/>
              </w:rPr>
            </w:r>
          </w:p>
        </w:tc>
      </w:tr>
      <w:tr>
        <w:trPr>
          <w:trHeight w:val="310"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9"/>
              <w:ind w:left="8"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9"/>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9" w:space="0" w:color="D4D4D4"/>
              <w:left w:val="single" w:sz="9" w:space="0" w:color="D4D4D4"/>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48,310.40</w:t>
            </w:r>
          </w:p>
        </w:tc>
        <w:tc>
          <w:tcPr>
            <w:tcW w:w="3185" w:type="dxa"/>
            <w:tcBorders>
              <w:top w:val="single" w:sz="9" w:space="0" w:color="D4D4D4"/>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-5,931,933.77</w:t>
            </w:r>
            <w:r>
              <w:rPr>
                <w:rFonts w:ascii="Times New Roman"/>
                <w:sz w:val="18"/>
              </w:rPr>
            </w: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48,310.40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-5,931,933.77</w:t>
            </w:r>
            <w:r>
              <w:rPr>
                <w:rFonts w:ascii="Times New Roman"/>
                <w:sz w:val="18"/>
              </w:rPr>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5）合营企业或联营企业向本公司转移资金的能力存在重大限制的说明" w:id="568"/>
      <w:bookmarkEnd w:id="56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1127"/>
        <w:jc w:val="left"/>
        <w:rPr>
          <w:b w:val="0"/>
          <w:bCs w:val="0"/>
        </w:rPr>
      </w:pPr>
      <w:bookmarkStart w:name="（6）合营企业或联营企业发生的超额亏损" w:id="569"/>
      <w:bookmarkEnd w:id="56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0"/>
        <w:gridCol w:w="2395"/>
      </w:tblGrid>
      <w:tr>
        <w:trPr>
          <w:trHeight w:val="557"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right="199"/>
              <w:jc w:val="righ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1101"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650" w:right="19"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4"/>
              <w:jc w:val="right"/>
              <w:rPr>
                <w:rFonts w:ascii="宋体" w:hAnsi="宋体" w:cs="宋体" w:eastAsia="宋体" w:hint="default"/>
                <w:sz w:val="18"/>
                <w:szCs w:val="18"/>
              </w:rPr>
            </w:pPr>
            <w:r>
              <w:rPr>
                <w:rFonts w:ascii="宋体" w:hAnsi="宋体" w:cs="宋体" w:eastAsia="宋体" w:hint="default"/>
                <w:sz w:val="18"/>
                <w:szCs w:val="18"/>
              </w:rPr>
              <w:t>沈阳旋飞航空技术有限公司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-402,842.55</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109,098.70</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-293,743.85</w:t>
            </w:r>
            <w:r>
              <w:rPr>
                <w:rFonts w:ascii="Times New Roman"/>
                <w:sz w:val="18"/>
              </w:rPr>
            </w:r>
          </w:p>
        </w:tc>
      </w:tr>
      <w:tr>
        <w:trPr>
          <w:trHeight w:val="32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4"/>
              <w:jc w:val="right"/>
              <w:rPr>
                <w:rFonts w:ascii="宋体" w:hAnsi="宋体" w:cs="宋体" w:eastAsia="宋体" w:hint="default"/>
                <w:sz w:val="18"/>
                <w:szCs w:val="18"/>
              </w:rPr>
            </w:pPr>
            <w:r>
              <w:rPr>
                <w:rFonts w:ascii="宋体" w:hAnsi="宋体" w:cs="宋体" w:eastAsia="宋体" w:hint="default"/>
                <w:sz w:val="18"/>
                <w:szCs w:val="18"/>
              </w:rPr>
              <w:t>上海海多投资发展有限公司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-2,831,575.78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pacing w:val="-1"/>
                <w:sz w:val="18"/>
              </w:rPr>
              <w:t>-2,957,957.86</w:t>
            </w:r>
            <w:r>
              <w:rPr>
                <w:rFonts w:ascii="Times New Roman"/>
                <w:sz w:val="18"/>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-5,789,533.64</w:t>
            </w:r>
            <w:r>
              <w:rPr>
                <w:rFonts w:ascii="Times New Roman"/>
                <w:sz w:val="18"/>
              </w:rPr>
            </w:r>
          </w:p>
        </w:tc>
      </w:tr>
    </w:tbl>
    <w:p>
      <w:pPr>
        <w:pStyle w:val="BodyText"/>
        <w:spacing w:line="240" w:lineRule="auto" w:before="64"/>
        <w:ind w:left="22" w:right="8958"/>
        <w:jc w:val="center"/>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7）与合营企业投资相关的未确认承诺" w:id="570"/>
      <w:bookmarkEnd w:id="57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1127"/>
        <w:jc w:val="left"/>
        <w:rPr>
          <w:b w:val="0"/>
          <w:bCs w:val="0"/>
        </w:rPr>
      </w:pPr>
      <w:bookmarkStart w:name="（8）与合营企业或联营企业投资相关的或有负债" w:id="571"/>
      <w:bookmarkEnd w:id="57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4、重要的共同经营" w:id="572"/>
      <w:bookmarkEnd w:id="572"/>
      <w:r>
        <w:rPr>
          <w:b w:val="0"/>
          <w:bCs w:val="0"/>
        </w:rPr>
      </w:r>
      <w:r>
        <w:rPr>
          <w:rFonts w:ascii="Times New Roman" w:hAnsi="Times New Roman" w:cs="Times New Roman" w:eastAsia="Times New Roman" w:hint="default"/>
        </w:rPr>
        <w:t>4</w:t>
      </w:r>
      <w:r>
        <w:rPr/>
        <w:t>、重要的共同经营</w:t>
      </w:r>
      <w:r>
        <w:rPr>
          <w:b w:val="0"/>
          <w:bCs w:val="0"/>
        </w:rPr>
      </w:r>
    </w:p>
    <w:p>
      <w:pPr>
        <w:spacing w:after="0" w:line="240" w:lineRule="auto"/>
        <w:jc w:val="left"/>
        <w:sectPr>
          <w:footerReference w:type="default" r:id="rId85"/>
          <w:pgSz w:w="11910" w:h="16840"/>
          <w:pgMar w:footer="1134" w:header="882" w:top="1280" w:bottom="1320" w:left="980" w:right="0"/>
        </w:sectPr>
      </w:pPr>
    </w:p>
    <w:p>
      <w:pPr>
        <w:spacing w:line="240" w:lineRule="auto" w:before="2"/>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4"/>
        <w:gridCol w:w="1594"/>
        <w:gridCol w:w="1594"/>
        <w:gridCol w:w="1583"/>
      </w:tblGrid>
      <w:tr>
        <w:trPr>
          <w:trHeight w:val="324" w:hRule="exact"/>
        </w:trPr>
        <w:tc>
          <w:tcPr>
            <w:tcW w:w="15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7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324" w:hRule="exact"/>
        </w:trPr>
        <w:tc>
          <w:tcPr>
            <w:tcW w:w="1595"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441" w:lineRule="auto" w:before="64"/>
        <w:ind w:right="1127"/>
        <w:jc w:val="left"/>
      </w:pPr>
      <w:r>
        <w:rPr>
          <w:spacing w:val="-2"/>
        </w:rPr>
        <w:t>在共同经营中的持股比例或享有的份额不同于表决权比例的说明：</w:t>
      </w:r>
      <w:r>
        <w:rPr>
          <w:spacing w:val="-49"/>
        </w:rPr>
        <w:t> </w:t>
      </w:r>
      <w:r>
        <w:rPr>
          <w:spacing w:val="-49"/>
        </w:rPr>
      </w:r>
      <w:r>
        <w:rPr/>
        <w:t>共同经营为单独主体的，分类为共同经营的依据：</w:t>
      </w:r>
    </w:p>
    <w:p>
      <w:pPr>
        <w:pStyle w:val="BodyText"/>
        <w:spacing w:line="240" w:lineRule="auto" w:before="57"/>
        <w:ind w:right="1127"/>
        <w:jc w:val="left"/>
      </w:pPr>
      <w:r>
        <w:rPr/>
        <w:t>其他说明</w:t>
      </w:r>
    </w:p>
    <w:p>
      <w:pPr>
        <w:spacing w:line="240" w:lineRule="auto" w:before="0"/>
        <w:rPr>
          <w:rFonts w:ascii="宋体" w:hAnsi="宋体" w:cs="宋体" w:eastAsia="宋体" w:hint="default"/>
          <w:sz w:val="20"/>
          <w:szCs w:val="20"/>
        </w:rPr>
      </w:pPr>
    </w:p>
    <w:p>
      <w:pPr>
        <w:spacing w:line="470" w:lineRule="auto" w:before="176"/>
        <w:ind w:left="572" w:right="1127" w:hanging="421"/>
        <w:jc w:val="left"/>
        <w:rPr>
          <w:rFonts w:ascii="宋体" w:hAnsi="宋体" w:cs="宋体" w:eastAsia="宋体" w:hint="default"/>
          <w:sz w:val="21"/>
          <w:szCs w:val="21"/>
        </w:rPr>
      </w:pPr>
      <w:bookmarkStart w:name="5、在未纳入合并财务报表范围的结构化主体中的权益" w:id="573"/>
      <w:bookmarkEnd w:id="57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pacing w:val="-2"/>
          <w:sz w:val="21"/>
          <w:szCs w:val="21"/>
        </w:rPr>
        <w:t>未纳入合并财务报表范围的结构化主体的相关说明：</w:t>
      </w:r>
    </w:p>
    <w:p>
      <w:pPr>
        <w:spacing w:line="240" w:lineRule="auto" w:before="1"/>
        <w:rPr>
          <w:rFonts w:ascii="宋体" w:hAnsi="宋体" w:cs="宋体" w:eastAsia="宋体" w:hint="default"/>
          <w:sz w:val="18"/>
          <w:szCs w:val="18"/>
        </w:rPr>
      </w:pPr>
    </w:p>
    <w:p>
      <w:pPr>
        <w:pStyle w:val="Heading4"/>
        <w:spacing w:line="240" w:lineRule="auto"/>
        <w:ind w:right="1127"/>
        <w:jc w:val="left"/>
        <w:rPr>
          <w:b w:val="0"/>
          <w:bCs w:val="0"/>
        </w:rPr>
      </w:pPr>
      <w:bookmarkStart w:name="6、其他" w:id="574"/>
      <w:bookmarkEnd w:id="574"/>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0"/>
          <w:szCs w:val="20"/>
        </w:rPr>
      </w:pPr>
    </w:p>
    <w:p>
      <w:pPr>
        <w:pStyle w:val="Heading2"/>
        <w:spacing w:line="240" w:lineRule="auto"/>
        <w:ind w:right="1127"/>
        <w:jc w:val="left"/>
        <w:rPr>
          <w:b w:val="0"/>
          <w:bCs w:val="0"/>
        </w:rPr>
      </w:pPr>
      <w:bookmarkStart w:name="十、与金融工具相关的风险" w:id="575"/>
      <w:bookmarkEnd w:id="575"/>
      <w:r>
        <w:rPr>
          <w:b w:val="0"/>
          <w:bCs w:val="0"/>
        </w:rPr>
      </w:r>
      <w:r>
        <w:rPr/>
        <w:t>十、与金融工具相关的风险</w:t>
      </w:r>
      <w:r>
        <w:rPr>
          <w:b w:val="0"/>
          <w:bCs w:val="0"/>
        </w:rPr>
      </w:r>
    </w:p>
    <w:p>
      <w:pPr>
        <w:spacing w:line="240" w:lineRule="auto" w:before="6"/>
        <w:rPr>
          <w:rFonts w:ascii="宋体" w:hAnsi="宋体" w:cs="宋体" w:eastAsia="宋体" w:hint="default"/>
          <w:b/>
          <w:bCs/>
          <w:sz w:val="23"/>
          <w:szCs w:val="23"/>
        </w:rPr>
      </w:pPr>
    </w:p>
    <w:p>
      <w:pPr>
        <w:pStyle w:val="BodyText"/>
        <w:spacing w:line="355" w:lineRule="auto"/>
        <w:ind w:left="152" w:right="1128" w:firstLine="420"/>
        <w:jc w:val="both"/>
      </w:pPr>
      <w:r>
        <w:rPr>
          <w:spacing w:val="-2"/>
        </w:rPr>
        <w:t>本公司在经营过程中面临各种金融风险：信用风险、市场风险和流动性风险。公司董事会全面负责风</w:t>
      </w:r>
      <w:r>
        <w:rPr>
          <w:spacing w:val="-3"/>
          <w:w w:val="100"/>
        </w:rPr>
        <w:t> </w:t>
      </w:r>
      <w:r>
        <w:rPr>
          <w:spacing w:val="-2"/>
        </w:rPr>
        <w:t>险管理目标和政策的确定，并对风险管理目标和政策承担最终责任，确保风险管理目标和政策得以有效执</w:t>
      </w:r>
      <w:r>
        <w:rPr>
          <w:spacing w:val="-42"/>
        </w:rPr>
        <w:t> </w:t>
      </w:r>
      <w:r>
        <w:rPr>
          <w:spacing w:val="-42"/>
        </w:rPr>
      </w:r>
      <w:r>
        <w:rPr/>
        <w:t>行的程序。本公司的内部审计师也会审计风险管理的政策和程序，并且将有关发现汇报给审计委员会。</w:t>
      </w:r>
    </w:p>
    <w:p>
      <w:pPr>
        <w:pStyle w:val="BodyText"/>
        <w:spacing w:line="355" w:lineRule="auto" w:before="135"/>
        <w:ind w:left="152" w:right="1128" w:firstLine="420"/>
        <w:jc w:val="both"/>
      </w:pPr>
      <w:r>
        <w:rPr>
          <w:spacing w:val="-2"/>
        </w:rPr>
        <w:t>本公司风险管理的总体目标是在不过度影响公司竞争力和应变力的情况下，制定尽可能降低风险的风</w:t>
      </w:r>
      <w:r>
        <w:rPr>
          <w:w w:val="100"/>
        </w:rPr>
        <w:t> </w:t>
      </w:r>
      <w:r>
        <w:rPr/>
        <w:t>险管理政策。</w:t>
      </w:r>
    </w:p>
    <w:p>
      <w:pPr>
        <w:pStyle w:val="BodyText"/>
        <w:spacing w:line="436" w:lineRule="auto" w:before="155"/>
        <w:ind w:right="1127" w:firstLine="2"/>
        <w:jc w:val="left"/>
      </w:pPr>
      <w:bookmarkStart w:name="1、信用风险" w:id="576"/>
      <w:bookmarkEnd w:id="576"/>
      <w:r>
        <w:rPr/>
      </w: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b/>
          <w:bCs/>
          <w:w w:val="100"/>
        </w:rPr>
        <w:t> </w:t>
      </w:r>
      <w:r>
        <w:rPr>
          <w:spacing w:val="-2"/>
        </w:rPr>
        <w:t>信用风险是指金融工具的一方不履行义务，造成另一方发生财务损失的风险。本公司主要面临赊销导</w:t>
      </w:r>
    </w:p>
    <w:p>
      <w:pPr>
        <w:pStyle w:val="BodyText"/>
        <w:spacing w:line="236" w:lineRule="exact"/>
        <w:ind w:left="152" w:right="0"/>
        <w:jc w:val="left"/>
      </w:pPr>
      <w:r>
        <w:rPr/>
        <w:t>致的客户信用风险。在签订新合同之前，本公司会对新客户的信用风险进行评估，包括外部信用评级和在</w:t>
      </w:r>
    </w:p>
    <w:p>
      <w:pPr>
        <w:pStyle w:val="BodyText"/>
        <w:spacing w:line="355" w:lineRule="auto" w:before="133"/>
        <w:ind w:left="152" w:right="1127"/>
        <w:jc w:val="left"/>
      </w:pPr>
      <w:r>
        <w:rPr>
          <w:spacing w:val="-2"/>
          <w:w w:val="100"/>
        </w:rPr>
        <w:t>某些情况下的银行资信证明（当此信息可获取时）。公司对每一客户均设置了赊销限额，该限额为无需获</w:t>
      </w:r>
      <w:r>
        <w:rPr>
          <w:spacing w:val="-94"/>
          <w:w w:val="100"/>
        </w:rPr>
        <w:t> </w:t>
      </w:r>
      <w:r>
        <w:rPr>
          <w:spacing w:val="-94"/>
          <w:w w:val="100"/>
        </w:rPr>
      </w:r>
      <w:r>
        <w:rPr/>
        <w:t>得额外批准的最大额度。</w:t>
      </w:r>
    </w:p>
    <w:p>
      <w:pPr>
        <w:pStyle w:val="BodyText"/>
        <w:spacing w:line="350" w:lineRule="auto" w:before="135"/>
        <w:ind w:left="152" w:right="1128" w:firstLine="420"/>
        <w:jc w:val="both"/>
      </w:pPr>
      <w:r>
        <w:rPr>
          <w:spacing w:val="2"/>
        </w:rPr>
        <w:t>公司通过对已有客户信用评级的季度监控以及应收账款账龄分析的月度审核来确保公司的整体信用</w:t>
      </w:r>
      <w:r>
        <w:rPr>
          <w:w w:val="100"/>
        </w:rPr>
        <w:t> </w:t>
      </w:r>
      <w:r>
        <w:rPr>
          <w:spacing w:val="-2"/>
        </w:rPr>
        <w:t>风险在可控的范围内。在监控客户的信用风险时，按照客户的信用特征对其分组。被评为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w:t>
      </w:r>
      <w:r>
        <w:rPr>
          <w:spacing w:val="-18"/>
        </w:rPr>
        <w:t> </w:t>
      </w:r>
      <w:r>
        <w:rPr>
          <w:spacing w:val="-18"/>
        </w:rPr>
      </w:r>
      <w:r>
        <w:rPr>
          <w:spacing w:val="-2"/>
        </w:rPr>
        <w:t>客户会放在受限制客户名单里，并且只有在额外批准的前提下，公司才可在未来期间内对其赊销，否则必</w:t>
      </w:r>
      <w:r>
        <w:rPr>
          <w:spacing w:val="-44"/>
        </w:rPr>
        <w:t> </w:t>
      </w:r>
      <w:r>
        <w:rPr>
          <w:spacing w:val="-44"/>
        </w:rPr>
      </w:r>
      <w:r>
        <w:rPr/>
        <w:t>须要求其提前支付相应款项。</w:t>
      </w:r>
    </w:p>
    <w:p>
      <w:pPr>
        <w:pStyle w:val="BodyText"/>
        <w:spacing w:line="422" w:lineRule="auto" w:before="137"/>
        <w:ind w:right="1127" w:firstLine="2"/>
        <w:jc w:val="left"/>
      </w:pPr>
      <w:r>
        <w:rPr>
          <w:rFonts w:ascii="Times New Roman" w:hAnsi="Times New Roman" w:cs="Times New Roman" w:eastAsia="Times New Roman" w:hint="default"/>
          <w:b/>
          <w:bCs/>
        </w:rPr>
        <w:t>2</w:t>
      </w:r>
      <w:r>
        <w:rPr>
          <w:rFonts w:ascii="宋体" w:hAnsi="宋体" w:cs="宋体" w:eastAsia="宋体" w:hint="default"/>
          <w:b/>
          <w:bCs/>
        </w:rPr>
        <w:t>、市场风险</w:t>
      </w:r>
      <w:r>
        <w:rPr>
          <w:rFonts w:ascii="宋体" w:hAnsi="宋体" w:cs="宋体" w:eastAsia="宋体" w:hint="default"/>
          <w:b/>
          <w:bCs/>
          <w:w w:val="100"/>
        </w:rPr>
        <w:t> </w:t>
      </w:r>
      <w:r>
        <w:rPr>
          <w:spacing w:val="-2"/>
        </w:rPr>
        <w:t>金融工具的市场风险，是指金融工具的公允价值或未来现金流量因市场价格变动而发生波动的风险，</w:t>
      </w:r>
      <w:r>
        <w:rPr/>
      </w:r>
    </w:p>
    <w:p>
      <w:pPr>
        <w:pStyle w:val="BodyText"/>
        <w:spacing w:line="246" w:lineRule="exact"/>
        <w:ind w:left="152" w:right="1127"/>
        <w:jc w:val="left"/>
      </w:pPr>
      <w:r>
        <w:rPr/>
        <w:t>包括汇率风险、利率风险和其他价格风险。</w:t>
      </w:r>
    </w:p>
    <w:p>
      <w:pPr>
        <w:spacing w:line="240" w:lineRule="auto" w:before="12"/>
        <w:rPr>
          <w:rFonts w:ascii="宋体" w:hAnsi="宋体" w:cs="宋体" w:eastAsia="宋体" w:hint="default"/>
          <w:sz w:val="17"/>
          <w:szCs w:val="17"/>
        </w:rPr>
      </w:pPr>
    </w:p>
    <w:p>
      <w:pPr>
        <w:pStyle w:val="BodyText"/>
        <w:spacing w:line="422" w:lineRule="auto"/>
        <w:ind w:right="1127"/>
        <w:jc w:val="left"/>
      </w:pPr>
      <w:r>
        <w:rPr/>
        <w:t>（</w:t>
      </w:r>
      <w:r>
        <w:rPr>
          <w:rFonts w:ascii="Times New Roman" w:hAnsi="Times New Roman" w:cs="Times New Roman" w:eastAsia="Times New Roman" w:hint="default"/>
        </w:rPr>
        <w:t>1</w:t>
      </w:r>
      <w:r>
        <w:rPr/>
        <w:t>）利率风险</w:t>
      </w:r>
      <w:r>
        <w:rPr>
          <w:w w:val="100"/>
        </w:rPr>
        <w:t> </w:t>
      </w:r>
      <w:r>
        <w:rPr>
          <w:spacing w:val="-2"/>
        </w:rPr>
        <w:t>利率风险，是指金融工具的公允价值或未来现金流量因市场利率变动而发生波动的风险。本公司面临</w:t>
      </w:r>
    </w:p>
    <w:p>
      <w:pPr>
        <w:pStyle w:val="BodyText"/>
        <w:spacing w:line="246" w:lineRule="exact"/>
        <w:ind w:left="152" w:right="1127"/>
        <w:jc w:val="left"/>
      </w:pPr>
      <w:r>
        <w:rPr/>
        <w:t>的利率风险主要来源于银行长期借款。</w:t>
      </w:r>
    </w:p>
    <w:p>
      <w:pPr>
        <w:spacing w:after="0" w:line="246" w:lineRule="exact"/>
        <w:jc w:val="left"/>
        <w:sectPr>
          <w:footerReference w:type="default" r:id="rId86"/>
          <w:pgSz w:w="11910" w:h="16840"/>
          <w:pgMar w:footer="1134" w:header="882" w:top="1280" w:bottom="1320" w:left="980" w:right="0"/>
          <w:pgNumType w:start="261"/>
        </w:sectPr>
      </w:pPr>
    </w:p>
    <w:p>
      <w:pPr>
        <w:pStyle w:val="BodyText"/>
        <w:spacing w:line="422" w:lineRule="auto" w:before="110"/>
        <w:ind w:right="1127"/>
        <w:jc w:val="left"/>
      </w:pPr>
      <w:r>
        <w:rPr/>
        <w:t>（</w:t>
      </w:r>
      <w:r>
        <w:rPr>
          <w:rFonts w:ascii="Times New Roman" w:hAnsi="Times New Roman" w:cs="Times New Roman" w:eastAsia="Times New Roman" w:hint="default"/>
        </w:rPr>
        <w:t>2</w:t>
      </w:r>
      <w:r>
        <w:rPr/>
        <w:t>）汇率风险</w:t>
      </w:r>
      <w:r>
        <w:rPr>
          <w:w w:val="100"/>
        </w:rPr>
        <w:t> </w:t>
      </w:r>
      <w:r>
        <w:rPr>
          <w:spacing w:val="-2"/>
        </w:rPr>
        <w:t>汇率风险，是指金融工具的公允价值或未来现金流量因外汇汇率变动而发生波动的风险。本公司外币</w:t>
      </w:r>
    </w:p>
    <w:p>
      <w:pPr>
        <w:pStyle w:val="BodyText"/>
        <w:spacing w:line="246" w:lineRule="exact"/>
        <w:ind w:left="152" w:right="1127"/>
        <w:jc w:val="left"/>
      </w:pPr>
      <w:r>
        <w:rPr/>
        <w:t>应收、应付款项和银行贷款金额较小，故公司受汇率变动影响较小。</w:t>
      </w:r>
    </w:p>
    <w:p>
      <w:pPr>
        <w:spacing w:line="240" w:lineRule="auto" w:before="12"/>
        <w:rPr>
          <w:rFonts w:ascii="宋体" w:hAnsi="宋体" w:cs="宋体" w:eastAsia="宋体" w:hint="default"/>
          <w:sz w:val="17"/>
          <w:szCs w:val="17"/>
        </w:rPr>
      </w:pPr>
    </w:p>
    <w:p>
      <w:pPr>
        <w:pStyle w:val="BodyText"/>
        <w:spacing w:line="432" w:lineRule="auto"/>
        <w:ind w:right="1932"/>
        <w:jc w:val="left"/>
        <w:rPr>
          <w:rFonts w:ascii="宋体" w:hAnsi="宋体" w:cs="宋体" w:eastAsia="宋体" w:hint="default"/>
        </w:rPr>
      </w:pPr>
      <w:r>
        <w:rPr/>
        <w:t>（</w:t>
      </w:r>
      <w:r>
        <w:rPr>
          <w:rFonts w:ascii="Times New Roman" w:hAnsi="Times New Roman" w:cs="Times New Roman" w:eastAsia="Times New Roman" w:hint="default"/>
        </w:rPr>
        <w:t>3</w:t>
      </w:r>
      <w:r>
        <w:rPr/>
        <w:t>）其他价格风险</w:t>
      </w:r>
      <w:r>
        <w:rPr>
          <w:w w:val="100"/>
        </w:rPr>
        <w:t> </w:t>
      </w:r>
      <w:r>
        <w:rPr>
          <w:spacing w:val="-2"/>
        </w:rPr>
        <w:t>本公司未持有其他上市公司的权益投资，管理层认为本公司无其他价格风险。</w:t>
      </w:r>
      <w:r>
        <w:rPr>
          <w:spacing w:val="-42"/>
        </w:rPr>
        <w:t> </w:t>
      </w:r>
      <w:r>
        <w:rPr>
          <w:spacing w:val="-42"/>
        </w:rPr>
      </w:r>
      <w:r>
        <w:rPr>
          <w:rFonts w:ascii="Times New Roman" w:hAnsi="Times New Roman" w:cs="Times New Roman" w:eastAsia="Times New Roman" w:hint="default"/>
          <w:b/>
          <w:bCs/>
        </w:rPr>
        <w:t>3</w:t>
      </w:r>
      <w:r>
        <w:rPr>
          <w:rFonts w:ascii="宋体" w:hAnsi="宋体" w:cs="宋体" w:eastAsia="宋体" w:hint="default"/>
          <w:b/>
          <w:bCs/>
        </w:rPr>
        <w:t>、流动性风险</w:t>
      </w:r>
      <w:r>
        <w:rPr>
          <w:rFonts w:ascii="宋体" w:hAnsi="宋体" w:cs="宋体" w:eastAsia="宋体" w:hint="default"/>
        </w:rPr>
      </w:r>
    </w:p>
    <w:p>
      <w:pPr>
        <w:pStyle w:val="BodyText"/>
        <w:spacing w:line="348" w:lineRule="auto" w:before="34"/>
        <w:ind w:left="152" w:right="1128" w:firstLine="419"/>
        <w:jc w:val="both"/>
      </w:pPr>
      <w:r>
        <w:rPr>
          <w:spacing w:val="-2"/>
        </w:rPr>
        <w:t>流动风险，是指企业在履行以交付现金或其他金融资产的方式结算的义务时发生资金短缺的风险。本</w:t>
      </w:r>
      <w:r>
        <w:rPr>
          <w:w w:val="100"/>
        </w:rPr>
        <w:t> </w:t>
      </w:r>
      <w:r>
        <w:rPr>
          <w:spacing w:val="-2"/>
        </w:rPr>
        <w:t>公司的政策是确保拥有充足的现金以偿还到期债务。流动性风险由本公司的财务部门集中控制。财务部门</w:t>
      </w:r>
      <w:r>
        <w:rPr>
          <w:spacing w:val="-42"/>
        </w:rPr>
        <w:t> </w:t>
      </w:r>
      <w:r>
        <w:rPr>
          <w:spacing w:val="-42"/>
        </w:rPr>
      </w:r>
      <w:r>
        <w:rPr/>
        <w:t>通过监控现金余额、可随时变现的有价证券以及对未来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个月现金流量的滚动预测，确保公司在所有合</w:t>
      </w:r>
      <w:r>
        <w:rPr>
          <w:w w:val="100"/>
        </w:rPr>
        <w:t> </w:t>
      </w:r>
      <w:r>
        <w:rPr/>
        <w:t>理预测的情况下拥有充足的资金偿还债务。</w:t>
      </w:r>
    </w:p>
    <w:p>
      <w:pPr>
        <w:spacing w:line="240" w:lineRule="auto" w:before="8"/>
        <w:rPr>
          <w:rFonts w:ascii="宋体" w:hAnsi="宋体" w:cs="宋体" w:eastAsia="宋体" w:hint="default"/>
          <w:sz w:val="25"/>
          <w:szCs w:val="25"/>
        </w:rPr>
      </w:pPr>
    </w:p>
    <w:p>
      <w:pPr>
        <w:pStyle w:val="Heading2"/>
        <w:spacing w:line="240" w:lineRule="auto"/>
        <w:ind w:right="1127"/>
        <w:jc w:val="left"/>
        <w:rPr>
          <w:b w:val="0"/>
          <w:bCs w:val="0"/>
        </w:rPr>
      </w:pPr>
      <w:bookmarkStart w:name="十一、公允价值的披露" w:id="577"/>
      <w:bookmarkEnd w:id="577"/>
      <w:r>
        <w:rPr>
          <w:b w:val="0"/>
          <w:bCs w:val="0"/>
        </w:rPr>
      </w:r>
      <w:r>
        <w:rPr/>
        <w:t>十一、公允价值的披露</w:t>
      </w:r>
      <w:r>
        <w:rPr>
          <w:b w:val="0"/>
          <w:bCs w:val="0"/>
        </w:rPr>
      </w:r>
    </w:p>
    <w:p>
      <w:pPr>
        <w:spacing w:line="240" w:lineRule="auto" w:before="6"/>
        <w:rPr>
          <w:rFonts w:ascii="宋体" w:hAnsi="宋体" w:cs="宋体" w:eastAsia="宋体" w:hint="default"/>
          <w:b/>
          <w:bCs/>
          <w:sz w:val="23"/>
          <w:szCs w:val="23"/>
        </w:rPr>
      </w:pPr>
    </w:p>
    <w:p>
      <w:pPr>
        <w:pStyle w:val="Heading4"/>
        <w:spacing w:line="240" w:lineRule="auto"/>
        <w:ind w:right="1127"/>
        <w:jc w:val="left"/>
        <w:rPr>
          <w:b w:val="0"/>
          <w:bCs w:val="0"/>
        </w:rPr>
      </w:pPr>
      <w:bookmarkStart w:name="1、以公允价值计量的资产和负债的期末公允价值" w:id="578"/>
      <w:bookmarkEnd w:id="578"/>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1"/>
          <w:szCs w:val="21"/>
        </w:rPr>
      </w:pPr>
    </w:p>
    <w:p>
      <w:pPr>
        <w:spacing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84"/>
        <w:gridCol w:w="1847"/>
        <w:gridCol w:w="1913"/>
        <w:gridCol w:w="1913"/>
        <w:gridCol w:w="1915"/>
      </w:tblGrid>
      <w:tr>
        <w:trPr>
          <w:trHeight w:val="380" w:hRule="exact"/>
        </w:trPr>
        <w:tc>
          <w:tcPr>
            <w:tcW w:w="1984" w:type="dxa"/>
            <w:tcBorders>
              <w:top w:val="single" w:sz="4" w:space="0" w:color="000000"/>
              <w:left w:val="single" w:sz="4" w:space="0" w:color="000000"/>
              <w:bottom w:val="nil" w:sz="6" w:space="0" w:color="auto"/>
              <w:right w:val="single" w:sz="4" w:space="0" w:color="000000"/>
            </w:tcBorders>
            <w:shd w:val="clear" w:color="auto" w:fill="D4D4D4"/>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215" w:hRule="exact"/>
        </w:trPr>
        <w:tc>
          <w:tcPr>
            <w:tcW w:w="198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147" w:lineRule="exact"/>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7" w:type="dxa"/>
            <w:vMerge w:val="restart"/>
            <w:tcBorders>
              <w:top w:val="single" w:sz="4" w:space="0" w:color="000000"/>
              <w:left w:val="single" w:sz="4" w:space="0" w:color="000000"/>
              <w:right w:val="single" w:sz="4" w:space="0" w:color="000000"/>
            </w:tcBorders>
            <w:shd w:val="clear" w:color="auto" w:fill="D4D4D4"/>
          </w:tcPr>
          <w:p>
            <w:pPr>
              <w:pStyle w:val="TableParagraph"/>
              <w:spacing w:line="185" w:lineRule="exact"/>
              <w:ind w:left="10" w:right="0"/>
              <w:jc w:val="center"/>
              <w:rPr>
                <w:rFonts w:ascii="宋体" w:hAnsi="宋体" w:cs="宋体" w:eastAsia="宋体" w:hint="default"/>
                <w:sz w:val="18"/>
                <w:szCs w:val="18"/>
              </w:rPr>
            </w:pPr>
            <w:r>
              <w:rPr>
                <w:rFonts w:ascii="宋体" w:hAnsi="宋体" w:cs="宋体" w:eastAsia="宋体" w:hint="default"/>
                <w:sz w:val="18"/>
                <w:szCs w:val="18"/>
              </w:rPr>
              <w:t>第一层次公允价值计</w:t>
            </w:r>
          </w:p>
          <w:p>
            <w:pPr>
              <w:pStyle w:val="TableParagraph"/>
              <w:spacing w:line="233" w:lineRule="exact"/>
              <w:ind w:left="10" w:right="0"/>
              <w:jc w:val="center"/>
              <w:rPr>
                <w:rFonts w:ascii="宋体" w:hAnsi="宋体" w:cs="宋体" w:eastAsia="宋体" w:hint="default"/>
                <w:sz w:val="18"/>
                <w:szCs w:val="18"/>
              </w:rPr>
            </w:pPr>
            <w:r>
              <w:rPr>
                <w:rFonts w:ascii="宋体" w:hAnsi="宋体" w:cs="宋体" w:eastAsia="宋体" w:hint="default"/>
                <w:sz w:val="18"/>
                <w:szCs w:val="18"/>
              </w:rPr>
              <w:t>量</w:t>
            </w:r>
          </w:p>
        </w:tc>
        <w:tc>
          <w:tcPr>
            <w:tcW w:w="1913" w:type="dxa"/>
            <w:vMerge w:val="restart"/>
            <w:tcBorders>
              <w:top w:val="single" w:sz="51" w:space="0" w:color="D4D4D4"/>
              <w:left w:val="single" w:sz="22" w:space="0" w:color="D4D4D4"/>
              <w:right w:val="single" w:sz="22" w:space="0" w:color="D4D4D4"/>
            </w:tcBorders>
          </w:tcPr>
          <w:p>
            <w:pPr>
              <w:pStyle w:val="TableParagraph"/>
              <w:spacing w:line="240" w:lineRule="auto" w:before="8"/>
              <w:ind w:left="3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4D4D4" w:color="auto" w:val="clear"/>
              </w:rPr>
              <w:t>第二层次公允价值计量</w:t>
            </w:r>
            <w:r>
              <w:rPr>
                <w:rFonts w:ascii="宋体" w:hAnsi="宋体" w:cs="宋体" w:eastAsia="宋体" w:hint="default"/>
                <w:sz w:val="18"/>
                <w:szCs w:val="18"/>
              </w:rPr>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7"/>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33" w:hRule="exact"/>
        </w:trPr>
        <w:tc>
          <w:tcPr>
            <w:tcW w:w="1984" w:type="dxa"/>
            <w:tcBorders>
              <w:top w:val="nil" w:sz="6" w:space="0" w:color="auto"/>
              <w:left w:val="single" w:sz="4" w:space="0" w:color="000000"/>
              <w:bottom w:val="single" w:sz="4" w:space="0" w:color="000000"/>
              <w:right w:val="single" w:sz="4" w:space="0" w:color="000000"/>
            </w:tcBorders>
            <w:shd w:val="clear" w:color="auto" w:fill="D4D4D4"/>
          </w:tcPr>
          <w:p>
            <w:pPr/>
          </w:p>
        </w:tc>
        <w:tc>
          <w:tcPr>
            <w:tcW w:w="1847"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22" w:space="0" w:color="D4D4D4"/>
              <w:bottom w:val="single" w:sz="46" w:space="0" w:color="D4D4D4"/>
              <w:right w:val="single" w:sz="22" w:space="0" w:color="D4D4D4"/>
            </w:tcBorders>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368"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8"/>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8"/>
              <w:ind w:left="892"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8"/>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47" w:type="dxa"/>
            <w:tcBorders>
              <w:top w:val="single" w:sz="5" w:space="0" w:color="D4D4D4"/>
              <w:left w:val="single" w:sz="12" w:space="0" w:color="D4D4D4"/>
              <w:bottom w:val="single" w:sz="4" w:space="0" w:color="000000"/>
              <w:right w:val="single" w:sz="4" w:space="0" w:color="000000"/>
            </w:tcBorders>
          </w:tcPr>
          <w:p>
            <w:pPr/>
          </w:p>
        </w:tc>
        <w:tc>
          <w:tcPr>
            <w:tcW w:w="1913" w:type="dxa"/>
            <w:tcBorders>
              <w:top w:val="single" w:sz="5" w:space="0" w:color="D4D4D4"/>
              <w:left w:val="single" w:sz="4" w:space="0" w:color="000000"/>
              <w:bottom w:val="single" w:sz="4" w:space="0" w:color="000000"/>
              <w:right w:val="single" w:sz="4" w:space="0" w:color="000000"/>
            </w:tcBorders>
          </w:tcPr>
          <w:p>
            <w:pPr>
              <w:pStyle w:val="TableParagraph"/>
              <w:spacing w:line="240" w:lineRule="auto" w:before="52"/>
              <w:ind w:left="847" w:right="0"/>
              <w:jc w:val="left"/>
              <w:rPr>
                <w:rFonts w:ascii="Times New Roman" w:hAnsi="Times New Roman" w:cs="Times New Roman" w:eastAsia="Times New Roman" w:hint="default"/>
                <w:sz w:val="18"/>
                <w:szCs w:val="18"/>
              </w:rPr>
            </w:pPr>
            <w:r>
              <w:rPr>
                <w:rFonts w:ascii="Times New Roman"/>
                <w:sz w:val="18"/>
              </w:rPr>
              <w:t>30,000,000.00</w:t>
            </w:r>
          </w:p>
        </w:tc>
        <w:tc>
          <w:tcPr>
            <w:tcW w:w="1913" w:type="dxa"/>
            <w:tcBorders>
              <w:top w:val="single" w:sz="5" w:space="0" w:color="D4D4D4"/>
              <w:left w:val="single" w:sz="4" w:space="0" w:color="000000"/>
              <w:bottom w:val="single" w:sz="4" w:space="0" w:color="000000"/>
              <w:right w:val="single" w:sz="4" w:space="0" w:color="000000"/>
            </w:tcBorders>
          </w:tcPr>
          <w:p>
            <w:pPr/>
          </w:p>
        </w:tc>
        <w:tc>
          <w:tcPr>
            <w:tcW w:w="1915" w:type="dxa"/>
            <w:tcBorders>
              <w:top w:val="single" w:sz="5" w:space="0" w:color="D4D4D4"/>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790"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0" w:lineRule="auto" w:before="16"/>
              <w:ind w:left="24"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1847" w:type="dxa"/>
            <w:tcBorders>
              <w:top w:val="single" w:sz="4" w:space="0" w:color="000000"/>
              <w:left w:val="single" w:sz="12"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30,000,000.00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24"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47" w:type="dxa"/>
            <w:tcBorders>
              <w:top w:val="single" w:sz="4" w:space="0" w:color="000000"/>
              <w:left w:val="single" w:sz="12"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47" w:right="0"/>
              <w:jc w:val="left"/>
              <w:rPr>
                <w:rFonts w:ascii="Times New Roman" w:hAnsi="Times New Roman" w:cs="Times New Roman" w:eastAsia="Times New Roman" w:hint="default"/>
                <w:sz w:val="18"/>
                <w:szCs w:val="18"/>
              </w:rPr>
            </w:pPr>
            <w:r>
              <w:rPr>
                <w:rFonts w:ascii="Times New Roman"/>
                <w:sz w:val="18"/>
              </w:rPr>
              <w:t>30,000,000.00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24"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4"/>
                <w:sz w:val="18"/>
                <w:szCs w:val="18"/>
              </w:rPr>
              <w:t>（三）其他权益工具投资</w:t>
            </w:r>
          </w:p>
        </w:tc>
        <w:tc>
          <w:tcPr>
            <w:tcW w:w="1847" w:type="dxa"/>
            <w:tcBorders>
              <w:top w:val="single" w:sz="4" w:space="0" w:color="000000"/>
              <w:left w:val="single" w:sz="12"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162,625,650.51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162,625,650.51</w:t>
            </w:r>
            <w:r>
              <w:rPr>
                <w:rFonts w:ascii="Times New Roman"/>
                <w:sz w:val="18"/>
              </w:rPr>
            </w:r>
          </w:p>
        </w:tc>
      </w:tr>
      <w:tr>
        <w:trPr>
          <w:trHeight w:val="324"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4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17,216,553.84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17,216,553.84</w:t>
            </w:r>
          </w:p>
        </w:tc>
      </w:tr>
      <w:tr>
        <w:trPr>
          <w:trHeight w:val="322"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4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84,568,389.05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84,568,389.05</w:t>
            </w:r>
            <w:r>
              <w:rPr>
                <w:rFonts w:ascii="Times New Roman"/>
                <w:sz w:val="18"/>
              </w:rPr>
            </w:r>
          </w:p>
        </w:tc>
      </w:tr>
      <w:tr>
        <w:trPr>
          <w:trHeight w:val="557"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24" w:right="1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92"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4"/>
        <w:spacing w:line="472" w:lineRule="auto" w:before="36"/>
        <w:ind w:left="572" w:right="4814" w:hanging="420"/>
        <w:jc w:val="left"/>
        <w:rPr>
          <w:rFonts w:ascii="宋体" w:hAnsi="宋体" w:cs="宋体" w:eastAsia="宋体" w:hint="default"/>
          <w:b w:val="0"/>
          <w:bCs w:val="0"/>
        </w:rPr>
      </w:pPr>
      <w:bookmarkStart w:name="2、持续和非持续第一层次公允价值计量项目市价的确定依据" w:id="579"/>
      <w:bookmarkEnd w:id="579"/>
      <w:r>
        <w:rPr>
          <w:b w:val="0"/>
          <w:bCs w:val="0"/>
        </w:rPr>
      </w:r>
      <w:r>
        <w:rPr>
          <w:rFonts w:ascii="Times New Roman" w:hAnsi="Times New Roman" w:cs="Times New Roman" w:eastAsia="Times New Roman" w:hint="default"/>
          <w:spacing w:val="-1"/>
        </w:rPr>
        <w:t>2</w:t>
      </w:r>
      <w:r>
        <w:rPr>
          <w:spacing w:val="-1"/>
        </w:rPr>
        <w:t>、持续和非持续第一层次公允价值计量项目市价的确定依据</w:t>
      </w:r>
      <w:r>
        <w:rPr>
          <w:spacing w:val="-81"/>
        </w:rPr>
        <w:t> </w:t>
      </w:r>
      <w:r>
        <w:rPr>
          <w:spacing w:val="-81"/>
        </w:rPr>
      </w:r>
      <w:r>
        <w:rPr>
          <w:rFonts w:ascii="宋体" w:hAnsi="宋体" w:cs="宋体" w:eastAsia="宋体" w:hint="default"/>
          <w:b w:val="0"/>
          <w:bCs w:val="0"/>
        </w:rPr>
        <w:t>不涉及</w:t>
      </w:r>
    </w:p>
    <w:p>
      <w:pPr>
        <w:spacing w:line="240" w:lineRule="auto" w:before="12"/>
        <w:rPr>
          <w:rFonts w:ascii="宋体" w:hAnsi="宋体" w:cs="宋体" w:eastAsia="宋体" w:hint="default"/>
          <w:sz w:val="17"/>
          <w:szCs w:val="17"/>
        </w:rPr>
      </w:pPr>
    </w:p>
    <w:p>
      <w:pPr>
        <w:spacing w:line="470" w:lineRule="auto" w:before="0"/>
        <w:ind w:left="572" w:right="1127" w:hanging="420"/>
        <w:jc w:val="left"/>
        <w:rPr>
          <w:rFonts w:ascii="宋体" w:hAnsi="宋体" w:cs="宋体" w:eastAsia="宋体" w:hint="default"/>
          <w:sz w:val="21"/>
          <w:szCs w:val="21"/>
        </w:rPr>
      </w:pPr>
      <w:bookmarkStart w:name="3、持续和非持续第二层次公允价值计量项目，采用的估值技术和重要参数的定性及定量信" w:id="580"/>
      <w:bookmarkEnd w:id="58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本公司持续和非持续第二层公允价值计量项目采用成本计量，除非该项成本计量不可靠。</w:t>
      </w:r>
    </w:p>
    <w:p>
      <w:pPr>
        <w:spacing w:line="240" w:lineRule="auto" w:before="12"/>
        <w:rPr>
          <w:rFonts w:ascii="宋体" w:hAnsi="宋体" w:cs="宋体" w:eastAsia="宋体" w:hint="default"/>
          <w:sz w:val="17"/>
          <w:szCs w:val="17"/>
        </w:rPr>
      </w:pPr>
    </w:p>
    <w:p>
      <w:pPr>
        <w:pStyle w:val="Heading4"/>
        <w:spacing w:line="240" w:lineRule="auto"/>
        <w:ind w:right="1127"/>
        <w:jc w:val="left"/>
        <w:rPr>
          <w:b w:val="0"/>
          <w:bCs w:val="0"/>
        </w:rPr>
      </w:pPr>
      <w:bookmarkStart w:name="4、持续和非持续第三层次公允价值计量项目，采用的估值技术和重要参数的定性及定量信" w:id="581"/>
      <w:bookmarkEnd w:id="581"/>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after="0" w:line="240" w:lineRule="auto"/>
        <w:jc w:val="left"/>
        <w:sectPr>
          <w:pgSz w:w="11910" w:h="16840"/>
          <w:pgMar w:header="882" w:footer="1134" w:top="1280" w:bottom="1320" w:left="980" w:right="0"/>
        </w:sectPr>
      </w:pPr>
    </w:p>
    <w:p>
      <w:pPr>
        <w:pStyle w:val="BodyText"/>
        <w:spacing w:line="240" w:lineRule="auto" w:before="110"/>
        <w:ind w:right="1127"/>
        <w:jc w:val="left"/>
      </w:pPr>
      <w:r>
        <w:rPr/>
        <w:t>本公司持续和非持续第三层公允价值计量项目采用成本计量，除非该项成本计量不可靠。</w:t>
      </w:r>
    </w:p>
    <w:p>
      <w:pPr>
        <w:spacing w:line="240" w:lineRule="auto" w:before="0"/>
        <w:rPr>
          <w:rFonts w:ascii="宋体" w:hAnsi="宋体" w:cs="宋体" w:eastAsia="宋体" w:hint="default"/>
          <w:sz w:val="20"/>
          <w:szCs w:val="20"/>
        </w:rPr>
      </w:pPr>
    </w:p>
    <w:p>
      <w:pPr>
        <w:pStyle w:val="Heading4"/>
        <w:spacing w:line="470" w:lineRule="auto" w:before="176"/>
        <w:ind w:left="572" w:right="1127" w:hanging="421"/>
        <w:jc w:val="left"/>
        <w:rPr>
          <w:rFonts w:ascii="宋体" w:hAnsi="宋体" w:cs="宋体" w:eastAsia="宋体" w:hint="default"/>
          <w:b w:val="0"/>
          <w:bCs w:val="0"/>
        </w:rPr>
      </w:pPr>
      <w:bookmarkStart w:name="5、持续的第三层次公允价值计量项目，期初与期末账面价值间的调节信息及不可观察参数" w:id="582"/>
      <w:bookmarkEnd w:id="582"/>
      <w:r>
        <w:rPr>
          <w:b w:val="0"/>
          <w:bCs w:val="0"/>
        </w:rPr>
      </w:r>
      <w:r>
        <w:rPr>
          <w:rFonts w:ascii="Times New Roman" w:hAnsi="Times New Roman" w:cs="Times New Roman" w:eastAsia="Times New Roman" w:hint="default"/>
          <w:spacing w:val="-1"/>
        </w:rPr>
        <w:t>5</w:t>
      </w:r>
      <w:r>
        <w:rPr>
          <w:spacing w:val="-1"/>
        </w:rPr>
        <w:t>、持续的第三层次公允价值计量项目，期初与期末账面价值间的调节信息及不可观察参数敏感性分析</w:t>
      </w:r>
      <w:r>
        <w:rPr>
          <w:spacing w:val="-65"/>
        </w:rPr>
        <w:t> </w:t>
      </w:r>
      <w:r>
        <w:rPr>
          <w:spacing w:val="-65"/>
        </w:rPr>
      </w:r>
      <w:r>
        <w:rPr>
          <w:rFonts w:ascii="宋体" w:hAnsi="宋体" w:cs="宋体" w:eastAsia="宋体" w:hint="default"/>
          <w:b w:val="0"/>
          <w:bCs w:val="0"/>
        </w:rPr>
        <w:t>不涉及</w:t>
      </w:r>
    </w:p>
    <w:p>
      <w:pPr>
        <w:spacing w:line="240" w:lineRule="auto" w:before="1"/>
        <w:rPr>
          <w:rFonts w:ascii="宋体" w:hAnsi="宋体" w:cs="宋体" w:eastAsia="宋体" w:hint="default"/>
          <w:sz w:val="18"/>
          <w:szCs w:val="18"/>
        </w:rPr>
      </w:pPr>
    </w:p>
    <w:p>
      <w:pPr>
        <w:pStyle w:val="Heading4"/>
        <w:spacing w:line="470" w:lineRule="auto"/>
        <w:ind w:left="572" w:right="1667" w:hanging="420"/>
        <w:jc w:val="left"/>
        <w:rPr>
          <w:rFonts w:ascii="宋体" w:hAnsi="宋体" w:cs="宋体" w:eastAsia="宋体" w:hint="default"/>
          <w:b w:val="0"/>
          <w:bCs w:val="0"/>
        </w:rPr>
      </w:pPr>
      <w:bookmarkStart w:name="6、持续的公允价值计量项目，本期内发生各层级之间转换的，转换的原因及确定转换时点" w:id="583"/>
      <w:bookmarkEnd w:id="583"/>
      <w:r>
        <w:rPr>
          <w:b w:val="0"/>
          <w:bCs w:val="0"/>
        </w:rPr>
      </w:r>
      <w:r>
        <w:rPr>
          <w:rFonts w:ascii="Times New Roman" w:hAnsi="Times New Roman" w:cs="Times New Roman" w:eastAsia="Times New Roman" w:hint="default"/>
          <w:spacing w:val="-1"/>
        </w:rPr>
        <w:t>6</w:t>
      </w:r>
      <w:r>
        <w:rPr>
          <w:spacing w:val="-1"/>
        </w:rPr>
        <w:t>、持续的公允价值计量项目，本期内发生各层级之间转换的，转换的原因及确定转换时点的政策</w:t>
      </w:r>
      <w:r>
        <w:rPr>
          <w:spacing w:val="-66"/>
        </w:rPr>
        <w:t> </w:t>
      </w:r>
      <w:r>
        <w:rPr>
          <w:spacing w:val="-66"/>
        </w:rPr>
      </w:r>
      <w:r>
        <w:rPr>
          <w:rFonts w:ascii="宋体" w:hAnsi="宋体" w:cs="宋体" w:eastAsia="宋体" w:hint="default"/>
          <w:b w:val="0"/>
          <w:bCs w:val="0"/>
        </w:rPr>
        <w:t>无</w:t>
      </w:r>
    </w:p>
    <w:p>
      <w:pPr>
        <w:spacing w:line="240" w:lineRule="auto" w:before="1"/>
        <w:rPr>
          <w:rFonts w:ascii="宋体" w:hAnsi="宋体" w:cs="宋体" w:eastAsia="宋体" w:hint="default"/>
          <w:sz w:val="18"/>
          <w:szCs w:val="18"/>
        </w:rPr>
      </w:pPr>
    </w:p>
    <w:p>
      <w:pPr>
        <w:pStyle w:val="Heading4"/>
        <w:spacing w:line="470" w:lineRule="auto"/>
        <w:ind w:left="572" w:right="6704" w:hanging="421"/>
        <w:jc w:val="left"/>
        <w:rPr>
          <w:rFonts w:ascii="宋体" w:hAnsi="宋体" w:cs="宋体" w:eastAsia="宋体" w:hint="default"/>
          <w:b w:val="0"/>
          <w:bCs w:val="0"/>
        </w:rPr>
      </w:pPr>
      <w:bookmarkStart w:name="7、本期内发生的估值技术变更及变更原因" w:id="584"/>
      <w:bookmarkEnd w:id="584"/>
      <w:r>
        <w:rPr>
          <w:b w:val="0"/>
          <w:bCs w:val="0"/>
        </w:rPr>
      </w:r>
      <w:r>
        <w:rPr>
          <w:rFonts w:ascii="Times New Roman" w:hAnsi="Times New Roman" w:cs="Times New Roman" w:eastAsia="Times New Roman" w:hint="default"/>
          <w:spacing w:val="-1"/>
        </w:rPr>
        <w:t>7</w:t>
      </w:r>
      <w:r>
        <w:rPr>
          <w:spacing w:val="-1"/>
        </w:rPr>
        <w:t>、本期内发生的估值技术变更及变更原因</w:t>
      </w:r>
      <w:r>
        <w:rPr>
          <w:spacing w:val="-86"/>
        </w:rPr>
        <w:t> </w:t>
      </w:r>
      <w:r>
        <w:rPr>
          <w:spacing w:val="-86"/>
        </w:rPr>
      </w:r>
      <w:r>
        <w:rPr>
          <w:rFonts w:ascii="宋体" w:hAnsi="宋体" w:cs="宋体" w:eastAsia="宋体" w:hint="default"/>
          <w:b w:val="0"/>
          <w:bCs w:val="0"/>
        </w:rPr>
        <w:t>无</w:t>
      </w:r>
    </w:p>
    <w:p>
      <w:pPr>
        <w:spacing w:line="240" w:lineRule="auto" w:before="1"/>
        <w:rPr>
          <w:rFonts w:ascii="宋体" w:hAnsi="宋体" w:cs="宋体" w:eastAsia="宋体" w:hint="default"/>
          <w:sz w:val="18"/>
          <w:szCs w:val="18"/>
        </w:rPr>
      </w:pPr>
    </w:p>
    <w:p>
      <w:pPr>
        <w:pStyle w:val="Heading4"/>
        <w:spacing w:line="472" w:lineRule="auto"/>
        <w:ind w:left="572" w:right="5025" w:hanging="420"/>
        <w:jc w:val="left"/>
        <w:rPr>
          <w:rFonts w:ascii="宋体" w:hAnsi="宋体" w:cs="宋体" w:eastAsia="宋体" w:hint="default"/>
          <w:b w:val="0"/>
          <w:bCs w:val="0"/>
        </w:rPr>
      </w:pPr>
      <w:bookmarkStart w:name="8、不以公允价值计量的金融资产和金融负债的公允价值情况" w:id="585"/>
      <w:bookmarkEnd w:id="585"/>
      <w:r>
        <w:rPr>
          <w:b w:val="0"/>
          <w:bCs w:val="0"/>
        </w:rPr>
      </w:r>
      <w:r>
        <w:rPr>
          <w:rFonts w:ascii="Times New Roman" w:hAnsi="Times New Roman" w:cs="Times New Roman" w:eastAsia="Times New Roman" w:hint="default"/>
          <w:spacing w:val="-1"/>
        </w:rPr>
        <w:t>8</w:t>
      </w:r>
      <w:r>
        <w:rPr>
          <w:spacing w:val="-1"/>
        </w:rPr>
        <w:t>、不以公允价值计量的金融资产和金融负债的公允价值情况</w:t>
      </w:r>
      <w:r>
        <w:rPr>
          <w:spacing w:val="-81"/>
        </w:rPr>
        <w:t> </w:t>
      </w:r>
      <w:r>
        <w:rPr>
          <w:spacing w:val="-81"/>
        </w:rPr>
      </w:r>
      <w:r>
        <w:rPr>
          <w:rFonts w:ascii="宋体" w:hAnsi="宋体" w:cs="宋体" w:eastAsia="宋体" w:hint="default"/>
          <w:b w:val="0"/>
          <w:bCs w:val="0"/>
        </w:rPr>
        <w:t>无</w:t>
      </w:r>
    </w:p>
    <w:p>
      <w:pPr>
        <w:spacing w:line="240" w:lineRule="auto" w:before="12"/>
        <w:rPr>
          <w:rFonts w:ascii="宋体" w:hAnsi="宋体" w:cs="宋体" w:eastAsia="宋体" w:hint="default"/>
          <w:sz w:val="17"/>
          <w:szCs w:val="17"/>
        </w:rPr>
      </w:pPr>
    </w:p>
    <w:p>
      <w:pPr>
        <w:pStyle w:val="Heading4"/>
        <w:spacing w:line="240" w:lineRule="auto"/>
        <w:ind w:right="1127"/>
        <w:jc w:val="left"/>
        <w:rPr>
          <w:b w:val="0"/>
          <w:bCs w:val="0"/>
        </w:rPr>
      </w:pPr>
      <w:bookmarkStart w:name="9、其他" w:id="586"/>
      <w:bookmarkEnd w:id="586"/>
      <w:r>
        <w:rPr>
          <w:b w:val="0"/>
          <w:bCs w:val="0"/>
        </w:rPr>
      </w:r>
      <w:r>
        <w:rPr>
          <w:rFonts w:ascii="Times New Roman" w:hAnsi="Times New Roman" w:cs="Times New Roman" w:eastAsia="Times New Roman" w:hint="default"/>
        </w:rPr>
        <w:t>9</w:t>
      </w:r>
      <w:r>
        <w:rPr/>
        <w:t>、其他</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right="1127"/>
        <w:jc w:val="left"/>
      </w:pPr>
      <w:r>
        <w:rPr>
          <w:w w:val="100"/>
        </w:rPr>
        <w:t>无</w:t>
      </w:r>
    </w:p>
    <w:p>
      <w:pPr>
        <w:spacing w:line="240" w:lineRule="auto" w:before="0"/>
        <w:rPr>
          <w:rFonts w:ascii="宋体" w:hAnsi="宋体" w:cs="宋体" w:eastAsia="宋体" w:hint="default"/>
          <w:sz w:val="20"/>
          <w:szCs w:val="20"/>
        </w:rPr>
      </w:pPr>
    </w:p>
    <w:p>
      <w:pPr>
        <w:pStyle w:val="Heading2"/>
        <w:spacing w:line="240" w:lineRule="auto" w:before="167"/>
        <w:ind w:right="1127"/>
        <w:jc w:val="left"/>
        <w:rPr>
          <w:b w:val="0"/>
          <w:bCs w:val="0"/>
        </w:rPr>
      </w:pPr>
      <w:bookmarkStart w:name="十二、关联方及关联交易" w:id="587"/>
      <w:bookmarkEnd w:id="587"/>
      <w:r>
        <w:rPr>
          <w:b w:val="0"/>
          <w:bCs w:val="0"/>
        </w:rPr>
      </w:r>
      <w:r>
        <w:rPr/>
        <w:t>十二、关联方及关联交易</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right="1127"/>
        <w:jc w:val="left"/>
        <w:rPr>
          <w:b w:val="0"/>
          <w:bCs w:val="0"/>
        </w:rPr>
      </w:pPr>
      <w:bookmarkStart w:name="1、本企业的母公司情况" w:id="588"/>
      <w:bookmarkEnd w:id="588"/>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3"/>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8"/>
      </w:tblGrid>
      <w:tr>
        <w:trPr>
          <w:trHeight w:val="557"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431"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343" w:right="74"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9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4" w:right="120"/>
              <w:jc w:val="left"/>
              <w:rPr>
                <w:rFonts w:ascii="宋体" w:hAnsi="宋体" w:cs="宋体" w:eastAsia="宋体" w:hint="default"/>
                <w:sz w:val="18"/>
                <w:szCs w:val="18"/>
              </w:rPr>
            </w:pPr>
            <w:r>
              <w:rPr>
                <w:rFonts w:ascii="宋体" w:hAnsi="宋体" w:cs="宋体" w:eastAsia="宋体" w:hint="default"/>
                <w:sz w:val="18"/>
                <w:szCs w:val="18"/>
              </w:rPr>
              <w:t>北京旋极信息技术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24"/>
              <w:jc w:val="left"/>
              <w:rPr>
                <w:rFonts w:ascii="宋体" w:hAnsi="宋体" w:cs="宋体" w:eastAsia="宋体" w:hint="default"/>
                <w:sz w:val="18"/>
                <w:szCs w:val="18"/>
              </w:rPr>
            </w:pPr>
            <w:r>
              <w:rPr>
                <w:rFonts w:ascii="宋体" w:hAnsi="宋体" w:cs="宋体" w:eastAsia="宋体" w:hint="default"/>
                <w:sz w:val="18"/>
                <w:szCs w:val="18"/>
              </w:rPr>
              <w:t>北京市海淀区丰秀 中路 </w:t>
            </w:r>
            <w:r>
              <w:rPr>
                <w:rFonts w:ascii="Times New Roman" w:hAnsi="Times New Roman" w:cs="Times New Roman" w:eastAsia="Times New Roman" w:hint="default"/>
                <w:sz w:val="18"/>
                <w:szCs w:val="18"/>
              </w:rPr>
              <w:t>3  </w:t>
            </w:r>
            <w:r>
              <w:rPr>
                <w:rFonts w:ascii="宋体" w:hAnsi="宋体" w:cs="宋体" w:eastAsia="宋体" w:hint="default"/>
                <w:sz w:val="18"/>
                <w:szCs w:val="18"/>
              </w:rPr>
              <w:t>号院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楼</w:t>
            </w:r>
            <w:r>
              <w:rPr>
                <w:rFonts w:ascii="Times New Roman" w:hAnsi="Times New Roman" w:cs="Times New Roman" w:eastAsia="Times New Roman" w:hint="default"/>
                <w:sz w:val="18"/>
                <w:szCs w:val="18"/>
              </w:rPr>
              <w:t>-1  </w:t>
            </w:r>
            <w:r>
              <w:rPr>
                <w:rFonts w:ascii="宋体" w:hAnsi="宋体" w:cs="宋体" w:eastAsia="宋体" w:hint="default"/>
                <w:sz w:val="18"/>
                <w:szCs w:val="18"/>
              </w:rPr>
              <w:t>至 </w:t>
            </w:r>
            <w:r>
              <w:rPr>
                <w:rFonts w:ascii="Times New Roman" w:hAnsi="Times New Roman" w:cs="Times New Roman" w:eastAsia="Times New Roman" w:hint="default"/>
                <w:sz w:val="18"/>
                <w:szCs w:val="18"/>
              </w:rPr>
              <w:t>5  </w:t>
            </w:r>
            <w:r>
              <w:rPr>
                <w:rFonts w:ascii="宋体" w:hAnsi="宋体" w:cs="宋体" w:eastAsia="宋体" w:hint="default"/>
                <w:sz w:val="18"/>
                <w:szCs w:val="18"/>
              </w:rPr>
              <w:t>层</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嵌入式产品的开发 </w:t>
            </w:r>
            <w:r>
              <w:rPr>
                <w:rFonts w:ascii="宋体" w:hAnsi="宋体" w:cs="宋体" w:eastAsia="宋体" w:hint="default"/>
                <w:spacing w:val="-10"/>
                <w:sz w:val="18"/>
                <w:szCs w:val="18"/>
              </w:rPr>
              <w:t>生产、销售和服务业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37"/>
              <w:ind w:left="115" w:right="0"/>
              <w:jc w:val="left"/>
              <w:rPr>
                <w:rFonts w:ascii="Times New Roman" w:hAnsi="Times New Roman" w:cs="Times New Roman" w:eastAsia="Times New Roman" w:hint="default"/>
                <w:sz w:val="18"/>
                <w:szCs w:val="18"/>
              </w:rPr>
            </w:pPr>
            <w:r>
              <w:rPr>
                <w:rFonts w:ascii="Times New Roman"/>
                <w:sz w:val="18"/>
              </w:rPr>
              <w:t>1,747,134,595.00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44" w:lineRule="auto" w:before="64"/>
        <w:ind w:right="7290"/>
        <w:jc w:val="left"/>
      </w:pPr>
      <w:r>
        <w:rPr/>
        <w:pict>
          <v:group style="position:absolute;margin-left:296.040009pt;margin-top:-39.616322pt;width:79.2pt;height:12.4pt;mso-position-horizontal-relative:page;mso-position-vertical-relative:paragraph;z-index:-1426192" coordorigin="5921,-792" coordsize="1584,248">
            <v:shape style="position:absolute;left:5921;top:-792;width:1584;height:248" coordorigin="5921,-792" coordsize="1584,248" path="m5921,-545l7505,-545,7505,-792,5921,-792,5921,-545xe" filled="true" fillcolor="#ffffff" stroked="false">
              <v:path arrowok="t"/>
              <v:fill type="solid"/>
            </v:shape>
            <w10:wrap type="none"/>
          </v:group>
        </w:pict>
      </w:r>
      <w:r>
        <w:rPr/>
        <w:t>本企业的母公司情况的说明</w:t>
      </w:r>
      <w:r>
        <w:rPr>
          <w:w w:val="100"/>
        </w:rPr>
        <w:t> </w:t>
      </w:r>
      <w:r>
        <w:rPr>
          <w:spacing w:val="-2"/>
        </w:rPr>
        <w:t>本企业最终控制方是陈江涛。</w:t>
      </w:r>
      <w:r>
        <w:rPr>
          <w:spacing w:val="-79"/>
        </w:rPr>
        <w:t> </w:t>
      </w:r>
      <w:r>
        <w:rPr>
          <w:spacing w:val="-79"/>
        </w:rPr>
      </w:r>
      <w:r>
        <w:rPr/>
        <w:t>其他说明：</w:t>
      </w:r>
    </w:p>
    <w:p>
      <w:pPr>
        <w:spacing w:line="240" w:lineRule="auto" w:before="11"/>
        <w:rPr>
          <w:rFonts w:ascii="宋体" w:hAnsi="宋体" w:cs="宋体" w:eastAsia="宋体" w:hint="default"/>
          <w:sz w:val="19"/>
          <w:szCs w:val="19"/>
        </w:rPr>
      </w:pPr>
    </w:p>
    <w:p>
      <w:pPr>
        <w:spacing w:line="470" w:lineRule="auto" w:before="0"/>
        <w:ind w:left="572" w:right="4340" w:hanging="420"/>
        <w:jc w:val="left"/>
        <w:rPr>
          <w:rFonts w:ascii="宋体" w:hAnsi="宋体" w:cs="宋体" w:eastAsia="宋体" w:hint="default"/>
          <w:sz w:val="21"/>
          <w:szCs w:val="21"/>
        </w:rPr>
      </w:pPr>
      <w:bookmarkStart w:name="2、本企业的子公司情况" w:id="589"/>
      <w:bookmarkEnd w:id="58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本企业子公司的情况详见附注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九、在其他主体中的权益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p>
      <w:pPr>
        <w:spacing w:line="240" w:lineRule="auto" w:before="3"/>
        <w:rPr>
          <w:rFonts w:ascii="宋体" w:hAnsi="宋体" w:cs="宋体" w:eastAsia="宋体" w:hint="default"/>
          <w:sz w:val="15"/>
          <w:szCs w:val="15"/>
        </w:rPr>
      </w:pPr>
    </w:p>
    <w:p>
      <w:pPr>
        <w:spacing w:line="470" w:lineRule="auto" w:before="0"/>
        <w:ind w:left="572" w:right="4066" w:hanging="420"/>
        <w:jc w:val="left"/>
        <w:rPr>
          <w:rFonts w:ascii="宋体" w:hAnsi="宋体" w:cs="宋体" w:eastAsia="宋体" w:hint="default"/>
          <w:sz w:val="21"/>
          <w:szCs w:val="21"/>
        </w:rPr>
      </w:pPr>
      <w:bookmarkStart w:name="3、本企业合营和联营企业情况" w:id="590"/>
      <w:bookmarkEnd w:id="59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8"/>
          <w:w w:val="100"/>
          <w:sz w:val="21"/>
          <w:szCs w:val="21"/>
        </w:rPr>
        <w:t>本企业重要的合营或联营企业详见附注</w:t>
      </w:r>
      <w:r>
        <w:rPr>
          <w:rFonts w:ascii="Times New Roman" w:hAnsi="Times New Roman" w:cs="Times New Roman" w:eastAsia="Times New Roman" w:hint="default"/>
          <w:spacing w:val="-8"/>
          <w:w w:val="100"/>
          <w:sz w:val="21"/>
          <w:szCs w:val="21"/>
        </w:rPr>
        <w:t>“</w:t>
      </w:r>
      <w:r>
        <w:rPr>
          <w:rFonts w:ascii="宋体" w:hAnsi="宋体" w:cs="宋体" w:eastAsia="宋体" w:hint="default"/>
          <w:spacing w:val="-8"/>
          <w:w w:val="100"/>
          <w:sz w:val="21"/>
          <w:szCs w:val="21"/>
        </w:rPr>
        <w:t>九、在其他主体中的权益</w:t>
      </w:r>
      <w:r>
        <w:rPr>
          <w:rFonts w:ascii="Times New Roman" w:hAnsi="Times New Roman" w:cs="Times New Roman" w:eastAsia="Times New Roman" w:hint="default"/>
          <w:spacing w:val="-8"/>
          <w:w w:val="100"/>
          <w:sz w:val="21"/>
          <w:szCs w:val="21"/>
        </w:rPr>
        <w:t>”</w:t>
      </w:r>
      <w:r>
        <w:rPr>
          <w:rFonts w:ascii="宋体" w:hAnsi="宋体" w:cs="宋体" w:eastAsia="宋体" w:hint="default"/>
          <w:spacing w:val="-8"/>
          <w:w w:val="100"/>
          <w:sz w:val="21"/>
          <w:szCs w:val="21"/>
        </w:rPr>
        <w:t>。。</w:t>
      </w:r>
      <w:r>
        <w:rPr>
          <w:rFonts w:ascii="宋体" w:hAnsi="宋体" w:cs="宋体" w:eastAsia="宋体" w:hint="default"/>
          <w:w w:val="100"/>
          <w:sz w:val="21"/>
          <w:szCs w:val="21"/>
        </w:rPr>
      </w:r>
    </w:p>
    <w:p>
      <w:pPr>
        <w:spacing w:after="0" w:line="470" w:lineRule="auto"/>
        <w:jc w:val="left"/>
        <w:rPr>
          <w:rFonts w:ascii="宋体" w:hAnsi="宋体" w:cs="宋体" w:eastAsia="宋体" w:hint="default"/>
          <w:sz w:val="21"/>
          <w:szCs w:val="21"/>
        </w:rPr>
        <w:sectPr>
          <w:pgSz w:w="11910" w:h="16840"/>
          <w:pgMar w:header="882" w:footer="1134" w:top="1280" w:bottom="1320" w:left="980" w:right="0"/>
        </w:sectPr>
      </w:pPr>
    </w:p>
    <w:p>
      <w:pPr>
        <w:pStyle w:val="BodyText"/>
        <w:spacing w:line="355" w:lineRule="auto" w:before="112"/>
        <w:ind w:left="152" w:right="1127" w:firstLine="420"/>
        <w:jc w:val="left"/>
      </w:pPr>
      <w:r>
        <w:rPr>
          <w:spacing w:val="-2"/>
        </w:rPr>
        <w:t>本期与本公司发生关联方交易，或前期与本公司发生关联方交易形成余额的其他合营或联营企业情况</w:t>
      </w:r>
      <w:r>
        <w:rPr>
          <w:w w:val="100"/>
        </w:rPr>
        <w:t> </w:t>
      </w:r>
      <w:r>
        <w:rPr/>
        <w:t>如下：</w:t>
      </w:r>
    </w:p>
    <w:p>
      <w:pPr>
        <w:spacing w:line="240" w:lineRule="auto" w:before="13"/>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北京汉荣捷通技术有限公司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沈阳旋飞航空技术有限公司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百望股份有限公司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北京旋极星达技术有限公司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北京中航通用科技有限公司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北京航星中云科技有限公司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西安兵标检测有限责任公司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子公司的联营企业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云南百望金赋科技有限公司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子公司的联营企业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成都凯天质检技术服务有限公司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子公司的联营企业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成都旋极星源信息技术有限公司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子公司的联营企业</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百望金赋科技有限公司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子公司的联营企业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安徵百旺金赋信息科技有限公司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子公司的原联营企业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深圳市百旺金赋科技有限公司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子公司的原联营企业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北京博大网信科技发展有限公司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子公司的联营企业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北京五维星宇科技有限公司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子公司的联营企业</w:t>
            </w:r>
          </w:p>
        </w:tc>
      </w:tr>
    </w:tbl>
    <w:p>
      <w:pPr>
        <w:pStyle w:val="BodyText"/>
        <w:spacing w:line="240" w:lineRule="auto" w:before="64"/>
        <w:ind w:left="22" w:right="8958"/>
        <w:jc w:val="center"/>
      </w:pPr>
      <w:r>
        <w:rPr/>
        <w:t>其他说明</w:t>
      </w:r>
    </w:p>
    <w:p>
      <w:pPr>
        <w:spacing w:line="240" w:lineRule="auto" w:before="0"/>
        <w:rPr>
          <w:rFonts w:ascii="宋体" w:hAnsi="宋体" w:cs="宋体" w:eastAsia="宋体" w:hint="default"/>
          <w:sz w:val="20"/>
          <w:szCs w:val="20"/>
        </w:rPr>
      </w:pPr>
    </w:p>
    <w:p>
      <w:pPr>
        <w:pStyle w:val="Heading4"/>
        <w:spacing w:line="240" w:lineRule="auto" w:before="174"/>
        <w:ind w:left="134" w:right="8957"/>
        <w:jc w:val="center"/>
        <w:rPr>
          <w:b w:val="0"/>
          <w:bCs w:val="0"/>
        </w:rPr>
      </w:pPr>
      <w:bookmarkStart w:name="4、其他关联方情况" w:id="591"/>
      <w:bookmarkEnd w:id="59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2"/>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刘希平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陈江涛之妻、本公司股东之一</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陈为群</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陈江涛之妹、本公司股东之一、财务负责人</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谢军伟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总经理</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本公司股东之一</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本公司股东之一、副总经理、董事</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于明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李景辉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李绍滨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赵庭荣</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本公司股东之一、副总经理</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本公司股东之一、副总经理、董事会秘书</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周翔</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本公司股东之一</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邹卫明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颜小品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监事</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夏林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监事</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白巍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本公司股东之一，原监事</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刘明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本公司股东之一，原董事、总经理、财务负责人</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王益民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本公司股东之一，原监事会主席</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北京中天华胜科技有限公司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子公司的其他股东</w:t>
            </w:r>
          </w:p>
        </w:tc>
      </w:tr>
    </w:tbl>
    <w:p>
      <w:pPr>
        <w:spacing w:after="0" w:line="240" w:lineRule="auto"/>
        <w:jc w:val="center"/>
        <w:rPr>
          <w:rFonts w:ascii="宋体" w:hAnsi="宋体" w:cs="宋体" w:eastAsia="宋体"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b/>
          <w:bCs/>
          <w:sz w:val="11"/>
          <w:szCs w:val="11"/>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07"/>
              <w:jc w:val="right"/>
              <w:rPr>
                <w:rFonts w:ascii="宋体" w:hAnsi="宋体" w:cs="宋体" w:eastAsia="宋体" w:hint="default"/>
                <w:sz w:val="18"/>
                <w:szCs w:val="18"/>
              </w:rPr>
            </w:pPr>
            <w:r>
              <w:rPr>
                <w:rFonts w:ascii="宋体" w:hAnsi="宋体" w:cs="宋体" w:eastAsia="宋体" w:hint="default"/>
                <w:sz w:val="18"/>
                <w:szCs w:val="18"/>
              </w:rPr>
              <w:t>北京瑞极通达科技有限公司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最终控制方及关键管理人员施加重大影响的其他企业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07"/>
              <w:jc w:val="right"/>
              <w:rPr>
                <w:rFonts w:ascii="宋体" w:hAnsi="宋体" w:cs="宋体" w:eastAsia="宋体" w:hint="default"/>
                <w:sz w:val="18"/>
                <w:szCs w:val="18"/>
              </w:rPr>
            </w:pPr>
            <w:r>
              <w:rPr>
                <w:rFonts w:ascii="宋体" w:hAnsi="宋体" w:cs="宋体" w:eastAsia="宋体" w:hint="default"/>
                <w:sz w:val="18"/>
                <w:szCs w:val="18"/>
              </w:rPr>
              <w:t>上海泰豪环境科技有限公司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孙公司上海信业智能科技有限公司董监高任职的公司</w:t>
            </w:r>
          </w:p>
        </w:tc>
      </w:tr>
    </w:tbl>
    <w:p>
      <w:pPr>
        <w:pStyle w:val="BodyText"/>
        <w:spacing w:line="240" w:lineRule="auto" w:before="64"/>
        <w:ind w:left="134" w:right="9168"/>
        <w:jc w:val="center"/>
      </w:pPr>
      <w:r>
        <w:rPr/>
        <w:t>其他说明</w:t>
      </w:r>
    </w:p>
    <w:p>
      <w:pPr>
        <w:spacing w:line="240" w:lineRule="auto" w:before="0"/>
        <w:rPr>
          <w:rFonts w:ascii="宋体" w:hAnsi="宋体" w:cs="宋体" w:eastAsia="宋体" w:hint="default"/>
          <w:sz w:val="20"/>
          <w:szCs w:val="20"/>
        </w:rPr>
      </w:pPr>
    </w:p>
    <w:p>
      <w:pPr>
        <w:pStyle w:val="Heading4"/>
        <w:spacing w:line="240" w:lineRule="auto" w:before="174"/>
        <w:ind w:right="1127"/>
        <w:jc w:val="left"/>
        <w:rPr>
          <w:b w:val="0"/>
          <w:bCs w:val="0"/>
        </w:rPr>
      </w:pPr>
      <w:bookmarkStart w:name="5、关联交易情况" w:id="592"/>
      <w:bookmarkEnd w:id="59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1"/>
          <w:szCs w:val="21"/>
        </w:rPr>
      </w:pPr>
    </w:p>
    <w:p>
      <w:pPr>
        <w:spacing w:line="470" w:lineRule="auto" w:before="0"/>
        <w:ind w:left="572" w:right="5512" w:hanging="421"/>
        <w:jc w:val="left"/>
        <w:rPr>
          <w:rFonts w:ascii="宋体" w:hAnsi="宋体" w:cs="宋体" w:eastAsia="宋体" w:hint="default"/>
          <w:sz w:val="21"/>
          <w:szCs w:val="21"/>
        </w:rPr>
      </w:pPr>
      <w:bookmarkStart w:name="（1）购销商品、提供和接受劳务的关联交易" w:id="593"/>
      <w:bookmarkEnd w:id="593"/>
      <w:r>
        <w:rPr/>
      </w: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）购销商品、提供和接受劳务的关联交易</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spacing w:line="234" w:lineRule="exact"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41"/>
        <w:gridCol w:w="1454"/>
        <w:gridCol w:w="1452"/>
        <w:gridCol w:w="1709"/>
        <w:gridCol w:w="1706"/>
        <w:gridCol w:w="1706"/>
      </w:tblGrid>
      <w:tr>
        <w:trPr>
          <w:trHeight w:val="324" w:hRule="exact"/>
        </w:trPr>
        <w:tc>
          <w:tcPr>
            <w:tcW w:w="15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65"/>
              <w:jc w:val="left"/>
              <w:rPr>
                <w:rFonts w:ascii="宋体" w:hAnsi="宋体" w:cs="宋体" w:eastAsia="宋体" w:hint="default"/>
                <w:sz w:val="18"/>
                <w:szCs w:val="18"/>
              </w:rPr>
            </w:pPr>
            <w:r>
              <w:rPr>
                <w:rFonts w:ascii="宋体" w:hAnsi="宋体" w:cs="宋体" w:eastAsia="宋体" w:hint="default"/>
                <w:sz w:val="18"/>
                <w:szCs w:val="18"/>
              </w:rPr>
              <w:t>北京汉荣捷通技术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49,412.86</w:t>
            </w:r>
          </w:p>
        </w:tc>
      </w:tr>
      <w:tr>
        <w:trPr>
          <w:trHeight w:val="32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1"/>
              <w:jc w:val="center"/>
              <w:rPr>
                <w:rFonts w:ascii="宋体" w:hAnsi="宋体" w:cs="宋体" w:eastAsia="宋体" w:hint="default"/>
                <w:sz w:val="18"/>
                <w:szCs w:val="18"/>
              </w:rPr>
            </w:pPr>
            <w:r>
              <w:rPr>
                <w:rFonts w:ascii="宋体" w:hAnsi="宋体" w:cs="宋体" w:eastAsia="宋体" w:hint="default"/>
                <w:sz w:val="18"/>
                <w:szCs w:val="18"/>
              </w:rPr>
              <w:t>百望股份有限公司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95,129.57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444.44</w:t>
            </w:r>
            <w:r>
              <w:rPr>
                <w:rFonts w:ascii="Times New Roman"/>
                <w:sz w:val="18"/>
              </w:rPr>
            </w:r>
          </w:p>
        </w:tc>
      </w:tr>
      <w:tr>
        <w:trPr>
          <w:trHeight w:val="55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65"/>
              <w:jc w:val="left"/>
              <w:rPr>
                <w:rFonts w:ascii="宋体" w:hAnsi="宋体" w:cs="宋体" w:eastAsia="宋体" w:hint="default"/>
                <w:sz w:val="18"/>
                <w:szCs w:val="18"/>
              </w:rPr>
            </w:pPr>
            <w:r>
              <w:rPr>
                <w:rFonts w:ascii="宋体" w:hAnsi="宋体" w:cs="宋体" w:eastAsia="宋体" w:hint="default"/>
                <w:sz w:val="18"/>
                <w:szCs w:val="18"/>
              </w:rPr>
              <w:t>北京旋极星达技术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57,155.17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174,156.10</w:t>
            </w:r>
          </w:p>
        </w:tc>
      </w:tr>
      <w:tr>
        <w:trPr>
          <w:trHeight w:val="55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65"/>
              <w:jc w:val="left"/>
              <w:rPr>
                <w:rFonts w:ascii="宋体" w:hAnsi="宋体" w:cs="宋体" w:eastAsia="宋体" w:hint="default"/>
                <w:sz w:val="18"/>
                <w:szCs w:val="18"/>
              </w:rPr>
            </w:pPr>
            <w:r>
              <w:rPr>
                <w:rFonts w:ascii="宋体" w:hAnsi="宋体" w:cs="宋体" w:eastAsia="宋体" w:hint="default"/>
                <w:sz w:val="18"/>
                <w:szCs w:val="18"/>
              </w:rPr>
              <w:t>北京中航通用科技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8,063,804.89</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1,319,937.59</w:t>
            </w:r>
            <w:r>
              <w:rPr>
                <w:rFonts w:ascii="Times New Roman"/>
                <w:sz w:val="18"/>
              </w:rPr>
            </w:r>
          </w:p>
        </w:tc>
      </w:tr>
      <w:tr>
        <w:trPr>
          <w:trHeight w:val="55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65"/>
              <w:jc w:val="left"/>
              <w:rPr>
                <w:rFonts w:ascii="宋体" w:hAnsi="宋体" w:cs="宋体" w:eastAsia="宋体" w:hint="default"/>
                <w:sz w:val="18"/>
                <w:szCs w:val="18"/>
              </w:rPr>
            </w:pPr>
            <w:r>
              <w:rPr>
                <w:rFonts w:ascii="宋体" w:hAnsi="宋体" w:cs="宋体" w:eastAsia="宋体" w:hint="default"/>
                <w:sz w:val="18"/>
                <w:szCs w:val="18"/>
              </w:rPr>
              <w:t>百望金赋科技有限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19,322,029.72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21,038,427.49</w:t>
            </w:r>
          </w:p>
        </w:tc>
      </w:tr>
      <w:tr>
        <w:trPr>
          <w:trHeight w:val="55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65"/>
              <w:jc w:val="left"/>
              <w:rPr>
                <w:rFonts w:ascii="宋体" w:hAnsi="宋体" w:cs="宋体" w:eastAsia="宋体" w:hint="default"/>
                <w:sz w:val="18"/>
                <w:szCs w:val="18"/>
              </w:rPr>
            </w:pPr>
            <w:r>
              <w:rPr>
                <w:rFonts w:ascii="宋体" w:hAnsi="宋体" w:cs="宋体" w:eastAsia="宋体" w:hint="default"/>
                <w:sz w:val="18"/>
                <w:szCs w:val="18"/>
              </w:rPr>
              <w:t>北京中天华胜科技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55,251.14</w:t>
            </w:r>
          </w:p>
        </w:tc>
      </w:tr>
      <w:tr>
        <w:trPr>
          <w:trHeight w:val="55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65"/>
              <w:jc w:val="left"/>
              <w:rPr>
                <w:rFonts w:ascii="宋体" w:hAnsi="宋体" w:cs="宋体" w:eastAsia="宋体" w:hint="default"/>
                <w:sz w:val="18"/>
                <w:szCs w:val="18"/>
              </w:rPr>
            </w:pPr>
            <w:r>
              <w:rPr>
                <w:rFonts w:ascii="宋体" w:hAnsi="宋体" w:cs="宋体" w:eastAsia="宋体" w:hint="default"/>
                <w:sz w:val="18"/>
                <w:szCs w:val="18"/>
              </w:rPr>
              <w:t>北京航星中云科技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120,353.98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65"/>
              <w:jc w:val="left"/>
              <w:rPr>
                <w:rFonts w:ascii="宋体" w:hAnsi="宋体" w:cs="宋体" w:eastAsia="宋体" w:hint="default"/>
                <w:sz w:val="18"/>
                <w:szCs w:val="18"/>
              </w:rPr>
            </w:pPr>
            <w:r>
              <w:rPr>
                <w:rFonts w:ascii="宋体" w:hAnsi="宋体" w:cs="宋体" w:eastAsia="宋体" w:hint="default"/>
                <w:sz w:val="18"/>
                <w:szCs w:val="18"/>
              </w:rPr>
              <w:t>北京汉荣捷通技术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2,683,777.48</w:t>
            </w:r>
            <w:r>
              <w:rPr>
                <w:rFonts w:ascii="Times New Roman"/>
                <w:sz w:val="18"/>
              </w:rPr>
            </w:r>
          </w:p>
        </w:tc>
      </w:tr>
      <w:tr>
        <w:trPr>
          <w:trHeight w:val="32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1"/>
              <w:jc w:val="center"/>
              <w:rPr>
                <w:rFonts w:ascii="宋体" w:hAnsi="宋体" w:cs="宋体" w:eastAsia="宋体" w:hint="default"/>
                <w:sz w:val="18"/>
                <w:szCs w:val="18"/>
              </w:rPr>
            </w:pPr>
            <w:r>
              <w:rPr>
                <w:rFonts w:ascii="宋体" w:hAnsi="宋体" w:cs="宋体" w:eastAsia="宋体" w:hint="default"/>
                <w:sz w:val="18"/>
                <w:szCs w:val="18"/>
              </w:rPr>
              <w:t>百望股份有限公司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70,754.72</w:t>
            </w:r>
          </w:p>
        </w:tc>
      </w:tr>
      <w:tr>
        <w:trPr>
          <w:trHeight w:val="55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65"/>
              <w:jc w:val="left"/>
              <w:rPr>
                <w:rFonts w:ascii="宋体" w:hAnsi="宋体" w:cs="宋体" w:eastAsia="宋体" w:hint="default"/>
                <w:sz w:val="18"/>
                <w:szCs w:val="18"/>
              </w:rPr>
            </w:pPr>
            <w:r>
              <w:rPr>
                <w:rFonts w:ascii="宋体" w:hAnsi="宋体" w:cs="宋体" w:eastAsia="宋体" w:hint="default"/>
                <w:sz w:val="18"/>
                <w:szCs w:val="18"/>
              </w:rPr>
              <w:t>成都旋极星源信息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559,545.00</w:t>
            </w:r>
          </w:p>
        </w:tc>
      </w:tr>
      <w:tr>
        <w:trPr>
          <w:trHeight w:val="55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65"/>
              <w:jc w:val="left"/>
              <w:rPr>
                <w:rFonts w:ascii="宋体" w:hAnsi="宋体" w:cs="宋体" w:eastAsia="宋体" w:hint="default"/>
                <w:sz w:val="18"/>
                <w:szCs w:val="18"/>
              </w:rPr>
            </w:pPr>
            <w:r>
              <w:rPr>
                <w:rFonts w:ascii="宋体" w:hAnsi="宋体" w:cs="宋体" w:eastAsia="宋体" w:hint="default"/>
                <w:sz w:val="18"/>
                <w:szCs w:val="18"/>
              </w:rPr>
              <w:t>百望金赋科技有限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2,232,063.82</w:t>
            </w:r>
            <w:r>
              <w:rPr>
                <w:rFonts w:ascii="Times New Roman"/>
                <w:sz w:val="18"/>
              </w:rPr>
            </w:r>
          </w:p>
        </w:tc>
      </w:tr>
      <w:tr>
        <w:trPr>
          <w:trHeight w:val="55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65"/>
              <w:jc w:val="left"/>
              <w:rPr>
                <w:rFonts w:ascii="宋体" w:hAnsi="宋体" w:cs="宋体" w:eastAsia="宋体" w:hint="default"/>
                <w:sz w:val="18"/>
                <w:szCs w:val="18"/>
              </w:rPr>
            </w:pPr>
            <w:r>
              <w:rPr>
                <w:rFonts w:ascii="宋体" w:hAnsi="宋体" w:cs="宋体" w:eastAsia="宋体" w:hint="default"/>
                <w:sz w:val="18"/>
                <w:szCs w:val="18"/>
              </w:rPr>
              <w:t>北京中天华胜科技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1,412,617.80</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679,716.98</w:t>
            </w:r>
          </w:p>
        </w:tc>
      </w:tr>
      <w:tr>
        <w:trPr>
          <w:trHeight w:val="55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65"/>
              <w:jc w:val="left"/>
              <w:rPr>
                <w:rFonts w:ascii="宋体" w:hAnsi="宋体" w:cs="宋体" w:eastAsia="宋体" w:hint="default"/>
                <w:sz w:val="18"/>
                <w:szCs w:val="18"/>
              </w:rPr>
            </w:pPr>
            <w:r>
              <w:rPr>
                <w:rFonts w:ascii="宋体" w:hAnsi="宋体" w:cs="宋体" w:eastAsia="宋体" w:hint="default"/>
                <w:sz w:val="18"/>
                <w:szCs w:val="18"/>
              </w:rPr>
              <w:t>西安兵标检测有限 责任公司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517,241.40</w:t>
            </w:r>
          </w:p>
        </w:tc>
      </w:tr>
      <w:tr>
        <w:trPr>
          <w:trHeight w:val="55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65"/>
              <w:jc w:val="left"/>
              <w:rPr>
                <w:rFonts w:ascii="宋体" w:hAnsi="宋体" w:cs="宋体" w:eastAsia="宋体" w:hint="default"/>
                <w:sz w:val="18"/>
                <w:szCs w:val="18"/>
              </w:rPr>
            </w:pPr>
            <w:r>
              <w:rPr>
                <w:rFonts w:ascii="宋体" w:hAnsi="宋体" w:cs="宋体" w:eastAsia="宋体" w:hint="default"/>
                <w:sz w:val="18"/>
                <w:szCs w:val="18"/>
              </w:rPr>
              <w:t>北京瑞极通达科技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2,641,509.44</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65"/>
              <w:jc w:val="left"/>
              <w:rPr>
                <w:rFonts w:ascii="宋体" w:hAnsi="宋体" w:cs="宋体" w:eastAsia="宋体" w:hint="default"/>
                <w:sz w:val="18"/>
                <w:szCs w:val="18"/>
              </w:rPr>
            </w:pPr>
            <w:r>
              <w:rPr>
                <w:rFonts w:ascii="宋体" w:hAnsi="宋体" w:cs="宋体" w:eastAsia="宋体" w:hint="default"/>
                <w:sz w:val="18"/>
                <w:szCs w:val="18"/>
              </w:rPr>
              <w:t>北京博大网信科技 发展有限公司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13,959,673.93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65"/>
              <w:jc w:val="left"/>
              <w:rPr>
                <w:rFonts w:ascii="宋体" w:hAnsi="宋体" w:cs="宋体" w:eastAsia="宋体" w:hint="default"/>
                <w:sz w:val="18"/>
                <w:szCs w:val="18"/>
              </w:rPr>
            </w:pPr>
            <w:r>
              <w:rPr>
                <w:rFonts w:ascii="宋体" w:hAnsi="宋体" w:cs="宋体" w:eastAsia="宋体" w:hint="default"/>
                <w:sz w:val="18"/>
                <w:szCs w:val="18"/>
              </w:rPr>
              <w:t>北京博大网信科技 发展有限公司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2,029,327.99</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65"/>
              <w:jc w:val="left"/>
              <w:rPr>
                <w:rFonts w:ascii="宋体" w:hAnsi="宋体" w:cs="宋体" w:eastAsia="宋体" w:hint="default"/>
                <w:sz w:val="18"/>
                <w:szCs w:val="18"/>
              </w:rPr>
            </w:pPr>
            <w:r>
              <w:rPr>
                <w:rFonts w:ascii="宋体" w:hAnsi="宋体" w:cs="宋体" w:eastAsia="宋体" w:hint="default"/>
                <w:sz w:val="18"/>
                <w:szCs w:val="18"/>
              </w:rPr>
              <w:t>北京五维星宇科技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1,769,911.50</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65"/>
              <w:jc w:val="left"/>
              <w:rPr>
                <w:rFonts w:ascii="宋体" w:hAnsi="宋体" w:cs="宋体" w:eastAsia="宋体" w:hint="default"/>
                <w:sz w:val="18"/>
                <w:szCs w:val="18"/>
              </w:rPr>
            </w:pPr>
            <w:r>
              <w:rPr>
                <w:rFonts w:ascii="宋体" w:hAnsi="宋体" w:cs="宋体" w:eastAsia="宋体" w:hint="default"/>
                <w:sz w:val="18"/>
                <w:szCs w:val="18"/>
              </w:rPr>
              <w:t>上海泰豪环境科技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6,407,337.07</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4"/>
        <w:ind w:right="1127"/>
        <w:jc w:val="left"/>
      </w:pPr>
      <w:r>
        <w:rPr/>
        <w:t>出售商品</w:t>
      </w:r>
      <w:r>
        <w:rPr>
          <w:rFonts w:ascii="Times New Roman" w:hAnsi="Times New Roman" w:cs="Times New Roman" w:eastAsia="Times New Roman" w:hint="default"/>
        </w:rPr>
        <w:t>/</w:t>
      </w:r>
      <w:r>
        <w:rPr/>
        <w:t>提供劳务情况表</w:t>
      </w:r>
    </w:p>
    <w:p>
      <w:pPr>
        <w:spacing w:after="0" w:line="240" w:lineRule="auto"/>
        <w:jc w:val="left"/>
        <w:sectPr>
          <w:pgSz w:w="11910" w:h="16840"/>
          <w:pgMar w:header="882" w:footer="1134" w:top="1280" w:bottom="1320" w:left="980" w:right="0"/>
        </w:sectPr>
      </w:pPr>
    </w:p>
    <w:p>
      <w:pPr>
        <w:spacing w:before="113"/>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8"/>
        <w:gridCol w:w="2258"/>
        <w:gridCol w:w="2258"/>
        <w:gridCol w:w="2654"/>
      </w:tblGrid>
      <w:tr>
        <w:trPr>
          <w:trHeight w:val="324" w:hRule="exact"/>
        </w:trPr>
        <w:tc>
          <w:tcPr>
            <w:tcW w:w="23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北京汉荣捷通技术有限公司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0.01</w:t>
            </w:r>
            <w:r>
              <w:rPr>
                <w:rFonts w:ascii="Times New Roman"/>
                <w:sz w:val="18"/>
              </w:rPr>
            </w:r>
          </w:p>
        </w:tc>
      </w:tr>
      <w:tr>
        <w:trPr>
          <w:trHeight w:val="557"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23"/>
              <w:jc w:val="left"/>
              <w:rPr>
                <w:rFonts w:ascii="宋体" w:hAnsi="宋体" w:cs="宋体" w:eastAsia="宋体" w:hint="default"/>
                <w:sz w:val="18"/>
                <w:szCs w:val="18"/>
              </w:rPr>
            </w:pPr>
            <w:r>
              <w:rPr>
                <w:rFonts w:ascii="宋体" w:hAnsi="宋体" w:cs="宋体" w:eastAsia="宋体" w:hint="default"/>
                <w:sz w:val="18"/>
                <w:szCs w:val="18"/>
              </w:rPr>
              <w:t>安徵百旺金赋信息科技有限公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3,188,900.00</w:t>
            </w:r>
            <w:r>
              <w:rPr>
                <w:rFonts w:ascii="Times New Roman"/>
                <w:sz w:val="18"/>
              </w:rPr>
            </w:r>
          </w:p>
        </w:tc>
      </w:tr>
      <w:tr>
        <w:trPr>
          <w:trHeight w:val="32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百望股份有限公司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10,477,974.10</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4,588,831.03</w:t>
            </w:r>
            <w:r>
              <w:rPr>
                <w:rFonts w:ascii="Times New Roman"/>
                <w:sz w:val="18"/>
              </w:rPr>
            </w:r>
          </w:p>
        </w:tc>
      </w:tr>
      <w:tr>
        <w:trPr>
          <w:trHeight w:val="32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云南百望金赋科技有限公司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11,648,947.83</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6,029,283.81</w:t>
            </w:r>
            <w:r>
              <w:rPr>
                <w:rFonts w:ascii="Times New Roman"/>
                <w:sz w:val="18"/>
              </w:rPr>
            </w:r>
          </w:p>
        </w:tc>
      </w:tr>
      <w:tr>
        <w:trPr>
          <w:trHeight w:val="32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深圳市百旺金赋科技有限公司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1,224,396.55</w:t>
            </w:r>
            <w:r>
              <w:rPr>
                <w:rFonts w:ascii="Times New Roman"/>
                <w:sz w:val="18"/>
              </w:rPr>
            </w:r>
          </w:p>
        </w:tc>
      </w:tr>
      <w:tr>
        <w:trPr>
          <w:trHeight w:val="32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百望金赋科技有限公司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8,396,266.18</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50,862.07</w:t>
            </w:r>
          </w:p>
        </w:tc>
      </w:tr>
      <w:tr>
        <w:trPr>
          <w:trHeight w:val="32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北京中天华胜科技有限公司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1,264,994.61</w:t>
            </w:r>
            <w:r>
              <w:rPr>
                <w:rFonts w:ascii="Times New Roman"/>
                <w:sz w:val="18"/>
              </w:rPr>
            </w:r>
          </w:p>
        </w:tc>
      </w:tr>
      <w:tr>
        <w:trPr>
          <w:trHeight w:val="32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北京中航通用科技有限公司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196,821.78</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60,367.92</w:t>
            </w:r>
          </w:p>
        </w:tc>
      </w:tr>
      <w:tr>
        <w:trPr>
          <w:trHeight w:val="32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云南百望金赋科技有限公司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1,940,264.15</w:t>
            </w:r>
            <w:r>
              <w:rPr>
                <w:rFonts w:ascii="Times New Roman"/>
                <w:sz w:val="18"/>
              </w:rPr>
            </w:r>
          </w:p>
        </w:tc>
      </w:tr>
      <w:tr>
        <w:trPr>
          <w:trHeight w:val="557"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23"/>
              <w:jc w:val="left"/>
              <w:rPr>
                <w:rFonts w:ascii="宋体" w:hAnsi="宋体" w:cs="宋体" w:eastAsia="宋体" w:hint="default"/>
                <w:sz w:val="18"/>
                <w:szCs w:val="18"/>
              </w:rPr>
            </w:pPr>
            <w:r>
              <w:rPr>
                <w:rFonts w:ascii="宋体" w:hAnsi="宋体" w:cs="宋体" w:eastAsia="宋体" w:hint="default"/>
                <w:sz w:val="18"/>
                <w:szCs w:val="18"/>
              </w:rPr>
              <w:t>成都凯天质检技术服务有限公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1,667,884.71</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4,019,125.78</w:t>
            </w:r>
            <w:r>
              <w:rPr>
                <w:rFonts w:ascii="Times New Roman"/>
                <w:sz w:val="18"/>
              </w:rPr>
            </w:r>
          </w:p>
        </w:tc>
      </w:tr>
      <w:tr>
        <w:trPr>
          <w:trHeight w:val="32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上海泰豪环境科技有限公司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730,172.41</w:t>
            </w:r>
          </w:p>
        </w:tc>
        <w:tc>
          <w:tcPr>
            <w:tcW w:w="265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4"/>
        <w:ind w:right="1127"/>
        <w:jc w:val="left"/>
      </w:pPr>
      <w:r>
        <w:rPr/>
        <w:t>购销商品、提供和接受劳务的关联交易说明</w:t>
      </w:r>
    </w:p>
    <w:p>
      <w:pPr>
        <w:spacing w:line="240" w:lineRule="auto" w:before="0"/>
        <w:rPr>
          <w:rFonts w:ascii="宋体" w:hAnsi="宋体" w:cs="宋体" w:eastAsia="宋体" w:hint="default"/>
          <w:sz w:val="20"/>
          <w:szCs w:val="20"/>
        </w:rPr>
      </w:pPr>
    </w:p>
    <w:p>
      <w:pPr>
        <w:spacing w:line="472" w:lineRule="auto" w:before="174"/>
        <w:ind w:left="572" w:right="5512" w:hanging="420"/>
        <w:jc w:val="left"/>
        <w:rPr>
          <w:rFonts w:ascii="宋体" w:hAnsi="宋体" w:cs="宋体" w:eastAsia="宋体" w:hint="default"/>
          <w:sz w:val="21"/>
          <w:szCs w:val="21"/>
        </w:rPr>
      </w:pPr>
      <w:bookmarkStart w:name="（2）关联受托管理/承包及委托管理/出包情况" w:id="594"/>
      <w:bookmarkEnd w:id="594"/>
      <w:r>
        <w:rPr/>
      </w: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）关联受托管理</w:t>
      </w:r>
      <w:r>
        <w:rPr>
          <w:rFonts w:ascii="Times New Roman" w:hAnsi="Times New Roman" w:cs="Times New Roman" w:eastAsia="Times New Roman" w:hint="default"/>
          <w:b/>
          <w:bCs/>
          <w:spacing w:val="-1"/>
          <w:sz w:val="21"/>
          <w:szCs w:val="21"/>
        </w:rPr>
        <w:t>/</w:t>
      </w:r>
      <w:r>
        <w:rPr>
          <w:rFonts w:ascii="宋体" w:hAnsi="宋体" w:cs="宋体" w:eastAsia="宋体" w:hint="default"/>
          <w:b/>
          <w:bCs/>
          <w:spacing w:val="-1"/>
          <w:sz w:val="21"/>
          <w:szCs w:val="21"/>
        </w:rPr>
        <w:t>承包及委托管理</w:t>
      </w:r>
      <w:r>
        <w:rPr>
          <w:rFonts w:ascii="Times New Roman" w:hAnsi="Times New Roman" w:cs="Times New Roman" w:eastAsia="Times New Roman" w:hint="default"/>
          <w:b/>
          <w:bCs/>
          <w:spacing w:val="-1"/>
          <w:sz w:val="21"/>
          <w:szCs w:val="21"/>
        </w:rPr>
        <w:t>/</w:t>
      </w:r>
      <w:r>
        <w:rPr>
          <w:rFonts w:ascii="宋体" w:hAnsi="宋体" w:cs="宋体" w:eastAsia="宋体" w:hint="default"/>
          <w:b/>
          <w:bCs/>
          <w:spacing w:val="-1"/>
          <w:sz w:val="21"/>
          <w:szCs w:val="21"/>
        </w:rPr>
        <w:t>出包情况</w:t>
      </w:r>
      <w:r>
        <w:rPr>
          <w:rFonts w:ascii="宋体" w:hAnsi="宋体" w:cs="宋体" w:eastAsia="宋体" w:hint="default"/>
          <w:b/>
          <w:bCs/>
          <w:spacing w:val="-83"/>
          <w:sz w:val="21"/>
          <w:szCs w:val="21"/>
        </w:rPr>
        <w:t> </w:t>
      </w:r>
      <w:r>
        <w:rPr>
          <w:rFonts w:ascii="宋体" w:hAnsi="宋体" w:cs="宋体" w:eastAsia="宋体" w:hint="default"/>
          <w:sz w:val="21"/>
          <w:szCs w:val="21"/>
        </w:rPr>
        <w:t>本公司受托管理</w:t>
      </w:r>
      <w:r>
        <w:rPr>
          <w:rFonts w:ascii="Times New Roman" w:hAnsi="Times New Roman" w:cs="Times New Roman" w:eastAsia="Times New Roman" w:hint="default"/>
          <w:sz w:val="21"/>
          <w:szCs w:val="21"/>
        </w:rPr>
        <w:t>/</w:t>
      </w:r>
      <w:r>
        <w:rPr>
          <w:rFonts w:ascii="宋体" w:hAnsi="宋体" w:cs="宋体" w:eastAsia="宋体" w:hint="default"/>
          <w:sz w:val="21"/>
          <w:szCs w:val="21"/>
        </w:rPr>
        <w:t>承包情况表：</w:t>
      </w:r>
    </w:p>
    <w:p>
      <w:pPr>
        <w:spacing w:line="232" w:lineRule="exact"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557"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4"/>
              <w:ind w:left="589" w:right="23"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4"/>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4"/>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4"/>
              <w:ind w:left="227"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4"/>
              <w:ind w:left="112" w:right="3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pStyle w:val="BodyText"/>
        <w:spacing w:line="417" w:lineRule="auto" w:before="65"/>
        <w:ind w:right="5512"/>
        <w:jc w:val="left"/>
      </w:pPr>
      <w:r>
        <w:rPr/>
        <w:t>关联托管</w:t>
      </w:r>
      <w:r>
        <w:rPr>
          <w:rFonts w:ascii="Times New Roman" w:hAnsi="Times New Roman" w:cs="Times New Roman" w:eastAsia="Times New Roman" w:hint="default"/>
        </w:rPr>
        <w:t>/</w:t>
      </w:r>
      <w:r>
        <w:rPr/>
        <w:t>承包情况说明</w:t>
      </w:r>
      <w:r>
        <w:rPr>
          <w:spacing w:val="-3"/>
          <w:w w:val="100"/>
        </w:rPr>
        <w:t> </w:t>
      </w:r>
      <w:r>
        <w:rPr>
          <w:spacing w:val="-2"/>
        </w:rPr>
        <w:t>本公司委托管理</w:t>
      </w:r>
      <w:r>
        <w:rPr>
          <w:rFonts w:ascii="Times New Roman" w:hAnsi="Times New Roman" w:cs="Times New Roman" w:eastAsia="Times New Roman" w:hint="default"/>
          <w:spacing w:val="-2"/>
        </w:rPr>
        <w:t>/</w:t>
      </w:r>
      <w:r>
        <w:rPr>
          <w:spacing w:val="-2"/>
        </w:rPr>
        <w:t>出包情况表：</w:t>
      </w:r>
    </w:p>
    <w:p>
      <w:pPr>
        <w:spacing w:before="49"/>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557"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589" w:right="23"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407"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292" w:right="3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64"/>
        <w:ind w:right="1127"/>
        <w:jc w:val="left"/>
      </w:pPr>
      <w:r>
        <w:rPr/>
        <w:t>关联管理</w:t>
      </w:r>
      <w:r>
        <w:rPr>
          <w:rFonts w:ascii="Times New Roman" w:hAnsi="Times New Roman" w:cs="Times New Roman" w:eastAsia="Times New Roman" w:hint="default"/>
        </w:rPr>
        <w:t>/</w:t>
      </w:r>
      <w:r>
        <w:rPr/>
        <w:t>出包情况说明</w:t>
      </w:r>
    </w:p>
    <w:p>
      <w:pPr>
        <w:spacing w:line="240" w:lineRule="auto" w:before="3"/>
        <w:rPr>
          <w:rFonts w:ascii="宋体" w:hAnsi="宋体" w:cs="宋体" w:eastAsia="宋体" w:hint="default"/>
          <w:sz w:val="32"/>
          <w:szCs w:val="32"/>
        </w:rPr>
      </w:pPr>
    </w:p>
    <w:p>
      <w:pPr>
        <w:spacing w:line="470" w:lineRule="auto" w:before="0"/>
        <w:ind w:left="572" w:right="8453" w:hanging="420"/>
        <w:jc w:val="left"/>
        <w:rPr>
          <w:rFonts w:ascii="宋体" w:hAnsi="宋体" w:cs="宋体" w:eastAsia="宋体" w:hint="default"/>
          <w:sz w:val="21"/>
          <w:szCs w:val="21"/>
        </w:rPr>
      </w:pPr>
      <w:bookmarkStart w:name="（3）关联租赁情况" w:id="595"/>
      <w:bookmarkEnd w:id="5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04"/>
          <w:sz w:val="21"/>
          <w:szCs w:val="21"/>
        </w:rPr>
        <w:t> </w:t>
      </w:r>
      <w:r>
        <w:rPr>
          <w:rFonts w:ascii="宋体" w:hAnsi="宋体" w:cs="宋体" w:eastAsia="宋体" w:hint="default"/>
          <w:spacing w:val="-1"/>
          <w:sz w:val="21"/>
          <w:szCs w:val="21"/>
        </w:rPr>
        <w:t>本公司作为出租方：</w:t>
      </w:r>
    </w:p>
    <w:p>
      <w:pPr>
        <w:spacing w:before="36"/>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324"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64"/>
        <w:ind w:right="1127"/>
        <w:jc w:val="left"/>
      </w:pPr>
      <w:r>
        <w:rPr/>
        <w:t>本公司作为承租方：</w:t>
      </w:r>
    </w:p>
    <w:p>
      <w:pPr>
        <w:spacing w:line="240" w:lineRule="auto" w:before="8"/>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324"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64"/>
        <w:ind w:right="1127"/>
        <w:jc w:val="left"/>
      </w:pPr>
      <w:r>
        <w:rPr/>
        <w:t>关联租赁情况说明</w:t>
      </w:r>
    </w:p>
    <w:p>
      <w:pPr>
        <w:spacing w:after="0" w:line="240" w:lineRule="auto"/>
        <w:jc w:val="left"/>
        <w:sectPr>
          <w:pgSz w:w="11910" w:h="16840"/>
          <w:pgMar w:header="882" w:footer="1134" w:top="1280" w:bottom="1320" w:left="980" w:right="0"/>
        </w:sectPr>
      </w:pPr>
    </w:p>
    <w:p>
      <w:pPr>
        <w:spacing w:line="470" w:lineRule="auto" w:before="114"/>
        <w:ind w:left="572" w:right="8602" w:hanging="420"/>
        <w:jc w:val="left"/>
        <w:rPr>
          <w:rFonts w:ascii="宋体" w:hAnsi="宋体" w:cs="宋体" w:eastAsia="宋体" w:hint="default"/>
          <w:sz w:val="21"/>
          <w:szCs w:val="21"/>
        </w:rPr>
      </w:pPr>
      <w:bookmarkStart w:name="（4）关联担保情况" w:id="596"/>
      <w:bookmarkEnd w:id="5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本公司作为担保方</w:t>
      </w:r>
    </w:p>
    <w:p>
      <w:pPr>
        <w:spacing w:before="36"/>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77"/>
              <w:jc w:val="left"/>
              <w:rPr>
                <w:rFonts w:ascii="宋体" w:hAnsi="宋体" w:cs="宋体" w:eastAsia="宋体" w:hint="default"/>
                <w:sz w:val="18"/>
                <w:szCs w:val="18"/>
              </w:rPr>
            </w:pPr>
            <w:r>
              <w:rPr>
                <w:rFonts w:ascii="宋体" w:hAnsi="宋体" w:cs="宋体" w:eastAsia="宋体" w:hint="default"/>
                <w:sz w:val="18"/>
                <w:szCs w:val="18"/>
              </w:rPr>
              <w:t>北京泰豪智能工程有限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1,960,000.00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77"/>
              <w:jc w:val="left"/>
              <w:rPr>
                <w:rFonts w:ascii="宋体" w:hAnsi="宋体" w:cs="宋体" w:eastAsia="宋体" w:hint="default"/>
                <w:sz w:val="18"/>
                <w:szCs w:val="18"/>
              </w:rPr>
            </w:pPr>
            <w:r>
              <w:rPr>
                <w:rFonts w:ascii="宋体" w:hAnsi="宋体" w:cs="宋体" w:eastAsia="宋体" w:hint="default"/>
                <w:sz w:val="18"/>
                <w:szCs w:val="18"/>
              </w:rPr>
              <w:t>上海信业智能科技股份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13,370,000.00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77"/>
              <w:jc w:val="left"/>
              <w:rPr>
                <w:rFonts w:ascii="宋体" w:hAnsi="宋体" w:cs="宋体" w:eastAsia="宋体" w:hint="default"/>
                <w:sz w:val="18"/>
                <w:szCs w:val="18"/>
              </w:rPr>
            </w:pPr>
            <w:r>
              <w:rPr>
                <w:rFonts w:ascii="宋体" w:hAnsi="宋体" w:cs="宋体" w:eastAsia="宋体" w:hint="default"/>
                <w:sz w:val="18"/>
                <w:szCs w:val="18"/>
              </w:rPr>
              <w:t>北京泰豪智能工程有限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6,990,000.00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77"/>
              <w:jc w:val="left"/>
              <w:rPr>
                <w:rFonts w:ascii="宋体" w:hAnsi="宋体" w:cs="宋体" w:eastAsia="宋体" w:hint="default"/>
                <w:sz w:val="18"/>
                <w:szCs w:val="18"/>
              </w:rPr>
            </w:pPr>
            <w:r>
              <w:rPr>
                <w:rFonts w:ascii="宋体" w:hAnsi="宋体" w:cs="宋体" w:eastAsia="宋体" w:hint="default"/>
                <w:sz w:val="18"/>
                <w:szCs w:val="18"/>
              </w:rPr>
              <w:t>北京泰豪新能源科技有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1,440,000.00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77"/>
              <w:jc w:val="left"/>
              <w:rPr>
                <w:rFonts w:ascii="宋体" w:hAnsi="宋体" w:cs="宋体" w:eastAsia="宋体" w:hint="default"/>
                <w:sz w:val="18"/>
                <w:szCs w:val="18"/>
              </w:rPr>
            </w:pPr>
            <w:r>
              <w:rPr>
                <w:rFonts w:ascii="宋体" w:hAnsi="宋体" w:cs="宋体" w:eastAsia="宋体" w:hint="default"/>
                <w:sz w:val="18"/>
                <w:szCs w:val="18"/>
              </w:rPr>
              <w:t>北京泰豪智能工程有限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221,600,000.00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64"/>
        <w:ind w:right="1127"/>
        <w:jc w:val="left"/>
      </w:pPr>
      <w:r>
        <w:rPr/>
        <w:t>本公司作为被担保方</w:t>
      </w:r>
    </w:p>
    <w:p>
      <w:pPr>
        <w:spacing w:line="240" w:lineRule="auto" w:before="8"/>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64"/>
        <w:ind w:right="1127"/>
        <w:jc w:val="left"/>
      </w:pPr>
      <w:r>
        <w:rPr/>
        <w:t>关联担保情况说明</w:t>
      </w:r>
    </w:p>
    <w:p>
      <w:pPr>
        <w:spacing w:line="240" w:lineRule="auto" w:before="1"/>
        <w:rPr>
          <w:rFonts w:ascii="宋体" w:hAnsi="宋体" w:cs="宋体" w:eastAsia="宋体" w:hint="default"/>
          <w:sz w:val="18"/>
          <w:szCs w:val="18"/>
        </w:rPr>
      </w:pPr>
    </w:p>
    <w:p>
      <w:pPr>
        <w:pStyle w:val="BodyText"/>
        <w:spacing w:line="240" w:lineRule="auto"/>
        <w:ind w:right="0"/>
        <w:jc w:val="left"/>
      </w:pPr>
      <w:r>
        <w:rPr/>
        <w:t>公司于</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13"/>
        </w:rPr>
        <w:t> </w:t>
      </w:r>
      <w:r>
        <w:rPr/>
        <w:t>日召开第四届董事会第七次会议，同意公司为全资子公司北京泰豪智能工程有</w:t>
      </w:r>
    </w:p>
    <w:p>
      <w:pPr>
        <w:pStyle w:val="BodyText"/>
        <w:spacing w:line="240" w:lineRule="auto" w:before="117"/>
        <w:ind w:left="152" w:right="0"/>
        <w:jc w:val="left"/>
      </w:pPr>
      <w:r>
        <w:rPr/>
        <w:t>限公司向中国建设银行北京隆庆街支行申请人民币</w:t>
      </w:r>
      <w:r>
        <w:rPr>
          <w:spacing w:val="-60"/>
        </w:rPr>
        <w:t> </w:t>
      </w:r>
      <w:r>
        <w:rPr>
          <w:rFonts w:ascii="Times New Roman" w:hAnsi="Times New Roman" w:cs="Times New Roman" w:eastAsia="Times New Roman" w:hint="default"/>
        </w:rPr>
        <w:t>7,000.00</w:t>
      </w:r>
      <w:r>
        <w:rPr>
          <w:rFonts w:ascii="Times New Roman" w:hAnsi="Times New Roman" w:cs="Times New Roman" w:eastAsia="Times New Roman" w:hint="default"/>
          <w:spacing w:val="-14"/>
        </w:rPr>
        <w:t> </w:t>
      </w:r>
      <w:r>
        <w:rPr/>
        <w:t>万元的</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年期综合授信业务提供连带责任保证</w:t>
      </w:r>
    </w:p>
    <w:p>
      <w:pPr>
        <w:pStyle w:val="BodyText"/>
        <w:spacing w:line="240" w:lineRule="auto" w:before="117"/>
        <w:ind w:left="153" w:right="0"/>
        <w:jc w:val="left"/>
      </w:pPr>
      <w:r>
        <w:rPr/>
        <w:t>担保。贷款用途为用于日常经营。</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26"/>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26"/>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日此笔授信到期，但授信合同项下仍有贷款未结清</w:t>
      </w:r>
      <w:r>
        <w:rPr>
          <w:rFonts w:ascii="Times New Roman" w:hAnsi="Times New Roman" w:cs="Times New Roman" w:eastAsia="Times New Roman" w:hint="default"/>
        </w:rPr>
        <w:t>,</w:t>
      </w:r>
      <w:r>
        <w:rPr/>
        <w:t>截至</w:t>
      </w:r>
    </w:p>
    <w:p>
      <w:pPr>
        <w:pStyle w:val="BodyText"/>
        <w:spacing w:line="240" w:lineRule="auto" w:before="115"/>
        <w:ind w:left="153" w:right="1127"/>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日已使用额度为</w:t>
      </w:r>
      <w:r>
        <w:rPr>
          <w:spacing w:val="-54"/>
        </w:rPr>
        <w:t> </w:t>
      </w:r>
      <w:r>
        <w:rPr>
          <w:rFonts w:ascii="Times New Roman" w:hAnsi="Times New Roman" w:cs="Times New Roman" w:eastAsia="Times New Roman" w:hint="default"/>
        </w:rPr>
        <w:t>196.00</w:t>
      </w:r>
      <w:r>
        <w:rPr>
          <w:rFonts w:ascii="Times New Roman" w:hAnsi="Times New Roman" w:cs="Times New Roman" w:eastAsia="Times New Roman" w:hint="default"/>
          <w:spacing w:val="-13"/>
        </w:rPr>
        <w:t> </w:t>
      </w:r>
      <w:r>
        <w:rPr/>
        <w:t>万元；</w:t>
      </w:r>
    </w:p>
    <w:p>
      <w:pPr>
        <w:spacing w:line="240" w:lineRule="auto" w:before="11"/>
        <w:rPr>
          <w:rFonts w:ascii="宋体" w:hAnsi="宋体" w:cs="宋体" w:eastAsia="宋体" w:hint="default"/>
          <w:sz w:val="16"/>
          <w:szCs w:val="16"/>
        </w:rPr>
      </w:pPr>
    </w:p>
    <w:p>
      <w:pPr>
        <w:pStyle w:val="BodyText"/>
        <w:spacing w:line="348" w:lineRule="auto"/>
        <w:ind w:left="153" w:right="1127" w:firstLine="419"/>
        <w:jc w:val="both"/>
      </w:pPr>
      <w:r>
        <w:rPr/>
        <w:t>公司于</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日召开第四届董事会第八次会议，同意公司为全资子公司北京泰豪智能工程有</w:t>
      </w:r>
      <w:r>
        <w:rPr>
          <w:spacing w:val="-3"/>
          <w:w w:val="100"/>
        </w:rPr>
        <w:t> </w:t>
      </w:r>
      <w:r>
        <w:rPr>
          <w:spacing w:val="2"/>
        </w:rPr>
        <w:t>限公司的全资子公司上海信业智能科技股份有限公司向招商银行股份有限公司上海分行延西支行申请人</w:t>
      </w:r>
      <w:r>
        <w:rPr>
          <w:spacing w:val="-28"/>
        </w:rPr>
        <w:t> </w:t>
      </w:r>
      <w:r>
        <w:rPr>
          <w:spacing w:val="-28"/>
        </w:rPr>
      </w:r>
      <w:r>
        <w:rPr/>
        <w:t>民币</w:t>
      </w:r>
      <w:r>
        <w:rPr>
          <w:spacing w:val="-42"/>
        </w:rPr>
        <w:t> </w:t>
      </w:r>
      <w:r>
        <w:rPr>
          <w:rFonts w:ascii="Times New Roman" w:hAnsi="Times New Roman" w:cs="Times New Roman" w:eastAsia="Times New Roman" w:hint="default"/>
        </w:rPr>
        <w:t>4,000.00</w:t>
      </w:r>
      <w:r>
        <w:rPr>
          <w:rFonts w:ascii="Times New Roman" w:hAnsi="Times New Roman" w:cs="Times New Roman" w:eastAsia="Times New Roman" w:hint="default"/>
          <w:spacing w:val="-3"/>
        </w:rPr>
        <w:t> </w:t>
      </w:r>
      <w:r>
        <w:rPr/>
        <w:t>万元的</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年期综合授信业务提供连带责任保证担保，贷款用途为用于日常经营。</w:t>
      </w:r>
      <w:r>
        <w:rPr>
          <w:rFonts w:ascii="Times New Roman" w:hAnsi="Times New Roman" w:cs="Times New Roman" w:eastAsia="Times New Roman" w:hint="default"/>
          <w:spacing w:val="-3"/>
        </w:rPr>
        <w:t>2019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p>
    <w:p>
      <w:pPr>
        <w:pStyle w:val="BodyText"/>
        <w:spacing w:line="240" w:lineRule="auto" w:before="10"/>
        <w:ind w:left="15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日此笔授信到期，但授信合同项下仍有贷款未结清</w:t>
      </w:r>
      <w:r>
        <w:rPr>
          <w:rFonts w:ascii="Times New Roman" w:hAnsi="Times New Roman" w:cs="Times New Roman" w:eastAsia="Times New Roman" w:hint="default"/>
        </w:rPr>
        <w:t>,</w:t>
      </w:r>
      <w:r>
        <w:rPr/>
        <w:t>截至</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日已使用额度为</w:t>
      </w:r>
      <w:r>
        <w:rPr>
          <w:spacing w:val="-56"/>
        </w:rPr>
        <w:t> </w:t>
      </w:r>
      <w:r>
        <w:rPr>
          <w:rFonts w:ascii="Times New Roman" w:hAnsi="Times New Roman" w:cs="Times New Roman" w:eastAsia="Times New Roman" w:hint="default"/>
          <w:sz w:val="20"/>
          <w:szCs w:val="20"/>
        </w:rPr>
        <w:t>1,337.00</w:t>
      </w:r>
      <w:r>
        <w:rPr>
          <w:rFonts w:ascii="Times New Roman" w:hAnsi="Times New Roman" w:cs="Times New Roman" w:eastAsia="Times New Roman" w:hint="default"/>
          <w:spacing w:val="-10"/>
          <w:sz w:val="20"/>
          <w:szCs w:val="20"/>
        </w:rPr>
        <w:t> </w:t>
      </w:r>
      <w:r>
        <w:rPr/>
        <w:t>万元；</w:t>
      </w:r>
    </w:p>
    <w:p>
      <w:pPr>
        <w:spacing w:line="240" w:lineRule="auto" w:before="11"/>
        <w:rPr>
          <w:rFonts w:ascii="宋体" w:hAnsi="宋体" w:cs="宋体" w:eastAsia="宋体" w:hint="default"/>
          <w:sz w:val="16"/>
          <w:szCs w:val="16"/>
        </w:rPr>
      </w:pPr>
    </w:p>
    <w:p>
      <w:pPr>
        <w:pStyle w:val="BodyText"/>
        <w:spacing w:line="240" w:lineRule="auto"/>
        <w:ind w:right="0"/>
        <w:jc w:val="left"/>
      </w:pPr>
      <w:r>
        <w:rPr/>
        <w:t>公司于</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月</w:t>
      </w:r>
      <w:r>
        <w:rPr>
          <w:spacing w:val="-50"/>
        </w:rPr>
        <w:t> </w:t>
      </w:r>
      <w:r>
        <w:rPr>
          <w:rFonts w:ascii="Times New Roman" w:hAnsi="Times New Roman" w:cs="Times New Roman" w:eastAsia="Times New Roman" w:hint="default"/>
        </w:rPr>
        <w:t>26</w:t>
      </w:r>
      <w:r>
        <w:rPr>
          <w:rFonts w:ascii="Times New Roman" w:hAnsi="Times New Roman" w:cs="Times New Roman" w:eastAsia="Times New Roman" w:hint="default"/>
          <w:spacing w:val="-13"/>
        </w:rPr>
        <w:t> </w:t>
      </w:r>
      <w:r>
        <w:rPr/>
        <w:t>日召开第四届董事会第十次会议，同意公司为全资子公司北京泰豪智能工程有</w:t>
      </w:r>
    </w:p>
    <w:p>
      <w:pPr>
        <w:pStyle w:val="BodyText"/>
        <w:spacing w:line="240" w:lineRule="auto" w:before="117"/>
        <w:ind w:left="152" w:right="0"/>
        <w:jc w:val="left"/>
      </w:pPr>
      <w:r>
        <w:rPr/>
        <w:t>限公司向华夏银行股份有限公司北京亦庄支行申请人民币 </w:t>
      </w:r>
      <w:r>
        <w:rPr>
          <w:rFonts w:ascii="Times New Roman" w:hAnsi="Times New Roman" w:cs="Times New Roman" w:eastAsia="Times New Roman" w:hint="default"/>
        </w:rPr>
        <w:t>14,000.00 </w:t>
      </w:r>
      <w:r>
        <w:rPr/>
        <w:t>万元的 </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年期综合授信业务提供连带</w:t>
      </w:r>
    </w:p>
    <w:p>
      <w:pPr>
        <w:pStyle w:val="BodyText"/>
        <w:spacing w:line="240" w:lineRule="auto" w:before="117"/>
        <w:ind w:left="152" w:right="0"/>
        <w:jc w:val="left"/>
      </w:pPr>
      <w:r>
        <w:rPr/>
        <w:t>责任保证担保，贷款用途为用于日常经营。</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39"/>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36"/>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日此笔授信到期，但授信合同项下仍有贷款未</w:t>
      </w:r>
    </w:p>
    <w:p>
      <w:pPr>
        <w:pStyle w:val="BodyText"/>
        <w:spacing w:line="240" w:lineRule="auto" w:before="117"/>
        <w:ind w:left="152" w:right="1127"/>
        <w:jc w:val="left"/>
      </w:pPr>
      <w:r>
        <w:rPr/>
        <w:t>结清</w:t>
      </w:r>
      <w:r>
        <w:rPr>
          <w:rFonts w:ascii="Times New Roman" w:hAnsi="Times New Roman" w:cs="Times New Roman" w:eastAsia="Times New Roman" w:hint="default"/>
        </w:rPr>
        <w:t>,</w:t>
      </w:r>
      <w:r>
        <w:rPr/>
        <w:t>截至</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日已使用额度为</w:t>
      </w:r>
      <w:r>
        <w:rPr>
          <w:spacing w:val="-53"/>
        </w:rPr>
        <w:t> </w:t>
      </w:r>
      <w:r>
        <w:rPr>
          <w:rFonts w:ascii="Times New Roman" w:hAnsi="Times New Roman" w:cs="Times New Roman" w:eastAsia="Times New Roman" w:hint="default"/>
        </w:rPr>
        <w:t>699.00</w:t>
      </w:r>
      <w:r>
        <w:rPr>
          <w:rFonts w:ascii="Times New Roman" w:hAnsi="Times New Roman" w:cs="Times New Roman" w:eastAsia="Times New Roman" w:hint="default"/>
          <w:spacing w:val="-12"/>
        </w:rPr>
        <w:t> </w:t>
      </w:r>
      <w:r>
        <w:rPr/>
        <w:t>万元；</w:t>
      </w:r>
    </w:p>
    <w:p>
      <w:pPr>
        <w:spacing w:line="240" w:lineRule="auto" w:before="9"/>
        <w:rPr>
          <w:rFonts w:ascii="宋体" w:hAnsi="宋体" w:cs="宋体" w:eastAsia="宋体" w:hint="default"/>
          <w:sz w:val="16"/>
          <w:szCs w:val="16"/>
        </w:rPr>
      </w:pPr>
    </w:p>
    <w:p>
      <w:pPr>
        <w:pStyle w:val="BodyText"/>
        <w:spacing w:line="240" w:lineRule="auto"/>
        <w:ind w:left="573" w:right="0"/>
        <w:jc w:val="left"/>
      </w:pPr>
      <w:r>
        <w:rPr/>
        <w:t>公司于</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50"/>
        </w:rPr>
        <w:t> </w:t>
      </w:r>
      <w:r>
        <w:rPr>
          <w:rFonts w:ascii="Times New Roman" w:hAnsi="Times New Roman" w:cs="Times New Roman" w:eastAsia="Times New Roman" w:hint="default"/>
        </w:rPr>
        <w:t>21</w:t>
      </w:r>
      <w:r>
        <w:rPr>
          <w:rFonts w:ascii="Times New Roman" w:hAnsi="Times New Roman" w:cs="Times New Roman" w:eastAsia="Times New Roman" w:hint="default"/>
          <w:spacing w:val="-13"/>
        </w:rPr>
        <w:t> </w:t>
      </w:r>
      <w:r>
        <w:rPr/>
        <w:t>日召开第四届董事会第十二次会议，同意公司为全资子公司北京泰豪智能工程</w:t>
      </w:r>
    </w:p>
    <w:p>
      <w:pPr>
        <w:pStyle w:val="BodyText"/>
        <w:spacing w:line="240" w:lineRule="auto" w:before="119"/>
        <w:ind w:left="153" w:right="0"/>
        <w:jc w:val="left"/>
        <w:rPr>
          <w:rFonts w:ascii="Times New Roman" w:hAnsi="Times New Roman" w:cs="Times New Roman" w:eastAsia="Times New Roman" w:hint="default"/>
        </w:rPr>
      </w:pPr>
      <w:r>
        <w:rPr/>
        <w:t>有限公司的全资子公司北京泰豪新能源科技有限公司向北京银行翠微路支行申请人民币 </w:t>
      </w:r>
      <w:r>
        <w:rPr>
          <w:rFonts w:ascii="Times New Roman" w:hAnsi="Times New Roman" w:cs="Times New Roman" w:eastAsia="Times New Roman" w:hint="default"/>
        </w:rPr>
        <w:t>5,000.00 </w:t>
      </w:r>
      <w:r>
        <w:rPr/>
        <w:t>万元的</w:t>
      </w:r>
      <w:r>
        <w:rPr>
          <w:spacing w:val="-82"/>
        </w:rPr>
        <w:t> </w:t>
      </w:r>
      <w:r>
        <w:rPr>
          <w:rFonts w:ascii="Times New Roman" w:hAnsi="Times New Roman" w:cs="Times New Roman" w:eastAsia="Times New Roman" w:hint="default"/>
        </w:rPr>
        <w:t>2</w:t>
      </w:r>
    </w:p>
    <w:p>
      <w:pPr>
        <w:pStyle w:val="BodyText"/>
        <w:spacing w:line="240" w:lineRule="auto" w:before="117"/>
        <w:ind w:left="153" w:right="0"/>
        <w:jc w:val="left"/>
      </w:pPr>
      <w:r>
        <w:rPr/>
        <w:t>年期综合授信业务提供连带责任保证担保，贷款用途为用于日常经营。</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30"/>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30"/>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3"/>
        </w:rPr>
        <w:t>日此笔授信到期，</w:t>
      </w:r>
      <w:r>
        <w:rPr/>
      </w:r>
    </w:p>
    <w:p>
      <w:pPr>
        <w:pStyle w:val="BodyText"/>
        <w:spacing w:line="240" w:lineRule="auto" w:before="115"/>
        <w:ind w:left="153" w:right="1127"/>
        <w:jc w:val="left"/>
      </w:pPr>
      <w:r>
        <w:rPr/>
        <w:t>但授信合同项下仍有贷款未结清</w:t>
      </w:r>
      <w:r>
        <w:rPr>
          <w:rFonts w:ascii="Times New Roman" w:hAnsi="Times New Roman" w:cs="Times New Roman" w:eastAsia="Times New Roman" w:hint="default"/>
        </w:rPr>
        <w:t>,</w:t>
      </w:r>
      <w:r>
        <w:rPr/>
        <w:t>截至</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日已使用额度为</w:t>
      </w:r>
      <w:r>
        <w:rPr>
          <w:spacing w:val="-53"/>
        </w:rPr>
        <w:t> </w:t>
      </w:r>
      <w:r>
        <w:rPr>
          <w:rFonts w:ascii="Times New Roman" w:hAnsi="Times New Roman" w:cs="Times New Roman" w:eastAsia="Times New Roman" w:hint="default"/>
        </w:rPr>
        <w:t>144.00</w:t>
      </w:r>
      <w:r>
        <w:rPr>
          <w:rFonts w:ascii="Times New Roman" w:hAnsi="Times New Roman" w:cs="Times New Roman" w:eastAsia="Times New Roman" w:hint="default"/>
          <w:spacing w:val="-12"/>
        </w:rPr>
        <w:t> </w:t>
      </w:r>
      <w:r>
        <w:rPr/>
        <w:t>万元；</w:t>
      </w:r>
    </w:p>
    <w:p>
      <w:pPr>
        <w:spacing w:line="240" w:lineRule="auto" w:before="11"/>
        <w:rPr>
          <w:rFonts w:ascii="宋体" w:hAnsi="宋体" w:cs="宋体" w:eastAsia="宋体" w:hint="default"/>
          <w:sz w:val="16"/>
          <w:szCs w:val="16"/>
        </w:rPr>
      </w:pPr>
    </w:p>
    <w:p>
      <w:pPr>
        <w:pStyle w:val="BodyText"/>
        <w:spacing w:line="240" w:lineRule="auto"/>
        <w:ind w:left="573" w:right="0"/>
        <w:jc w:val="left"/>
      </w:pPr>
      <w:r>
        <w:rPr/>
        <w:t>公司于</w:t>
      </w:r>
      <w:r>
        <w:rPr>
          <w:spacing w:val="-6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9"/>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w:t>
      </w:r>
      <w:r>
        <w:rPr>
          <w:spacing w:val="-68"/>
        </w:rPr>
        <w:t> </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日召开第四届董事会第三十次会议</w:t>
      </w:r>
      <w:r>
        <w:rPr>
          <w:rFonts w:ascii="Times New Roman" w:hAnsi="Times New Roman" w:cs="Times New Roman" w:eastAsia="Times New Roman" w:hint="default"/>
        </w:rPr>
        <w:t>,</w:t>
      </w:r>
      <w:r>
        <w:rPr/>
        <w:t>同意公司为全资子公司北京泰豪智能工程有</w:t>
      </w:r>
    </w:p>
    <w:p>
      <w:pPr>
        <w:pStyle w:val="BodyText"/>
        <w:spacing w:line="240" w:lineRule="auto" w:before="117"/>
        <w:ind w:left="153" w:right="0"/>
        <w:jc w:val="left"/>
      </w:pPr>
      <w:r>
        <w:rPr/>
        <w:t>限公司向北京银行翠微路支行申请人民币</w:t>
      </w:r>
      <w:r>
        <w:rPr>
          <w:spacing w:val="-41"/>
        </w:rPr>
        <w:t> </w:t>
      </w:r>
      <w:r>
        <w:rPr>
          <w:rFonts w:ascii="Times New Roman" w:hAnsi="Times New Roman" w:cs="Times New Roman" w:eastAsia="Times New Roman" w:hint="default"/>
        </w:rPr>
        <w:t>50,000</w:t>
      </w:r>
      <w:r>
        <w:rPr>
          <w:rFonts w:ascii="Times New Roman" w:hAnsi="Times New Roman" w:cs="Times New Roman" w:eastAsia="Times New Roman" w:hint="default"/>
          <w:spacing w:val="-3"/>
        </w:rPr>
        <w:t> </w:t>
      </w:r>
      <w:r>
        <w:rPr/>
        <w:t>万元的</w:t>
      </w:r>
      <w:r>
        <w:rPr>
          <w:spacing w:val="-44"/>
        </w:rPr>
        <w:t> </w:t>
      </w:r>
      <w:r>
        <w:rPr>
          <w:rFonts w:ascii="Times New Roman" w:hAnsi="Times New Roman" w:cs="Times New Roman" w:eastAsia="Times New Roman" w:hint="default"/>
        </w:rPr>
        <w:t>2 </w:t>
      </w:r>
      <w:r>
        <w:rPr>
          <w:spacing w:val="-5"/>
        </w:rPr>
        <w:t>年期综合授信业务提供连带责任保证担保，贷款</w:t>
      </w:r>
    </w:p>
    <w:p>
      <w:pPr>
        <w:spacing w:after="0" w:line="240" w:lineRule="auto"/>
        <w:jc w:val="left"/>
        <w:sectPr>
          <w:pgSz w:w="11910" w:h="16840"/>
          <w:pgMar w:header="882" w:footer="1134" w:top="1280" w:bottom="1320" w:left="980" w:right="0"/>
        </w:sectPr>
      </w:pPr>
    </w:p>
    <w:p>
      <w:pPr>
        <w:pStyle w:val="BodyText"/>
        <w:spacing w:line="240" w:lineRule="auto" w:before="110"/>
        <w:ind w:left="152" w:right="1127"/>
        <w:jc w:val="left"/>
      </w:pPr>
      <w:r>
        <w:rPr/>
        <w:t>用途为用于日常经营。截至</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日已使用额度为</w:t>
      </w:r>
      <w:r>
        <w:rPr>
          <w:spacing w:val="-54"/>
        </w:rPr>
        <w:t> </w:t>
      </w:r>
      <w:r>
        <w:rPr>
          <w:rFonts w:ascii="Times New Roman" w:hAnsi="Times New Roman" w:cs="Times New Roman" w:eastAsia="Times New Roman" w:hint="default"/>
        </w:rPr>
        <w:t>22,160.00</w:t>
      </w:r>
      <w:r>
        <w:rPr>
          <w:rFonts w:ascii="Times New Roman" w:hAnsi="Times New Roman" w:cs="Times New Roman" w:eastAsia="Times New Roman" w:hint="default"/>
          <w:spacing w:val="-11"/>
        </w:rPr>
        <w:t> </w:t>
      </w:r>
      <w:r>
        <w:rPr/>
        <w:t>万元；</w:t>
      </w:r>
    </w:p>
    <w:p>
      <w:pPr>
        <w:spacing w:line="240" w:lineRule="auto" w:before="3"/>
        <w:rPr>
          <w:rFonts w:ascii="宋体" w:hAnsi="宋体" w:cs="宋体" w:eastAsia="宋体" w:hint="default"/>
          <w:sz w:val="32"/>
          <w:szCs w:val="32"/>
        </w:rPr>
      </w:pPr>
    </w:p>
    <w:p>
      <w:pPr>
        <w:pStyle w:val="Heading4"/>
        <w:spacing w:line="240" w:lineRule="auto"/>
        <w:ind w:right="1127"/>
        <w:jc w:val="left"/>
        <w:rPr>
          <w:b w:val="0"/>
          <w:bCs w:val="0"/>
        </w:rPr>
      </w:pPr>
      <w:bookmarkStart w:name="（5）关联方资金拆借" w:id="597"/>
      <w:bookmarkEnd w:id="597"/>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4"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32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55" w:right="0"/>
              <w:jc w:val="left"/>
              <w:rPr>
                <w:rFonts w:ascii="Times New Roman" w:hAnsi="Times New Roman" w:cs="Times New Roman" w:eastAsia="Times New Roman" w:hint="default"/>
                <w:sz w:val="18"/>
                <w:szCs w:val="18"/>
              </w:rPr>
            </w:pPr>
            <w:r>
              <w:rPr>
                <w:rFonts w:ascii="Times New Roman"/>
                <w:sz w:val="18"/>
              </w:rPr>
              <w:t>156,000,000.00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154" w:right="0"/>
              <w:jc w:val="left"/>
              <w:rPr>
                <w:rFonts w:ascii="Times New Roman" w:hAnsi="Times New Roman" w:cs="Times New Roman" w:eastAsia="Times New Roman" w:hint="default"/>
                <w:sz w:val="18"/>
                <w:szCs w:val="18"/>
              </w:rPr>
            </w:pPr>
            <w:r>
              <w:rPr>
                <w:rFonts w:ascii="Times New Roman"/>
                <w:sz w:val="18"/>
              </w:rPr>
              <w:t>2019/1/18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151" w:right="0"/>
              <w:jc w:val="left"/>
              <w:rPr>
                <w:rFonts w:ascii="Times New Roman" w:hAnsi="Times New Roman" w:cs="Times New Roman" w:eastAsia="Times New Roman" w:hint="default"/>
                <w:sz w:val="18"/>
                <w:szCs w:val="18"/>
              </w:rPr>
            </w:pPr>
            <w:r>
              <w:rPr>
                <w:rFonts w:ascii="Times New Roman"/>
                <w:sz w:val="18"/>
              </w:rPr>
              <w:t>2019/6/14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6）关联方资产转让、债务重组情况" w:id="598"/>
      <w:bookmarkEnd w:id="598"/>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324"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7）关键管理人员报酬" w:id="599"/>
      <w:bookmarkEnd w:id="599"/>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5,062,152.76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4,086,346.64</w:t>
            </w:r>
            <w:r>
              <w:rPr>
                <w:rFonts w:ascii="Times New Roman"/>
                <w:sz w:val="18"/>
              </w:rPr>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8）其他关联交易" w:id="600"/>
      <w:bookmarkEnd w:id="600"/>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6、关联方应收应付款项" w:id="601"/>
      <w:bookmarkEnd w:id="60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1）应收项目" w:id="602"/>
      <w:bookmarkEnd w:id="60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23" w:hRule="exact"/>
        </w:trPr>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119"/>
              <w:jc w:val="left"/>
              <w:rPr>
                <w:rFonts w:ascii="宋体" w:hAnsi="宋体" w:cs="宋体" w:eastAsia="宋体" w:hint="default"/>
                <w:sz w:val="18"/>
                <w:szCs w:val="18"/>
              </w:rPr>
            </w:pPr>
            <w:r>
              <w:rPr>
                <w:rFonts w:ascii="宋体" w:hAnsi="宋体" w:cs="宋体" w:eastAsia="宋体" w:hint="default"/>
                <w:sz w:val="18"/>
                <w:szCs w:val="18"/>
              </w:rPr>
              <w:t>成都凯天质检技术 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13,788,970.80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1,250,000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119"/>
              <w:jc w:val="left"/>
              <w:rPr>
                <w:rFonts w:ascii="宋体" w:hAnsi="宋体" w:cs="宋体" w:eastAsia="宋体" w:hint="default"/>
                <w:sz w:val="18"/>
                <w:szCs w:val="18"/>
              </w:rPr>
            </w:pPr>
            <w:r>
              <w:rPr>
                <w:rFonts w:ascii="宋体" w:hAnsi="宋体" w:cs="宋体" w:eastAsia="宋体" w:hint="default"/>
                <w:sz w:val="18"/>
                <w:szCs w:val="18"/>
              </w:rPr>
              <w:t>北京汉荣捷通技术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1,909,397.12</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791,454.19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1,909,397.12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650,664.22</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119"/>
              <w:jc w:val="left"/>
              <w:rPr>
                <w:rFonts w:ascii="宋体" w:hAnsi="宋体" w:cs="宋体" w:eastAsia="宋体" w:hint="default"/>
                <w:sz w:val="18"/>
                <w:szCs w:val="18"/>
              </w:rPr>
            </w:pPr>
            <w:r>
              <w:rPr>
                <w:rFonts w:ascii="宋体" w:hAnsi="宋体" w:cs="宋体" w:eastAsia="宋体" w:hint="default"/>
                <w:sz w:val="18"/>
                <w:szCs w:val="18"/>
              </w:rPr>
              <w:t>北京中航通用科技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223,200.00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11,160.00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8,070,000.00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807,000.00</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119"/>
              <w:jc w:val="left"/>
              <w:rPr>
                <w:rFonts w:ascii="宋体" w:hAnsi="宋体" w:cs="宋体" w:eastAsia="宋体" w:hint="default"/>
                <w:sz w:val="18"/>
                <w:szCs w:val="18"/>
              </w:rPr>
            </w:pPr>
            <w:r>
              <w:rPr>
                <w:rFonts w:ascii="宋体" w:hAnsi="宋体" w:cs="宋体" w:eastAsia="宋体" w:hint="default"/>
                <w:sz w:val="18"/>
                <w:szCs w:val="18"/>
              </w:rPr>
              <w:t>成都凯天质检技术 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6,220,041.07</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552,787.21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20,952,083.28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1,896,562.21</w:t>
            </w:r>
            <w:r>
              <w:rPr>
                <w:rFonts w:ascii="Times New Roman"/>
                <w:sz w:val="18"/>
              </w:rPr>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119"/>
              <w:jc w:val="left"/>
              <w:rPr>
                <w:rFonts w:ascii="宋体" w:hAnsi="宋体" w:cs="宋体" w:eastAsia="宋体" w:hint="default"/>
                <w:sz w:val="18"/>
                <w:szCs w:val="18"/>
              </w:rPr>
            </w:pPr>
            <w:r>
              <w:rPr>
                <w:rFonts w:ascii="宋体" w:hAnsi="宋体" w:cs="宋体" w:eastAsia="宋体" w:hint="default"/>
                <w:sz w:val="18"/>
                <w:szCs w:val="18"/>
              </w:rPr>
              <w:t>沈阳旋飞航空技术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9,500,000.00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9,500,000.00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475,000.00</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119"/>
              <w:jc w:val="left"/>
              <w:rPr>
                <w:rFonts w:ascii="宋体" w:hAnsi="宋体" w:cs="宋体" w:eastAsia="宋体" w:hint="default"/>
                <w:sz w:val="18"/>
                <w:szCs w:val="18"/>
              </w:rPr>
            </w:pPr>
            <w:r>
              <w:rPr>
                <w:rFonts w:ascii="宋体" w:hAnsi="宋体" w:cs="宋体" w:eastAsia="宋体" w:hint="default"/>
                <w:sz w:val="18"/>
                <w:szCs w:val="18"/>
              </w:rPr>
              <w:t>湘潭智城联合信息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119"/>
              <w:jc w:val="left"/>
              <w:rPr>
                <w:rFonts w:ascii="宋体" w:hAnsi="宋体" w:cs="宋体" w:eastAsia="宋体" w:hint="default"/>
                <w:sz w:val="18"/>
                <w:szCs w:val="18"/>
              </w:rPr>
            </w:pPr>
            <w:r>
              <w:rPr>
                <w:rFonts w:ascii="宋体" w:hAnsi="宋体" w:cs="宋体" w:eastAsia="宋体" w:hint="default"/>
                <w:sz w:val="18"/>
                <w:szCs w:val="18"/>
              </w:rPr>
              <w:t>云南百望金赋科技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452,000.00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4,121,260.00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206,063.00</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百望股份有限公司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12,049,670.22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602,483.51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94,900.00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4,745.00</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119"/>
              <w:jc w:val="left"/>
              <w:rPr>
                <w:rFonts w:ascii="宋体" w:hAnsi="宋体" w:cs="宋体" w:eastAsia="宋体" w:hint="default"/>
                <w:sz w:val="18"/>
                <w:szCs w:val="18"/>
              </w:rPr>
            </w:pPr>
            <w:r>
              <w:rPr>
                <w:rFonts w:ascii="宋体" w:hAnsi="宋体" w:cs="宋体" w:eastAsia="宋体" w:hint="default"/>
                <w:sz w:val="18"/>
                <w:szCs w:val="18"/>
              </w:rPr>
              <w:t>百望金赋科技有限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8,902,850.00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445,142.50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2,950.00</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119"/>
              <w:jc w:val="left"/>
              <w:rPr>
                <w:rFonts w:ascii="宋体" w:hAnsi="宋体" w:cs="宋体" w:eastAsia="宋体" w:hint="default"/>
                <w:sz w:val="18"/>
                <w:szCs w:val="18"/>
              </w:rPr>
            </w:pPr>
            <w:r>
              <w:rPr>
                <w:rFonts w:ascii="宋体" w:hAnsi="宋体" w:cs="宋体" w:eastAsia="宋体" w:hint="default"/>
                <w:sz w:val="18"/>
                <w:szCs w:val="18"/>
              </w:rPr>
              <w:t>北京旋极星达技术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179,160.83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218,236.10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119"/>
              <w:jc w:val="left"/>
              <w:rPr>
                <w:rFonts w:ascii="宋体" w:hAnsi="宋体" w:cs="宋体" w:eastAsia="宋体" w:hint="default"/>
                <w:sz w:val="18"/>
                <w:szCs w:val="18"/>
              </w:rPr>
            </w:pPr>
            <w:r>
              <w:rPr>
                <w:rFonts w:ascii="宋体" w:hAnsi="宋体" w:cs="宋体" w:eastAsia="宋体" w:hint="default"/>
                <w:sz w:val="18"/>
                <w:szCs w:val="18"/>
              </w:rPr>
              <w:t>北京中航通用科技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5,940,000.00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4,115,562.41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119"/>
              <w:jc w:val="left"/>
              <w:rPr>
                <w:rFonts w:ascii="宋体" w:hAnsi="宋体" w:cs="宋体" w:eastAsia="宋体" w:hint="default"/>
                <w:sz w:val="18"/>
                <w:szCs w:val="18"/>
              </w:rPr>
            </w:pPr>
            <w:r>
              <w:rPr>
                <w:rFonts w:ascii="宋体" w:hAnsi="宋体" w:cs="宋体" w:eastAsia="宋体" w:hint="default"/>
                <w:sz w:val="18"/>
                <w:szCs w:val="18"/>
              </w:rPr>
              <w:t>北京五维星宇科技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230,088.50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119"/>
              <w:jc w:val="left"/>
              <w:rPr>
                <w:rFonts w:ascii="宋体" w:hAnsi="宋体" w:cs="宋体" w:eastAsia="宋体" w:hint="default"/>
                <w:sz w:val="18"/>
                <w:szCs w:val="18"/>
              </w:rPr>
            </w:pPr>
            <w:r>
              <w:rPr>
                <w:rFonts w:ascii="宋体" w:hAnsi="宋体" w:cs="宋体" w:eastAsia="宋体" w:hint="default"/>
                <w:sz w:val="18"/>
                <w:szCs w:val="18"/>
              </w:rPr>
              <w:t>百望金赋科技有限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2,704,837.14</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3" w:right="119"/>
              <w:jc w:val="left"/>
              <w:rPr>
                <w:rFonts w:ascii="宋体" w:hAnsi="宋体" w:cs="宋体" w:eastAsia="宋体" w:hint="default"/>
                <w:sz w:val="18"/>
                <w:szCs w:val="18"/>
              </w:rPr>
            </w:pPr>
            <w:r>
              <w:rPr>
                <w:rFonts w:ascii="宋体" w:hAnsi="宋体" w:cs="宋体" w:eastAsia="宋体" w:hint="default"/>
                <w:sz w:val="18"/>
                <w:szCs w:val="18"/>
              </w:rPr>
              <w:t>北京博大网信科技 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4,416,962.36</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3" w:right="119"/>
              <w:jc w:val="left"/>
              <w:rPr>
                <w:rFonts w:ascii="宋体" w:hAnsi="宋体" w:cs="宋体" w:eastAsia="宋体" w:hint="default"/>
                <w:sz w:val="18"/>
                <w:szCs w:val="18"/>
              </w:rPr>
            </w:pPr>
            <w:r>
              <w:rPr>
                <w:rFonts w:ascii="宋体" w:hAnsi="宋体" w:cs="宋体" w:eastAsia="宋体" w:hint="default"/>
                <w:sz w:val="18"/>
                <w:szCs w:val="18"/>
              </w:rPr>
              <w:t>北京五维星宇科技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666,532.14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33,326.61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119"/>
              <w:jc w:val="left"/>
              <w:rPr>
                <w:rFonts w:ascii="宋体" w:hAnsi="宋体" w:cs="宋体" w:eastAsia="宋体" w:hint="default"/>
                <w:sz w:val="18"/>
                <w:szCs w:val="18"/>
              </w:rPr>
            </w:pPr>
            <w:r>
              <w:rPr>
                <w:rFonts w:ascii="宋体" w:hAnsi="宋体" w:cs="宋体" w:eastAsia="宋体" w:hint="default"/>
                <w:sz w:val="18"/>
                <w:szCs w:val="18"/>
              </w:rPr>
              <w:t>北京都在哪智慧城 市科技有限公司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384.29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19.21</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254,750,540.00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12,737,527.00</w:t>
            </w:r>
          </w:p>
        </w:tc>
      </w:tr>
      <w:tr>
        <w:trPr>
          <w:trHeight w:val="559"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119"/>
              <w:jc w:val="left"/>
              <w:rPr>
                <w:rFonts w:ascii="宋体" w:hAnsi="宋体" w:cs="宋体" w:eastAsia="宋体" w:hint="default"/>
                <w:sz w:val="18"/>
                <w:szCs w:val="18"/>
              </w:rPr>
            </w:pPr>
            <w:r>
              <w:rPr>
                <w:rFonts w:ascii="宋体" w:hAnsi="宋体" w:cs="宋体" w:eastAsia="宋体" w:hint="default"/>
                <w:sz w:val="18"/>
                <w:szCs w:val="18"/>
              </w:rPr>
              <w:t>浙江小望科技有限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10,185,200.00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509,260.00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2）应付项目" w:id="603"/>
      <w:bookmarkEnd w:id="60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32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北京中航通用科技有限公司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259,000.00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北京汉荣捷通技术有限公司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1,929,397.12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1,929,397.12</w:t>
            </w:r>
            <w:r>
              <w:rPr>
                <w:rFonts w:ascii="Times New Roman"/>
                <w:sz w:val="18"/>
              </w:rPr>
            </w:r>
          </w:p>
        </w:tc>
      </w:tr>
      <w:tr>
        <w:trPr>
          <w:trHeight w:val="557" w:hRule="exact"/>
        </w:trPr>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197"/>
              <w:jc w:val="left"/>
              <w:rPr>
                <w:rFonts w:ascii="宋体" w:hAnsi="宋体" w:cs="宋体" w:eastAsia="宋体" w:hint="default"/>
                <w:sz w:val="18"/>
                <w:szCs w:val="18"/>
              </w:rPr>
            </w:pPr>
            <w:r>
              <w:rPr>
                <w:rFonts w:ascii="宋体" w:hAnsi="宋体" w:cs="宋体" w:eastAsia="宋体" w:hint="default"/>
                <w:sz w:val="18"/>
                <w:szCs w:val="18"/>
              </w:rPr>
              <w:t>北京考拉昆仑信息技术有限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774,690.00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774,690.00</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百望金赋科技有限公司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31,567,344.78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15,616,361.07</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北京中天华胜科技有限公司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w w:val="95"/>
                <w:sz w:val="18"/>
              </w:rPr>
              <w:t>11,794.87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681,511.85</w:t>
            </w:r>
            <w:r>
              <w:rPr>
                <w:rFonts w:ascii="Times New Roman"/>
                <w:sz w:val="18"/>
              </w:rPr>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北京旋风航电科技有限公司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5,547.12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北京汉荣捷通技术有限公司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434,935.00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391,299.60</w:t>
            </w:r>
          </w:p>
        </w:tc>
      </w:tr>
      <w:tr>
        <w:trPr>
          <w:trHeight w:val="557" w:hRule="exact"/>
        </w:trPr>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97"/>
              <w:jc w:val="left"/>
              <w:rPr>
                <w:rFonts w:ascii="宋体" w:hAnsi="宋体" w:cs="宋体" w:eastAsia="宋体" w:hint="default"/>
                <w:sz w:val="18"/>
                <w:szCs w:val="18"/>
              </w:rPr>
            </w:pPr>
            <w:r>
              <w:rPr>
                <w:rFonts w:ascii="宋体" w:hAnsi="宋体" w:cs="宋体" w:eastAsia="宋体" w:hint="default"/>
                <w:sz w:val="18"/>
                <w:szCs w:val="18"/>
              </w:rPr>
              <w:t>北京都在哪智慧城市科技有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2,920.00</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北京中航通用科技有限公司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北京旋极伏羲科技有限公司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3,993,792.80</w:t>
            </w:r>
            <w:r>
              <w:rPr>
                <w:rFonts w:ascii="Times New Roman"/>
                <w:sz w:val="18"/>
              </w:rPr>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百望金赋科技有限公司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19,762,662.15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浙江小望科技有限公司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1,025,906.00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97"/>
              <w:jc w:val="left"/>
              <w:rPr>
                <w:rFonts w:ascii="宋体" w:hAnsi="宋体" w:cs="宋体" w:eastAsia="宋体" w:hint="default"/>
                <w:sz w:val="18"/>
                <w:szCs w:val="18"/>
              </w:rPr>
            </w:pPr>
            <w:r>
              <w:rPr>
                <w:rFonts w:ascii="宋体" w:hAnsi="宋体" w:cs="宋体" w:eastAsia="宋体" w:hint="default"/>
                <w:sz w:val="18"/>
                <w:szCs w:val="18"/>
              </w:rPr>
              <w:t>云南百望金赋信息科技有限 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1,940,264.15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557" w:hRule="exact"/>
        </w:trPr>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97"/>
              <w:jc w:val="left"/>
              <w:rPr>
                <w:rFonts w:ascii="宋体" w:hAnsi="宋体" w:cs="宋体" w:eastAsia="宋体" w:hint="default"/>
                <w:sz w:val="18"/>
                <w:szCs w:val="18"/>
              </w:rPr>
            </w:pPr>
            <w:r>
              <w:rPr>
                <w:rFonts w:ascii="宋体" w:hAnsi="宋体" w:cs="宋体" w:eastAsia="宋体" w:hint="default"/>
                <w:sz w:val="18"/>
                <w:szCs w:val="18"/>
              </w:rPr>
              <w:t>湘潭智城联合信息科技有限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324" w:right="0"/>
              <w:jc w:val="left"/>
              <w:rPr>
                <w:rFonts w:ascii="Times New Roman" w:hAnsi="Times New Roman" w:cs="Times New Roman" w:eastAsia="Times New Roman" w:hint="default"/>
                <w:sz w:val="18"/>
                <w:szCs w:val="18"/>
              </w:rPr>
            </w:pPr>
            <w:r>
              <w:rPr>
                <w:rFonts w:ascii="Times New Roman"/>
                <w:sz w:val="18"/>
              </w:rPr>
              <w:t>21,867,315.21</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7、关联方承诺" w:id="604"/>
      <w:bookmarkEnd w:id="604"/>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1"/>
          <w:szCs w:val="21"/>
        </w:rPr>
      </w:pPr>
    </w:p>
    <w:p>
      <w:pPr>
        <w:spacing w:line="470" w:lineRule="auto" w:before="0"/>
        <w:ind w:left="152" w:right="8752" w:hanging="1"/>
        <w:jc w:val="left"/>
        <w:rPr>
          <w:rFonts w:ascii="宋体" w:hAnsi="宋体" w:cs="宋体" w:eastAsia="宋体" w:hint="default"/>
          <w:sz w:val="21"/>
          <w:szCs w:val="21"/>
        </w:rPr>
      </w:pPr>
      <w:bookmarkStart w:name="8、其他" w:id="605"/>
      <w:bookmarkEnd w:id="60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606"/>
      <w:bookmarkEnd w:id="606"/>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607"/>
      <w:bookmarkEnd w:id="60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61"/>
        <w:ind w:left="152" w:right="11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2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324"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78,664,000.00</w:t>
            </w:r>
          </w:p>
        </w:tc>
      </w:tr>
      <w:tr>
        <w:trPr>
          <w:trHeight w:val="324"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4"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25,459,393.00</w:t>
            </w:r>
          </w:p>
        </w:tc>
      </w:tr>
    </w:tbl>
    <w:p>
      <w:pPr>
        <w:pStyle w:val="BodyText"/>
        <w:spacing w:line="240" w:lineRule="auto" w:before="64"/>
        <w:ind w:right="1127"/>
        <w:jc w:val="left"/>
      </w:pPr>
      <w:r>
        <w:rPr/>
        <w:t>其他说明</w:t>
      </w:r>
    </w:p>
    <w:p>
      <w:pPr>
        <w:spacing w:line="240" w:lineRule="auto" w:before="12"/>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7"/>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spacing w:val="-4"/>
        </w:rPr>
        <w:t>日公司召开的第三次临时股东大会审议通过了《关于公司</w:t>
      </w:r>
      <w:r>
        <w:rPr>
          <w:rFonts w:ascii="Times New Roman" w:hAnsi="Times New Roman" w:cs="Times New Roman" w:eastAsia="Times New Roman" w:hint="default"/>
          <w:spacing w:val="-4"/>
        </w:rPr>
        <w:t>&lt;2019</w:t>
      </w:r>
      <w:r>
        <w:rPr>
          <w:rFonts w:ascii="Times New Roman" w:hAnsi="Times New Roman" w:cs="Times New Roman" w:eastAsia="Times New Roman" w:hint="default"/>
          <w:spacing w:val="41"/>
        </w:rPr>
        <w:t> </w:t>
      </w:r>
      <w:r>
        <w:rPr/>
        <w:t>年股票期权与限制性股</w:t>
      </w:r>
    </w:p>
    <w:p>
      <w:pPr>
        <w:pStyle w:val="BodyText"/>
        <w:spacing w:line="240" w:lineRule="auto" w:before="117"/>
        <w:ind w:left="152" w:right="0"/>
        <w:jc w:val="both"/>
      </w:pPr>
      <w:r>
        <w:rPr>
          <w:spacing w:val="-4"/>
        </w:rPr>
        <w:t>票激励计划（草案）（修订稿）</w:t>
      </w:r>
      <w:r>
        <w:rPr>
          <w:rFonts w:ascii="Times New Roman" w:hAnsi="Times New Roman" w:cs="Times New Roman" w:eastAsia="Times New Roman" w:hint="default"/>
          <w:spacing w:val="-4"/>
        </w:rPr>
        <w:t>&gt;</w:t>
      </w:r>
      <w:r>
        <w:rPr>
          <w:spacing w:val="-4"/>
        </w:rPr>
        <w:t>及摘要的议案》、《关于提请股东大会授权董事会办理公司 </w:t>
      </w:r>
      <w:r>
        <w:rPr>
          <w:rFonts w:ascii="Times New Roman" w:hAnsi="Times New Roman" w:cs="Times New Roman" w:eastAsia="Times New Roman" w:hint="default"/>
        </w:rPr>
        <w:t>2019 </w:t>
      </w:r>
      <w:r>
        <w:rPr>
          <w:rFonts w:ascii="Times New Roman" w:hAnsi="Times New Roman" w:cs="Times New Roman" w:eastAsia="Times New Roman" w:hint="default"/>
          <w:spacing w:val="18"/>
        </w:rPr>
        <w:t> </w:t>
      </w:r>
      <w:r>
        <w:rPr/>
        <w:t>年股票</w:t>
      </w:r>
    </w:p>
    <w:p>
      <w:pPr>
        <w:pStyle w:val="BodyText"/>
        <w:spacing w:line="336" w:lineRule="auto" w:before="119"/>
        <w:ind w:left="153" w:right="1128" w:hanging="1"/>
        <w:jc w:val="both"/>
      </w:pPr>
      <w:r>
        <w:rPr/>
        <w:t>期权与限制性股票激励计划相关事宜的议案》，</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36"/>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r>
        <w:rPr>
          <w:spacing w:val="-39"/>
        </w:rPr>
        <w:t> </w:t>
      </w:r>
      <w:r>
        <w:rPr>
          <w:rFonts w:ascii="Times New Roman" w:hAnsi="Times New Roman" w:cs="Times New Roman" w:eastAsia="Times New Roman" w:hint="default"/>
        </w:rPr>
        <w:t>16</w:t>
      </w:r>
      <w:r>
        <w:rPr>
          <w:rFonts w:ascii="Times New Roman" w:hAnsi="Times New Roman" w:cs="Times New Roman" w:eastAsia="Times New Roman" w:hint="default"/>
          <w:spacing w:val="-5"/>
        </w:rPr>
        <w:t> </w:t>
      </w:r>
      <w:r>
        <w:rPr/>
        <w:t>日公司召开的第四届董事会第二十五次会</w:t>
      </w:r>
      <w:r>
        <w:rPr>
          <w:spacing w:val="-3"/>
          <w:w w:val="100"/>
        </w:rPr>
        <w:t> </w:t>
      </w:r>
      <w:r>
        <w:rPr>
          <w:spacing w:val="-2"/>
        </w:rPr>
        <w:t>议、第四届监事会第十四次会议审议通过了《关于向激励对象授予股票期权和限制性股票的议案》，</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w:t>
      </w:r>
      <w:r>
        <w:rPr>
          <w:spacing w:val="-57"/>
        </w:rPr>
        <w:t> </w:t>
      </w:r>
      <w:r>
        <w:rPr>
          <w:rFonts w:ascii="Times New Roman" w:hAnsi="Times New Roman" w:cs="Times New Roman" w:eastAsia="Times New Roman" w:hint="default"/>
        </w:rPr>
        <w:t>23</w:t>
      </w:r>
      <w:r>
        <w:rPr>
          <w:rFonts w:ascii="Times New Roman" w:hAnsi="Times New Roman" w:cs="Times New Roman" w:eastAsia="Times New Roman" w:hint="default"/>
          <w:spacing w:val="-15"/>
        </w:rPr>
        <w:t> </w:t>
      </w:r>
      <w:r>
        <w:rPr/>
        <w:t>日公司召开的第四届董事会第二十七次会议、第四届监事会第十五次会议审议通过了《关于调</w:t>
      </w:r>
    </w:p>
    <w:p>
      <w:pPr>
        <w:pStyle w:val="BodyText"/>
        <w:spacing w:line="240" w:lineRule="auto" w:before="24"/>
        <w:ind w:left="153" w:right="0"/>
        <w:jc w:val="both"/>
      </w:pPr>
      <w:r>
        <w:rPr/>
        <w:t>整 </w:t>
      </w:r>
      <w:r>
        <w:rPr>
          <w:rFonts w:ascii="Times New Roman" w:hAnsi="Times New Roman" w:cs="Times New Roman" w:eastAsia="Times New Roman" w:hint="default"/>
        </w:rPr>
        <w:t>2019 </w:t>
      </w:r>
      <w:r>
        <w:rPr>
          <w:spacing w:val="-3"/>
        </w:rPr>
        <w:t>年股票期权与限制性股票激励计划激励对象及授予数量的议案》。本次激励计划授予日为 </w:t>
      </w:r>
      <w:r>
        <w:rPr>
          <w:rFonts w:ascii="Times New Roman" w:hAnsi="Times New Roman" w:cs="Times New Roman" w:eastAsia="Times New Roman" w:hint="default"/>
        </w:rPr>
        <w:t>2019</w:t>
      </w:r>
      <w:r>
        <w:rPr>
          <w:rFonts w:ascii="Times New Roman" w:hAnsi="Times New Roman" w:cs="Times New Roman" w:eastAsia="Times New Roman" w:hint="default"/>
          <w:spacing w:val="-18"/>
        </w:rPr>
        <w:t> </w:t>
      </w:r>
      <w:r>
        <w:rPr/>
        <w:t>年</w:t>
      </w:r>
    </w:p>
    <w:p>
      <w:pPr>
        <w:pStyle w:val="BodyText"/>
        <w:spacing w:line="240" w:lineRule="auto" w:before="117"/>
        <w:ind w:left="153" w:right="0"/>
        <w:jc w:val="both"/>
        <w:rPr>
          <w:rFonts w:ascii="Times New Roman" w:hAnsi="Times New Roman" w:cs="Times New Roman" w:eastAsia="Times New Roman" w:hint="default"/>
        </w:rPr>
      </w:pP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14"/>
        </w:rPr>
        <w:t> </w:t>
      </w:r>
      <w:r>
        <w:rPr/>
        <w:t>日，激励对象为</w:t>
      </w:r>
      <w:r>
        <w:rPr>
          <w:spacing w:val="-51"/>
        </w:rPr>
        <w:t> </w:t>
      </w:r>
      <w:r>
        <w:rPr>
          <w:rFonts w:ascii="Times New Roman" w:hAnsi="Times New Roman" w:cs="Times New Roman" w:eastAsia="Times New Roman" w:hint="default"/>
        </w:rPr>
        <w:t>307</w:t>
      </w:r>
      <w:r>
        <w:rPr>
          <w:rFonts w:ascii="Times New Roman" w:hAnsi="Times New Roman" w:cs="Times New Roman" w:eastAsia="Times New Roman" w:hint="default"/>
          <w:spacing w:val="-12"/>
        </w:rPr>
        <w:t> </w:t>
      </w:r>
      <w:r>
        <w:rPr/>
        <w:t>名，授予的股票期权数量为</w:t>
      </w:r>
      <w:r>
        <w:rPr>
          <w:spacing w:val="-49"/>
        </w:rPr>
        <w:t> </w:t>
      </w:r>
      <w:r>
        <w:rPr>
          <w:rFonts w:ascii="Times New Roman" w:hAnsi="Times New Roman" w:cs="Times New Roman" w:eastAsia="Times New Roman" w:hint="default"/>
        </w:rPr>
        <w:t>4,233.20</w:t>
      </w:r>
      <w:r>
        <w:rPr>
          <w:rFonts w:ascii="Times New Roman" w:hAnsi="Times New Roman" w:cs="Times New Roman" w:eastAsia="Times New Roman" w:hint="default"/>
          <w:spacing w:val="-14"/>
        </w:rPr>
        <w:t> </w:t>
      </w:r>
      <w:r>
        <w:rPr/>
        <w:t>万股，授予的限制性股票数量为</w:t>
      </w:r>
      <w:r>
        <w:rPr>
          <w:spacing w:val="-51"/>
        </w:rPr>
        <w:t> </w:t>
      </w:r>
      <w:r>
        <w:rPr>
          <w:rFonts w:ascii="Times New Roman" w:hAnsi="Times New Roman" w:cs="Times New Roman" w:eastAsia="Times New Roman" w:hint="default"/>
        </w:rPr>
        <w:t>4,233.20</w:t>
      </w:r>
    </w:p>
    <w:p>
      <w:pPr>
        <w:pStyle w:val="BodyText"/>
        <w:spacing w:line="240" w:lineRule="auto" w:before="117"/>
        <w:ind w:left="153" w:right="0"/>
        <w:jc w:val="both"/>
      </w:pPr>
      <w:r>
        <w:rPr/>
        <w:t>万股（含激励对象蔡厚富先生、黄海涛女士、陈为群女士暂缓授予的限制性股票共计</w:t>
      </w:r>
      <w:r>
        <w:rPr>
          <w:spacing w:val="-55"/>
        </w:rPr>
        <w:t> </w:t>
      </w:r>
      <w:r>
        <w:rPr>
          <w:rFonts w:ascii="Times New Roman" w:hAnsi="Times New Roman" w:cs="Times New Roman" w:eastAsia="Times New Roman" w:hint="default"/>
        </w:rPr>
        <w:t>600</w:t>
      </w:r>
      <w:r>
        <w:rPr>
          <w:rFonts w:ascii="Times New Roman" w:hAnsi="Times New Roman" w:cs="Times New Roman" w:eastAsia="Times New Roman" w:hint="default"/>
          <w:spacing w:val="-14"/>
        </w:rPr>
        <w:t> </w:t>
      </w:r>
      <w:r>
        <w:rPr/>
        <w:t>万股）。</w:t>
      </w:r>
    </w:p>
    <w:p>
      <w:pPr>
        <w:spacing w:line="240" w:lineRule="auto" w:before="9"/>
        <w:rPr>
          <w:rFonts w:ascii="宋体" w:hAnsi="宋体" w:cs="宋体" w:eastAsia="宋体" w:hint="default"/>
          <w:sz w:val="16"/>
          <w:szCs w:val="16"/>
        </w:rPr>
      </w:pPr>
    </w:p>
    <w:p>
      <w:pPr>
        <w:pStyle w:val="BodyText"/>
        <w:spacing w:line="420" w:lineRule="auto"/>
        <w:ind w:left="573" w:right="1060" w:hanging="1"/>
        <w:jc w:val="left"/>
      </w:pPr>
      <w:r>
        <w:rPr/>
        <w:t>本激励计划股票期权的行权价格为</w:t>
      </w:r>
      <w:r>
        <w:rPr>
          <w:spacing w:val="-54"/>
        </w:rPr>
        <w:t> </w:t>
      </w:r>
      <w:r>
        <w:rPr>
          <w:rFonts w:ascii="Times New Roman" w:hAnsi="Times New Roman" w:cs="Times New Roman" w:eastAsia="Times New Roman" w:hint="default"/>
        </w:rPr>
        <w:t>4.96</w:t>
      </w:r>
      <w:r>
        <w:rPr>
          <w:rFonts w:ascii="Times New Roman" w:hAnsi="Times New Roman" w:cs="Times New Roman" w:eastAsia="Times New Roman" w:hint="default"/>
          <w:spacing w:val="-13"/>
        </w:rPr>
        <w:t> </w:t>
      </w:r>
      <w:r>
        <w:rPr/>
        <w:t>元</w:t>
      </w:r>
      <w:r>
        <w:rPr>
          <w:rFonts w:ascii="Times New Roman" w:hAnsi="Times New Roman" w:cs="Times New Roman" w:eastAsia="Times New Roman" w:hint="default"/>
        </w:rPr>
        <w:t>/</w:t>
      </w:r>
      <w:r>
        <w:rPr/>
        <w:t>股，限制性股票的授予价格为</w:t>
      </w:r>
      <w:r>
        <w:rPr>
          <w:spacing w:val="-54"/>
        </w:rPr>
        <w:t> </w:t>
      </w:r>
      <w:r>
        <w:rPr>
          <w:rFonts w:ascii="Times New Roman" w:hAnsi="Times New Roman" w:cs="Times New Roman" w:eastAsia="Times New Roman" w:hint="default"/>
        </w:rPr>
        <w:t>2.48</w:t>
      </w:r>
      <w:r>
        <w:rPr>
          <w:rFonts w:ascii="Times New Roman" w:hAnsi="Times New Roman" w:cs="Times New Roman" w:eastAsia="Times New Roman" w:hint="default"/>
          <w:spacing w:val="-13"/>
        </w:rPr>
        <w:t> </w:t>
      </w:r>
      <w:r>
        <w:rPr/>
        <w:t>元</w:t>
      </w:r>
      <w:r>
        <w:rPr>
          <w:rFonts w:ascii="Times New Roman" w:hAnsi="Times New Roman" w:cs="Times New Roman" w:eastAsia="Times New Roman" w:hint="default"/>
        </w:rPr>
        <w:t>/</w:t>
      </w:r>
      <w:r>
        <w:rPr/>
        <w:t>股。</w:t>
      </w:r>
      <w:r>
        <w:rPr>
          <w:w w:val="100"/>
        </w:rPr>
        <w:t> </w:t>
      </w:r>
      <w:r>
        <w:rPr/>
        <w:t>授予的股票期权在授予完成日起满</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个月后分三期行权，每期行权的比例分别为</w:t>
      </w:r>
      <w:r>
        <w:rPr>
          <w:spacing w:val="-55"/>
        </w:rPr>
        <w:t> </w:t>
      </w:r>
      <w:r>
        <w:rPr>
          <w:rFonts w:ascii="Times New Roman" w:hAnsi="Times New Roman" w:cs="Times New Roman" w:eastAsia="Times New Roman" w:hint="default"/>
        </w:rPr>
        <w:t>40%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w:t>
      </w:r>
    </w:p>
    <w:p>
      <w:pPr>
        <w:pStyle w:val="BodyText"/>
        <w:spacing w:line="236" w:lineRule="exact"/>
        <w:ind w:left="153" w:right="0"/>
        <w:jc w:val="both"/>
      </w:pPr>
      <w:r>
        <w:rPr/>
        <w:t>授予的限制性股票在授予完成日起满</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个月后分三期解除限售，每期解除限售的比例分别为</w:t>
      </w:r>
      <w:r>
        <w:rPr>
          <w:spacing w:val="-57"/>
        </w:rPr>
        <w:t> </w:t>
      </w:r>
      <w:r>
        <w:rPr>
          <w:rFonts w:ascii="Times New Roman" w:hAnsi="Times New Roman" w:cs="Times New Roman" w:eastAsia="Times New Roman" w:hint="default"/>
        </w:rPr>
        <w:t>40%</w:t>
      </w:r>
      <w:r>
        <w:rPr/>
        <w:t>、</w:t>
      </w:r>
      <w:r>
        <w:rPr>
          <w:rFonts w:ascii="Times New Roman" w:hAnsi="Times New Roman" w:cs="Times New Roman" w:eastAsia="Times New Roman" w:hint="default"/>
        </w:rPr>
        <w:t>30%</w:t>
      </w:r>
      <w:r>
        <w:rPr/>
        <w:t>、</w:t>
      </w:r>
    </w:p>
    <w:p>
      <w:pPr>
        <w:pStyle w:val="BodyText"/>
        <w:spacing w:line="240" w:lineRule="auto" w:before="115"/>
        <w:ind w:left="153" w:right="0"/>
        <w:jc w:val="both"/>
      </w:pPr>
      <w:r>
        <w:rPr>
          <w:rFonts w:ascii="Times New Roman" w:hAnsi="Times New Roman" w:cs="Times New Roman" w:eastAsia="Times New Roman" w:hint="default"/>
        </w:rPr>
        <w:t>30%</w:t>
      </w:r>
      <w:r>
        <w:rPr/>
        <w:t>。</w:t>
      </w:r>
    </w:p>
    <w:p>
      <w:pPr>
        <w:spacing w:line="240" w:lineRule="auto" w:before="3"/>
        <w:rPr>
          <w:rFonts w:ascii="宋体" w:hAnsi="宋体" w:cs="宋体" w:eastAsia="宋体" w:hint="default"/>
          <w:sz w:val="32"/>
          <w:szCs w:val="32"/>
        </w:rPr>
      </w:pPr>
    </w:p>
    <w:p>
      <w:pPr>
        <w:pStyle w:val="Heading4"/>
        <w:spacing w:line="240" w:lineRule="auto"/>
        <w:ind w:left="153" w:right="0"/>
        <w:jc w:val="both"/>
        <w:rPr>
          <w:b w:val="0"/>
          <w:bCs w:val="0"/>
        </w:rPr>
      </w:pPr>
      <w:bookmarkStart w:name="2、以权益结算的股份支付情况" w:id="608"/>
      <w:bookmarkEnd w:id="60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16"/>
          <w:szCs w:val="16"/>
        </w:rPr>
      </w:pPr>
    </w:p>
    <w:p>
      <w:pPr>
        <w:spacing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324"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67,266,511.08</w:t>
            </w:r>
            <w:r>
              <w:rPr>
                <w:rFonts w:ascii="Times New Roman"/>
                <w:sz w:val="18"/>
              </w:rPr>
            </w:r>
          </w:p>
        </w:tc>
      </w:tr>
      <w:tr>
        <w:trPr>
          <w:trHeight w:val="324"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51,197,335.13</w:t>
            </w:r>
          </w:p>
        </w:tc>
      </w:tr>
    </w:tbl>
    <w:p>
      <w:pPr>
        <w:pStyle w:val="BodyText"/>
        <w:spacing w:line="240" w:lineRule="auto" w:before="64"/>
        <w:ind w:right="1127"/>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4"/>
        <w:ind w:right="1127"/>
        <w:jc w:val="left"/>
        <w:rPr>
          <w:b w:val="0"/>
          <w:bCs w:val="0"/>
        </w:rPr>
      </w:pPr>
      <w:bookmarkStart w:name="3、以现金结算的股份支付情况" w:id="609"/>
      <w:bookmarkEnd w:id="609"/>
      <w:r>
        <w:rPr>
          <w:b w:val="0"/>
          <w:bCs w:val="0"/>
        </w:rPr>
      </w:r>
      <w:r>
        <w:rPr>
          <w:rFonts w:ascii="Times New Roman" w:hAnsi="Times New Roman" w:cs="Times New Roman" w:eastAsia="Times New Roman" w:hint="default"/>
        </w:rPr>
        <w:t>3</w:t>
      </w:r>
      <w:r>
        <w:rPr/>
        <w:t>、以现金结算的股份支付情况</w:t>
      </w:r>
      <w:r>
        <w:rPr>
          <w:b w:val="0"/>
          <w:bCs w:val="0"/>
        </w:rPr>
      </w:r>
    </w:p>
    <w:p>
      <w:pPr>
        <w:spacing w:after="0" w:line="240" w:lineRule="auto"/>
        <w:jc w:val="left"/>
        <w:sectPr>
          <w:footerReference w:type="default" r:id="rId87"/>
          <w:pgSz w:w="11910" w:h="16840"/>
          <w:pgMar w:footer="1134" w:header="882" w:top="1280" w:bottom="1320" w:left="980" w:right="0"/>
        </w:sectPr>
      </w:pPr>
    </w:p>
    <w:p>
      <w:pPr>
        <w:pStyle w:val="BodyText"/>
        <w:spacing w:line="240" w:lineRule="auto" w:before="110"/>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32"/>
          <w:szCs w:val="32"/>
        </w:rPr>
      </w:pPr>
    </w:p>
    <w:p>
      <w:pPr>
        <w:pStyle w:val="Heading4"/>
        <w:spacing w:line="240" w:lineRule="auto"/>
        <w:ind w:right="1127"/>
        <w:jc w:val="left"/>
        <w:rPr>
          <w:b w:val="0"/>
          <w:bCs w:val="0"/>
        </w:rPr>
      </w:pPr>
      <w:bookmarkStart w:name="4、股份支付的修改、终止情况" w:id="610"/>
      <w:bookmarkEnd w:id="610"/>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3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3"/>
        </w:rPr>
        <w:t>日，公司召开第四届董事会第十七次会议和第四届监事会第八次会议，同意公司终止实</w:t>
      </w:r>
    </w:p>
    <w:p>
      <w:pPr>
        <w:pStyle w:val="BodyText"/>
        <w:spacing w:line="338" w:lineRule="auto" w:before="117"/>
        <w:ind w:left="152" w:right="1130"/>
        <w:jc w:val="both"/>
      </w:pPr>
      <w:r>
        <w:rPr/>
        <w:t>施</w:t>
      </w:r>
      <w:r>
        <w:rPr>
          <w:spacing w:val="-2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年限制性股票激励计划，同时回购注销原</w:t>
      </w:r>
      <w:r>
        <w:rPr>
          <w:spacing w:val="-27"/>
        </w:rPr>
        <w:t> </w:t>
      </w:r>
      <w:r>
        <w:rPr>
          <w:rFonts w:ascii="Times New Roman" w:hAnsi="Times New Roman" w:cs="Times New Roman" w:eastAsia="Times New Roman" w:hint="default"/>
        </w:rPr>
        <w:t>343</w:t>
      </w:r>
      <w:r>
        <w:rPr>
          <w:rFonts w:ascii="Times New Roman" w:hAnsi="Times New Roman" w:cs="Times New Roman" w:eastAsia="Times New Roman" w:hint="default"/>
          <w:spacing w:val="7"/>
        </w:rPr>
        <w:t> </w:t>
      </w:r>
      <w:r>
        <w:rPr/>
        <w:t>名激励对象已获授但尚未解除限售的全部限制性股</w:t>
      </w:r>
      <w:r>
        <w:rPr>
          <w:w w:val="100"/>
        </w:rPr>
        <w:t> </w:t>
      </w:r>
      <w:r>
        <w:rPr/>
        <w:t>票。根据立信会计师事务所（特殊普通合伙）出具的信会师报字</w:t>
      </w:r>
      <w:r>
        <w:rPr>
          <w:rFonts w:ascii="Times New Roman" w:hAnsi="Times New Roman" w:cs="Times New Roman" w:eastAsia="Times New Roman" w:hint="default"/>
        </w:rPr>
        <w:t>(2019)</w:t>
      </w:r>
      <w:r>
        <w:rPr/>
        <w:t>第</w:t>
      </w:r>
      <w:r>
        <w:rPr>
          <w:spacing w:val="-43"/>
        </w:rPr>
        <w:t> </w:t>
      </w:r>
      <w:r>
        <w:rPr>
          <w:rFonts w:ascii="Times New Roman" w:hAnsi="Times New Roman" w:cs="Times New Roman" w:eastAsia="Times New Roman" w:hint="default"/>
        </w:rPr>
        <w:t>ZB10326</w:t>
      </w:r>
      <w:r>
        <w:rPr>
          <w:rFonts w:ascii="Times New Roman" w:hAnsi="Times New Roman" w:cs="Times New Roman" w:eastAsia="Times New Roman" w:hint="default"/>
          <w:spacing w:val="-6"/>
        </w:rPr>
        <w:t> </w:t>
      </w:r>
      <w:r>
        <w:rPr>
          <w:spacing w:val="-3"/>
        </w:rPr>
        <w:t>号验资报告，对公司截</w:t>
      </w:r>
      <w:r>
        <w:rPr>
          <w:spacing w:val="-103"/>
        </w:rPr>
        <w:t> </w:t>
      </w:r>
      <w:r>
        <w:rPr>
          <w:spacing w:val="-103"/>
        </w:rPr>
      </w:r>
      <w:r>
        <w:rPr/>
        <w:t>至</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月</w:t>
      </w:r>
      <w:r>
        <w:rPr>
          <w:spacing w:val="-50"/>
        </w:rPr>
        <w:t> </w:t>
      </w:r>
      <w:r>
        <w:rPr>
          <w:rFonts w:ascii="Times New Roman" w:hAnsi="Times New Roman" w:cs="Times New Roman" w:eastAsia="Times New Roman" w:hint="default"/>
        </w:rPr>
        <w:t>25</w:t>
      </w:r>
      <w:r>
        <w:rPr>
          <w:rFonts w:ascii="Times New Roman" w:hAnsi="Times New Roman" w:cs="Times New Roman" w:eastAsia="Times New Roman" w:hint="default"/>
          <w:spacing w:val="-14"/>
        </w:rPr>
        <w:t> </w:t>
      </w:r>
      <w:r>
        <w:rPr/>
        <w:t>日止减少注册资本及实收资本（股本）情况进行了审验，公司减资前的注册资本为人民</w:t>
      </w:r>
    </w:p>
    <w:p>
      <w:pPr>
        <w:pStyle w:val="BodyText"/>
        <w:spacing w:line="240" w:lineRule="auto" w:before="22"/>
        <w:ind w:left="152" w:right="0"/>
        <w:jc w:val="left"/>
        <w:rPr>
          <w:rFonts w:ascii="Times New Roman" w:hAnsi="Times New Roman" w:cs="Times New Roman" w:eastAsia="Times New Roman" w:hint="default"/>
        </w:rPr>
      </w:pPr>
      <w:r>
        <w:rPr>
          <w:w w:val="100"/>
        </w:rPr>
        <w:t>币</w:t>
      </w:r>
      <w:r>
        <w:rPr>
          <w:spacing w:val="-65"/>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736,</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61,</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88.00</w:t>
      </w:r>
      <w:r>
        <w:rPr>
          <w:rFonts w:ascii="Times New Roman" w:hAnsi="Times New Roman" w:cs="Times New Roman" w:eastAsia="Times New Roman" w:hint="default"/>
          <w:spacing w:val="-22"/>
        </w:rPr>
        <w:t> </w:t>
      </w:r>
      <w:r>
        <w:rPr>
          <w:w w:val="100"/>
        </w:rPr>
        <w:t>元</w:t>
      </w:r>
      <w:r>
        <w:rPr>
          <w:spacing w:val="-106"/>
          <w:w w:val="100"/>
        </w:rPr>
        <w:t>，</w:t>
      </w:r>
      <w:r>
        <w:rPr>
          <w:spacing w:val="-3"/>
          <w:w w:val="100"/>
        </w:rPr>
        <w:t>股</w:t>
      </w:r>
      <w:r>
        <w:rPr>
          <w:w w:val="100"/>
        </w:rPr>
        <w:t>本为</w:t>
      </w:r>
      <w:r>
        <w:rPr>
          <w:spacing w:val="-3"/>
          <w:w w:val="100"/>
        </w:rPr>
        <w:t>人民</w:t>
      </w:r>
      <w:r>
        <w:rPr>
          <w:w w:val="100"/>
        </w:rPr>
        <w:t>币</w:t>
      </w:r>
      <w:r>
        <w:rPr>
          <w:spacing w:val="-65"/>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736,</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61,</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88.</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19"/>
        </w:rPr>
        <w:t> </w:t>
      </w:r>
      <w:r>
        <w:rPr>
          <w:w w:val="100"/>
        </w:rPr>
        <w:t>元</w:t>
      </w:r>
      <w:r>
        <w:rPr>
          <w:spacing w:val="-106"/>
          <w:w w:val="100"/>
        </w:rPr>
        <w:t>；</w:t>
      </w:r>
      <w:r>
        <w:rPr>
          <w:spacing w:val="-3"/>
          <w:w w:val="100"/>
        </w:rPr>
        <w:t>本</w:t>
      </w:r>
      <w:r>
        <w:rPr>
          <w:w w:val="100"/>
        </w:rPr>
        <w:t>次</w:t>
      </w:r>
      <w:r>
        <w:rPr>
          <w:spacing w:val="-3"/>
          <w:w w:val="100"/>
        </w:rPr>
        <w:t>变</w:t>
      </w:r>
      <w:r>
        <w:rPr>
          <w:w w:val="100"/>
        </w:rPr>
        <w:t>更</w:t>
      </w:r>
      <w:r>
        <w:rPr>
          <w:spacing w:val="-3"/>
          <w:w w:val="100"/>
        </w:rPr>
        <w:t>后</w:t>
      </w:r>
      <w:r>
        <w:rPr>
          <w:w w:val="100"/>
        </w:rPr>
        <w:t>的</w:t>
      </w:r>
      <w:r>
        <w:rPr>
          <w:spacing w:val="-3"/>
          <w:w w:val="100"/>
        </w:rPr>
        <w:t>注</w:t>
      </w:r>
      <w:r>
        <w:rPr>
          <w:w w:val="100"/>
        </w:rPr>
        <w:t>册</w:t>
      </w:r>
      <w:r>
        <w:rPr>
          <w:spacing w:val="-3"/>
          <w:w w:val="100"/>
        </w:rPr>
        <w:t>资</w:t>
      </w:r>
      <w:r>
        <w:rPr>
          <w:w w:val="100"/>
        </w:rPr>
        <w:t>本为</w:t>
      </w:r>
      <w:r>
        <w:rPr>
          <w:spacing w:val="-3"/>
          <w:w w:val="100"/>
        </w:rPr>
        <w:t>人民</w:t>
      </w:r>
      <w:r>
        <w:rPr>
          <w:w w:val="100"/>
        </w:rPr>
        <w:t>币</w:t>
      </w:r>
      <w:r>
        <w:rPr>
          <w:spacing w:val="-65"/>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710,</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02,</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95.</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p>
    <w:p>
      <w:pPr>
        <w:pStyle w:val="BodyText"/>
        <w:spacing w:line="240" w:lineRule="auto" w:before="115"/>
        <w:ind w:left="153" w:right="1127"/>
        <w:jc w:val="left"/>
      </w:pPr>
      <w:r>
        <w:rPr/>
        <w:t>元，股本为人民币</w:t>
      </w:r>
      <w:r>
        <w:rPr>
          <w:spacing w:val="-54"/>
        </w:rPr>
        <w:t> </w:t>
      </w:r>
      <w:r>
        <w:rPr>
          <w:rFonts w:ascii="Times New Roman" w:hAnsi="Times New Roman" w:cs="Times New Roman" w:eastAsia="Times New Roman" w:hint="default"/>
        </w:rPr>
        <w:t>1,710,802,595.00</w:t>
      </w:r>
      <w:r>
        <w:rPr>
          <w:rFonts w:ascii="Times New Roman" w:hAnsi="Times New Roman" w:cs="Times New Roman" w:eastAsia="Times New Roman" w:hint="default"/>
          <w:spacing w:val="-13"/>
        </w:rPr>
        <w:t> </w:t>
      </w:r>
      <w:r>
        <w:rPr/>
        <w:t>元。</w:t>
      </w:r>
    </w:p>
    <w:p>
      <w:pPr>
        <w:spacing w:line="240" w:lineRule="auto" w:before="11"/>
        <w:rPr>
          <w:rFonts w:ascii="宋体" w:hAnsi="宋体" w:cs="宋体" w:eastAsia="宋体" w:hint="default"/>
          <w:sz w:val="16"/>
          <w:szCs w:val="16"/>
        </w:rPr>
      </w:pPr>
    </w:p>
    <w:p>
      <w:pPr>
        <w:pStyle w:val="BodyText"/>
        <w:spacing w:line="333" w:lineRule="auto"/>
        <w:ind w:left="153" w:right="0" w:firstLine="419"/>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3"/>
        </w:rPr>
        <w:t>日，公司完成了相关工商变更登记手续，并领取了北京市工商行政管理局换发的《企业</w:t>
      </w:r>
      <w:r>
        <w:rPr>
          <w:w w:val="100"/>
        </w:rPr>
        <w:t> </w:t>
      </w:r>
      <w:r>
        <w:rPr>
          <w:spacing w:val="-28"/>
          <w:w w:val="100"/>
        </w:rPr>
        <w:t>法人营业执照》。</w:t>
      </w:r>
      <w:r>
        <w:rPr>
          <w:w w:val="100"/>
        </w:rPr>
      </w:r>
    </w:p>
    <w:p>
      <w:pPr>
        <w:pStyle w:val="BodyText"/>
        <w:spacing w:line="240" w:lineRule="auto" w:before="152"/>
        <w:ind w:left="573" w:right="1127"/>
        <w:jc w:val="left"/>
      </w:pPr>
      <w:r>
        <w:rPr/>
        <w:t>公司因本次激励计划终止在</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年共计提了</w:t>
      </w:r>
      <w:r>
        <w:rPr>
          <w:spacing w:val="-56"/>
        </w:rPr>
        <w:t> </w:t>
      </w:r>
      <w:r>
        <w:rPr>
          <w:rFonts w:ascii="Times New Roman" w:hAnsi="Times New Roman" w:cs="Times New Roman" w:eastAsia="Times New Roman" w:hint="default"/>
        </w:rPr>
        <w:t>18,727,235.13</w:t>
      </w:r>
      <w:r>
        <w:rPr>
          <w:rFonts w:ascii="Times New Roman" w:hAnsi="Times New Roman" w:cs="Times New Roman" w:eastAsia="Times New Roman" w:hint="default"/>
          <w:spacing w:val="-13"/>
        </w:rPr>
        <w:t> </w:t>
      </w:r>
      <w:r>
        <w:rPr/>
        <w:t>元加速行权股份支付费用。</w:t>
      </w:r>
    </w:p>
    <w:p>
      <w:pPr>
        <w:spacing w:line="240" w:lineRule="auto" w:before="3"/>
        <w:rPr>
          <w:rFonts w:ascii="宋体" w:hAnsi="宋体" w:cs="宋体" w:eastAsia="宋体" w:hint="default"/>
          <w:sz w:val="32"/>
          <w:szCs w:val="32"/>
        </w:rPr>
      </w:pPr>
    </w:p>
    <w:p>
      <w:pPr>
        <w:spacing w:line="470" w:lineRule="auto" w:before="0"/>
        <w:ind w:left="152" w:right="8345" w:firstLine="0"/>
        <w:jc w:val="left"/>
        <w:rPr>
          <w:rFonts w:ascii="宋体" w:hAnsi="宋体" w:cs="宋体" w:eastAsia="宋体" w:hint="default"/>
          <w:sz w:val="21"/>
          <w:szCs w:val="21"/>
        </w:rPr>
      </w:pPr>
      <w:bookmarkStart w:name="5、其他" w:id="611"/>
      <w:bookmarkEnd w:id="61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612"/>
      <w:bookmarkEnd w:id="612"/>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613"/>
      <w:bookmarkEnd w:id="61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441" w:lineRule="auto" w:before="57"/>
        <w:ind w:right="5512"/>
        <w:jc w:val="left"/>
      </w:pPr>
      <w:r>
        <w:rPr/>
        <w:t>资产负债表日存在的重要承诺</w:t>
      </w:r>
      <w:r>
        <w:rPr>
          <w:w w:val="100"/>
        </w:rPr>
        <w:t> </w:t>
      </w:r>
      <w:r>
        <w:rPr>
          <w:spacing w:val="-2"/>
        </w:rPr>
        <w:t>本公司无资产负债表日存在的重要承诺。</w:t>
      </w:r>
    </w:p>
    <w:p>
      <w:pPr>
        <w:spacing w:line="240" w:lineRule="auto" w:before="13"/>
        <w:rPr>
          <w:rFonts w:ascii="宋体" w:hAnsi="宋体" w:cs="宋体" w:eastAsia="宋体" w:hint="default"/>
          <w:sz w:val="19"/>
          <w:szCs w:val="19"/>
        </w:rPr>
      </w:pPr>
    </w:p>
    <w:p>
      <w:pPr>
        <w:pStyle w:val="Heading4"/>
        <w:spacing w:line="240" w:lineRule="auto"/>
        <w:ind w:right="1127"/>
        <w:jc w:val="left"/>
        <w:rPr>
          <w:b w:val="0"/>
          <w:bCs w:val="0"/>
        </w:rPr>
      </w:pPr>
      <w:bookmarkStart w:name="2、或有事项" w:id="614"/>
      <w:bookmarkEnd w:id="61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left="575" w:right="1127"/>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6"/>
        <w:rPr>
          <w:rFonts w:ascii="宋体" w:hAnsi="宋体" w:cs="宋体" w:eastAsia="宋体" w:hint="default"/>
          <w:b/>
          <w:bCs/>
          <w:sz w:val="16"/>
          <w:szCs w:val="16"/>
        </w:rPr>
      </w:pPr>
    </w:p>
    <w:p>
      <w:pPr>
        <w:pStyle w:val="BodyText"/>
        <w:spacing w:line="240" w:lineRule="auto"/>
        <w:ind w:right="1127"/>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年朗科科技诉讼</w:t>
      </w:r>
    </w:p>
    <w:p>
      <w:pPr>
        <w:spacing w:line="240" w:lineRule="auto" w:before="11"/>
        <w:rPr>
          <w:rFonts w:ascii="宋体" w:hAnsi="宋体" w:cs="宋体" w:eastAsia="宋体" w:hint="default"/>
          <w:sz w:val="16"/>
          <w:szCs w:val="16"/>
        </w:rPr>
      </w:pPr>
    </w:p>
    <w:p>
      <w:pPr>
        <w:pStyle w:val="BodyText"/>
        <w:spacing w:line="345" w:lineRule="auto"/>
        <w:ind w:left="153" w:right="1128" w:firstLine="419"/>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日，深圳朗科科技股份有限公司向广西壮族自治区南宁市中级人民法院递交《民事起</w:t>
      </w:r>
      <w:r>
        <w:rPr>
          <w:w w:val="100"/>
        </w:rPr>
        <w:t> </w:t>
      </w:r>
      <w:r>
        <w:rPr>
          <w:spacing w:val="-2"/>
          <w:w w:val="100"/>
        </w:rPr>
        <w:t>诉状》。起诉本公司等单位侵犯朗科科技发明专利权（专利名称为“用于数据处理系统的快闪电子式外存</w:t>
      </w:r>
      <w:r>
        <w:rPr>
          <w:spacing w:val="-94"/>
          <w:w w:val="100"/>
        </w:rPr>
        <w:t> </w:t>
      </w:r>
      <w:r>
        <w:rPr>
          <w:spacing w:val="-94"/>
          <w:w w:val="100"/>
        </w:rPr>
      </w:r>
      <w:r>
        <w:rPr>
          <w:spacing w:val="-8"/>
          <w:w w:val="100"/>
        </w:rPr>
        <w:t>储方法及其装置”，专利号：</w:t>
      </w:r>
      <w:r>
        <w:rPr>
          <w:rFonts w:ascii="Times New Roman" w:hAnsi="Times New Roman" w:cs="Times New Roman" w:eastAsia="Times New Roman" w:hint="default"/>
          <w:spacing w:val="-8"/>
          <w:w w:val="100"/>
        </w:rPr>
        <w:t>99117225.6</w:t>
      </w:r>
      <w:r>
        <w:rPr>
          <w:spacing w:val="-8"/>
          <w:w w:val="100"/>
        </w:rPr>
        <w:t>）。南宁市中级人民法院于</w:t>
      </w:r>
      <w:r>
        <w:rPr>
          <w:spacing w:val="-50"/>
          <w:w w:val="100"/>
        </w:rPr>
        <w:t> </w:t>
      </w:r>
      <w:r>
        <w:rPr>
          <w:rFonts w:ascii="Times New Roman" w:hAnsi="Times New Roman" w:cs="Times New Roman" w:eastAsia="Times New Roman" w:hint="default"/>
          <w:spacing w:val="-1"/>
          <w:w w:val="100"/>
        </w:rPr>
        <w:t>2012</w:t>
      </w:r>
      <w:r>
        <w:rPr>
          <w:rFonts w:ascii="Times New Roman" w:hAnsi="Times New Roman" w:cs="Times New Roman" w:eastAsia="Times New Roman" w:hint="default"/>
          <w:w w:val="100"/>
        </w:rPr>
        <w:t> </w:t>
      </w:r>
      <w:r>
        <w:rPr>
          <w:w w:val="100"/>
        </w:rPr>
        <w:t>年</w:t>
      </w:r>
      <w:r>
        <w:rPr>
          <w:spacing w:val="-50"/>
          <w:w w:val="100"/>
        </w:rPr>
        <w:t> </w:t>
      </w:r>
      <w:r>
        <w:rPr>
          <w:rFonts w:ascii="Times New Roman" w:hAnsi="Times New Roman" w:cs="Times New Roman" w:eastAsia="Times New Roman" w:hint="default"/>
          <w:w w:val="100"/>
        </w:rPr>
        <w:t>5 </w:t>
      </w:r>
      <w:r>
        <w:rPr>
          <w:w w:val="100"/>
        </w:rPr>
        <w:t>月</w:t>
      </w:r>
      <w:r>
        <w:rPr>
          <w:spacing w:val="-50"/>
          <w:w w:val="100"/>
        </w:rPr>
        <w:t> </w:t>
      </w:r>
      <w:r>
        <w:rPr>
          <w:rFonts w:ascii="Times New Roman" w:hAnsi="Times New Roman" w:cs="Times New Roman" w:eastAsia="Times New Roman" w:hint="default"/>
          <w:w w:val="100"/>
        </w:rPr>
        <w:t>15 </w:t>
      </w:r>
      <w:r>
        <w:rPr>
          <w:spacing w:val="-2"/>
          <w:w w:val="100"/>
        </w:rPr>
        <w:t>日受理了本案。</w:t>
      </w:r>
      <w:r>
        <w:rPr>
          <w:w w:val="100"/>
        </w:rPr>
      </w:r>
    </w:p>
    <w:p>
      <w:pPr>
        <w:pStyle w:val="BodyText"/>
        <w:spacing w:line="240" w:lineRule="auto" w:before="118"/>
        <w:ind w:left="573"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日，公司收到广西南宁市中级人民法院作出的一审判决，被告北京旋极信息技术股份</w:t>
      </w:r>
    </w:p>
    <w:p>
      <w:pPr>
        <w:pStyle w:val="BodyText"/>
        <w:spacing w:line="240" w:lineRule="auto" w:before="115"/>
        <w:ind w:left="153" w:right="1127"/>
        <w:jc w:val="left"/>
      </w:pPr>
      <w:r>
        <w:rPr/>
        <w:t>有限公司赔偿原告深圳市朗科科技股份有限公司经济损失</w:t>
      </w:r>
      <w:r>
        <w:rPr>
          <w:spacing w:val="-56"/>
        </w:rPr>
        <w:t> </w:t>
      </w:r>
      <w:r>
        <w:rPr>
          <w:rFonts w:ascii="Times New Roman" w:hAnsi="Times New Roman" w:cs="Times New Roman" w:eastAsia="Times New Roman" w:hint="default"/>
        </w:rPr>
        <w:t>4,000.00</w:t>
      </w:r>
      <w:r>
        <w:rPr>
          <w:rFonts w:ascii="Times New Roman" w:hAnsi="Times New Roman" w:cs="Times New Roman" w:eastAsia="Times New Roman" w:hint="default"/>
          <w:spacing w:val="-5"/>
        </w:rPr>
        <w:t> </w:t>
      </w:r>
      <w:r>
        <w:rPr/>
        <w:t>万元。</w:t>
      </w:r>
    </w:p>
    <w:p>
      <w:pPr>
        <w:spacing w:line="240" w:lineRule="auto" w:before="11"/>
        <w:rPr>
          <w:rFonts w:ascii="宋体" w:hAnsi="宋体" w:cs="宋体" w:eastAsia="宋体" w:hint="default"/>
          <w:sz w:val="16"/>
          <w:szCs w:val="16"/>
        </w:rPr>
      </w:pPr>
    </w:p>
    <w:p>
      <w:pPr>
        <w:pStyle w:val="BodyText"/>
        <w:spacing w:line="336" w:lineRule="auto"/>
        <w:ind w:left="152" w:right="1128" w:firstLine="420"/>
        <w:jc w:val="both"/>
        <w:rPr>
          <w:rFonts w:ascii="Times New Roman" w:hAnsi="Times New Roman" w:cs="Times New Roman" w:eastAsia="Times New Roman" w:hint="default"/>
        </w:rPr>
      </w:pP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日公司依法向广西南宁市中级人民法院提交上诉材料，</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月公司收到广西壮族</w:t>
      </w:r>
      <w:r>
        <w:rPr>
          <w:w w:val="100"/>
        </w:rPr>
        <w:t> </w:t>
      </w:r>
      <w:r>
        <w:rPr>
          <w:spacing w:val="-2"/>
        </w:rPr>
        <w:t>自治区高级人民法院对公司上诉的判决，判决如下：</w:t>
      </w:r>
      <w:r>
        <w:rPr>
          <w:rFonts w:ascii="Times New Roman" w:hAnsi="Times New Roman" w:cs="Times New Roman" w:eastAsia="Times New Roman" w:hint="default"/>
          <w:spacing w:val="-2"/>
        </w:rPr>
        <w:t>"1</w:t>
      </w:r>
      <w:r>
        <w:rPr>
          <w:spacing w:val="-2"/>
        </w:rPr>
        <w:t>、撤销南宁市中级人民法院（</w:t>
      </w:r>
      <w:r>
        <w:rPr>
          <w:rFonts w:ascii="Times New Roman" w:hAnsi="Times New Roman" w:cs="Times New Roman" w:eastAsia="Times New Roman" w:hint="default"/>
          <w:spacing w:val="-2"/>
        </w:rPr>
        <w:t>2012</w:t>
      </w:r>
      <w:r>
        <w:rPr>
          <w:spacing w:val="-2"/>
        </w:rPr>
        <w:t>）南市民三初字</w:t>
      </w:r>
      <w:r>
        <w:rPr>
          <w:spacing w:val="-23"/>
        </w:rPr>
        <w:t> </w:t>
      </w:r>
      <w:r>
        <w:rPr>
          <w:spacing w:val="-23"/>
        </w:rPr>
      </w:r>
      <w:r>
        <w:rPr/>
        <w:t>第</w:t>
      </w:r>
      <w:r>
        <w:rPr>
          <w:spacing w:val="-52"/>
        </w:rPr>
        <w:t> </w:t>
      </w:r>
      <w:r>
        <w:rPr>
          <w:rFonts w:ascii="Times New Roman" w:hAnsi="Times New Roman" w:cs="Times New Roman" w:eastAsia="Times New Roman" w:hint="default"/>
        </w:rPr>
        <w:t>59</w:t>
      </w:r>
      <w:r>
        <w:rPr>
          <w:rFonts w:ascii="Times New Roman" w:hAnsi="Times New Roman" w:cs="Times New Roman" w:eastAsia="Times New Roman" w:hint="default"/>
          <w:spacing w:val="-2"/>
        </w:rPr>
        <w:t> </w:t>
      </w:r>
      <w:r>
        <w:rPr/>
        <w:t>号民事裁决；</w:t>
      </w:r>
      <w:r>
        <w:rPr>
          <w:rFonts w:ascii="Times New Roman" w:hAnsi="Times New Roman" w:cs="Times New Roman" w:eastAsia="Times New Roman" w:hint="default"/>
        </w:rPr>
        <w:t>2</w:t>
      </w:r>
      <w:r>
        <w:rPr/>
        <w:t>、将本案发回南宁市中级人民法院重审。</w:t>
      </w:r>
      <w:r>
        <w:rPr>
          <w:rFonts w:ascii="Times New Roman" w:hAnsi="Times New Roman" w:cs="Times New Roman" w:eastAsia="Times New Roman" w:hint="default"/>
        </w:rPr>
        <w:t>"</w:t>
      </w:r>
    </w:p>
    <w:p>
      <w:pPr>
        <w:pStyle w:val="BodyText"/>
        <w:spacing w:line="240" w:lineRule="auto" w:before="127"/>
        <w:ind w:left="573"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6 </w:t>
      </w:r>
      <w:r>
        <w:rPr/>
        <w:t>日，公司收到广西壮族自治区南宁市中级人民法院（</w:t>
      </w:r>
      <w:r>
        <w:rPr>
          <w:rFonts w:ascii="Times New Roman" w:hAnsi="Times New Roman" w:cs="Times New Roman" w:eastAsia="Times New Roman" w:hint="default"/>
        </w:rPr>
        <w:t>2016</w:t>
      </w:r>
      <w:r>
        <w:rPr/>
        <w:t>）桂</w:t>
      </w:r>
      <w:r>
        <w:rPr>
          <w:spacing w:val="-53"/>
        </w:rPr>
        <w:t> </w:t>
      </w:r>
      <w:r>
        <w:rPr>
          <w:rFonts w:ascii="Times New Roman" w:hAnsi="Times New Roman" w:cs="Times New Roman" w:eastAsia="Times New Roman" w:hint="default"/>
        </w:rPr>
        <w:t>01</w:t>
      </w:r>
      <w:r>
        <w:rPr>
          <w:rFonts w:ascii="Times New Roman" w:hAnsi="Times New Roman" w:cs="Times New Roman" w:eastAsia="Times New Roman" w:hint="default"/>
          <w:spacing w:val="2"/>
        </w:rPr>
        <w:t> </w:t>
      </w:r>
      <w:r>
        <w:rPr/>
        <w:t>民初</w:t>
      </w:r>
      <w:r>
        <w:rPr>
          <w:spacing w:val="-50"/>
        </w:rPr>
        <w:t> </w:t>
      </w:r>
      <w:r>
        <w:rPr>
          <w:rFonts w:ascii="Times New Roman" w:hAnsi="Times New Roman" w:cs="Times New Roman" w:eastAsia="Times New Roman" w:hint="default"/>
        </w:rPr>
        <w:t>577 </w:t>
      </w:r>
      <w:r>
        <w:rPr/>
        <w:t>号《民事判</w:t>
      </w:r>
    </w:p>
    <w:p>
      <w:pPr>
        <w:spacing w:after="0" w:line="240" w:lineRule="auto"/>
        <w:jc w:val="left"/>
        <w:sectPr>
          <w:footerReference w:type="default" r:id="rId88"/>
          <w:pgSz w:w="11910" w:h="16840"/>
          <w:pgMar w:footer="1134" w:header="882" w:top="1280" w:bottom="1320" w:left="980" w:right="0"/>
          <w:pgNumType w:start="271"/>
        </w:sectPr>
      </w:pPr>
    </w:p>
    <w:p>
      <w:pPr>
        <w:pStyle w:val="BodyText"/>
        <w:spacing w:line="336" w:lineRule="auto" w:before="112"/>
        <w:ind w:left="152" w:right="1130"/>
        <w:jc w:val="both"/>
      </w:pPr>
      <w:r>
        <w:rPr>
          <w:spacing w:val="-4"/>
          <w:w w:val="100"/>
        </w:rPr>
        <w:t>决书》，对本案作出了重审判决，判决如下：“</w:t>
      </w:r>
      <w:r>
        <w:rPr>
          <w:rFonts w:ascii="Times New Roman" w:hAnsi="Times New Roman" w:cs="Times New Roman" w:eastAsia="Times New Roman" w:hint="default"/>
          <w:spacing w:val="-4"/>
          <w:w w:val="100"/>
        </w:rPr>
        <w:t>1</w:t>
      </w:r>
      <w:r>
        <w:rPr>
          <w:spacing w:val="-4"/>
          <w:w w:val="100"/>
        </w:rPr>
        <w:t>、被告旋极信息、被告农业银行、农业银行北海支行立即</w:t>
      </w:r>
      <w:r>
        <w:rPr>
          <w:w w:val="100"/>
        </w:rPr>
        <w:t> </w:t>
      </w:r>
      <w:r>
        <w:rPr/>
        <w:t>停止侵害原告深圳市朗科科技股份有限公司第 </w:t>
      </w:r>
      <w:r>
        <w:rPr>
          <w:rFonts w:ascii="Times New Roman" w:hAnsi="Times New Roman" w:cs="Times New Roman" w:eastAsia="Times New Roman" w:hint="default"/>
        </w:rPr>
        <w:t>ZL99117225.6</w:t>
      </w:r>
      <w:r>
        <w:rPr>
          <w:rFonts w:ascii="Times New Roman" w:hAnsi="Times New Roman" w:cs="Times New Roman" w:eastAsia="Times New Roman" w:hint="default"/>
          <w:spacing w:val="24"/>
        </w:rPr>
        <w:t> </w:t>
      </w:r>
      <w:r>
        <w:rPr/>
        <w:t>号发明专利权的行为，即被告旋极信息立即</w:t>
      </w:r>
      <w:r>
        <w:rPr>
          <w:spacing w:val="-3"/>
          <w:w w:val="100"/>
        </w:rPr>
        <w:t> </w:t>
      </w:r>
      <w:r>
        <w:rPr>
          <w:spacing w:val="7"/>
        </w:rPr>
        <w:t>停止使用原告朗科科技第</w:t>
      </w:r>
      <w:r>
        <w:rPr>
          <w:spacing w:val="46"/>
        </w:rPr>
        <w:t> </w:t>
      </w:r>
      <w:r>
        <w:rPr>
          <w:rFonts w:ascii="Times New Roman" w:hAnsi="Times New Roman" w:cs="Times New Roman" w:eastAsia="Times New Roman" w:hint="default"/>
        </w:rPr>
        <w:t>ZL99117225.6</w:t>
      </w:r>
      <w:r>
        <w:rPr>
          <w:rFonts w:ascii="Times New Roman" w:hAnsi="Times New Roman" w:cs="Times New Roman" w:eastAsia="Times New Roman" w:hint="default"/>
          <w:spacing w:val="45"/>
        </w:rPr>
        <w:t> </w:t>
      </w:r>
      <w:r>
        <w:rPr>
          <w:spacing w:val="8"/>
        </w:rPr>
        <w:t>号发明专利方法，并立即停止制造、销售、许诺销售侵权的</w:t>
      </w:r>
      <w:r>
        <w:rPr>
          <w:spacing w:val="-97"/>
        </w:rPr>
        <w:t> </w:t>
      </w:r>
      <w:r>
        <w:rPr>
          <w:spacing w:val="-97"/>
        </w:rPr>
      </w:r>
      <w:r>
        <w:rPr>
          <w:rFonts w:ascii="Times New Roman" w:hAnsi="Times New Roman" w:cs="Times New Roman" w:eastAsia="Times New Roman" w:hint="default"/>
        </w:rPr>
        <w:t>ComyiKEY220</w:t>
      </w:r>
      <w:r>
        <w:rPr>
          <w:rFonts w:ascii="Times New Roman" w:hAnsi="Times New Roman" w:cs="Times New Roman" w:eastAsia="Times New Roman" w:hint="default"/>
          <w:spacing w:val="2"/>
        </w:rPr>
        <w:t> </w:t>
      </w:r>
      <w:r>
        <w:rPr/>
        <w:t>产品，被告农业银行、农业银行北海支行立即停止使用侵权的</w:t>
      </w:r>
      <w:r>
        <w:rPr>
          <w:spacing w:val="-53"/>
        </w:rPr>
        <w:t> </w:t>
      </w:r>
      <w:r>
        <w:rPr>
          <w:rFonts w:ascii="Times New Roman" w:hAnsi="Times New Roman" w:cs="Times New Roman" w:eastAsia="Times New Roman" w:hint="default"/>
        </w:rPr>
        <w:t>ComyiKEY220</w:t>
      </w:r>
      <w:r>
        <w:rPr>
          <w:rFonts w:ascii="Times New Roman" w:hAnsi="Times New Roman" w:cs="Times New Roman" w:eastAsia="Times New Roman" w:hint="default"/>
          <w:spacing w:val="2"/>
        </w:rPr>
        <w:t> </w:t>
      </w:r>
      <w:r>
        <w:rPr/>
        <w:t>产品；</w:t>
      </w:r>
      <w:r>
        <w:rPr>
          <w:rFonts w:ascii="Times New Roman" w:hAnsi="Times New Roman" w:cs="Times New Roman" w:eastAsia="Times New Roman" w:hint="default"/>
        </w:rPr>
        <w:t>2</w:t>
      </w:r>
      <w:r>
        <w:rPr/>
        <w:t>、被</w:t>
      </w:r>
      <w:r>
        <w:rPr>
          <w:spacing w:val="-3"/>
          <w:w w:val="100"/>
        </w:rPr>
        <w:t> </w:t>
      </w:r>
      <w:r>
        <w:rPr>
          <w:spacing w:val="-2"/>
          <w:w w:val="100"/>
        </w:rPr>
        <w:t>告旋极信息赔偿原告深圳朗科科技经济损失</w:t>
      </w:r>
      <w:r>
        <w:rPr>
          <w:spacing w:val="-71"/>
          <w:w w:val="100"/>
        </w:rPr>
        <w:t> </w:t>
      </w:r>
      <w:r>
        <w:rPr>
          <w:rFonts w:ascii="Times New Roman" w:hAnsi="Times New Roman" w:cs="Times New Roman" w:eastAsia="Times New Roman" w:hint="default"/>
          <w:spacing w:val="-1"/>
          <w:w w:val="100"/>
        </w:rPr>
        <w:t>4,000</w:t>
      </w:r>
      <w:r>
        <w:rPr>
          <w:rFonts w:ascii="Times New Roman" w:hAnsi="Times New Roman" w:cs="Times New Roman" w:eastAsia="Times New Roman" w:hint="default"/>
          <w:spacing w:val="-15"/>
          <w:w w:val="100"/>
        </w:rPr>
        <w:t> </w:t>
      </w:r>
      <w:r>
        <w:rPr>
          <w:spacing w:val="-16"/>
          <w:w w:val="100"/>
        </w:rPr>
        <w:t>万元；</w:t>
      </w:r>
      <w:r>
        <w:rPr>
          <w:rFonts w:ascii="Times New Roman" w:hAnsi="Times New Roman" w:cs="Times New Roman" w:eastAsia="Times New Roman" w:hint="default"/>
          <w:spacing w:val="-16"/>
          <w:w w:val="100"/>
        </w:rPr>
        <w:t>3</w:t>
      </w:r>
      <w:r>
        <w:rPr>
          <w:spacing w:val="-16"/>
          <w:w w:val="100"/>
        </w:rPr>
        <w:t>、驳回朗科科技其他诉讼请求。案件受理费</w:t>
      </w:r>
      <w:r>
        <w:rPr>
          <w:spacing w:val="-69"/>
          <w:w w:val="100"/>
        </w:rPr>
        <w:t> </w:t>
      </w:r>
      <w:r>
        <w:rPr>
          <w:rFonts w:ascii="Times New Roman" w:hAnsi="Times New Roman" w:cs="Times New Roman" w:eastAsia="Times New Roman" w:hint="default"/>
          <w:spacing w:val="-1"/>
          <w:w w:val="100"/>
        </w:rPr>
        <w:t>341,800</w:t>
      </w:r>
      <w:r>
        <w:rPr>
          <w:rFonts w:ascii="Times New Roman" w:hAnsi="Times New Roman" w:cs="Times New Roman" w:eastAsia="Times New Roman" w:hint="default"/>
          <w:spacing w:val="-46"/>
          <w:w w:val="100"/>
        </w:rPr>
        <w:t> </w:t>
      </w:r>
      <w:r>
        <w:rPr>
          <w:rFonts w:ascii="Times New Roman" w:hAnsi="Times New Roman" w:cs="Times New Roman" w:eastAsia="Times New Roman" w:hint="default"/>
          <w:spacing w:val="-46"/>
          <w:w w:val="100"/>
        </w:rPr>
      </w:r>
      <w:r>
        <w:rPr>
          <w:spacing w:val="-10"/>
          <w:w w:val="100"/>
        </w:rPr>
        <w:t>元由被告旋极信息负担。”</w:t>
      </w:r>
    </w:p>
    <w:p>
      <w:pPr>
        <w:pStyle w:val="BodyText"/>
        <w:spacing w:line="446" w:lineRule="auto" w:before="150"/>
        <w:ind w:left="573" w:right="1128"/>
        <w:jc w:val="left"/>
      </w:pPr>
      <w:r>
        <w:rPr/>
        <w:t>针对重审判决，公司已提起上诉，案件正在开庭审理，尚未宣判。</w:t>
      </w:r>
      <w:r>
        <w:rPr>
          <w:w w:val="100"/>
        </w:rPr>
        <w:t> </w:t>
      </w:r>
      <w:r>
        <w:rPr>
          <w:spacing w:val="-2"/>
          <w:w w:val="100"/>
        </w:rPr>
        <w:t>公司大股东、实际控制人陈江涛已对本案件向本公司做出书面承诺：“如果公司因本次侵权案件最终</w:t>
      </w:r>
    </w:p>
    <w:p>
      <w:pPr>
        <w:pStyle w:val="BodyText"/>
        <w:spacing w:line="227" w:lineRule="exact"/>
        <w:ind w:left="153" w:right="0"/>
        <w:jc w:val="both"/>
      </w:pPr>
      <w:r>
        <w:rPr/>
        <w:t>败诉，并因此需要支付任何侵权赔偿金、相关诉讼费用，或因本次诉讼导致公司的生产、经营遭受损失，</w:t>
      </w:r>
    </w:p>
    <w:p>
      <w:pPr>
        <w:pStyle w:val="BodyText"/>
        <w:spacing w:line="240" w:lineRule="auto" w:before="130"/>
        <w:ind w:left="153" w:right="0"/>
        <w:jc w:val="both"/>
      </w:pPr>
      <w:r>
        <w:rPr>
          <w:w w:val="100"/>
        </w:rPr>
        <w:t>公司</w:t>
      </w:r>
      <w:r>
        <w:rPr>
          <w:spacing w:val="-3"/>
          <w:w w:val="100"/>
        </w:rPr>
        <w:t>实</w:t>
      </w:r>
      <w:r>
        <w:rPr>
          <w:w w:val="100"/>
        </w:rPr>
        <w:t>际</w:t>
      </w:r>
      <w:r>
        <w:rPr>
          <w:spacing w:val="-3"/>
          <w:w w:val="100"/>
        </w:rPr>
        <w:t>控</w:t>
      </w:r>
      <w:r>
        <w:rPr>
          <w:w w:val="100"/>
        </w:rPr>
        <w:t>制</w:t>
      </w:r>
      <w:r>
        <w:rPr>
          <w:spacing w:val="-3"/>
          <w:w w:val="100"/>
        </w:rPr>
        <w:t>人</w:t>
      </w:r>
      <w:r>
        <w:rPr>
          <w:w w:val="100"/>
        </w:rPr>
        <w:t>陈</w:t>
      </w:r>
      <w:r>
        <w:rPr>
          <w:spacing w:val="-3"/>
          <w:w w:val="100"/>
        </w:rPr>
        <w:t>江</w:t>
      </w:r>
      <w:r>
        <w:rPr>
          <w:w w:val="100"/>
        </w:rPr>
        <w:t>涛</w:t>
      </w:r>
      <w:r>
        <w:rPr>
          <w:spacing w:val="-3"/>
          <w:w w:val="100"/>
        </w:rPr>
        <w:t>先</w:t>
      </w:r>
      <w:r>
        <w:rPr>
          <w:w w:val="100"/>
        </w:rPr>
        <w:t>生将</w:t>
      </w:r>
      <w:r>
        <w:rPr>
          <w:spacing w:val="-3"/>
          <w:w w:val="100"/>
        </w:rPr>
        <w:t>承</w:t>
      </w:r>
      <w:r>
        <w:rPr>
          <w:w w:val="100"/>
        </w:rPr>
        <w:t>担</w:t>
      </w:r>
      <w:r>
        <w:rPr>
          <w:spacing w:val="-3"/>
          <w:w w:val="100"/>
        </w:rPr>
        <w:t>公</w:t>
      </w:r>
      <w:r>
        <w:rPr>
          <w:w w:val="100"/>
        </w:rPr>
        <w:t>司</w:t>
      </w:r>
      <w:r>
        <w:rPr>
          <w:spacing w:val="-3"/>
          <w:w w:val="100"/>
        </w:rPr>
        <w:t>因</w:t>
      </w:r>
      <w:r>
        <w:rPr>
          <w:w w:val="100"/>
        </w:rPr>
        <w:t>本</w:t>
      </w:r>
      <w:r>
        <w:rPr>
          <w:spacing w:val="-3"/>
          <w:w w:val="100"/>
        </w:rPr>
        <w:t>次</w:t>
      </w:r>
      <w:r>
        <w:rPr>
          <w:w w:val="100"/>
        </w:rPr>
        <w:t>诉</w:t>
      </w:r>
      <w:r>
        <w:rPr>
          <w:spacing w:val="-3"/>
          <w:w w:val="100"/>
        </w:rPr>
        <w:t>讼</w:t>
      </w:r>
      <w:r>
        <w:rPr>
          <w:w w:val="100"/>
        </w:rPr>
        <w:t>产生</w:t>
      </w:r>
      <w:r>
        <w:rPr>
          <w:spacing w:val="-3"/>
          <w:w w:val="100"/>
        </w:rPr>
        <w:t>的</w:t>
      </w:r>
      <w:r>
        <w:rPr>
          <w:w w:val="100"/>
        </w:rPr>
        <w:t>侵</w:t>
      </w:r>
      <w:r>
        <w:rPr>
          <w:spacing w:val="-3"/>
          <w:w w:val="100"/>
        </w:rPr>
        <w:t>权</w:t>
      </w:r>
      <w:r>
        <w:rPr>
          <w:w w:val="100"/>
        </w:rPr>
        <w:t>赔</w:t>
      </w:r>
      <w:r>
        <w:rPr>
          <w:spacing w:val="-3"/>
          <w:w w:val="100"/>
        </w:rPr>
        <w:t>偿</w:t>
      </w:r>
      <w:r>
        <w:rPr>
          <w:w w:val="100"/>
        </w:rPr>
        <w:t>金</w:t>
      </w:r>
      <w:r>
        <w:rPr>
          <w:spacing w:val="-3"/>
          <w:w w:val="100"/>
        </w:rPr>
        <w:t>、</w:t>
      </w:r>
      <w:r>
        <w:rPr>
          <w:w w:val="100"/>
        </w:rPr>
        <w:t>案</w:t>
      </w:r>
      <w:r>
        <w:rPr>
          <w:spacing w:val="-3"/>
          <w:w w:val="100"/>
        </w:rPr>
        <w:t>件</w:t>
      </w:r>
      <w:r>
        <w:rPr>
          <w:w w:val="100"/>
        </w:rPr>
        <w:t>费用</w:t>
      </w:r>
      <w:r>
        <w:rPr>
          <w:spacing w:val="-3"/>
          <w:w w:val="100"/>
        </w:rPr>
        <w:t>及</w:t>
      </w:r>
      <w:r>
        <w:rPr>
          <w:w w:val="100"/>
        </w:rPr>
        <w:t>生</w:t>
      </w:r>
      <w:r>
        <w:rPr>
          <w:spacing w:val="-3"/>
          <w:w w:val="100"/>
        </w:rPr>
        <w:t>产</w:t>
      </w:r>
      <w:r>
        <w:rPr>
          <w:w w:val="100"/>
        </w:rPr>
        <w:t>、</w:t>
      </w:r>
      <w:r>
        <w:rPr>
          <w:spacing w:val="-3"/>
          <w:w w:val="100"/>
        </w:rPr>
        <w:t>经</w:t>
      </w:r>
      <w:r>
        <w:rPr>
          <w:w w:val="100"/>
        </w:rPr>
        <w:t>营</w:t>
      </w:r>
      <w:r>
        <w:rPr>
          <w:spacing w:val="-3"/>
          <w:w w:val="100"/>
        </w:rPr>
        <w:t>损</w:t>
      </w:r>
      <w:r>
        <w:rPr>
          <w:w w:val="100"/>
        </w:rPr>
        <w:t>失</w:t>
      </w:r>
      <w:r>
        <w:rPr>
          <w:spacing w:val="-108"/>
          <w:w w:val="100"/>
        </w:rPr>
        <w:t>。</w:t>
      </w:r>
      <w:r>
        <w:rPr>
          <w:w w:val="100"/>
        </w:rPr>
        <w:t>”</w:t>
      </w:r>
    </w:p>
    <w:p>
      <w:pPr>
        <w:spacing w:line="240" w:lineRule="auto" w:before="12"/>
        <w:rPr>
          <w:rFonts w:ascii="宋体" w:hAnsi="宋体" w:cs="宋体" w:eastAsia="宋体" w:hint="default"/>
          <w:sz w:val="17"/>
          <w:szCs w:val="17"/>
        </w:rPr>
      </w:pPr>
    </w:p>
    <w:p>
      <w:pPr>
        <w:pStyle w:val="BodyText"/>
        <w:spacing w:line="240" w:lineRule="auto"/>
        <w:ind w:left="573" w:right="1127"/>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年朗科科技诉讼</w:t>
      </w:r>
    </w:p>
    <w:p>
      <w:pPr>
        <w:spacing w:line="240" w:lineRule="auto" w:before="11"/>
        <w:rPr>
          <w:rFonts w:ascii="宋体" w:hAnsi="宋体" w:cs="宋体" w:eastAsia="宋体" w:hint="default"/>
          <w:sz w:val="16"/>
          <w:szCs w:val="16"/>
        </w:rPr>
      </w:pPr>
    </w:p>
    <w:p>
      <w:pPr>
        <w:pStyle w:val="BodyText"/>
        <w:spacing w:line="240" w:lineRule="auto"/>
        <w:ind w:left="573" w:right="0"/>
        <w:jc w:val="left"/>
      </w:pPr>
      <w:r>
        <w:rPr/>
        <w:t>公司及控股子公司旋极百旺、北京百旺于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16</w:t>
      </w:r>
      <w:r>
        <w:rPr>
          <w:rFonts w:ascii="Times New Roman" w:hAnsi="Times New Roman" w:cs="Times New Roman" w:eastAsia="Times New Roman" w:hint="default"/>
          <w:spacing w:val="23"/>
        </w:rPr>
        <w:t> </w:t>
      </w:r>
      <w:r>
        <w:rPr/>
        <w:t>日收到广东省深圳市中级人民法院送达的</w:t>
      </w:r>
    </w:p>
    <w:p>
      <w:pPr>
        <w:pStyle w:val="BodyText"/>
        <w:spacing w:line="333" w:lineRule="auto" w:before="117"/>
        <w:ind w:left="153" w:right="1127" w:hanging="1"/>
        <w:jc w:val="both"/>
      </w:pPr>
      <w:r>
        <w:rPr/>
        <w:t>（</w:t>
      </w:r>
      <w:r>
        <w:rPr>
          <w:rFonts w:ascii="Times New Roman" w:hAnsi="Times New Roman" w:cs="Times New Roman" w:eastAsia="Times New Roman" w:hint="default"/>
        </w:rPr>
        <w:t>2018</w:t>
      </w:r>
      <w:r>
        <w:rPr/>
        <w:t>）粤</w:t>
      </w:r>
      <w:r>
        <w:rPr>
          <w:spacing w:val="-49"/>
        </w:rPr>
        <w:t> </w:t>
      </w:r>
      <w:r>
        <w:rPr>
          <w:rFonts w:ascii="Times New Roman" w:hAnsi="Times New Roman" w:cs="Times New Roman" w:eastAsia="Times New Roman" w:hint="default"/>
        </w:rPr>
        <w:t>03</w:t>
      </w:r>
      <w:r>
        <w:rPr>
          <w:rFonts w:ascii="Times New Roman" w:hAnsi="Times New Roman" w:cs="Times New Roman" w:eastAsia="Times New Roman" w:hint="default"/>
          <w:spacing w:val="1"/>
        </w:rPr>
        <w:t> </w:t>
      </w:r>
      <w:r>
        <w:rPr/>
        <w:t>民初</w:t>
      </w:r>
      <w:r>
        <w:rPr>
          <w:spacing w:val="-49"/>
        </w:rPr>
        <w:t> </w:t>
      </w:r>
      <w:r>
        <w:rPr>
          <w:rFonts w:ascii="Times New Roman" w:hAnsi="Times New Roman" w:cs="Times New Roman" w:eastAsia="Times New Roman" w:hint="default"/>
        </w:rPr>
        <w:t>1661</w:t>
      </w:r>
      <w:r>
        <w:rPr>
          <w:rFonts w:ascii="Times New Roman" w:hAnsi="Times New Roman" w:cs="Times New Roman" w:eastAsia="Times New Roman" w:hint="default"/>
          <w:spacing w:val="1"/>
        </w:rPr>
        <w:t> </w:t>
      </w:r>
      <w:r>
        <w:rPr>
          <w:spacing w:val="-3"/>
        </w:rPr>
        <w:t>号《应诉通知书》等，广东省深圳市中级人民法院于</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日受理了朗</w:t>
      </w:r>
      <w:r>
        <w:rPr>
          <w:spacing w:val="-103"/>
        </w:rPr>
        <w:t> </w:t>
      </w:r>
      <w:r>
        <w:rPr>
          <w:spacing w:val="-103"/>
        </w:rPr>
      </w:r>
      <w:r>
        <w:rPr/>
        <w:t>科科技诉旋极信息、旋极百旺、北京百旺等公司侵犯朗科科技发明专利权纠纷一案。</w:t>
      </w:r>
    </w:p>
    <w:p>
      <w:pPr>
        <w:pStyle w:val="BodyText"/>
        <w:spacing w:line="240" w:lineRule="auto" w:before="152"/>
        <w:ind w:left="573" w:right="1127"/>
        <w:jc w:val="left"/>
      </w:pPr>
      <w:r>
        <w:rPr/>
        <w:t>截至资产负债表日，案件在进一步审理中。</w:t>
      </w:r>
    </w:p>
    <w:p>
      <w:pPr>
        <w:spacing w:line="240" w:lineRule="auto" w:before="1"/>
        <w:rPr>
          <w:rFonts w:ascii="宋体" w:hAnsi="宋体" w:cs="宋体" w:eastAsia="宋体" w:hint="default"/>
          <w:sz w:val="18"/>
          <w:szCs w:val="18"/>
        </w:rPr>
      </w:pPr>
    </w:p>
    <w:p>
      <w:pPr>
        <w:pStyle w:val="BodyText"/>
        <w:spacing w:line="240" w:lineRule="auto"/>
        <w:ind w:left="573" w:right="0"/>
        <w:jc w:val="left"/>
      </w:pPr>
      <w:r>
        <w:rPr/>
        <w:t>广东省深圳市中级人民法院院通知公司于</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日在深圳市中级人民法院第三庭开庭审理，</w:t>
      </w:r>
    </w:p>
    <w:p>
      <w:pPr>
        <w:pStyle w:val="BodyText"/>
        <w:spacing w:line="240" w:lineRule="auto" w:before="117"/>
        <w:ind w:left="153" w:right="0"/>
        <w:jc w:val="both"/>
      </w:pPr>
      <w:r>
        <w:rPr/>
        <w:t>并定于</w:t>
      </w:r>
      <w:r>
        <w:rPr>
          <w:spacing w:val="-4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w:t>
      </w:r>
      <w:r>
        <w:rPr>
          <w:spacing w:val="-4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5"/>
        </w:rPr>
        <w:t> </w:t>
      </w:r>
      <w:r>
        <w:rPr/>
        <w:t>月</w:t>
      </w:r>
      <w:r>
        <w:rPr>
          <w:spacing w:val="-40"/>
        </w:rPr>
        <w:t> </w:t>
      </w:r>
      <w:r>
        <w:rPr>
          <w:rFonts w:ascii="Times New Roman" w:hAnsi="Times New Roman" w:cs="Times New Roman" w:eastAsia="Times New Roman" w:hint="default"/>
        </w:rPr>
        <w:t>19</w:t>
      </w:r>
      <w:r>
        <w:rPr>
          <w:rFonts w:ascii="Times New Roman" w:hAnsi="Times New Roman" w:cs="Times New Roman" w:eastAsia="Times New Roman" w:hint="default"/>
          <w:spacing w:val="13"/>
        </w:rPr>
        <w:t> </w:t>
      </w:r>
      <w:r>
        <w:rPr/>
        <w:t>日参加本案证据交换。朗科科技在庭审中当庭向广东省深圳市中级人民法院申请</w:t>
      </w:r>
    </w:p>
    <w:p>
      <w:pPr>
        <w:pStyle w:val="BodyText"/>
        <w:spacing w:line="240" w:lineRule="auto" w:before="119"/>
        <w:ind w:left="153" w:right="0"/>
        <w:jc w:val="both"/>
      </w:pPr>
      <w:r>
        <w:rPr>
          <w:spacing w:val="-3"/>
        </w:rPr>
        <w:t>撤回《民事起诉状》诉讼请求第</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项，并当庭向广东省深圳市中级人民法院申请将赔偿原告经济损失变更</w:t>
      </w:r>
    </w:p>
    <w:p>
      <w:pPr>
        <w:pStyle w:val="BodyText"/>
        <w:spacing w:line="420" w:lineRule="auto" w:before="115"/>
        <w:ind w:left="573" w:right="5512" w:hanging="421"/>
        <w:jc w:val="left"/>
      </w:pPr>
      <w:r>
        <w:rPr/>
        <w:t>为人民币</w:t>
      </w:r>
      <w:r>
        <w:rPr>
          <w:spacing w:val="-53"/>
        </w:rPr>
        <w:t> </w:t>
      </w:r>
      <w:r>
        <w:rPr>
          <w:rFonts w:ascii="Times New Roman" w:hAnsi="Times New Roman" w:cs="Times New Roman" w:eastAsia="Times New Roman" w:hint="default"/>
        </w:rPr>
        <w:t>9,800</w:t>
      </w:r>
      <w:r>
        <w:rPr>
          <w:rFonts w:ascii="Times New Roman" w:hAnsi="Times New Roman" w:cs="Times New Roman" w:eastAsia="Times New Roman" w:hint="default"/>
          <w:spacing w:val="-3"/>
        </w:rPr>
        <w:t> </w:t>
      </w:r>
      <w:r>
        <w:rPr/>
        <w:t>万元。</w:t>
      </w:r>
      <w:r>
        <w:rPr>
          <w:spacing w:val="-3"/>
          <w:w w:val="100"/>
        </w:rPr>
        <w:t> </w:t>
      </w:r>
      <w:r>
        <w:rPr>
          <w:spacing w:val="-2"/>
        </w:rPr>
        <w:t>截至资产负债表日，案件在进一步审理中。</w:t>
      </w:r>
    </w:p>
    <w:p>
      <w:pPr>
        <w:pStyle w:val="BodyText"/>
        <w:spacing w:line="336" w:lineRule="auto" w:before="78"/>
        <w:ind w:left="153" w:right="1123" w:firstLine="42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30"/>
        </w:rPr>
        <w:t> </w:t>
      </w:r>
      <w:r>
        <w:rPr/>
        <w:t>月，公司全资子公司北京泰豪智能工程有限公司的全资子公司北京泰豪新能源科技有</w:t>
      </w:r>
      <w:r>
        <w:rPr>
          <w:w w:val="100"/>
        </w:rPr>
        <w:t> </w:t>
      </w:r>
      <w:r>
        <w:rPr/>
        <w:t>限公司起诉大连瀚腾机电设备有限公司无故拖欠泰豪新能源工程款</w:t>
      </w:r>
      <w:r>
        <w:rPr>
          <w:spacing w:val="-47"/>
        </w:rPr>
        <w:t> </w:t>
      </w:r>
      <w:r>
        <w:rPr>
          <w:rFonts w:ascii="Times New Roman" w:hAnsi="Times New Roman" w:cs="Times New Roman" w:eastAsia="Times New Roman" w:hint="default"/>
        </w:rPr>
        <w:t>233.00</w:t>
      </w:r>
      <w:r>
        <w:rPr>
          <w:rFonts w:ascii="Times New Roman" w:hAnsi="Times New Roman" w:cs="Times New Roman" w:eastAsia="Times New Roman" w:hint="default"/>
          <w:spacing w:val="3"/>
        </w:rPr>
        <w:t> </w:t>
      </w:r>
      <w:r>
        <w:rPr>
          <w:spacing w:val="-7"/>
        </w:rPr>
        <w:t>万元，法院一审判决大连瀚腾机</w:t>
      </w:r>
      <w:r>
        <w:rPr/>
      </w:r>
    </w:p>
    <w:p>
      <w:pPr>
        <w:pStyle w:val="BodyText"/>
        <w:spacing w:line="333" w:lineRule="auto" w:before="24"/>
        <w:ind w:left="153" w:right="1131"/>
        <w:jc w:val="both"/>
      </w:pPr>
      <w:r>
        <w:rPr/>
        <w:t>电设备有限公司支付北京泰豪新能源科技有限公司</w:t>
      </w:r>
      <w:r>
        <w:rPr>
          <w:spacing w:val="-38"/>
        </w:rPr>
        <w:t> </w:t>
      </w:r>
      <w:r>
        <w:rPr>
          <w:rFonts w:ascii="Times New Roman" w:hAnsi="Times New Roman" w:cs="Times New Roman" w:eastAsia="Times New Roman" w:hint="default"/>
        </w:rPr>
        <w:t>233.00</w:t>
      </w:r>
      <w:r>
        <w:rPr>
          <w:rFonts w:ascii="Times New Roman" w:hAnsi="Times New Roman" w:cs="Times New Roman" w:eastAsia="Times New Roman" w:hint="default"/>
          <w:spacing w:val="14"/>
        </w:rPr>
        <w:t> </w:t>
      </w:r>
      <w:r>
        <w:rPr>
          <w:spacing w:val="-6"/>
        </w:rPr>
        <w:t>万元及违约金，大连瀚腾机电设备有限公司提起</w:t>
      </w:r>
      <w:r>
        <w:rPr>
          <w:spacing w:val="-98"/>
        </w:rPr>
        <w:t> </w:t>
      </w:r>
      <w:r>
        <w:rPr>
          <w:spacing w:val="-98"/>
        </w:rPr>
      </w:r>
      <w:r>
        <w:rPr/>
        <w:t>上诉，二审发回重审。</w:t>
      </w:r>
    </w:p>
    <w:p>
      <w:pPr>
        <w:pStyle w:val="BodyText"/>
        <w:spacing w:line="240" w:lineRule="auto" w:before="152"/>
        <w:ind w:left="573" w:right="1127"/>
        <w:jc w:val="left"/>
      </w:pPr>
      <w:r>
        <w:rPr/>
        <w:t>截至资产负债表日，案件正在一审庭审中。</w:t>
      </w:r>
    </w:p>
    <w:p>
      <w:pPr>
        <w:spacing w:line="240" w:lineRule="auto" w:before="1"/>
        <w:rPr>
          <w:rFonts w:ascii="宋体" w:hAnsi="宋体" w:cs="宋体" w:eastAsia="宋体" w:hint="default"/>
          <w:sz w:val="18"/>
          <w:szCs w:val="18"/>
        </w:rPr>
      </w:pPr>
    </w:p>
    <w:p>
      <w:pPr>
        <w:pStyle w:val="BodyText"/>
        <w:spacing w:line="345" w:lineRule="auto"/>
        <w:ind w:left="153" w:right="1028" w:firstLine="420"/>
        <w:jc w:val="both"/>
      </w:pPr>
      <w:r>
        <w:rPr/>
        <w:t>（</w:t>
      </w:r>
      <w:r>
        <w:rPr>
          <w:rFonts w:ascii="Times New Roman" w:hAnsi="Times New Roman" w:cs="Times New Roman" w:eastAsia="Times New Roman" w:hint="default"/>
        </w:rPr>
        <w:t>4</w:t>
      </w:r>
      <w:r>
        <w:rPr/>
        <w:t>）本公司子公司泰豪智能于</w:t>
      </w:r>
      <w:r>
        <w:rPr>
          <w:spacing w:val="-5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月起诉甘肃省广播电视网络股份有限公司兰州分公司、甘肃</w:t>
      </w:r>
      <w:r>
        <w:rPr>
          <w:spacing w:val="-3"/>
          <w:w w:val="100"/>
        </w:rPr>
        <w:t> </w:t>
      </w:r>
      <w:r>
        <w:rPr>
          <w:spacing w:val="-2"/>
        </w:rPr>
        <w:t>兰穗建设工程有限责任公司、兰州兰石建设工程有限公司、兰州兰石房地产开发有限公司、兰州兰石集团</w:t>
      </w:r>
      <w:r>
        <w:rPr>
          <w:spacing w:val="-43"/>
        </w:rPr>
        <w:t> </w:t>
      </w:r>
      <w:r>
        <w:rPr>
          <w:spacing w:val="-43"/>
        </w:rPr>
      </w:r>
      <w:r>
        <w:rPr/>
        <w:t>有限公司拖欠工程款</w:t>
      </w:r>
      <w:r>
        <w:rPr>
          <w:spacing w:val="-52"/>
        </w:rPr>
        <w:t> </w:t>
      </w:r>
      <w:r>
        <w:rPr>
          <w:rFonts w:ascii="Times New Roman" w:hAnsi="Times New Roman" w:cs="Times New Roman" w:eastAsia="Times New Roman" w:hint="default"/>
        </w:rPr>
        <w:t>2,774,609.99</w:t>
      </w:r>
      <w:r>
        <w:rPr>
          <w:rFonts w:ascii="Times New Roman" w:hAnsi="Times New Roman" w:cs="Times New Roman" w:eastAsia="Times New Roman" w:hint="default"/>
          <w:spacing w:val="1"/>
        </w:rPr>
        <w:t> </w:t>
      </w:r>
      <w:r>
        <w:rPr>
          <w:spacing w:val="-9"/>
        </w:rPr>
        <w:t>元。兰州新区人民法院于</w:t>
      </w:r>
      <w:r>
        <w:rPr>
          <w:spacing w:val="-5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17"/>
        </w:rPr>
        <w:t>日宣告（</w:t>
      </w:r>
      <w:r>
        <w:rPr>
          <w:rFonts w:ascii="Times New Roman" w:hAnsi="Times New Roman" w:cs="Times New Roman" w:eastAsia="Times New Roman" w:hint="default"/>
          <w:spacing w:val="-17"/>
        </w:rPr>
        <w:t>2019</w:t>
      </w:r>
      <w:r>
        <w:rPr>
          <w:spacing w:val="-17"/>
        </w:rPr>
        <w:t>）甘</w:t>
      </w:r>
      <w:r>
        <w:rPr>
          <w:spacing w:val="-52"/>
        </w:rPr>
        <w:t> </w:t>
      </w:r>
      <w:r>
        <w:rPr>
          <w:rFonts w:ascii="Times New Roman" w:hAnsi="Times New Roman" w:cs="Times New Roman" w:eastAsia="Times New Roman" w:hint="default"/>
        </w:rPr>
        <w:t>0191</w:t>
      </w:r>
      <w:r>
        <w:rPr>
          <w:rFonts w:ascii="Times New Roman" w:hAnsi="Times New Roman" w:cs="Times New Roman" w:eastAsia="Times New Roman" w:hint="default"/>
          <w:spacing w:val="1"/>
        </w:rPr>
        <w:t> </w:t>
      </w:r>
      <w:r>
        <w:rPr/>
        <w:t>民初</w:t>
      </w:r>
      <w:r>
        <w:rPr>
          <w:spacing w:val="-52"/>
        </w:rPr>
        <w:t> </w:t>
      </w:r>
      <w:r>
        <w:rPr>
          <w:rFonts w:ascii="Times New Roman" w:hAnsi="Times New Roman" w:cs="Times New Roman" w:eastAsia="Times New Roman" w:hint="default"/>
        </w:rPr>
        <w:t>1747</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spacing w:val="-2"/>
        </w:rPr>
        <w:t>号的审判结果，判决甘肃省广播电视网络股份有限公司兰州分公司于判决生效之日起三十日内支付北京泰</w:t>
      </w:r>
      <w:r>
        <w:rPr>
          <w:spacing w:val="-43"/>
        </w:rPr>
        <w:t> </w:t>
      </w:r>
      <w:r>
        <w:rPr>
          <w:spacing w:val="-43"/>
        </w:rPr>
      </w:r>
      <w:r>
        <w:rPr>
          <w:spacing w:val="-2"/>
          <w:w w:val="100"/>
        </w:rPr>
        <w:t>豪智能工程有限公司工程款</w:t>
      </w:r>
      <w:r>
        <w:rPr>
          <w:spacing w:val="-48"/>
          <w:w w:val="100"/>
        </w:rPr>
        <w:t> </w:t>
      </w:r>
      <w:r>
        <w:rPr>
          <w:rFonts w:ascii="Times New Roman" w:hAnsi="Times New Roman" w:cs="Times New Roman" w:eastAsia="Times New Roman" w:hint="default"/>
          <w:spacing w:val="-2"/>
          <w:w w:val="100"/>
        </w:rPr>
        <w:t>1,288,116.60</w:t>
      </w:r>
      <w:r>
        <w:rPr>
          <w:rFonts w:ascii="Times New Roman" w:hAnsi="Times New Roman" w:cs="Times New Roman" w:eastAsia="Times New Roman" w:hint="default"/>
          <w:spacing w:val="5"/>
          <w:w w:val="100"/>
        </w:rPr>
        <w:t> </w:t>
      </w:r>
      <w:r>
        <w:rPr>
          <w:spacing w:val="-2"/>
          <w:w w:val="100"/>
        </w:rPr>
        <w:t>元及损失</w:t>
      </w:r>
      <w:r>
        <w:rPr>
          <w:spacing w:val="-48"/>
          <w:w w:val="100"/>
        </w:rPr>
        <w:t> </w:t>
      </w:r>
      <w:r>
        <w:rPr>
          <w:rFonts w:ascii="Times New Roman" w:hAnsi="Times New Roman" w:cs="Times New Roman" w:eastAsia="Times New Roman" w:hint="default"/>
          <w:spacing w:val="-1"/>
          <w:w w:val="100"/>
        </w:rPr>
        <w:t>60,000.00</w:t>
      </w:r>
      <w:r>
        <w:rPr>
          <w:rFonts w:ascii="Times New Roman" w:hAnsi="Times New Roman" w:cs="Times New Roman" w:eastAsia="Times New Roman" w:hint="default"/>
          <w:spacing w:val="5"/>
          <w:w w:val="100"/>
        </w:rPr>
        <w:t> </w:t>
      </w:r>
      <w:r>
        <w:rPr>
          <w:spacing w:val="-10"/>
          <w:w w:val="100"/>
        </w:rPr>
        <w:t>元。泰豪智能不服一审判决结果，已提起上诉。</w:t>
      </w:r>
      <w:r>
        <w:rPr>
          <w:w w:val="100"/>
        </w:rPr>
      </w:r>
    </w:p>
    <w:p>
      <w:pPr>
        <w:pStyle w:val="BodyText"/>
        <w:spacing w:line="240" w:lineRule="auto" w:before="115"/>
        <w:ind w:left="573" w:right="1127"/>
        <w:jc w:val="left"/>
      </w:pPr>
      <w:r>
        <w:rPr/>
        <w:t>（</w:t>
      </w:r>
      <w:r>
        <w:rPr>
          <w:rFonts w:ascii="Times New Roman" w:hAnsi="Times New Roman" w:cs="Times New Roman" w:eastAsia="Times New Roman" w:hint="default"/>
        </w:rPr>
        <w:t>5</w:t>
      </w:r>
      <w:r>
        <w:rPr/>
        <w:t>）未结清保函事项</w:t>
      </w:r>
    </w:p>
    <w:p>
      <w:pPr>
        <w:spacing w:after="0" w:line="240" w:lineRule="auto"/>
        <w:jc w:val="left"/>
        <w:sectPr>
          <w:pgSz w:w="11910" w:h="16840"/>
          <w:pgMar w:header="882" w:footer="1134" w:top="1280" w:bottom="1320" w:left="980" w:right="0"/>
        </w:sectPr>
      </w:pPr>
    </w:p>
    <w:p>
      <w:pPr>
        <w:pStyle w:val="BodyText"/>
        <w:spacing w:line="240" w:lineRule="auto" w:before="112"/>
        <w:ind w:left="0" w:right="1128"/>
        <w:jc w:val="right"/>
      </w:pPr>
      <w:r>
        <w:rPr/>
        <w:t>截至</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4"/>
        </w:rPr>
        <w:t>日，本公司在银行开立履约保函、质量保函共计</w:t>
      </w:r>
      <w:r>
        <w:rPr>
          <w:spacing w:val="-50"/>
        </w:rPr>
        <w:t> </w:t>
      </w:r>
      <w:r>
        <w:rPr>
          <w:rFonts w:ascii="Times New Roman" w:hAnsi="Times New Roman" w:cs="Times New Roman" w:eastAsia="Times New Roman" w:hint="default"/>
        </w:rPr>
        <w:t>1,077,658.00</w:t>
      </w:r>
      <w:r>
        <w:rPr>
          <w:rFonts w:ascii="Times New Roman" w:hAnsi="Times New Roman" w:cs="Times New Roman" w:eastAsia="Times New Roman" w:hint="default"/>
          <w:spacing w:val="6"/>
        </w:rPr>
        <w:t> </w:t>
      </w:r>
      <w:r>
        <w:rPr>
          <w:spacing w:val="-5"/>
        </w:rPr>
        <w:t>元；子公司北京泰</w:t>
      </w:r>
    </w:p>
    <w:p>
      <w:pPr>
        <w:pStyle w:val="BodyText"/>
        <w:spacing w:line="240" w:lineRule="auto" w:before="115"/>
        <w:ind w:left="152" w:right="1127"/>
        <w:jc w:val="left"/>
      </w:pPr>
      <w:r>
        <w:rPr/>
        <w:t>豪智能工程有限公司在银行开立履约保函、投标保函、预付款保函、质量保函共计</w:t>
      </w:r>
      <w:r>
        <w:rPr>
          <w:spacing w:val="-56"/>
        </w:rPr>
        <w:t> </w:t>
      </w:r>
      <w:r>
        <w:rPr>
          <w:rFonts w:ascii="Times New Roman" w:hAnsi="Times New Roman" w:cs="Times New Roman" w:eastAsia="Times New Roman" w:hint="default"/>
        </w:rPr>
        <w:t>33,538,292.51</w:t>
      </w:r>
      <w:r>
        <w:rPr>
          <w:rFonts w:ascii="Times New Roman" w:hAnsi="Times New Roman" w:cs="Times New Roman" w:eastAsia="Times New Roman" w:hint="default"/>
          <w:spacing w:val="-3"/>
        </w:rPr>
        <w:t> </w:t>
      </w:r>
      <w:r>
        <w:rPr>
          <w:spacing w:val="-3"/>
        </w:rPr>
        <w:t>元。</w:t>
      </w:r>
      <w:r>
        <w:rPr/>
      </w:r>
    </w:p>
    <w:p>
      <w:pPr>
        <w:spacing w:line="240" w:lineRule="auto" w:before="4"/>
        <w:rPr>
          <w:rFonts w:ascii="宋体" w:hAnsi="宋体" w:cs="宋体" w:eastAsia="宋体" w:hint="default"/>
          <w:sz w:val="32"/>
          <w:szCs w:val="32"/>
        </w:rPr>
      </w:pPr>
    </w:p>
    <w:p>
      <w:pPr>
        <w:spacing w:line="470" w:lineRule="auto" w:before="0"/>
        <w:ind w:left="572" w:right="5512" w:hanging="420"/>
        <w:jc w:val="left"/>
        <w:rPr>
          <w:rFonts w:ascii="宋体" w:hAnsi="宋体" w:cs="宋体" w:eastAsia="宋体" w:hint="default"/>
          <w:sz w:val="21"/>
          <w:szCs w:val="21"/>
        </w:rPr>
      </w:pPr>
      <w:bookmarkStart w:name="（2）公司没有需要披露的重要或有事项，也应予以说明" w:id="615"/>
      <w:bookmarkEnd w:id="615"/>
      <w:r>
        <w:rPr/>
      </w: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）公司没有需要披露的重要或有事项，也应予以说明</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公司不存在需要披露的重要或有事项。</w:t>
      </w:r>
    </w:p>
    <w:p>
      <w:pPr>
        <w:spacing w:line="240" w:lineRule="auto" w:before="1"/>
        <w:rPr>
          <w:rFonts w:ascii="宋体" w:hAnsi="宋体" w:cs="宋体" w:eastAsia="宋体" w:hint="default"/>
          <w:sz w:val="18"/>
          <w:szCs w:val="18"/>
        </w:rPr>
      </w:pPr>
    </w:p>
    <w:p>
      <w:pPr>
        <w:spacing w:line="470" w:lineRule="auto" w:before="0"/>
        <w:ind w:left="152" w:right="7863" w:hanging="1"/>
        <w:jc w:val="left"/>
        <w:rPr>
          <w:rFonts w:ascii="宋体" w:hAnsi="宋体" w:cs="宋体" w:eastAsia="宋体" w:hint="default"/>
          <w:sz w:val="21"/>
          <w:szCs w:val="21"/>
        </w:rPr>
      </w:pPr>
      <w:bookmarkStart w:name="3、其他" w:id="616"/>
      <w:bookmarkEnd w:id="61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617"/>
      <w:bookmarkEnd w:id="617"/>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618"/>
      <w:bookmarkEnd w:id="61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61"/>
        <w:ind w:left="0" w:right="1133" w:firstLine="0"/>
        <w:jc w:val="right"/>
        <w:rPr>
          <w:rFonts w:ascii="宋体" w:hAnsi="宋体" w:cs="宋体" w:eastAsia="宋体" w:hint="default"/>
          <w:sz w:val="18"/>
          <w:szCs w:val="18"/>
        </w:rPr>
      </w:pPr>
      <w:r>
        <w:rPr/>
        <w:pict>
          <v:shape style="position:absolute;margin-left:289.200012pt;margin-top:46.681736pt;width:171.25pt;height:136.950pt;mso-position-horizontal-relative:page;mso-position-vertical-relative:paragraph;z-index:-142616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完成登记后，</w:t>
                  </w:r>
                </w:p>
              </w:txbxContent>
            </v:textbox>
            <w10:wrap type="none"/>
          </v:shape>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85"/>
        <w:gridCol w:w="3686"/>
        <w:gridCol w:w="750"/>
        <w:gridCol w:w="1660"/>
        <w:gridCol w:w="1488"/>
      </w:tblGrid>
      <w:tr>
        <w:trPr>
          <w:trHeight w:val="120" w:hRule="exact"/>
        </w:trPr>
        <w:tc>
          <w:tcPr>
            <w:tcW w:w="1985" w:type="dxa"/>
            <w:tcBorders>
              <w:top w:val="single" w:sz="4" w:space="0" w:color="000000"/>
              <w:left w:val="single" w:sz="4" w:space="0" w:color="000000"/>
              <w:bottom w:val="nil" w:sz="6" w:space="0" w:color="auto"/>
              <w:right w:val="single" w:sz="4" w:space="0" w:color="000000"/>
            </w:tcBorders>
            <w:shd w:val="clear" w:color="auto" w:fill="D4D4D4"/>
          </w:tcPr>
          <w:p>
            <w:pPr/>
          </w:p>
        </w:tc>
        <w:tc>
          <w:tcPr>
            <w:tcW w:w="3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241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32"/>
              <w:ind w:left="1111" w:right="26" w:hanging="1080"/>
              <w:jc w:val="left"/>
              <w:rPr>
                <w:rFonts w:ascii="宋体" w:hAnsi="宋体" w:cs="宋体" w:eastAsia="宋体" w:hint="default"/>
                <w:sz w:val="18"/>
                <w:szCs w:val="18"/>
              </w:rPr>
            </w:pPr>
            <w:r>
              <w:rPr>
                <w:rFonts w:ascii="宋体" w:hAnsi="宋体" w:cs="宋体" w:eastAsia="宋体" w:hint="default"/>
                <w:sz w:val="18"/>
                <w:szCs w:val="18"/>
              </w:rPr>
              <w:t>对财务状况和经营成果的影响 数</w:t>
            </w:r>
          </w:p>
        </w:tc>
        <w:tc>
          <w:tcPr>
            <w:tcW w:w="1488" w:type="dxa"/>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32"/>
              <w:ind w:left="470" w:right="107" w:hanging="360"/>
              <w:jc w:val="left"/>
              <w:rPr>
                <w:rFonts w:ascii="宋体" w:hAnsi="宋体" w:cs="宋体" w:eastAsia="宋体" w:hint="default"/>
                <w:sz w:val="18"/>
                <w:szCs w:val="18"/>
              </w:rPr>
            </w:pPr>
            <w:r>
              <w:rPr>
                <w:rFonts w:ascii="宋体" w:hAnsi="宋体" w:cs="宋体" w:eastAsia="宋体" w:hint="default"/>
                <w:sz w:val="18"/>
                <w:szCs w:val="18"/>
              </w:rPr>
              <w:t>无法估计影响数 的原因</w:t>
            </w:r>
          </w:p>
        </w:tc>
      </w:tr>
      <w:tr>
        <w:trPr>
          <w:trHeight w:val="378" w:hRule="exact"/>
        </w:trPr>
        <w:tc>
          <w:tcPr>
            <w:tcW w:w="1985"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86"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410" w:type="dxa"/>
            <w:gridSpan w:val="2"/>
            <w:vMerge/>
            <w:tcBorders>
              <w:left w:val="single" w:sz="4" w:space="0" w:color="000000"/>
              <w:bottom w:val="single" w:sz="4" w:space="0" w:color="000000"/>
              <w:right w:val="single" w:sz="4" w:space="0" w:color="000000"/>
            </w:tcBorders>
            <w:shd w:val="clear" w:color="auto" w:fill="D4D4D4"/>
          </w:tcPr>
          <w:p>
            <w:pPr/>
          </w:p>
        </w:tc>
        <w:tc>
          <w:tcPr>
            <w:tcW w:w="1488" w:type="dxa"/>
            <w:vMerge/>
            <w:tcBorders>
              <w:left w:val="single" w:sz="4" w:space="0" w:color="000000"/>
              <w:bottom w:val="single" w:sz="4" w:space="0" w:color="000000"/>
              <w:right w:val="single" w:sz="4" w:space="0" w:color="000000"/>
            </w:tcBorders>
            <w:shd w:val="clear" w:color="auto" w:fill="D4D4D4"/>
          </w:tcPr>
          <w:p>
            <w:pPr/>
          </w:p>
        </w:tc>
      </w:tr>
      <w:tr>
        <w:trPr>
          <w:trHeight w:val="2788" w:hRule="exact"/>
        </w:trPr>
        <w:tc>
          <w:tcPr>
            <w:tcW w:w="1985" w:type="dxa"/>
            <w:tcBorders>
              <w:top w:val="single" w:sz="4" w:space="0" w:color="000000"/>
              <w:left w:val="single" w:sz="4" w:space="0" w:color="000000"/>
              <w:bottom w:val="nil" w:sz="6" w:space="0" w:color="auto"/>
              <w:right w:val="single" w:sz="4" w:space="0" w:color="000000"/>
            </w:tcBorders>
            <w:shd w:val="clear" w:color="auto" w:fill="D4D4D4"/>
          </w:tcPr>
          <w:p>
            <w:pPr/>
          </w:p>
        </w:tc>
        <w:tc>
          <w:tcPr>
            <w:tcW w:w="3686" w:type="dxa"/>
            <w:vMerge w:val="restart"/>
            <w:tcBorders>
              <w:top w:val="single" w:sz="47" w:space="0" w:color="D4D4D4"/>
              <w:left w:val="single" w:sz="9" w:space="0" w:color="D4D4D4"/>
              <w:right w:val="single" w:sz="10" w:space="0" w:color="D4D4D4"/>
            </w:tcBorders>
          </w:tcPr>
          <w:p>
            <w:pPr>
              <w:pStyle w:val="TableParagraph"/>
              <w:spacing w:line="242" w:lineRule="exact" w:before="13"/>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日，本公司完成《北京旋极</w:t>
            </w:r>
          </w:p>
          <w:p>
            <w:pPr>
              <w:pStyle w:val="TableParagraph"/>
              <w:spacing w:line="228" w:lineRule="auto" w:before="3"/>
              <w:ind w:left="17" w:right="12"/>
              <w:jc w:val="left"/>
              <w:rPr>
                <w:rFonts w:ascii="宋体" w:hAnsi="宋体" w:cs="宋体" w:eastAsia="宋体" w:hint="default"/>
                <w:sz w:val="18"/>
                <w:szCs w:val="18"/>
              </w:rPr>
            </w:pPr>
            <w:r>
              <w:rPr>
                <w:rFonts w:ascii="宋体" w:hAnsi="宋体" w:cs="宋体" w:eastAsia="宋体" w:hint="default"/>
                <w:sz w:val="18"/>
                <w:szCs w:val="18"/>
              </w:rPr>
              <w:t>信息技术股份有限公司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年股票期权与限 </w:t>
            </w:r>
            <w:r>
              <w:rPr>
                <w:rFonts w:ascii="宋体" w:hAnsi="宋体" w:cs="宋体" w:eastAsia="宋体" w:hint="default"/>
                <w:spacing w:val="-5"/>
                <w:sz w:val="18"/>
                <w:szCs w:val="18"/>
              </w:rPr>
              <w:t>制性股票激励计划》（以下简称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年激励 </w:t>
            </w:r>
            <w:r>
              <w:rPr>
                <w:rFonts w:ascii="宋体" w:hAnsi="宋体" w:cs="宋体" w:eastAsia="宋体" w:hint="default"/>
                <w:spacing w:val="-3"/>
                <w:sz w:val="18"/>
                <w:szCs w:val="18"/>
              </w:rPr>
              <w:t>计划》</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）所涉部分暂缓授予限制性股票的登记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工作。本次向激励对象定向发行普通股股票 </w:t>
            </w:r>
            <w:r>
              <w:rPr>
                <w:rFonts w:ascii="Times New Roman" w:hAnsi="Times New Roman" w:cs="Times New Roman" w:eastAsia="Times New Roman" w:hint="default"/>
                <w:spacing w:val="-1"/>
                <w:sz w:val="18"/>
                <w:szCs w:val="18"/>
              </w:rPr>
              <w:t>200.00</w:t>
            </w:r>
            <w:r>
              <w:rPr>
                <w:rFonts w:ascii="Times New Roman" w:hAnsi="Times New Roman" w:cs="Times New Roman" w:eastAsia="Times New Roman" w:hint="default"/>
                <w:spacing w:val="4"/>
                <w:sz w:val="18"/>
                <w:szCs w:val="18"/>
              </w:rPr>
              <w:t> </w:t>
            </w:r>
            <w:r>
              <w:rPr>
                <w:rFonts w:ascii="宋体" w:hAnsi="宋体" w:cs="宋体" w:eastAsia="宋体" w:hint="default"/>
                <w:spacing w:val="-12"/>
                <w:sz w:val="18"/>
                <w:szCs w:val="18"/>
              </w:rPr>
              <w:t>万股，授予价格</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2.48</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股，</w:t>
            </w:r>
          </w:p>
          <w:p>
            <w:pPr>
              <w:pStyle w:val="TableParagraph"/>
              <w:spacing w:line="232" w:lineRule="exact"/>
              <w:ind w:left="17" w:right="0"/>
              <w:jc w:val="left"/>
              <w:rPr>
                <w:rFonts w:ascii="宋体" w:hAnsi="宋体" w:cs="宋体" w:eastAsia="宋体" w:hint="default"/>
                <w:sz w:val="18"/>
                <w:szCs w:val="18"/>
              </w:rPr>
            </w:pPr>
            <w:r>
              <w:rPr>
                <w:rFonts w:ascii="宋体" w:hAnsi="宋体" w:cs="宋体" w:eastAsia="宋体" w:hint="default"/>
                <w:sz w:val="18"/>
                <w:szCs w:val="18"/>
              </w:rPr>
              <w:t>公司股本变更为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1,749,134,595.00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1" w:lineRule="exact" w:before="27"/>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日，本公司完成《北京旋极</w:t>
            </w:r>
          </w:p>
          <w:p>
            <w:pPr>
              <w:pStyle w:val="TableParagraph"/>
              <w:spacing w:line="228" w:lineRule="auto" w:before="2"/>
              <w:ind w:left="17" w:right="12"/>
              <w:jc w:val="left"/>
              <w:rPr>
                <w:rFonts w:ascii="宋体" w:hAnsi="宋体" w:cs="宋体" w:eastAsia="宋体" w:hint="default"/>
                <w:sz w:val="18"/>
                <w:szCs w:val="18"/>
              </w:rPr>
            </w:pPr>
            <w:r>
              <w:rPr>
                <w:rFonts w:ascii="宋体" w:hAnsi="宋体" w:cs="宋体" w:eastAsia="宋体" w:hint="default"/>
                <w:sz w:val="18"/>
                <w:szCs w:val="18"/>
              </w:rPr>
              <w:t>信息技术股份有限公司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年股票期权与限 </w:t>
            </w:r>
            <w:r>
              <w:rPr>
                <w:rFonts w:ascii="宋体" w:hAnsi="宋体" w:cs="宋体" w:eastAsia="宋体" w:hint="default"/>
                <w:spacing w:val="-5"/>
                <w:sz w:val="18"/>
                <w:szCs w:val="18"/>
              </w:rPr>
              <w:t>制性股票激励计划》（以下简称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年激励 </w:t>
            </w:r>
            <w:r>
              <w:rPr>
                <w:rFonts w:ascii="宋体" w:hAnsi="宋体" w:cs="宋体" w:eastAsia="宋体" w:hint="default"/>
                <w:spacing w:val="-3"/>
                <w:sz w:val="18"/>
                <w:szCs w:val="18"/>
              </w:rPr>
              <w:t>计划》</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）所涉部分暂缓授予限制性股票的登记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工作。本次向激励对象定向发行普通股股票 </w:t>
            </w:r>
            <w:r>
              <w:rPr>
                <w:rFonts w:ascii="Times New Roman" w:hAnsi="Times New Roman" w:cs="Times New Roman" w:eastAsia="Times New Roman" w:hint="default"/>
                <w:spacing w:val="-1"/>
                <w:sz w:val="18"/>
                <w:szCs w:val="18"/>
              </w:rPr>
              <w:t>400.00</w:t>
            </w:r>
            <w:r>
              <w:rPr>
                <w:rFonts w:ascii="Times New Roman" w:hAnsi="Times New Roman" w:cs="Times New Roman" w:eastAsia="Times New Roman" w:hint="default"/>
                <w:sz w:val="18"/>
                <w:szCs w:val="18"/>
              </w:rPr>
              <w:t> </w:t>
            </w:r>
            <w:r>
              <w:rPr>
                <w:rFonts w:ascii="宋体" w:hAnsi="宋体" w:cs="宋体" w:eastAsia="宋体" w:hint="default"/>
                <w:spacing w:val="-12"/>
                <w:sz w:val="18"/>
                <w:szCs w:val="18"/>
              </w:rPr>
              <w:t>万股，授予价格</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2.48</w:t>
            </w:r>
            <w:r>
              <w:rPr>
                <w:rFonts w:ascii="Times New Roman" w:hAnsi="Times New Roman" w:cs="Times New Roman" w:eastAsia="Times New Roman" w:hint="default"/>
                <w:spacing w:val="-26"/>
                <w:sz w:val="18"/>
                <w:szCs w:val="18"/>
              </w:rPr>
              <w:t> </w:t>
            </w:r>
            <w:r>
              <w:rPr>
                <w:rFonts w:ascii="宋体" w:hAnsi="宋体" w:cs="宋体" w:eastAsia="宋体" w:hint="default"/>
                <w:spacing w:val="-10"/>
                <w:sz w:val="18"/>
                <w:szCs w:val="18"/>
              </w:rPr>
              <w:t>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股，完成登记后</w:t>
            </w:r>
          </w:p>
          <w:p>
            <w:pPr>
              <w:pStyle w:val="TableParagraph"/>
              <w:spacing w:line="235" w:lineRule="exact"/>
              <w:ind w:left="17" w:right="0"/>
              <w:jc w:val="left"/>
              <w:rPr>
                <w:rFonts w:ascii="宋体" w:hAnsi="宋体" w:cs="宋体" w:eastAsia="宋体" w:hint="default"/>
                <w:sz w:val="18"/>
                <w:szCs w:val="18"/>
              </w:rPr>
            </w:pPr>
            <w:r>
              <w:rPr>
                <w:rFonts w:ascii="宋体" w:hAnsi="宋体" w:cs="宋体" w:eastAsia="宋体" w:hint="default"/>
                <w:sz w:val="18"/>
                <w:szCs w:val="18"/>
              </w:rPr>
              <w:t>公司股本变更为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1,753,134,595.00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30" w:lineRule="auto" w:before="35"/>
              <w:ind w:left="17" w:right="1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、由于《北京旋极信息技术股份有限公司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pacing w:val="-8"/>
                <w:sz w:val="18"/>
                <w:szCs w:val="18"/>
              </w:rPr>
              <w:t>年股票期权与限制性股票激励计划》（以下简称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年激励计划》</w:t>
            </w:r>
            <w:r>
              <w:rPr>
                <w:rFonts w:ascii="Times New Roman" w:hAnsi="Times New Roman" w:cs="Times New Roman" w:eastAsia="Times New Roman" w:hint="default"/>
                <w:sz w:val="18"/>
                <w:szCs w:val="18"/>
              </w:rPr>
              <w:t>”</w:t>
            </w:r>
            <w:r>
              <w:rPr>
                <w:rFonts w:ascii="宋体" w:hAnsi="宋体" w:cs="宋体" w:eastAsia="宋体" w:hint="default"/>
                <w:sz w:val="18"/>
                <w:szCs w:val="18"/>
              </w:rPr>
              <w:t>）所涉及激励对象李钧 辉、奚晓青、艾强已离职，公司对上述激励对 象已获授的全部股票期权</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120,000</w:t>
            </w:r>
          </w:p>
          <w:p>
            <w:pPr>
              <w:pStyle w:val="TableParagraph"/>
              <w:spacing w:line="226" w:lineRule="exact"/>
              <w:ind w:left="17" w:right="0"/>
              <w:jc w:val="left"/>
              <w:rPr>
                <w:rFonts w:ascii="宋体" w:hAnsi="宋体" w:cs="宋体" w:eastAsia="宋体" w:hint="default"/>
                <w:sz w:val="18"/>
                <w:szCs w:val="18"/>
              </w:rPr>
            </w:pPr>
            <w:r>
              <w:rPr>
                <w:rFonts w:ascii="宋体" w:hAnsi="宋体" w:cs="宋体" w:eastAsia="宋体" w:hint="default"/>
                <w:sz w:val="18"/>
                <w:szCs w:val="18"/>
              </w:rPr>
              <w:t>对限制性股票共计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股进行回购注销。</w:t>
            </w:r>
          </w:p>
          <w:p>
            <w:pPr>
              <w:pStyle w:val="TableParagraph"/>
              <w:spacing w:line="232" w:lineRule="auto"/>
              <w:ind w:left="17" w:right="14"/>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日，上述股票期权及限制性</w:t>
            </w:r>
            <w:r>
              <w:rPr>
                <w:rFonts w:ascii="宋体" w:hAnsi="宋体" w:cs="宋体" w:eastAsia="宋体" w:hint="default"/>
                <w:sz w:val="18"/>
                <w:szCs w:val="18"/>
              </w:rPr>
              <w:t> 股票已在中国证券登记结算有限责任公司深圳 分公司完成注销手续。完成登记后，公司股本 变更为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1,753,014,595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750" w:type="dxa"/>
            <w:vMerge w:val="restart"/>
            <w:tcBorders>
              <w:top w:val="single" w:sz="4" w:space="0" w:color="000000"/>
              <w:left w:val="single" w:sz="10" w:space="0" w:color="D4D4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1660" w:type="dxa"/>
            <w:tcBorders>
              <w:top w:val="single" w:sz="4" w:space="0" w:color="000000"/>
              <w:left w:val="nil" w:sz="6" w:space="0" w:color="auto"/>
              <w:bottom w:val="nil" w:sz="6" w:space="0" w:color="auto"/>
              <w:right w:val="single" w:sz="10" w:space="0" w:color="D4D4D4"/>
            </w:tcBorders>
          </w:tcPr>
          <w:p>
            <w:pPr/>
          </w:p>
        </w:tc>
        <w:tc>
          <w:tcPr>
            <w:tcW w:w="1488" w:type="dxa"/>
            <w:vMerge w:val="restart"/>
            <w:tcBorders>
              <w:top w:val="single" w:sz="4" w:space="0" w:color="000000"/>
              <w:left w:val="single" w:sz="10" w:space="0" w:color="D4D4D4"/>
              <w:right w:val="single" w:sz="10" w:space="0" w:color="D4D4D4"/>
            </w:tcBorders>
          </w:tcPr>
          <w:p>
            <w:pPr/>
          </w:p>
        </w:tc>
      </w:tr>
      <w:tr>
        <w:trPr>
          <w:trHeight w:val="314" w:hRule="exact"/>
        </w:trPr>
        <w:tc>
          <w:tcPr>
            <w:tcW w:w="19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3686" w:type="dxa"/>
            <w:vMerge/>
            <w:tcBorders>
              <w:left w:val="single" w:sz="9" w:space="0" w:color="D4D4D4"/>
              <w:right w:val="single" w:sz="10" w:space="0" w:color="D4D4D4"/>
            </w:tcBorders>
          </w:tcPr>
          <w:p>
            <w:pPr/>
          </w:p>
        </w:tc>
        <w:tc>
          <w:tcPr>
            <w:tcW w:w="750" w:type="dxa"/>
            <w:vMerge/>
            <w:tcBorders>
              <w:left w:val="single" w:sz="10" w:space="0" w:color="D4D4D4"/>
              <w:right w:val="nil" w:sz="6" w:space="0" w:color="auto"/>
            </w:tcBorders>
          </w:tcPr>
          <w:p>
            <w:pPr/>
          </w:p>
        </w:tc>
        <w:tc>
          <w:tcPr>
            <w:tcW w:w="1660"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687" w:right="0"/>
              <w:jc w:val="left"/>
              <w:rPr>
                <w:rFonts w:ascii="Times New Roman" w:hAnsi="Times New Roman" w:cs="Times New Roman" w:eastAsia="Times New Roman" w:hint="default"/>
                <w:sz w:val="18"/>
                <w:szCs w:val="18"/>
              </w:rPr>
            </w:pPr>
            <w:r>
              <w:rPr>
                <w:rFonts w:ascii="Times New Roman"/>
                <w:sz w:val="18"/>
              </w:rPr>
              <w:t>5,880,000.00</w:t>
            </w:r>
          </w:p>
        </w:tc>
        <w:tc>
          <w:tcPr>
            <w:tcW w:w="1488" w:type="dxa"/>
            <w:vMerge/>
            <w:tcBorders>
              <w:left w:val="single" w:sz="10" w:space="0" w:color="D4D4D4"/>
              <w:right w:val="single" w:sz="10" w:space="0" w:color="D4D4D4"/>
            </w:tcBorders>
          </w:tcPr>
          <w:p>
            <w:pPr/>
          </w:p>
        </w:tc>
      </w:tr>
      <w:tr>
        <w:trPr>
          <w:trHeight w:val="2729" w:hRule="exact"/>
        </w:trPr>
        <w:tc>
          <w:tcPr>
            <w:tcW w:w="1985" w:type="dxa"/>
            <w:tcBorders>
              <w:top w:val="nil" w:sz="6" w:space="0" w:color="auto"/>
              <w:left w:val="single" w:sz="4" w:space="0" w:color="000000"/>
              <w:bottom w:val="single" w:sz="4" w:space="0" w:color="000000"/>
              <w:right w:val="single" w:sz="4" w:space="0" w:color="000000"/>
            </w:tcBorders>
            <w:shd w:val="clear" w:color="auto" w:fill="D4D4D4"/>
          </w:tcPr>
          <w:p>
            <w:pPr/>
          </w:p>
        </w:tc>
        <w:tc>
          <w:tcPr>
            <w:tcW w:w="3686" w:type="dxa"/>
            <w:vMerge/>
            <w:tcBorders>
              <w:left w:val="single" w:sz="9" w:space="0" w:color="D4D4D4"/>
              <w:bottom w:val="single" w:sz="4" w:space="0" w:color="000000"/>
              <w:right w:val="single" w:sz="10" w:space="0" w:color="D4D4D4"/>
            </w:tcBorders>
          </w:tcPr>
          <w:p>
            <w:pPr/>
          </w:p>
        </w:tc>
        <w:tc>
          <w:tcPr>
            <w:tcW w:w="750" w:type="dxa"/>
            <w:vMerge/>
            <w:tcBorders>
              <w:left w:val="single" w:sz="10" w:space="0" w:color="D4D4D4"/>
              <w:bottom w:val="single" w:sz="4" w:space="0" w:color="000000"/>
              <w:right w:val="nil" w:sz="6" w:space="0" w:color="auto"/>
            </w:tcBorders>
          </w:tcPr>
          <w:p>
            <w:pPr/>
          </w:p>
        </w:tc>
        <w:tc>
          <w:tcPr>
            <w:tcW w:w="1660" w:type="dxa"/>
            <w:tcBorders>
              <w:top w:val="nil" w:sz="6" w:space="0" w:color="auto"/>
              <w:left w:val="nil" w:sz="6" w:space="0" w:color="auto"/>
              <w:bottom w:val="single" w:sz="4" w:space="0" w:color="000000"/>
              <w:right w:val="single" w:sz="4" w:space="0" w:color="000000"/>
            </w:tcBorders>
          </w:tcPr>
          <w:p>
            <w:pPr/>
          </w:p>
        </w:tc>
        <w:tc>
          <w:tcPr>
            <w:tcW w:w="1488" w:type="dxa"/>
            <w:vMerge/>
            <w:tcBorders>
              <w:left w:val="single" w:sz="10" w:space="0" w:color="D4D4D4"/>
              <w:bottom w:val="single" w:sz="4" w:space="0" w:color="000000"/>
              <w:right w:val="single" w:sz="10" w:space="0" w:color="D4D4D4"/>
            </w:tcBorders>
          </w:tcPr>
          <w:p>
            <w:pP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86" w:type="dxa"/>
            <w:tcBorders>
              <w:top w:val="single" w:sz="4" w:space="0" w:color="000000"/>
              <w:left w:val="single" w:sz="4" w:space="0" w:color="000000"/>
              <w:bottom w:val="single" w:sz="4" w:space="0" w:color="000000"/>
              <w:right w:val="single" w:sz="4" w:space="0" w:color="000000"/>
            </w:tcBorders>
          </w:tcPr>
          <w:p>
            <w:pPr/>
          </w:p>
        </w:tc>
        <w:tc>
          <w:tcPr>
            <w:tcW w:w="2410" w:type="dxa"/>
            <w:gridSpan w:val="2"/>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r>
        <w:rPr/>
        <w:pict>
          <v:shape style="position:absolute;margin-left:289.320007pt;margin-top:-165.096329pt;width:171.15pt;height:136.950pt;mso-position-horizontal-relative:page;mso-position-vertical-relative:paragraph;z-index:-142614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股进行注销、</w:t>
                  </w:r>
                </w:p>
              </w:txbxContent>
            </v:textbox>
            <w10:wrap type="none"/>
          </v:shape>
        </w:pict>
      </w:r>
      <w:r>
        <w:rPr/>
        <w:pict>
          <v:group style="position:absolute;margin-left:340.440002pt;margin-top:-316.296326pt;width:120pt;height:288.150pt;mso-position-horizontal-relative:page;mso-position-vertical-relative:paragraph;z-index:-1426120" coordorigin="6809,-6326" coordsize="2400,5763">
            <v:group style="position:absolute;left:6809;top:-6326;width:2400;height:2739" coordorigin="6809,-6326" coordsize="2400,2739">
              <v:shape style="position:absolute;left:6809;top:-6326;width:2400;height:2739" coordorigin="6809,-6326" coordsize="2400,2739" path="m6809,-3588l9209,-3588,9209,-6326,6809,-6326,6809,-3588xe" filled="true" fillcolor="#ffffff" stroked="false">
                <v:path arrowok="t"/>
                <v:fill type="solid"/>
              </v:shape>
            </v:group>
            <v:group style="position:absolute;left:6821;top:-3588;width:2;height:286" coordorigin="6821,-3588" coordsize="2,286">
              <v:shape style="position:absolute;left:6821;top:-3588;width:2;height:286" coordorigin="6821,-3588" coordsize="0,286" path="m6821,-3588l6821,-3302e" filled="false" stroked="true" strokeweight="1.2pt" strokecolor="#ffffff">
                <v:path arrowok="t"/>
              </v:shape>
            </v:group>
            <v:group style="position:absolute;left:6809;top:-3302;width:2400;height:2739" coordorigin="6809,-3302" coordsize="2400,2739">
              <v:shape style="position:absolute;left:6809;top:-3302;width:2400;height:2739" coordorigin="6809,-3302" coordsize="2400,2739" path="m6809,-564l9209,-564,9209,-3302,6809,-3302,6809,-564xe" filled="true" fillcolor="#ffffff" stroked="false">
                <v:path arrowok="t"/>
                <v:fill type="solid"/>
              </v:shape>
            </v:group>
            <v:group style="position:absolute;left:6833;top:-3588;width:2352;height:286" coordorigin="6833,-3588" coordsize="2352,286">
              <v:shape style="position:absolute;left:6833;top:-3588;width:2352;height:286" coordorigin="6833,-3588" coordsize="2352,286" path="m6833,-3302l9185,-3302,9185,-3588,6833,-3588,6833,-3302xe" filled="true" fillcolor="#ffffff" stroked="false">
                <v:path arrowok="t"/>
                <v:fill type="solid"/>
              </v:shape>
            </v:group>
            <w10:wrap type="none"/>
          </v:group>
        </w:pict>
      </w:r>
      <w:bookmarkStart w:name="2、利润分配情况" w:id="619"/>
      <w:bookmarkEnd w:id="61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32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78,885,656.78</w:t>
            </w:r>
          </w:p>
        </w:tc>
      </w:tr>
      <w:tr>
        <w:trPr>
          <w:trHeight w:val="32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78,885,656.78</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3、销售退回" w:id="620"/>
      <w:bookmarkEnd w:id="620"/>
      <w:r>
        <w:rPr>
          <w:b w:val="0"/>
          <w:bCs w:val="0"/>
        </w:rPr>
      </w:r>
      <w:r>
        <w:rPr>
          <w:rFonts w:ascii="Times New Roman" w:hAnsi="Times New Roman" w:cs="Times New Roman" w:eastAsia="Times New Roman" w:hint="default"/>
        </w:rPr>
        <w:t>3</w:t>
      </w:r>
      <w:r>
        <w:rPr/>
        <w:t>、销售退回</w:t>
      </w:r>
      <w:r>
        <w:rPr>
          <w:b w:val="0"/>
          <w:bCs w:val="0"/>
        </w:rPr>
      </w:r>
    </w:p>
    <w:p>
      <w:pPr>
        <w:spacing w:after="0" w:line="240" w:lineRule="auto"/>
        <w:jc w:val="left"/>
        <w:sectPr>
          <w:pgSz w:w="11910" w:h="16840"/>
          <w:pgMar w:header="882" w:footer="1134" w:top="1280" w:bottom="1320" w:left="980" w:right="0"/>
        </w:sectPr>
      </w:pPr>
    </w:p>
    <w:p>
      <w:pPr>
        <w:pStyle w:val="Heading4"/>
        <w:spacing w:line="240" w:lineRule="auto" w:before="112"/>
        <w:ind w:right="1127"/>
        <w:jc w:val="left"/>
        <w:rPr>
          <w:b w:val="0"/>
          <w:bCs w:val="0"/>
        </w:rPr>
      </w:pPr>
      <w:bookmarkStart w:name="4、其他资产负债表日后事项说明" w:id="621"/>
      <w:bookmarkEnd w:id="621"/>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1</w:t>
      </w:r>
      <w:r>
        <w:rPr/>
        <w:t>、收到北京证监局行政监管措施决定</w:t>
      </w:r>
    </w:p>
    <w:p>
      <w:pPr>
        <w:spacing w:line="240" w:lineRule="auto" w:before="11"/>
        <w:rPr>
          <w:rFonts w:ascii="宋体" w:hAnsi="宋体" w:cs="宋体" w:eastAsia="宋体" w:hint="default"/>
          <w:sz w:val="16"/>
          <w:szCs w:val="16"/>
        </w:rPr>
      </w:pPr>
    </w:p>
    <w:p>
      <w:pPr>
        <w:pStyle w:val="BodyText"/>
        <w:spacing w:line="336" w:lineRule="auto"/>
        <w:ind w:left="152" w:right="1128" w:firstLine="419"/>
        <w:jc w:val="both"/>
      </w:pP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spacing w:val="-3"/>
        </w:rPr>
        <w:t>月，本公司收到中国证监会北京监管局下发的《关于对北京旋极信息技术股份有限公司采取</w:t>
      </w:r>
      <w:r>
        <w:rPr>
          <w:w w:val="100"/>
        </w:rPr>
        <w:t> </w:t>
      </w:r>
      <w:r>
        <w:rPr>
          <w:spacing w:val="-1"/>
          <w:w w:val="100"/>
        </w:rPr>
        <w:t>责令改正行政监管措施的决定</w:t>
      </w:r>
      <w:r>
        <w:rPr>
          <w:rFonts w:ascii="Times New Roman" w:hAnsi="Times New Roman" w:cs="Times New Roman" w:eastAsia="Times New Roman" w:hint="default"/>
          <w:spacing w:val="-1"/>
          <w:w w:val="100"/>
        </w:rPr>
        <w:t>([2020]25</w:t>
      </w:r>
      <w:r>
        <w:rPr>
          <w:rFonts w:ascii="Times New Roman" w:hAnsi="Times New Roman" w:cs="Times New Roman" w:eastAsia="Times New Roman" w:hint="default"/>
          <w:spacing w:val="30"/>
          <w:w w:val="100"/>
        </w:rPr>
        <w:t> </w:t>
      </w:r>
      <w:r>
        <w:rPr>
          <w:spacing w:val="-5"/>
          <w:w w:val="100"/>
        </w:rPr>
        <w:t>号），本公司因收购联合信标会计处理错误及无法准确测算联合信</w:t>
      </w:r>
      <w:r>
        <w:rPr>
          <w:w w:val="100"/>
        </w:rPr>
        <w:t> </w:t>
      </w:r>
      <w:r>
        <w:rPr/>
        <w:t>标</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年业绩承诺受到责令改正的行政监管措施。</w:t>
      </w:r>
    </w:p>
    <w:p>
      <w:pPr>
        <w:pStyle w:val="BodyText"/>
        <w:spacing w:line="240" w:lineRule="auto" w:before="125"/>
        <w:ind w:right="1127"/>
        <w:jc w:val="left"/>
      </w:pPr>
      <w:r>
        <w:rPr>
          <w:rFonts w:ascii="Times New Roman" w:hAnsi="Times New Roman" w:cs="Times New Roman" w:eastAsia="Times New Roman" w:hint="default"/>
        </w:rPr>
        <w:t>2</w:t>
      </w:r>
      <w:r>
        <w:rPr/>
        <w:t>、董事长变更</w:t>
      </w:r>
    </w:p>
    <w:p>
      <w:pPr>
        <w:spacing w:line="240" w:lineRule="auto" w:before="11"/>
        <w:rPr>
          <w:rFonts w:ascii="宋体" w:hAnsi="宋体" w:cs="宋体" w:eastAsia="宋体" w:hint="default"/>
          <w:sz w:val="16"/>
          <w:szCs w:val="16"/>
        </w:rPr>
      </w:pPr>
    </w:p>
    <w:p>
      <w:pPr>
        <w:pStyle w:val="BodyText"/>
        <w:spacing w:line="345" w:lineRule="auto"/>
        <w:ind w:left="153" w:right="1128" w:firstLine="419"/>
        <w:jc w:val="both"/>
      </w:pPr>
      <w:r>
        <w:rPr>
          <w:rFonts w:ascii="Times New Roman" w:hAnsi="Times New Roman" w:cs="Times New Roman" w:eastAsia="Times New Roman" w:hint="default"/>
        </w:rPr>
        <w:t>2020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1"/>
        </w:rPr>
        <w:t> </w:t>
      </w:r>
      <w:r>
        <w:rPr>
          <w:rFonts w:ascii="Times New Roman" w:hAnsi="Times New Roman" w:cs="Times New Roman" w:eastAsia="Times New Roman" w:hint="default"/>
        </w:rPr>
        <w:t>7 </w:t>
      </w:r>
      <w:r>
        <w:rPr>
          <w:spacing w:val="-3"/>
        </w:rPr>
        <w:t>日，公司召开第四届董事会第三十六次会议，审议通过了《关于变更第四届董事会董事</w:t>
      </w:r>
      <w:r>
        <w:rPr>
          <w:w w:val="100"/>
        </w:rPr>
        <w:t> </w:t>
      </w:r>
      <w:r>
        <w:rPr>
          <w:spacing w:val="-2"/>
          <w:w w:val="100"/>
        </w:rPr>
        <w:t>长的议案》，董事会同意选举姜平先生为公司第四届董事会董事长，任期自本次董事会决议之日起至第四</w:t>
      </w:r>
      <w:r>
        <w:rPr>
          <w:spacing w:val="-94"/>
          <w:w w:val="100"/>
        </w:rPr>
        <w:t> </w:t>
      </w:r>
      <w:r>
        <w:rPr>
          <w:spacing w:val="-94"/>
          <w:w w:val="100"/>
        </w:rPr>
      </w:r>
      <w:r>
        <w:rPr/>
        <w:t>届董事会任期届满之日止。董事长陈江涛先生因工作原因申请辞去公司第四届董事会董事长职务。</w:t>
      </w:r>
    </w:p>
    <w:p>
      <w:pPr>
        <w:pStyle w:val="BodyText"/>
        <w:spacing w:line="240" w:lineRule="auto" w:before="141"/>
        <w:ind w:left="573" w:right="1127"/>
        <w:jc w:val="left"/>
      </w:pPr>
      <w:r>
        <w:rPr>
          <w:rFonts w:ascii="Times New Roman" w:hAnsi="Times New Roman" w:cs="Times New Roman" w:eastAsia="Times New Roman" w:hint="default"/>
        </w:rPr>
        <w:t>3</w:t>
      </w:r>
      <w:r>
        <w:rPr/>
        <w:t>、新冠肺炎疫情影响</w:t>
      </w:r>
    </w:p>
    <w:p>
      <w:pPr>
        <w:spacing w:line="240" w:lineRule="auto" w:before="11"/>
        <w:rPr>
          <w:rFonts w:ascii="宋体" w:hAnsi="宋体" w:cs="宋体" w:eastAsia="宋体" w:hint="default"/>
          <w:sz w:val="16"/>
          <w:szCs w:val="16"/>
        </w:rPr>
      </w:pPr>
    </w:p>
    <w:p>
      <w:pPr>
        <w:pStyle w:val="BodyText"/>
        <w:spacing w:line="333" w:lineRule="auto"/>
        <w:ind w:left="153" w:right="1128" w:firstLine="420"/>
        <w:jc w:val="both"/>
      </w:pPr>
      <w:r>
        <w:rPr/>
        <w:t>新冠肺炎疫情于 </w:t>
      </w:r>
      <w:r>
        <w:rPr>
          <w:rFonts w:ascii="Times New Roman" w:hAnsi="Times New Roman" w:cs="Times New Roman" w:eastAsia="Times New Roman" w:hint="default"/>
        </w:rPr>
        <w:t>2020</w:t>
      </w:r>
      <w:r>
        <w:rPr>
          <w:rFonts w:ascii="Times New Roman" w:hAnsi="Times New Roman" w:cs="Times New Roman" w:eastAsia="Times New Roman" w:hint="default"/>
          <w:spacing w:val="23"/>
        </w:rPr>
        <w:t> </w:t>
      </w:r>
      <w:r>
        <w:rPr/>
        <w:t>年初在我国及全球各地陆续爆发以来，本公司积极响应并严格执行党和国家各</w:t>
      </w:r>
      <w:r>
        <w:rPr>
          <w:w w:val="100"/>
        </w:rPr>
        <w:t> </w:t>
      </w:r>
      <w:r>
        <w:rPr/>
        <w:t>级政府对新冠肺炎疫情防控的各项规定和要求，切实落实对员工的保护。</w:t>
      </w:r>
    </w:p>
    <w:p>
      <w:pPr>
        <w:pStyle w:val="BodyText"/>
        <w:spacing w:line="336" w:lineRule="auto" w:before="154"/>
        <w:ind w:left="153" w:right="1128" w:firstLine="420"/>
        <w:jc w:val="both"/>
      </w:pPr>
      <w:r>
        <w:rPr/>
        <w:t>在恢复生产方面，公司严格做好抗疫情和稳生产两手工作，已于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29"/>
        </w:rPr>
        <w:t> </w:t>
      </w:r>
      <w:r>
        <w:rPr/>
        <w:t>日有序复工，同时在积极推</w:t>
      </w:r>
      <w:r>
        <w:rPr>
          <w:w w:val="100"/>
        </w:rPr>
        <w:t> </w:t>
      </w:r>
      <w:r>
        <w:rPr/>
        <w:t>动生产经营活动。</w:t>
      </w:r>
    </w:p>
    <w:p>
      <w:pPr>
        <w:pStyle w:val="BodyText"/>
        <w:spacing w:line="355" w:lineRule="auto" w:before="150"/>
        <w:ind w:left="152" w:right="1128" w:firstLine="420"/>
        <w:jc w:val="both"/>
      </w:pPr>
      <w:r>
        <w:rPr>
          <w:spacing w:val="-2"/>
        </w:rPr>
        <w:t>该疫情对本公司的后续影响，取决于疫情的持续时间以及各地的防控措施，本公司将密切关注新冠肺</w:t>
      </w:r>
      <w:r>
        <w:rPr>
          <w:w w:val="100"/>
        </w:rPr>
        <w:t> </w:t>
      </w:r>
      <w:r>
        <w:rPr/>
        <w:t>炎疫情对本公司财务状况、经营成果等方面的影响。</w:t>
      </w:r>
    </w:p>
    <w:p>
      <w:pPr>
        <w:spacing w:line="240" w:lineRule="auto" w:before="2"/>
        <w:rPr>
          <w:rFonts w:ascii="宋体" w:hAnsi="宋体" w:cs="宋体" w:eastAsia="宋体" w:hint="default"/>
          <w:sz w:val="25"/>
          <w:szCs w:val="25"/>
        </w:rPr>
      </w:pPr>
    </w:p>
    <w:p>
      <w:pPr>
        <w:pStyle w:val="Heading2"/>
        <w:spacing w:line="240" w:lineRule="auto"/>
        <w:ind w:right="1127"/>
        <w:jc w:val="left"/>
        <w:rPr>
          <w:b w:val="0"/>
          <w:bCs w:val="0"/>
        </w:rPr>
      </w:pPr>
      <w:bookmarkStart w:name="十六、其他重要事项" w:id="622"/>
      <w:bookmarkEnd w:id="622"/>
      <w:r>
        <w:rPr>
          <w:b w:val="0"/>
          <w:bCs w:val="0"/>
        </w:rPr>
      </w:r>
      <w:r>
        <w:rPr/>
        <w:t>十六、其他重要事项</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right="1127"/>
        <w:jc w:val="left"/>
        <w:rPr>
          <w:b w:val="0"/>
          <w:bCs w:val="0"/>
        </w:rPr>
      </w:pPr>
      <w:bookmarkStart w:name="1、前期会计差错更正" w:id="623"/>
      <w:bookmarkEnd w:id="623"/>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1）追溯重述法" w:id="624"/>
      <w:bookmarkEnd w:id="624"/>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10"/>
        <w:rPr>
          <w:rFonts w:ascii="宋体" w:hAnsi="宋体" w:cs="宋体" w:eastAsia="宋体" w:hint="default"/>
          <w:b/>
          <w:bCs/>
          <w:sz w:val="21"/>
          <w:szCs w:val="21"/>
        </w:rPr>
      </w:pPr>
    </w:p>
    <w:p>
      <w:pPr>
        <w:spacing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494"/>
        <w:gridCol w:w="2294"/>
        <w:gridCol w:w="2390"/>
        <w:gridCol w:w="2390"/>
      </w:tblGrid>
      <w:tr>
        <w:trPr>
          <w:trHeight w:val="557"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432"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557"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关联方资金占用</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日第四届董事 会第二十三次会议决议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-201,331,040.00</w:t>
            </w:r>
            <w:r>
              <w:rPr>
                <w:rFonts w:ascii="Times New Roman"/>
                <w:sz w:val="18"/>
              </w:rPr>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242,013,013.00</w:t>
            </w:r>
            <w:r>
              <w:rPr>
                <w:rFonts w:ascii="Times New Roman"/>
                <w:sz w:val="18"/>
              </w:rPr>
            </w:r>
          </w:p>
        </w:tc>
      </w:tr>
      <w:tr>
        <w:trPr>
          <w:trHeight w:val="322"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-49,858,200.00</w:t>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1,910,629.05</w:t>
            </w:r>
            <w:r>
              <w:rPr>
                <w:rFonts w:ascii="Times New Roman"/>
                <w:sz w:val="18"/>
              </w:rPr>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534,195.00</w:t>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-461,204.60</w:t>
            </w:r>
            <w:r>
              <w:rPr>
                <w:rFonts w:ascii="Times New Roman"/>
                <w:sz w:val="18"/>
              </w:rPr>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-7,338,588.35</w:t>
            </w:r>
            <w:r>
              <w:rPr>
                <w:rFonts w:ascii="Times New Roman"/>
                <w:sz w:val="18"/>
              </w:rPr>
            </w:r>
          </w:p>
        </w:tc>
      </w:tr>
      <w:tr>
        <w:trPr>
          <w:trHeight w:val="557"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194"/>
              <w:jc w:val="left"/>
              <w:rPr>
                <w:rFonts w:ascii="宋体" w:hAnsi="宋体" w:cs="宋体" w:eastAsia="宋体" w:hint="default"/>
                <w:sz w:val="18"/>
                <w:szCs w:val="18"/>
              </w:rPr>
            </w:pPr>
            <w:r>
              <w:rPr>
                <w:rFonts w:ascii="宋体" w:hAnsi="宋体" w:cs="宋体" w:eastAsia="宋体" w:hint="default"/>
                <w:sz w:val="18"/>
                <w:szCs w:val="18"/>
              </w:rPr>
              <w:t>归属于母公司所有者权益合 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-7,799,792.95</w:t>
            </w:r>
            <w:r>
              <w:rPr>
                <w:rFonts w:ascii="Times New Roman"/>
                <w:sz w:val="18"/>
              </w:rPr>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-3,561,300.00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494"/>
        <w:gridCol w:w="2294"/>
        <w:gridCol w:w="2390"/>
        <w:gridCol w:w="2390"/>
      </w:tblGrid>
      <w:tr>
        <w:trPr>
          <w:trHeight w:val="324"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12,737,527.00</w:t>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-9,176,227.00</w:t>
            </w:r>
            <w:r>
              <w:rPr>
                <w:rFonts w:ascii="Times New Roman"/>
                <w:sz w:val="18"/>
              </w:rPr>
            </w:r>
          </w:p>
        </w:tc>
      </w:tr>
      <w:tr>
        <w:trPr>
          <w:trHeight w:val="322"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-1,376,434.05</w:t>
            </w:r>
            <w:r>
              <w:rPr>
                <w:rFonts w:ascii="Times New Roman"/>
                <w:sz w:val="18"/>
              </w:rPr>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-7,799,792.95</w:t>
            </w:r>
            <w:r>
              <w:rPr>
                <w:rFonts w:ascii="Times New Roman"/>
                <w:sz w:val="18"/>
              </w:rPr>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归属于母公司的净利润</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-7,799,792.95</w:t>
            </w:r>
            <w:r>
              <w:rPr>
                <w:rFonts w:ascii="Times New Roman"/>
                <w:sz w:val="18"/>
              </w:rPr>
            </w:r>
          </w:p>
        </w:tc>
      </w:tr>
      <w:tr>
        <w:trPr>
          <w:trHeight w:val="790"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19"/>
              <w:jc w:val="both"/>
              <w:rPr>
                <w:rFonts w:ascii="宋体" w:hAnsi="宋体" w:cs="宋体" w:eastAsia="宋体" w:hint="default"/>
                <w:sz w:val="18"/>
                <w:szCs w:val="18"/>
              </w:rPr>
            </w:pPr>
            <w:r>
              <w:rPr>
                <w:rFonts w:ascii="宋体" w:hAnsi="宋体" w:cs="宋体" w:eastAsia="宋体" w:hint="default"/>
                <w:sz w:val="18"/>
                <w:szCs w:val="18"/>
              </w:rPr>
              <w:t>收购联合信标由非同一控制下 企业合并调整为同一控制下企 业合并</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日第四届董事 会第三十七次会议决议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6,295.31</w:t>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-1,053,333.45</w:t>
            </w:r>
            <w:r>
              <w:rPr>
                <w:rFonts w:ascii="Times New Roman"/>
                <w:sz w:val="18"/>
              </w:rPr>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-16,351,069.91</w:t>
            </w:r>
          </w:p>
        </w:tc>
      </w:tr>
      <w:tr>
        <w:trPr>
          <w:trHeight w:val="322"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121,225.61</w:t>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-97,221.24</w:t>
            </w:r>
            <w:r>
              <w:rPr>
                <w:rFonts w:ascii="Times New Roman"/>
                <w:sz w:val="18"/>
              </w:rPr>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-2,422,112.42</w:t>
            </w:r>
            <w:r>
              <w:rPr>
                <w:rFonts w:ascii="Times New Roman"/>
                <w:sz w:val="18"/>
              </w:rPr>
            </w:r>
          </w:p>
        </w:tc>
      </w:tr>
      <w:tr>
        <w:trPr>
          <w:trHeight w:val="557"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194"/>
              <w:jc w:val="left"/>
              <w:rPr>
                <w:rFonts w:ascii="宋体" w:hAnsi="宋体" w:cs="宋体" w:eastAsia="宋体" w:hint="default"/>
                <w:sz w:val="18"/>
                <w:szCs w:val="18"/>
              </w:rPr>
            </w:pPr>
            <w:r>
              <w:rPr>
                <w:rFonts w:ascii="宋体" w:hAnsi="宋体" w:cs="宋体" w:eastAsia="宋体" w:hint="default"/>
                <w:sz w:val="18"/>
                <w:szCs w:val="18"/>
              </w:rPr>
              <w:t>归属于母公司所有者权益合 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-17,422,112.42</w:t>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4,814,529.93</w:t>
            </w:r>
            <w:r>
              <w:rPr>
                <w:rFonts w:ascii="Times New Roman"/>
                <w:sz w:val="18"/>
              </w:rPr>
            </w:r>
          </w:p>
        </w:tc>
      </w:tr>
      <w:tr>
        <w:trPr>
          <w:trHeight w:val="322"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2,794,871.82</w:t>
            </w:r>
            <w:r>
              <w:rPr>
                <w:rFonts w:ascii="Times New Roman"/>
                <w:sz w:val="18"/>
              </w:rPr>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35,294.88</w:t>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682.34</w:t>
            </w:r>
            <w:r>
              <w:rPr>
                <w:rFonts w:ascii="Times New Roman"/>
                <w:sz w:val="18"/>
              </w:rPr>
            </w:r>
          </w:p>
        </w:tc>
      </w:tr>
      <w:tr>
        <w:trPr>
          <w:trHeight w:val="322"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19,603.00</w:t>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621,169.34</w:t>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1,302,908.55</w:t>
            </w:r>
            <w:r>
              <w:rPr>
                <w:rFonts w:ascii="Times New Roman"/>
                <w:sz w:val="18"/>
              </w:rPr>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归属于母公司的净利润</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1,302,908.55</w:t>
            </w:r>
            <w:r>
              <w:rPr>
                <w:rFonts w:ascii="Times New Roman"/>
                <w:sz w:val="18"/>
              </w:rPr>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2）未来适用法" w:id="625"/>
      <w:bookmarkEnd w:id="625"/>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3"/>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324"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7"/>
        <w:rPr>
          <w:rFonts w:ascii="宋体" w:hAnsi="宋体" w:cs="宋体" w:eastAsia="宋体" w:hint="default"/>
          <w:b/>
          <w:bCs/>
          <w:sz w:val="17"/>
          <w:szCs w:val="17"/>
        </w:rPr>
      </w:pPr>
    </w:p>
    <w:p>
      <w:pPr>
        <w:pStyle w:val="Heading4"/>
        <w:spacing w:line="240" w:lineRule="auto" w:before="36"/>
        <w:ind w:right="1127"/>
        <w:jc w:val="left"/>
        <w:rPr>
          <w:b w:val="0"/>
          <w:bCs w:val="0"/>
        </w:rPr>
      </w:pPr>
      <w:bookmarkStart w:name="2、债务重组" w:id="626"/>
      <w:bookmarkEnd w:id="62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3、资产置换" w:id="627"/>
      <w:bookmarkEnd w:id="62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1）非货币性资产交换" w:id="628"/>
      <w:bookmarkEnd w:id="628"/>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2）其他资产置换" w:id="629"/>
      <w:bookmarkEnd w:id="629"/>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1127"/>
        <w:jc w:val="left"/>
        <w:rPr>
          <w:b w:val="0"/>
          <w:bCs w:val="0"/>
        </w:rPr>
      </w:pPr>
      <w:bookmarkStart w:name="4、年金计划" w:id="630"/>
      <w:bookmarkEnd w:id="63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5、终止经营" w:id="631"/>
      <w:bookmarkEnd w:id="63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792"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
              <w:ind w:left="48" w:right="3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after="0" w:line="237" w:lineRule="auto"/>
        <w:jc w:val="center"/>
        <w:rPr>
          <w:rFonts w:ascii="宋体" w:hAnsi="宋体" w:cs="宋体" w:eastAsia="宋体" w:hint="default"/>
          <w:sz w:val="18"/>
          <w:szCs w:val="18"/>
        </w:rPr>
        <w:sectPr>
          <w:pgSz w:w="11910" w:h="16840"/>
          <w:pgMar w:header="882" w:footer="1134" w:top="1280" w:bottom="1320" w:left="980" w:right="0"/>
        </w:sectPr>
      </w:pPr>
    </w:p>
    <w:p>
      <w:pPr>
        <w:spacing w:before="113"/>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bookmarkStart w:name="6、分部信息" w:id="632"/>
      <w:bookmarkEnd w:id="632"/>
      <w:r>
        <w:rPr>
          <w:b w:val="0"/>
          <w:bCs w:val="0"/>
        </w:rPr>
      </w:r>
      <w:r>
        <w:rPr>
          <w:rFonts w:ascii="Times New Roman" w:hAnsi="Times New Roman" w:cs="Times New Roman" w:eastAsia="Times New Roman" w:hint="default"/>
        </w:rPr>
        <w:t>6</w:t>
      </w:r>
      <w:r>
        <w:rPr/>
        <w:t>、分部信息</w:t>
      </w:r>
      <w:r>
        <w:rPr>
          <w:b w:val="0"/>
          <w:bCs w:val="0"/>
        </w:rPr>
      </w:r>
    </w:p>
    <w:p>
      <w:pPr>
        <w:spacing w:line="574" w:lineRule="exact" w:before="66"/>
        <w:ind w:left="572" w:right="1130" w:hanging="421"/>
        <w:jc w:val="left"/>
        <w:rPr>
          <w:rFonts w:ascii="宋体" w:hAnsi="宋体" w:cs="宋体" w:eastAsia="宋体" w:hint="default"/>
          <w:sz w:val="21"/>
          <w:szCs w:val="21"/>
        </w:rPr>
      </w:pPr>
      <w:bookmarkStart w:name="（1）报告分部的确定依据与会计政策" w:id="633"/>
      <w:bookmarkEnd w:id="6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100"/>
          <w:sz w:val="21"/>
          <w:szCs w:val="21"/>
        </w:rPr>
        <w:t> </w:t>
      </w:r>
      <w:r>
        <w:rPr>
          <w:rFonts w:ascii="宋体" w:hAnsi="宋体" w:cs="宋体" w:eastAsia="宋体" w:hint="default"/>
          <w:sz w:val="21"/>
          <w:szCs w:val="21"/>
        </w:rPr>
        <w:t>根据本公司的内部组织结构、管理要求及内部报告制度按行业确定了</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个报告分部，分别为：智慧防</w:t>
      </w:r>
      <w:r>
        <w:rPr>
          <w:rFonts w:ascii="宋体" w:hAnsi="宋体" w:cs="宋体" w:eastAsia="宋体" w:hint="default"/>
          <w:sz w:val="21"/>
          <w:szCs w:val="21"/>
        </w:rPr>
      </w:r>
    </w:p>
    <w:p>
      <w:pPr>
        <w:pStyle w:val="BodyText"/>
        <w:spacing w:line="355" w:lineRule="auto" w:before="48"/>
        <w:ind w:left="152" w:right="1128"/>
        <w:jc w:val="both"/>
      </w:pPr>
      <w:r>
        <w:rPr>
          <w:spacing w:val="-2"/>
        </w:rPr>
        <w:t>务、信息安全，智慧城市。由于每个分部需要不同的技术或市场策略，本公司管理层分别单独管理各个报</w:t>
      </w:r>
      <w:r>
        <w:rPr>
          <w:spacing w:val="-47"/>
        </w:rPr>
        <w:t> </w:t>
      </w:r>
      <w:r>
        <w:rPr>
          <w:spacing w:val="-47"/>
        </w:rPr>
      </w:r>
      <w:r>
        <w:rPr>
          <w:spacing w:val="-2"/>
        </w:rPr>
        <w:t>告分部的经营活动，定期评价这些报告分部的经营成果，以决定向其分配资源及评价其业绩。分部间如有</w:t>
      </w:r>
      <w:r>
        <w:rPr>
          <w:spacing w:val="-44"/>
        </w:rPr>
        <w:t> </w:t>
      </w:r>
      <w:r>
        <w:rPr>
          <w:spacing w:val="-44"/>
        </w:rPr>
      </w:r>
      <w:r>
        <w:rPr/>
        <w:t>交易，转移价格按照实际交易价格为基础确定，各个分部独立核算运营。</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bookmarkStart w:name="（2）报告分部的财务信息" w:id="634"/>
      <w:bookmarkEnd w:id="63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7"/>
        <w:rPr>
          <w:rFonts w:ascii="宋体" w:hAnsi="宋体" w:cs="宋体" w:eastAsia="宋体" w:hint="default"/>
          <w:b/>
          <w:bCs/>
          <w:sz w:val="21"/>
          <w:szCs w:val="21"/>
        </w:rPr>
      </w:pPr>
    </w:p>
    <w:p>
      <w:pPr>
        <w:spacing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571"/>
        <w:gridCol w:w="1604"/>
        <w:gridCol w:w="1596"/>
        <w:gridCol w:w="1594"/>
        <w:gridCol w:w="1594"/>
        <w:gridCol w:w="1594"/>
      </w:tblGrid>
      <w:tr>
        <w:trPr>
          <w:trHeight w:val="324"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62" w:right="0"/>
              <w:jc w:val="left"/>
              <w:rPr>
                <w:rFonts w:ascii="宋体" w:hAnsi="宋体" w:cs="宋体" w:eastAsia="宋体" w:hint="default"/>
                <w:sz w:val="18"/>
                <w:szCs w:val="18"/>
              </w:rPr>
            </w:pPr>
            <w:r>
              <w:rPr>
                <w:rFonts w:ascii="宋体" w:hAnsi="宋体" w:cs="宋体" w:eastAsia="宋体" w:hint="default"/>
                <w:sz w:val="18"/>
                <w:szCs w:val="18"/>
              </w:rPr>
              <w:t>智慧防务业务</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信息安全业务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智慧城市业务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576,876,259.60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570,717,689.43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2" w:right="0"/>
              <w:jc w:val="left"/>
              <w:rPr>
                <w:rFonts w:ascii="Times New Roman" w:hAnsi="Times New Roman" w:cs="Times New Roman" w:eastAsia="Times New Roman" w:hint="default"/>
                <w:sz w:val="18"/>
                <w:szCs w:val="18"/>
              </w:rPr>
            </w:pPr>
            <w:r>
              <w:rPr>
                <w:rFonts w:ascii="Times New Roman"/>
                <w:sz w:val="18"/>
              </w:rPr>
              <w:t>2,206,578,157.58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-24,778,278.25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3,329,393,828.36</w:t>
            </w:r>
          </w:p>
        </w:tc>
      </w:tr>
      <w:tr>
        <w:trPr>
          <w:trHeight w:val="324"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252,400,040.59</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145,276,866.80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02" w:right="0"/>
              <w:jc w:val="left"/>
              <w:rPr>
                <w:rFonts w:ascii="Times New Roman" w:hAnsi="Times New Roman" w:cs="Times New Roman" w:eastAsia="Times New Roman" w:hint="default"/>
                <w:sz w:val="18"/>
                <w:szCs w:val="18"/>
              </w:rPr>
            </w:pPr>
            <w:r>
              <w:rPr>
                <w:rFonts w:ascii="Times New Roman"/>
                <w:sz w:val="18"/>
              </w:rPr>
              <w:t>1,803,266,785.89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-4,503,938.60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2,196,439,754.68</w:t>
            </w:r>
          </w:p>
        </w:tc>
      </w:tr>
    </w:tbl>
    <w:p>
      <w:pPr>
        <w:spacing w:line="240" w:lineRule="auto" w:before="7"/>
        <w:rPr>
          <w:rFonts w:ascii="宋体" w:hAnsi="宋体" w:cs="宋体" w:eastAsia="宋体" w:hint="default"/>
          <w:sz w:val="17"/>
          <w:szCs w:val="17"/>
        </w:rPr>
      </w:pPr>
    </w:p>
    <w:p>
      <w:pPr>
        <w:pStyle w:val="Heading4"/>
        <w:spacing w:line="240" w:lineRule="auto" w:before="36"/>
        <w:ind w:right="0"/>
        <w:jc w:val="both"/>
        <w:rPr>
          <w:b w:val="0"/>
          <w:bCs w:val="0"/>
        </w:rPr>
      </w:pPr>
      <w:bookmarkStart w:name="（3）公司无报告分部的，或者不能披露各报告分部的资产总额和负债总额的，应说明原因" w:id="635"/>
      <w:bookmarkEnd w:id="635"/>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0"/>
        <w:jc w:val="both"/>
        <w:rPr>
          <w:b w:val="0"/>
          <w:bCs w:val="0"/>
        </w:rPr>
      </w:pPr>
      <w:bookmarkStart w:name="（4）其他说明" w:id="636"/>
      <w:bookmarkEnd w:id="636"/>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0"/>
        <w:jc w:val="both"/>
        <w:rPr>
          <w:b w:val="0"/>
          <w:bCs w:val="0"/>
        </w:rPr>
      </w:pPr>
      <w:bookmarkStart w:name="7、其他对投资者决策有影响的重要交易和事项" w:id="637"/>
      <w:bookmarkEnd w:id="637"/>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pStyle w:val="Heading4"/>
        <w:spacing w:line="550" w:lineRule="atLeast" w:before="23"/>
        <w:ind w:right="8857"/>
        <w:jc w:val="left"/>
        <w:rPr>
          <w:b w:val="0"/>
          <w:bCs w:val="0"/>
        </w:rPr>
      </w:pPr>
      <w:bookmarkStart w:name="8、其他" w:id="638"/>
      <w:bookmarkEnd w:id="638"/>
      <w:r>
        <w:rPr>
          <w:b w:val="0"/>
          <w:bCs w:val="0"/>
        </w:rPr>
      </w:r>
      <w:r>
        <w:rPr>
          <w:rFonts w:ascii="Times New Roman" w:hAnsi="Times New Roman" w:cs="Times New Roman" w:eastAsia="Times New Roman" w:hint="default"/>
        </w:rPr>
        <w:t>8</w:t>
      </w:r>
      <w:r>
        <w:rPr/>
        <w:t>、其他</w:t>
      </w:r>
      <w:r>
        <w:rPr>
          <w:w w:val="100"/>
        </w:rPr>
        <w:t> </w:t>
      </w:r>
      <w:r>
        <w:rPr/>
        <w:t>股权质押及冻结事项</w:t>
      </w:r>
      <w:r>
        <w:rPr>
          <w:b w:val="0"/>
          <w:bCs w:val="0"/>
        </w:rPr>
      </w:r>
    </w:p>
    <w:p>
      <w:pPr>
        <w:pStyle w:val="BodyText"/>
        <w:spacing w:line="240" w:lineRule="auto" w:before="97"/>
        <w:ind w:right="0"/>
        <w:jc w:val="left"/>
      </w:pPr>
      <w:r>
        <w:rPr>
          <w:w w:val="100"/>
        </w:rPr>
        <w:t>本公</w:t>
      </w:r>
      <w:r>
        <w:rPr>
          <w:spacing w:val="-3"/>
          <w:w w:val="100"/>
        </w:rPr>
        <w:t>司</w:t>
      </w:r>
      <w:r>
        <w:rPr>
          <w:w w:val="100"/>
        </w:rPr>
        <w:t>于</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spacing w:val="-10"/>
        </w:rPr>
        <w:t> </w:t>
      </w:r>
      <w:r>
        <w:rPr>
          <w:w w:val="100"/>
        </w:rPr>
        <w:t>年</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0"/>
        </w:rPr>
        <w:t> </w:t>
      </w:r>
      <w:r>
        <w:rPr>
          <w:w w:val="100"/>
        </w:rPr>
        <w:t>月</w:t>
      </w:r>
      <w:r>
        <w:rPr>
          <w:spacing w:val="-55"/>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2"/>
        </w:rPr>
        <w:t> </w:t>
      </w:r>
      <w:r>
        <w:rPr>
          <w:spacing w:val="-3"/>
          <w:w w:val="100"/>
        </w:rPr>
        <w:t>日</w:t>
      </w:r>
      <w:r>
        <w:rPr>
          <w:w w:val="100"/>
        </w:rPr>
        <w:t>接到</w:t>
      </w:r>
      <w:r>
        <w:rPr>
          <w:spacing w:val="-3"/>
          <w:w w:val="100"/>
        </w:rPr>
        <w:t>公</w:t>
      </w:r>
      <w:r>
        <w:rPr>
          <w:w w:val="100"/>
        </w:rPr>
        <w:t>司</w:t>
      </w:r>
      <w:r>
        <w:rPr>
          <w:spacing w:val="-3"/>
          <w:w w:val="100"/>
        </w:rPr>
        <w:t>控</w:t>
      </w:r>
      <w:r>
        <w:rPr>
          <w:w w:val="100"/>
        </w:rPr>
        <w:t>股</w:t>
      </w:r>
      <w:r>
        <w:rPr>
          <w:spacing w:val="-3"/>
          <w:w w:val="100"/>
        </w:rPr>
        <w:t>股</w:t>
      </w:r>
      <w:r>
        <w:rPr>
          <w:w w:val="100"/>
        </w:rPr>
        <w:t>东</w:t>
      </w:r>
      <w:r>
        <w:rPr>
          <w:spacing w:val="-104"/>
          <w:w w:val="100"/>
        </w:rPr>
        <w:t>、</w:t>
      </w:r>
      <w:r>
        <w:rPr>
          <w:w w:val="100"/>
        </w:rPr>
        <w:t>实</w:t>
      </w:r>
      <w:r>
        <w:rPr>
          <w:spacing w:val="-3"/>
          <w:w w:val="100"/>
        </w:rPr>
        <w:t>际控</w:t>
      </w:r>
      <w:r>
        <w:rPr>
          <w:w w:val="100"/>
        </w:rPr>
        <w:t>制人</w:t>
      </w:r>
      <w:r>
        <w:rPr>
          <w:spacing w:val="-3"/>
          <w:w w:val="100"/>
        </w:rPr>
        <w:t>陈</w:t>
      </w:r>
      <w:r>
        <w:rPr>
          <w:w w:val="100"/>
        </w:rPr>
        <w:t>江</w:t>
      </w:r>
      <w:r>
        <w:rPr>
          <w:spacing w:val="-3"/>
          <w:w w:val="100"/>
        </w:rPr>
        <w:t>涛</w:t>
      </w:r>
      <w:r>
        <w:rPr>
          <w:w w:val="100"/>
        </w:rPr>
        <w:t>先</w:t>
      </w:r>
      <w:r>
        <w:rPr>
          <w:spacing w:val="-3"/>
          <w:w w:val="100"/>
        </w:rPr>
        <w:t>生</w:t>
      </w:r>
      <w:r>
        <w:rPr>
          <w:w w:val="100"/>
        </w:rPr>
        <w:t>的</w:t>
      </w:r>
      <w:r>
        <w:rPr>
          <w:spacing w:val="-3"/>
          <w:w w:val="100"/>
        </w:rPr>
        <w:t>通</w:t>
      </w:r>
      <w:r>
        <w:rPr>
          <w:w w:val="100"/>
        </w:rPr>
        <w:t>知</w:t>
      </w:r>
      <w:r>
        <w:rPr>
          <w:spacing w:val="-104"/>
          <w:w w:val="100"/>
        </w:rPr>
        <w:t>，</w:t>
      </w:r>
      <w:r>
        <w:rPr>
          <w:spacing w:val="-3"/>
          <w:w w:val="100"/>
        </w:rPr>
        <w:t>陈</w:t>
      </w:r>
      <w:r>
        <w:rPr>
          <w:w w:val="100"/>
        </w:rPr>
        <w:t>江涛</w:t>
      </w:r>
      <w:r>
        <w:rPr>
          <w:spacing w:val="-3"/>
          <w:w w:val="100"/>
        </w:rPr>
        <w:t>先</w:t>
      </w:r>
      <w:r>
        <w:rPr>
          <w:w w:val="100"/>
        </w:rPr>
        <w:t>生</w:t>
      </w:r>
      <w:r>
        <w:rPr>
          <w:spacing w:val="-3"/>
          <w:w w:val="100"/>
        </w:rPr>
        <w:t>因</w:t>
      </w:r>
      <w:r>
        <w:rPr>
          <w:w w:val="100"/>
        </w:rPr>
        <w:t>个</w:t>
      </w:r>
      <w:r>
        <w:rPr>
          <w:spacing w:val="-3"/>
          <w:w w:val="100"/>
        </w:rPr>
        <w:t>人</w:t>
      </w:r>
      <w:r>
        <w:rPr>
          <w:w w:val="100"/>
        </w:rPr>
        <w:t>需</w:t>
      </w:r>
      <w:r>
        <w:rPr>
          <w:spacing w:val="-3"/>
          <w:w w:val="100"/>
        </w:rPr>
        <w:t>要</w:t>
      </w:r>
      <w:r>
        <w:rPr>
          <w:w w:val="100"/>
        </w:rPr>
        <w:t>，</w:t>
      </w:r>
    </w:p>
    <w:p>
      <w:pPr>
        <w:pStyle w:val="BodyText"/>
        <w:spacing w:line="336" w:lineRule="auto" w:before="119"/>
        <w:ind w:left="153" w:right="1132"/>
        <w:jc w:val="both"/>
      </w:pPr>
      <w:r>
        <w:rPr/>
        <w:t>与靖江市润元农村小额贷款有限公司办理了股权质押业务，质押股份数量为</w:t>
      </w:r>
      <w:r>
        <w:rPr>
          <w:spacing w:val="-56"/>
        </w:rPr>
        <w:t> </w:t>
      </w:r>
      <w:r>
        <w:rPr>
          <w:rFonts w:ascii="Times New Roman" w:hAnsi="Times New Roman" w:cs="Times New Roman" w:eastAsia="Times New Roman" w:hint="default"/>
        </w:rPr>
        <w:t>20,000,000</w:t>
      </w:r>
      <w:r>
        <w:rPr>
          <w:rFonts w:ascii="Times New Roman" w:hAnsi="Times New Roman" w:cs="Times New Roman" w:eastAsia="Times New Roman" w:hint="default"/>
          <w:spacing w:val="-11"/>
        </w:rPr>
        <w:t> </w:t>
      </w:r>
      <w:r>
        <w:rPr>
          <w:spacing w:val="-3"/>
        </w:rPr>
        <w:t>股，占其所持公司</w:t>
      </w:r>
      <w:r>
        <w:rPr>
          <w:spacing w:val="-3"/>
          <w:w w:val="100"/>
        </w:rPr>
        <w:t> </w:t>
      </w:r>
      <w:r>
        <w:rPr/>
        <w:t>股份总数的 </w:t>
      </w:r>
      <w:r>
        <w:rPr>
          <w:rFonts w:ascii="Times New Roman" w:hAnsi="Times New Roman" w:cs="Times New Roman" w:eastAsia="Times New Roman" w:hint="default"/>
        </w:rPr>
        <w:t>3.40%</w:t>
      </w:r>
      <w:r>
        <w:rPr/>
        <w:t>；并与靖江市润元农村小额贷款有限公司办理了解除质押业务，解除质押股份数量为</w:t>
      </w:r>
      <w:r>
        <w:rPr>
          <w:spacing w:val="-58"/>
        </w:rPr>
        <w:t> </w:t>
      </w:r>
      <w:r>
        <w:rPr>
          <w:spacing w:val="-58"/>
        </w:rPr>
      </w:r>
      <w:r>
        <w:rPr>
          <w:rFonts w:ascii="Times New Roman" w:hAnsi="Times New Roman" w:cs="Times New Roman" w:eastAsia="Times New Roman" w:hint="default"/>
        </w:rPr>
        <w:t>20,000,000 </w:t>
      </w:r>
      <w:r>
        <w:rPr/>
        <w:t>股，占其所持公司股份总数的</w:t>
      </w:r>
      <w:r>
        <w:rPr>
          <w:spacing w:val="-69"/>
        </w:rPr>
        <w:t> </w:t>
      </w:r>
      <w:r>
        <w:rPr>
          <w:rFonts w:ascii="Times New Roman" w:hAnsi="Times New Roman" w:cs="Times New Roman" w:eastAsia="Times New Roman" w:hint="default"/>
        </w:rPr>
        <w:t>3.40%</w:t>
      </w:r>
      <w:r>
        <w:rPr/>
        <w:t>。</w:t>
      </w:r>
    </w:p>
    <w:p>
      <w:pPr>
        <w:pStyle w:val="BodyText"/>
        <w:spacing w:line="240" w:lineRule="auto" w:before="127"/>
        <w:ind w:left="573" w:right="0"/>
        <w:jc w:val="left"/>
      </w:pPr>
      <w:r>
        <w:rPr>
          <w:w w:val="100"/>
        </w:rPr>
        <w:t>本公</w:t>
      </w:r>
      <w:r>
        <w:rPr>
          <w:spacing w:val="-3"/>
          <w:w w:val="100"/>
        </w:rPr>
        <w:t>司</w:t>
      </w:r>
      <w:r>
        <w:rPr>
          <w:w w:val="100"/>
        </w:rPr>
        <w:t>于</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spacing w:val="-10"/>
        </w:rPr>
        <w:t> </w:t>
      </w:r>
      <w:r>
        <w:rPr>
          <w:w w:val="100"/>
        </w:rPr>
        <w:t>年</w:t>
      </w:r>
      <w:r>
        <w:rPr>
          <w:spacing w:val="-55"/>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10"/>
        </w:rPr>
        <w:t> </w:t>
      </w:r>
      <w:r>
        <w:rPr>
          <w:w w:val="100"/>
        </w:rPr>
        <w:t>月</w:t>
      </w:r>
      <w:r>
        <w:rPr>
          <w:spacing w:val="-55"/>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12"/>
        </w:rPr>
        <w:t> </w:t>
      </w:r>
      <w:r>
        <w:rPr>
          <w:spacing w:val="-3"/>
          <w:w w:val="100"/>
        </w:rPr>
        <w:t>日</w:t>
      </w:r>
      <w:r>
        <w:rPr>
          <w:w w:val="100"/>
        </w:rPr>
        <w:t>接到</w:t>
      </w:r>
      <w:r>
        <w:rPr>
          <w:spacing w:val="-3"/>
          <w:w w:val="100"/>
        </w:rPr>
        <w:t>公</w:t>
      </w:r>
      <w:r>
        <w:rPr>
          <w:w w:val="100"/>
        </w:rPr>
        <w:t>司</w:t>
      </w:r>
      <w:r>
        <w:rPr>
          <w:spacing w:val="-3"/>
          <w:w w:val="100"/>
        </w:rPr>
        <w:t>控</w:t>
      </w:r>
      <w:r>
        <w:rPr>
          <w:w w:val="100"/>
        </w:rPr>
        <w:t>股</w:t>
      </w:r>
      <w:r>
        <w:rPr>
          <w:spacing w:val="-3"/>
          <w:w w:val="100"/>
        </w:rPr>
        <w:t>股</w:t>
      </w:r>
      <w:r>
        <w:rPr>
          <w:w w:val="100"/>
        </w:rPr>
        <w:t>东</w:t>
      </w:r>
      <w:r>
        <w:rPr>
          <w:spacing w:val="-104"/>
          <w:w w:val="100"/>
        </w:rPr>
        <w:t>、</w:t>
      </w:r>
      <w:r>
        <w:rPr>
          <w:w w:val="100"/>
        </w:rPr>
        <w:t>实</w:t>
      </w:r>
      <w:r>
        <w:rPr>
          <w:spacing w:val="-3"/>
          <w:w w:val="100"/>
        </w:rPr>
        <w:t>际控</w:t>
      </w:r>
      <w:r>
        <w:rPr>
          <w:w w:val="100"/>
        </w:rPr>
        <w:t>制人</w:t>
      </w:r>
      <w:r>
        <w:rPr>
          <w:spacing w:val="-3"/>
          <w:w w:val="100"/>
        </w:rPr>
        <w:t>陈</w:t>
      </w:r>
      <w:r>
        <w:rPr>
          <w:w w:val="100"/>
        </w:rPr>
        <w:t>江</w:t>
      </w:r>
      <w:r>
        <w:rPr>
          <w:spacing w:val="-3"/>
          <w:w w:val="100"/>
        </w:rPr>
        <w:t>涛</w:t>
      </w:r>
      <w:r>
        <w:rPr>
          <w:w w:val="100"/>
        </w:rPr>
        <w:t>先</w:t>
      </w:r>
      <w:r>
        <w:rPr>
          <w:spacing w:val="-3"/>
          <w:w w:val="100"/>
        </w:rPr>
        <w:t>生</w:t>
      </w:r>
      <w:r>
        <w:rPr>
          <w:w w:val="100"/>
        </w:rPr>
        <w:t>的</w:t>
      </w:r>
      <w:r>
        <w:rPr>
          <w:spacing w:val="-3"/>
          <w:w w:val="100"/>
        </w:rPr>
        <w:t>通</w:t>
      </w:r>
      <w:r>
        <w:rPr>
          <w:w w:val="100"/>
        </w:rPr>
        <w:t>知</w:t>
      </w:r>
      <w:r>
        <w:rPr>
          <w:spacing w:val="-104"/>
          <w:w w:val="100"/>
        </w:rPr>
        <w:t>，</w:t>
      </w:r>
      <w:r>
        <w:rPr>
          <w:spacing w:val="-3"/>
          <w:w w:val="100"/>
        </w:rPr>
        <w:t>陈</w:t>
      </w:r>
      <w:r>
        <w:rPr>
          <w:w w:val="100"/>
        </w:rPr>
        <w:t>江涛</w:t>
      </w:r>
      <w:r>
        <w:rPr>
          <w:spacing w:val="-3"/>
          <w:w w:val="100"/>
        </w:rPr>
        <w:t>先</w:t>
      </w:r>
      <w:r>
        <w:rPr>
          <w:w w:val="100"/>
        </w:rPr>
        <w:t>生</w:t>
      </w:r>
      <w:r>
        <w:rPr>
          <w:spacing w:val="-3"/>
          <w:w w:val="100"/>
        </w:rPr>
        <w:t>因</w:t>
      </w:r>
      <w:r>
        <w:rPr>
          <w:w w:val="100"/>
        </w:rPr>
        <w:t>个</w:t>
      </w:r>
      <w:r>
        <w:rPr>
          <w:spacing w:val="-3"/>
          <w:w w:val="100"/>
        </w:rPr>
        <w:t>人</w:t>
      </w:r>
      <w:r>
        <w:rPr>
          <w:w w:val="100"/>
        </w:rPr>
        <w:t>需</w:t>
      </w:r>
      <w:r>
        <w:rPr>
          <w:spacing w:val="-3"/>
          <w:w w:val="100"/>
        </w:rPr>
        <w:t>要</w:t>
      </w:r>
      <w:r>
        <w:rPr>
          <w:w w:val="100"/>
        </w:rPr>
        <w:t>，</w:t>
      </w:r>
    </w:p>
    <w:p>
      <w:pPr>
        <w:pStyle w:val="BodyText"/>
        <w:spacing w:line="336" w:lineRule="auto" w:before="117"/>
        <w:ind w:left="153" w:right="1128"/>
        <w:jc w:val="both"/>
      </w:pPr>
      <w:r>
        <w:rPr/>
        <w:t>与银河金汇证券资产管理有限公司办理了股权质押业务，质押股份数量为</w:t>
      </w:r>
      <w:r>
        <w:rPr>
          <w:spacing w:val="-54"/>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11"/>
        </w:rPr>
        <w:t> </w:t>
      </w:r>
      <w:r>
        <w:rPr>
          <w:spacing w:val="-3"/>
        </w:rPr>
        <w:t>股，占其所持公司股</w:t>
      </w:r>
      <w:r>
        <w:rPr>
          <w:spacing w:val="-3"/>
          <w:w w:val="100"/>
        </w:rPr>
        <w:t> </w:t>
      </w:r>
      <w:r>
        <w:rPr>
          <w:spacing w:val="9"/>
        </w:rPr>
        <w:t>份总数的 </w:t>
      </w:r>
      <w:r>
        <w:rPr>
          <w:rFonts w:ascii="Times New Roman" w:hAnsi="Times New Roman" w:cs="Times New Roman" w:eastAsia="Times New Roman" w:hint="default"/>
          <w:spacing w:val="10"/>
        </w:rPr>
        <w:t>1.75%</w:t>
      </w:r>
      <w:r>
        <w:rPr>
          <w:spacing w:val="10"/>
        </w:rPr>
        <w:t>；并与银河金汇证券资产管理有限公司办理了解除质押业务，解除质押股份数量为</w:t>
      </w:r>
      <w:r>
        <w:rPr>
          <w:spacing w:val="-90"/>
        </w:rPr>
        <w:t> </w:t>
      </w:r>
      <w:r>
        <w:rPr>
          <w:spacing w:val="-90"/>
        </w:rPr>
      </w:r>
      <w:r>
        <w:rPr>
          <w:rFonts w:ascii="Times New Roman" w:hAnsi="Times New Roman" w:cs="Times New Roman" w:eastAsia="Times New Roman" w:hint="default"/>
        </w:rPr>
        <w:t>10,000,000 </w:t>
      </w:r>
      <w:r>
        <w:rPr/>
        <w:t>股，占其所持公司股份总数的</w:t>
      </w:r>
      <w:r>
        <w:rPr>
          <w:spacing w:val="-69"/>
        </w:rPr>
        <w:t> </w:t>
      </w:r>
      <w:r>
        <w:rPr>
          <w:rFonts w:ascii="Times New Roman" w:hAnsi="Times New Roman" w:cs="Times New Roman" w:eastAsia="Times New Roman" w:hint="default"/>
        </w:rPr>
        <w:t>1.75%</w:t>
      </w:r>
      <w:r>
        <w:rPr/>
        <w:t>。</w:t>
      </w:r>
    </w:p>
    <w:p>
      <w:pPr>
        <w:pStyle w:val="BodyText"/>
        <w:spacing w:line="240" w:lineRule="auto" w:before="127"/>
        <w:ind w:left="573" w:right="0"/>
        <w:jc w:val="left"/>
      </w:pPr>
      <w:r>
        <w:rPr/>
        <w:t>本公司于</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日接到公司控股股东、实际控制人陈江涛先生的通知，陈江涛先生因个人需</w:t>
      </w:r>
    </w:p>
    <w:p>
      <w:pPr>
        <w:pStyle w:val="BodyText"/>
        <w:spacing w:line="333" w:lineRule="auto" w:before="119"/>
        <w:ind w:left="153" w:right="1132"/>
        <w:jc w:val="both"/>
      </w:pPr>
      <w:r>
        <w:rPr>
          <w:spacing w:val="-2"/>
        </w:rPr>
        <w:t>要，与江苏民营投资控股有限公司办理了股权质押业务，质押股份数量为</w:t>
      </w:r>
      <w:r>
        <w:rPr/>
        <w:t> </w:t>
      </w:r>
      <w:r>
        <w:rPr>
          <w:rFonts w:ascii="Times New Roman" w:hAnsi="Times New Roman" w:cs="Times New Roman" w:eastAsia="Times New Roman" w:hint="default"/>
          <w:spacing w:val="-2"/>
        </w:rPr>
        <w:t>11,000,000</w:t>
      </w:r>
      <w:r>
        <w:rPr>
          <w:rFonts w:ascii="Times New Roman" w:hAnsi="Times New Roman" w:cs="Times New Roman" w:eastAsia="Times New Roman" w:hint="default"/>
        </w:rPr>
        <w:t> </w:t>
      </w:r>
      <w:r>
        <w:rPr>
          <w:spacing w:val="-2"/>
        </w:rPr>
        <w:t>股，占其所持公司股</w:t>
      </w:r>
      <w:r>
        <w:rPr>
          <w:spacing w:val="-95"/>
        </w:rPr>
        <w:t> </w:t>
      </w:r>
      <w:r>
        <w:rPr>
          <w:spacing w:val="-95"/>
        </w:rPr>
      </w:r>
      <w:r>
        <w:rPr/>
        <w:t>份总数的</w:t>
      </w:r>
      <w:r>
        <w:rPr>
          <w:spacing w:val="-54"/>
        </w:rPr>
        <w:t> </w:t>
      </w:r>
      <w:r>
        <w:rPr>
          <w:rFonts w:ascii="Times New Roman" w:hAnsi="Times New Roman" w:cs="Times New Roman" w:eastAsia="Times New Roman" w:hint="default"/>
        </w:rPr>
        <w:t>1.93%</w:t>
      </w:r>
      <w:r>
        <w:rPr/>
        <w:t>。</w:t>
      </w:r>
    </w:p>
    <w:p>
      <w:pPr>
        <w:pStyle w:val="BodyText"/>
        <w:spacing w:line="240" w:lineRule="auto" w:before="129"/>
        <w:ind w:left="573" w:right="0"/>
        <w:jc w:val="left"/>
      </w:pPr>
      <w:r>
        <w:rPr/>
        <w:t>本公司于</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spacing w:val="-5"/>
        </w:rPr>
        <w:t>日接到公司控股股东、实际控制人陈江涛先生的通知，陈江涛先生与四川港</w:t>
      </w:r>
    </w:p>
    <w:p>
      <w:pPr>
        <w:pStyle w:val="BodyText"/>
        <w:spacing w:line="240" w:lineRule="auto" w:before="117"/>
        <w:ind w:left="153" w:right="0"/>
        <w:jc w:val="both"/>
      </w:pPr>
      <w:r>
        <w:rPr/>
        <w:t>荣投资发展集团有限公司办理了股权质押业务，质押质押股份数量为</w:t>
      </w:r>
      <w:r>
        <w:rPr>
          <w:spacing w:val="-50"/>
        </w:rPr>
        <w:t> </w:t>
      </w:r>
      <w:r>
        <w:rPr>
          <w:rFonts w:ascii="Times New Roman" w:hAnsi="Times New Roman" w:cs="Times New Roman" w:eastAsia="Times New Roman" w:hint="default"/>
        </w:rPr>
        <w:t>32,000,000</w:t>
      </w:r>
      <w:r>
        <w:rPr>
          <w:rFonts w:ascii="Times New Roman" w:hAnsi="Times New Roman" w:cs="Times New Roman" w:eastAsia="Times New Roman" w:hint="default"/>
          <w:spacing w:val="-10"/>
        </w:rPr>
        <w:t> </w:t>
      </w:r>
      <w:r>
        <w:rPr>
          <w:spacing w:val="-3"/>
        </w:rPr>
        <w:t>股，占其所持公司股份总</w:t>
      </w:r>
      <w:r>
        <w:rPr/>
      </w:r>
    </w:p>
    <w:p>
      <w:pPr>
        <w:spacing w:after="0" w:line="240" w:lineRule="auto"/>
        <w:jc w:val="both"/>
        <w:sectPr>
          <w:pgSz w:w="11910" w:h="16840"/>
          <w:pgMar w:header="882" w:footer="1134" w:top="1280" w:bottom="1320" w:left="980" w:right="0"/>
        </w:sectPr>
      </w:pPr>
    </w:p>
    <w:p>
      <w:pPr>
        <w:pStyle w:val="BodyText"/>
        <w:spacing w:line="240" w:lineRule="auto" w:before="110"/>
        <w:ind w:left="152" w:right="1127"/>
        <w:jc w:val="left"/>
      </w:pPr>
      <w:r>
        <w:rPr/>
        <w:t>数的</w:t>
      </w:r>
      <w:r>
        <w:rPr>
          <w:spacing w:val="-54"/>
        </w:rPr>
        <w:t> </w:t>
      </w:r>
      <w:r>
        <w:rPr>
          <w:rFonts w:ascii="Times New Roman" w:hAnsi="Times New Roman" w:cs="Times New Roman" w:eastAsia="Times New Roman" w:hint="default"/>
        </w:rPr>
        <w:t>5.60%</w:t>
      </w:r>
      <w:r>
        <w:rPr/>
        <w:t>。</w:t>
      </w:r>
    </w:p>
    <w:p>
      <w:pPr>
        <w:spacing w:line="240" w:lineRule="auto" w:before="11"/>
        <w:rPr>
          <w:rFonts w:ascii="宋体" w:hAnsi="宋体" w:cs="宋体" w:eastAsia="宋体" w:hint="default"/>
          <w:sz w:val="16"/>
          <w:szCs w:val="16"/>
        </w:rPr>
      </w:pPr>
    </w:p>
    <w:p>
      <w:pPr>
        <w:pStyle w:val="BodyText"/>
        <w:spacing w:line="240" w:lineRule="auto"/>
        <w:ind w:left="573" w:right="0"/>
        <w:jc w:val="left"/>
      </w:pPr>
      <w:r>
        <w:rPr/>
        <w:t>本公司于</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spacing w:val="-5"/>
        </w:rPr>
        <w:t>日接到公司控股股东、实际控制人陈江涛先生的通知，陈江涛先生与四川港</w:t>
      </w:r>
    </w:p>
    <w:p>
      <w:pPr>
        <w:pStyle w:val="BodyText"/>
        <w:spacing w:line="333" w:lineRule="auto" w:before="117"/>
        <w:ind w:left="153" w:right="1127"/>
        <w:jc w:val="left"/>
      </w:pPr>
      <w:r>
        <w:rPr/>
        <w:t>荣投资发展集团有限公司办理了股权质押业务，质押质押股份数量为</w:t>
      </w:r>
      <w:r>
        <w:rPr>
          <w:spacing w:val="-51"/>
        </w:rPr>
        <w:t> </w:t>
      </w:r>
      <w:r>
        <w:rPr>
          <w:rFonts w:ascii="Times New Roman" w:hAnsi="Times New Roman" w:cs="Times New Roman" w:eastAsia="Times New Roman" w:hint="default"/>
        </w:rPr>
        <w:t>23,180,000</w:t>
      </w:r>
      <w:r>
        <w:rPr>
          <w:rFonts w:ascii="Times New Roman" w:hAnsi="Times New Roman" w:cs="Times New Roman" w:eastAsia="Times New Roman" w:hint="default"/>
          <w:spacing w:val="-10"/>
        </w:rPr>
        <w:t> </w:t>
      </w:r>
      <w:r>
        <w:rPr>
          <w:spacing w:val="-3"/>
        </w:rPr>
        <w:t>股，占其所持公司股份总</w:t>
      </w:r>
      <w:r>
        <w:rPr>
          <w:spacing w:val="-3"/>
          <w:w w:val="100"/>
        </w:rPr>
        <w:t> </w:t>
      </w:r>
      <w:r>
        <w:rPr/>
        <w:t>数的</w:t>
      </w:r>
      <w:r>
        <w:rPr>
          <w:spacing w:val="-54"/>
        </w:rPr>
        <w:t> </w:t>
      </w:r>
      <w:r>
        <w:rPr>
          <w:rFonts w:ascii="Times New Roman" w:hAnsi="Times New Roman" w:cs="Times New Roman" w:eastAsia="Times New Roman" w:hint="default"/>
        </w:rPr>
        <w:t>4.06%</w:t>
      </w:r>
      <w:r>
        <w:rPr/>
        <w:t>。</w:t>
      </w:r>
    </w:p>
    <w:p>
      <w:pPr>
        <w:pStyle w:val="BodyText"/>
        <w:spacing w:line="240" w:lineRule="auto" w:before="129"/>
        <w:ind w:left="573" w:right="0"/>
        <w:jc w:val="left"/>
      </w:pPr>
      <w:r>
        <w:rPr/>
        <w:t>本公司于</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spacing w:val="-5"/>
        </w:rPr>
        <w:t>日接到控股股东、实际控制人陈江涛先生的通知，陈江涛先生与海通证券股</w:t>
      </w:r>
    </w:p>
    <w:p>
      <w:pPr>
        <w:pStyle w:val="BodyText"/>
        <w:spacing w:line="336" w:lineRule="auto" w:before="117"/>
        <w:ind w:left="153" w:right="1120"/>
        <w:jc w:val="left"/>
      </w:pPr>
      <w:r>
        <w:rPr/>
        <w:t>份有限公司、华泰证券股份有限公司办理了解除质押业务，解除质押股份数量共计</w:t>
      </w:r>
      <w:r>
        <w:rPr>
          <w:spacing w:val="-61"/>
        </w:rPr>
        <w:t> </w:t>
      </w:r>
      <w:r>
        <w:rPr>
          <w:rFonts w:ascii="Times New Roman" w:hAnsi="Times New Roman" w:cs="Times New Roman" w:eastAsia="Times New Roman" w:hint="default"/>
        </w:rPr>
        <w:t>55,293,221</w:t>
      </w:r>
      <w:r>
        <w:rPr>
          <w:rFonts w:ascii="Times New Roman" w:hAnsi="Times New Roman" w:cs="Times New Roman" w:eastAsia="Times New Roman" w:hint="default"/>
          <w:spacing w:val="-19"/>
        </w:rPr>
        <w:t> </w:t>
      </w:r>
      <w:r>
        <w:rPr/>
        <w:t>股，占其所</w:t>
      </w:r>
      <w:r>
        <w:rPr>
          <w:w w:val="100"/>
        </w:rPr>
        <w:t> </w:t>
      </w:r>
      <w:r>
        <w:rPr/>
        <w:t>持公司股份总数的</w:t>
      </w:r>
      <w:r>
        <w:rPr>
          <w:spacing w:val="-56"/>
        </w:rPr>
        <w:t> </w:t>
      </w:r>
      <w:r>
        <w:rPr>
          <w:rFonts w:ascii="Times New Roman" w:hAnsi="Times New Roman" w:cs="Times New Roman" w:eastAsia="Times New Roman" w:hint="default"/>
        </w:rPr>
        <w:t>9.68%</w:t>
      </w:r>
      <w:r>
        <w:rPr/>
        <w:t>。</w:t>
      </w:r>
    </w:p>
    <w:p>
      <w:pPr>
        <w:pStyle w:val="BodyText"/>
        <w:spacing w:line="240" w:lineRule="auto" w:before="127"/>
        <w:ind w:left="573" w:right="0"/>
        <w:jc w:val="left"/>
      </w:pPr>
      <w:r>
        <w:rPr/>
        <w:t>截至</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4"/>
        </w:rPr>
        <w:t>日，陈江涛先生累计质押股份</w:t>
      </w:r>
      <w:r>
        <w:rPr>
          <w:spacing w:val="-53"/>
        </w:rPr>
        <w:t> </w:t>
      </w:r>
      <w:r>
        <w:rPr>
          <w:rFonts w:ascii="Times New Roman" w:hAnsi="Times New Roman" w:cs="Times New Roman" w:eastAsia="Times New Roman" w:hint="default"/>
        </w:rPr>
        <w:t>535,242,442</w:t>
      </w:r>
      <w:r>
        <w:rPr>
          <w:rFonts w:ascii="Times New Roman" w:hAnsi="Times New Roman" w:cs="Times New Roman" w:eastAsia="Times New Roman" w:hint="default"/>
          <w:spacing w:val="-7"/>
        </w:rPr>
        <w:t> </w:t>
      </w:r>
      <w:r>
        <w:rPr>
          <w:spacing w:val="-5"/>
        </w:rPr>
        <w:t>股，累计司法冻结</w:t>
      </w:r>
      <w:r>
        <w:rPr>
          <w:spacing w:val="-50"/>
        </w:rPr>
        <w:t> </w:t>
      </w:r>
      <w:r>
        <w:rPr>
          <w:rFonts w:ascii="Times New Roman" w:hAnsi="Times New Roman" w:cs="Times New Roman" w:eastAsia="Times New Roman" w:hint="default"/>
        </w:rPr>
        <w:t>570,995,475</w:t>
      </w:r>
      <w:r>
        <w:rPr>
          <w:rFonts w:ascii="Times New Roman" w:hAnsi="Times New Roman" w:cs="Times New Roman" w:eastAsia="Times New Roman" w:hint="default"/>
          <w:spacing w:val="-9"/>
        </w:rPr>
        <w:t> </w:t>
      </w:r>
      <w:r>
        <w:rPr>
          <w:spacing w:val="-9"/>
        </w:rPr>
        <w:t>股，累</w:t>
      </w:r>
    </w:p>
    <w:p>
      <w:pPr>
        <w:pStyle w:val="BodyText"/>
        <w:spacing w:line="420" w:lineRule="auto" w:before="115"/>
        <w:ind w:left="573" w:right="5512" w:hanging="421"/>
        <w:jc w:val="left"/>
      </w:pPr>
      <w:r>
        <w:rPr/>
        <w:t>计轮候冻结股份</w:t>
      </w:r>
      <w:r>
        <w:rPr>
          <w:spacing w:val="-54"/>
        </w:rPr>
        <w:t> </w:t>
      </w:r>
      <w:r>
        <w:rPr>
          <w:rFonts w:ascii="Times New Roman" w:hAnsi="Times New Roman" w:cs="Times New Roman" w:eastAsia="Times New Roman" w:hint="default"/>
        </w:rPr>
        <w:t>107,352,703</w:t>
      </w:r>
      <w:r>
        <w:rPr>
          <w:rFonts w:ascii="Times New Roman" w:hAnsi="Times New Roman" w:cs="Times New Roman" w:eastAsia="Times New Roman" w:hint="default"/>
          <w:spacing w:val="-1"/>
        </w:rPr>
        <w:t> </w:t>
      </w:r>
      <w:r>
        <w:rPr/>
        <w:t>股。</w:t>
      </w:r>
      <w:r>
        <w:rPr>
          <w:w w:val="100"/>
        </w:rPr>
        <w:t> </w:t>
      </w:r>
      <w:r>
        <w:rPr>
          <w:spacing w:val="-2"/>
        </w:rPr>
        <w:t>陈江涛先生的股票质押情况如下：</w:t>
      </w:r>
    </w:p>
    <w:p>
      <w:pPr>
        <w:spacing w:line="240" w:lineRule="auto" w:before="6"/>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989"/>
        <w:gridCol w:w="1884"/>
        <w:gridCol w:w="1130"/>
        <w:gridCol w:w="4145"/>
        <w:gridCol w:w="1510"/>
      </w:tblGrid>
      <w:tr>
        <w:trPr>
          <w:trHeight w:val="40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序号</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冻结股数（股）</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冻结类型</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质权人名称</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91" w:right="0"/>
              <w:jc w:val="left"/>
              <w:rPr>
                <w:rFonts w:ascii="宋体" w:hAnsi="宋体" w:cs="宋体" w:eastAsia="宋体" w:hint="default"/>
                <w:sz w:val="18"/>
                <w:szCs w:val="18"/>
              </w:rPr>
            </w:pPr>
            <w:r>
              <w:rPr>
                <w:rFonts w:ascii="宋体" w:hAnsi="宋体" w:cs="宋体" w:eastAsia="宋体" w:hint="default"/>
                <w:sz w:val="18"/>
                <w:szCs w:val="18"/>
              </w:rPr>
              <w:t>冻结日期</w:t>
            </w:r>
          </w:p>
        </w:tc>
      </w:tr>
      <w:tr>
        <w:trPr>
          <w:trHeight w:val="40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18"/>
                <w:szCs w:val="18"/>
              </w:rPr>
            </w:pPr>
            <w:r>
              <w:rPr>
                <w:rFonts w:ascii="Times New Roman"/>
                <w:sz w:val="18"/>
              </w:rPr>
              <w:t>1</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26,041,565.00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安信乾盛财富管理（深圳）有限公司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33" w:right="0"/>
              <w:jc w:val="left"/>
              <w:rPr>
                <w:rFonts w:ascii="Times New Roman" w:hAnsi="Times New Roman" w:cs="Times New Roman" w:eastAsia="Times New Roman" w:hint="default"/>
                <w:sz w:val="18"/>
                <w:szCs w:val="18"/>
              </w:rPr>
            </w:pPr>
            <w:r>
              <w:rPr>
                <w:rFonts w:ascii="Times New Roman"/>
                <w:sz w:val="18"/>
              </w:rPr>
              <w:t>2015-11-18</w:t>
            </w:r>
          </w:p>
        </w:tc>
      </w:tr>
      <w:tr>
        <w:trPr>
          <w:trHeight w:val="40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4"/>
              <w:jc w:val="center"/>
              <w:rPr>
                <w:rFonts w:ascii="Times New Roman" w:hAnsi="Times New Roman" w:cs="Times New Roman" w:eastAsia="Times New Roman" w:hint="default"/>
                <w:sz w:val="18"/>
                <w:szCs w:val="18"/>
              </w:rPr>
            </w:pPr>
            <w:r>
              <w:rPr>
                <w:rFonts w:ascii="Times New Roman"/>
                <w:sz w:val="18"/>
              </w:rPr>
              <w:t>2</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68,370,398.00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长城证券股份有限公司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77" w:right="0"/>
              <w:jc w:val="left"/>
              <w:rPr>
                <w:rFonts w:ascii="Times New Roman" w:hAnsi="Times New Roman" w:cs="Times New Roman" w:eastAsia="Times New Roman" w:hint="default"/>
                <w:sz w:val="18"/>
                <w:szCs w:val="18"/>
              </w:rPr>
            </w:pPr>
            <w:r>
              <w:rPr>
                <w:rFonts w:ascii="Times New Roman"/>
                <w:sz w:val="18"/>
              </w:rPr>
              <w:t>2017-1-18</w:t>
            </w:r>
          </w:p>
        </w:tc>
      </w:tr>
      <w:tr>
        <w:trPr>
          <w:trHeight w:val="40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4"/>
              <w:jc w:val="center"/>
              <w:rPr>
                <w:rFonts w:ascii="Times New Roman" w:hAnsi="Times New Roman" w:cs="Times New Roman" w:eastAsia="Times New Roman" w:hint="default"/>
                <w:sz w:val="18"/>
                <w:szCs w:val="18"/>
              </w:rPr>
            </w:pPr>
            <w:r>
              <w:rPr>
                <w:rFonts w:ascii="Times New Roman"/>
                <w:sz w:val="18"/>
              </w:rPr>
              <w:t>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24,099,737.00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长城证券股份有限公司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77" w:right="0"/>
              <w:jc w:val="left"/>
              <w:rPr>
                <w:rFonts w:ascii="Times New Roman" w:hAnsi="Times New Roman" w:cs="Times New Roman" w:eastAsia="Times New Roman" w:hint="default"/>
                <w:sz w:val="18"/>
                <w:szCs w:val="18"/>
              </w:rPr>
            </w:pPr>
            <w:r>
              <w:rPr>
                <w:rFonts w:ascii="Times New Roman"/>
                <w:sz w:val="18"/>
              </w:rPr>
              <w:t>2017-7-26</w:t>
            </w:r>
          </w:p>
        </w:tc>
      </w:tr>
      <w:tr>
        <w:trPr>
          <w:trHeight w:val="40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4"/>
              <w:jc w:val="center"/>
              <w:rPr>
                <w:rFonts w:ascii="Times New Roman" w:hAnsi="Times New Roman" w:cs="Times New Roman" w:eastAsia="Times New Roman" w:hint="default"/>
                <w:sz w:val="18"/>
                <w:szCs w:val="18"/>
              </w:rPr>
            </w:pPr>
            <w:r>
              <w:rPr>
                <w:rFonts w:ascii="Times New Roman"/>
                <w:sz w:val="18"/>
              </w:rPr>
              <w:t>4</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30,662,814.00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长城证券股份有限公司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77" w:right="0"/>
              <w:jc w:val="left"/>
              <w:rPr>
                <w:rFonts w:ascii="Times New Roman" w:hAnsi="Times New Roman" w:cs="Times New Roman" w:eastAsia="Times New Roman" w:hint="default"/>
                <w:sz w:val="18"/>
                <w:szCs w:val="18"/>
              </w:rPr>
            </w:pPr>
            <w:r>
              <w:rPr>
                <w:rFonts w:ascii="Times New Roman"/>
                <w:sz w:val="18"/>
              </w:rPr>
              <w:t>2017-7-26</w:t>
            </w:r>
          </w:p>
        </w:tc>
      </w:tr>
      <w:tr>
        <w:trPr>
          <w:trHeight w:val="40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18"/>
                <w:szCs w:val="18"/>
              </w:rPr>
            </w:pPr>
            <w:r>
              <w:rPr>
                <w:rFonts w:ascii="Times New Roman"/>
                <w:sz w:val="18"/>
              </w:rPr>
              <w:t>5</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43,653,490.00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长城证券股份有限公司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77" w:right="0"/>
              <w:jc w:val="left"/>
              <w:rPr>
                <w:rFonts w:ascii="Times New Roman" w:hAnsi="Times New Roman" w:cs="Times New Roman" w:eastAsia="Times New Roman" w:hint="default"/>
                <w:sz w:val="18"/>
                <w:szCs w:val="18"/>
              </w:rPr>
            </w:pPr>
            <w:r>
              <w:rPr>
                <w:rFonts w:ascii="Times New Roman"/>
                <w:sz w:val="18"/>
              </w:rPr>
              <w:t>2017-8-15</w:t>
            </w:r>
          </w:p>
        </w:tc>
      </w:tr>
      <w:tr>
        <w:trPr>
          <w:trHeight w:val="40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4"/>
              <w:jc w:val="center"/>
              <w:rPr>
                <w:rFonts w:ascii="Times New Roman" w:hAnsi="Times New Roman" w:cs="Times New Roman" w:eastAsia="Times New Roman" w:hint="default"/>
                <w:sz w:val="18"/>
                <w:szCs w:val="18"/>
              </w:rPr>
            </w:pPr>
            <w:r>
              <w:rPr>
                <w:rFonts w:ascii="Times New Roman"/>
                <w:sz w:val="18"/>
              </w:rPr>
              <w:t>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3,462,173.00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长城证券股份有限公司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33" w:right="0"/>
              <w:jc w:val="left"/>
              <w:rPr>
                <w:rFonts w:ascii="Times New Roman" w:hAnsi="Times New Roman" w:cs="Times New Roman" w:eastAsia="Times New Roman" w:hint="default"/>
                <w:sz w:val="18"/>
                <w:szCs w:val="18"/>
              </w:rPr>
            </w:pPr>
            <w:r>
              <w:rPr>
                <w:rFonts w:ascii="Times New Roman"/>
                <w:sz w:val="18"/>
              </w:rPr>
              <w:t>2017-11-14</w:t>
            </w:r>
          </w:p>
        </w:tc>
      </w:tr>
      <w:tr>
        <w:trPr>
          <w:trHeight w:val="40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4"/>
              <w:jc w:val="center"/>
              <w:rPr>
                <w:rFonts w:ascii="Times New Roman" w:hAnsi="Times New Roman" w:cs="Times New Roman" w:eastAsia="Times New Roman" w:hint="default"/>
                <w:sz w:val="18"/>
                <w:szCs w:val="18"/>
              </w:rPr>
            </w:pPr>
            <w:r>
              <w:rPr>
                <w:rFonts w:ascii="Times New Roman"/>
                <w:sz w:val="18"/>
              </w:rPr>
              <w:t>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7,978,051.00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长城证券股份有限公司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33" w:right="0"/>
              <w:jc w:val="left"/>
              <w:rPr>
                <w:rFonts w:ascii="Times New Roman" w:hAnsi="Times New Roman" w:cs="Times New Roman" w:eastAsia="Times New Roman" w:hint="default"/>
                <w:sz w:val="18"/>
                <w:szCs w:val="18"/>
              </w:rPr>
            </w:pPr>
            <w:r>
              <w:rPr>
                <w:rFonts w:ascii="Times New Roman"/>
                <w:sz w:val="18"/>
              </w:rPr>
              <w:t>2017-11-27</w:t>
            </w:r>
          </w:p>
        </w:tc>
      </w:tr>
      <w:tr>
        <w:trPr>
          <w:trHeight w:val="40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4"/>
              <w:jc w:val="center"/>
              <w:rPr>
                <w:rFonts w:ascii="Times New Roman" w:hAnsi="Times New Roman" w:cs="Times New Roman" w:eastAsia="Times New Roman" w:hint="default"/>
                <w:sz w:val="18"/>
                <w:szCs w:val="18"/>
              </w:rPr>
            </w:pPr>
            <w:r>
              <w:rPr>
                <w:rFonts w:ascii="Times New Roman"/>
                <w:sz w:val="18"/>
              </w:rPr>
              <w:t>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54,984,582.00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银河金汇证券资产管理有限公司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77" w:right="0"/>
              <w:jc w:val="left"/>
              <w:rPr>
                <w:rFonts w:ascii="Times New Roman" w:hAnsi="Times New Roman" w:cs="Times New Roman" w:eastAsia="Times New Roman" w:hint="default"/>
                <w:sz w:val="18"/>
                <w:szCs w:val="18"/>
              </w:rPr>
            </w:pPr>
            <w:r>
              <w:rPr>
                <w:rFonts w:ascii="Times New Roman"/>
                <w:sz w:val="18"/>
              </w:rPr>
              <w:t>2017-12-6</w:t>
            </w:r>
          </w:p>
        </w:tc>
      </w:tr>
      <w:tr>
        <w:trPr>
          <w:trHeight w:val="40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18"/>
                <w:szCs w:val="18"/>
              </w:rPr>
            </w:pPr>
            <w:r>
              <w:rPr>
                <w:rFonts w:ascii="Times New Roman"/>
                <w:sz w:val="18"/>
              </w:rPr>
              <w:t>9</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70,971,243.00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银河金汇证券资产管理有限公司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77" w:right="0"/>
              <w:jc w:val="left"/>
              <w:rPr>
                <w:rFonts w:ascii="Times New Roman" w:hAnsi="Times New Roman" w:cs="Times New Roman" w:eastAsia="Times New Roman" w:hint="default"/>
                <w:sz w:val="18"/>
                <w:szCs w:val="18"/>
              </w:rPr>
            </w:pPr>
            <w:r>
              <w:rPr>
                <w:rFonts w:ascii="Times New Roman"/>
                <w:sz w:val="18"/>
              </w:rPr>
              <w:t>2017-12-6</w:t>
            </w:r>
          </w:p>
        </w:tc>
      </w:tr>
      <w:tr>
        <w:trPr>
          <w:trHeight w:val="40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25,138,389.00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长城证券股份有限公司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76" w:right="0"/>
              <w:jc w:val="left"/>
              <w:rPr>
                <w:rFonts w:ascii="Times New Roman" w:hAnsi="Times New Roman" w:cs="Times New Roman" w:eastAsia="Times New Roman" w:hint="default"/>
                <w:sz w:val="18"/>
                <w:szCs w:val="18"/>
              </w:rPr>
            </w:pPr>
            <w:r>
              <w:rPr>
                <w:rFonts w:ascii="Times New Roman"/>
                <w:sz w:val="18"/>
              </w:rPr>
              <w:t>2018-1-12</w:t>
            </w:r>
          </w:p>
        </w:tc>
      </w:tr>
      <w:tr>
        <w:trPr>
          <w:trHeight w:val="40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15,100,000.00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靖江市润元农村小额贷款有限公司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76" w:right="0"/>
              <w:jc w:val="left"/>
              <w:rPr>
                <w:rFonts w:ascii="Times New Roman" w:hAnsi="Times New Roman" w:cs="Times New Roman" w:eastAsia="Times New Roman" w:hint="default"/>
                <w:sz w:val="18"/>
                <w:szCs w:val="18"/>
              </w:rPr>
            </w:pPr>
            <w:r>
              <w:rPr>
                <w:rFonts w:ascii="Times New Roman"/>
                <w:sz w:val="18"/>
              </w:rPr>
              <w:t>2018-7-25</w:t>
            </w:r>
          </w:p>
        </w:tc>
      </w:tr>
      <w:tr>
        <w:trPr>
          <w:trHeight w:val="40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12</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1,000,000.00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东方证券股份有限公司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76" w:right="0"/>
              <w:jc w:val="left"/>
              <w:rPr>
                <w:rFonts w:ascii="Times New Roman" w:hAnsi="Times New Roman" w:cs="Times New Roman" w:eastAsia="Times New Roman" w:hint="default"/>
                <w:sz w:val="18"/>
                <w:szCs w:val="18"/>
              </w:rPr>
            </w:pPr>
            <w:r>
              <w:rPr>
                <w:rFonts w:ascii="Times New Roman"/>
                <w:sz w:val="18"/>
              </w:rPr>
              <w:t>2018-7-25</w:t>
            </w:r>
          </w:p>
        </w:tc>
      </w:tr>
      <w:tr>
        <w:trPr>
          <w:trHeight w:val="40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13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12,600,000.00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中合中小企业融资担保股份有限公司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76" w:right="0"/>
              <w:jc w:val="left"/>
              <w:rPr>
                <w:rFonts w:ascii="Times New Roman" w:hAnsi="Times New Roman" w:cs="Times New Roman" w:eastAsia="Times New Roman" w:hint="default"/>
                <w:sz w:val="18"/>
                <w:szCs w:val="18"/>
              </w:rPr>
            </w:pPr>
            <w:r>
              <w:rPr>
                <w:rFonts w:ascii="Times New Roman"/>
                <w:sz w:val="18"/>
              </w:rPr>
              <w:t>2018-8-10</w:t>
            </w:r>
          </w:p>
        </w:tc>
      </w:tr>
      <w:tr>
        <w:trPr>
          <w:trHeight w:val="40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14</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10,000,000.00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长城证券股份有限公司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76" w:right="0"/>
              <w:jc w:val="left"/>
              <w:rPr>
                <w:rFonts w:ascii="Times New Roman" w:hAnsi="Times New Roman" w:cs="Times New Roman" w:eastAsia="Times New Roman" w:hint="default"/>
                <w:sz w:val="18"/>
                <w:szCs w:val="18"/>
              </w:rPr>
            </w:pPr>
            <w:r>
              <w:rPr>
                <w:rFonts w:ascii="Times New Roman"/>
                <w:sz w:val="18"/>
              </w:rPr>
              <w:t>2018-8-15</w:t>
            </w:r>
          </w:p>
        </w:tc>
      </w:tr>
      <w:tr>
        <w:trPr>
          <w:trHeight w:val="40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15</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2,000,000.00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东方证券股份有限公司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76" w:right="0"/>
              <w:jc w:val="left"/>
              <w:rPr>
                <w:rFonts w:ascii="Times New Roman" w:hAnsi="Times New Roman" w:cs="Times New Roman" w:eastAsia="Times New Roman" w:hint="default"/>
                <w:sz w:val="18"/>
                <w:szCs w:val="18"/>
              </w:rPr>
            </w:pPr>
            <w:r>
              <w:rPr>
                <w:rFonts w:ascii="Times New Roman"/>
                <w:sz w:val="18"/>
              </w:rPr>
              <w:t>2018-8-24</w:t>
            </w:r>
          </w:p>
        </w:tc>
      </w:tr>
      <w:tr>
        <w:trPr>
          <w:trHeight w:val="40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2,000,000.00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深圳市金色木棉投资管理有限公司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33" w:right="0"/>
              <w:jc w:val="left"/>
              <w:rPr>
                <w:rFonts w:ascii="Times New Roman" w:hAnsi="Times New Roman" w:cs="Times New Roman" w:eastAsia="Times New Roman" w:hint="default"/>
                <w:sz w:val="18"/>
                <w:szCs w:val="18"/>
              </w:rPr>
            </w:pPr>
            <w:r>
              <w:rPr>
                <w:rFonts w:ascii="Times New Roman"/>
                <w:sz w:val="18"/>
              </w:rPr>
              <w:t>2018-11-27</w:t>
            </w:r>
          </w:p>
        </w:tc>
      </w:tr>
      <w:tr>
        <w:trPr>
          <w:trHeight w:val="40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25,000,000.00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深圳市中小企业信用融资担保集团有限公司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33" w:right="0"/>
              <w:jc w:val="left"/>
              <w:rPr>
                <w:rFonts w:ascii="Times New Roman" w:hAnsi="Times New Roman" w:cs="Times New Roman" w:eastAsia="Times New Roman" w:hint="default"/>
                <w:sz w:val="18"/>
                <w:szCs w:val="18"/>
              </w:rPr>
            </w:pPr>
            <w:r>
              <w:rPr>
                <w:rFonts w:ascii="Times New Roman"/>
                <w:sz w:val="18"/>
              </w:rPr>
              <w:t>2018-11-27</w:t>
            </w:r>
          </w:p>
        </w:tc>
      </w:tr>
      <w:tr>
        <w:trPr>
          <w:trHeight w:val="40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18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2,664,747.00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靖江市润元农村小额贷款有限公司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33" w:right="0"/>
              <w:jc w:val="left"/>
              <w:rPr>
                <w:rFonts w:ascii="Times New Roman" w:hAnsi="Times New Roman" w:cs="Times New Roman" w:eastAsia="Times New Roman" w:hint="default"/>
                <w:sz w:val="18"/>
                <w:szCs w:val="18"/>
              </w:rPr>
            </w:pPr>
            <w:r>
              <w:rPr>
                <w:rFonts w:ascii="Times New Roman"/>
                <w:sz w:val="18"/>
              </w:rPr>
              <w:t>2018-11-29</w:t>
            </w:r>
          </w:p>
        </w:tc>
      </w:tr>
      <w:tr>
        <w:trPr>
          <w:trHeight w:val="40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19</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6,149,898.00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靖江市润元农村小额贷款有限公司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33" w:right="0"/>
              <w:jc w:val="left"/>
              <w:rPr>
                <w:rFonts w:ascii="Times New Roman" w:hAnsi="Times New Roman" w:cs="Times New Roman" w:eastAsia="Times New Roman" w:hint="default"/>
                <w:sz w:val="18"/>
                <w:szCs w:val="18"/>
              </w:rPr>
            </w:pPr>
            <w:r>
              <w:rPr>
                <w:rFonts w:ascii="Times New Roman"/>
                <w:sz w:val="18"/>
              </w:rPr>
              <w:t>2018-11-29</w:t>
            </w:r>
          </w:p>
        </w:tc>
      </w:tr>
      <w:tr>
        <w:trPr>
          <w:trHeight w:val="40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20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8,326,853.00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靖江市润元农村小额贷款有限公司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33" w:right="0"/>
              <w:jc w:val="left"/>
              <w:rPr>
                <w:rFonts w:ascii="Times New Roman" w:hAnsi="Times New Roman" w:cs="Times New Roman" w:eastAsia="Times New Roman" w:hint="default"/>
                <w:sz w:val="18"/>
                <w:szCs w:val="18"/>
              </w:rPr>
            </w:pPr>
            <w:r>
              <w:rPr>
                <w:rFonts w:ascii="Times New Roman"/>
                <w:sz w:val="18"/>
              </w:rPr>
              <w:t>2018-11-29</w:t>
            </w:r>
          </w:p>
        </w:tc>
      </w:tr>
      <w:tr>
        <w:trPr>
          <w:trHeight w:val="40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21</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8,858,502.00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靖江市润元农村小额贷款有限公司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33" w:right="0"/>
              <w:jc w:val="left"/>
              <w:rPr>
                <w:rFonts w:ascii="Times New Roman" w:hAnsi="Times New Roman" w:cs="Times New Roman" w:eastAsia="Times New Roman" w:hint="default"/>
                <w:sz w:val="18"/>
                <w:szCs w:val="18"/>
              </w:rPr>
            </w:pPr>
            <w:r>
              <w:rPr>
                <w:rFonts w:ascii="Times New Roman"/>
                <w:sz w:val="18"/>
              </w:rPr>
              <w:t>2018-11-29</w:t>
            </w:r>
          </w:p>
        </w:tc>
      </w:tr>
    </w:tbl>
    <w:p>
      <w:pPr>
        <w:spacing w:after="0" w:line="240" w:lineRule="auto"/>
        <w:jc w:val="lef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989"/>
        <w:gridCol w:w="1884"/>
        <w:gridCol w:w="1130"/>
        <w:gridCol w:w="4145"/>
        <w:gridCol w:w="1510"/>
      </w:tblGrid>
      <w:tr>
        <w:trPr>
          <w:trHeight w:val="40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22</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20,000,000.00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靖江市润元农村小额贷款有限公司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31" w:right="0"/>
              <w:jc w:val="left"/>
              <w:rPr>
                <w:rFonts w:ascii="Times New Roman" w:hAnsi="Times New Roman" w:cs="Times New Roman" w:eastAsia="Times New Roman" w:hint="default"/>
                <w:sz w:val="18"/>
                <w:szCs w:val="18"/>
              </w:rPr>
            </w:pPr>
            <w:r>
              <w:rPr>
                <w:rFonts w:ascii="Times New Roman"/>
                <w:sz w:val="18"/>
              </w:rPr>
              <w:t>2018-12-26</w:t>
            </w:r>
          </w:p>
        </w:tc>
      </w:tr>
      <w:tr>
        <w:trPr>
          <w:trHeight w:val="40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23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sz w:val="18"/>
              </w:rPr>
              <w:t>11,000,000.00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江苏民营投资控股有限公司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77" w:right="0"/>
              <w:jc w:val="left"/>
              <w:rPr>
                <w:rFonts w:ascii="Times New Roman" w:hAnsi="Times New Roman" w:cs="Times New Roman" w:eastAsia="Times New Roman" w:hint="default"/>
                <w:sz w:val="18"/>
                <w:szCs w:val="18"/>
              </w:rPr>
            </w:pPr>
            <w:r>
              <w:rPr>
                <w:rFonts w:ascii="Times New Roman"/>
                <w:sz w:val="18"/>
              </w:rPr>
              <w:t>2019-8-12</w:t>
            </w:r>
          </w:p>
        </w:tc>
      </w:tr>
      <w:tr>
        <w:trPr>
          <w:trHeight w:val="40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24</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32,000,000.00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四川港荣投资发展集团有限公司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31" w:right="0"/>
              <w:jc w:val="left"/>
              <w:rPr>
                <w:rFonts w:ascii="Times New Roman" w:hAnsi="Times New Roman" w:cs="Times New Roman" w:eastAsia="Times New Roman" w:hint="default"/>
                <w:sz w:val="18"/>
                <w:szCs w:val="18"/>
              </w:rPr>
            </w:pPr>
            <w:r>
              <w:rPr>
                <w:rFonts w:ascii="Times New Roman"/>
                <w:sz w:val="18"/>
              </w:rPr>
              <w:t>2019-12-13</w:t>
            </w:r>
          </w:p>
        </w:tc>
      </w:tr>
      <w:tr>
        <w:trPr>
          <w:trHeight w:val="40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25</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23,180,000.00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四川港荣投资发展集团有限公司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31" w:right="0"/>
              <w:jc w:val="left"/>
              <w:rPr>
                <w:rFonts w:ascii="Times New Roman" w:hAnsi="Times New Roman" w:cs="Times New Roman" w:eastAsia="Times New Roman" w:hint="default"/>
                <w:sz w:val="18"/>
                <w:szCs w:val="18"/>
              </w:rPr>
            </w:pPr>
            <w:r>
              <w:rPr>
                <w:rFonts w:ascii="Times New Roman"/>
                <w:sz w:val="18"/>
              </w:rPr>
              <w:t>2019-12-17</w:t>
            </w:r>
          </w:p>
        </w:tc>
      </w:tr>
      <w:tr>
        <w:trPr>
          <w:trHeight w:val="40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sz w:val="18"/>
              </w:rPr>
              <w:t>535,242,442.00</w:t>
            </w:r>
          </w:p>
        </w:tc>
        <w:tc>
          <w:tcPr>
            <w:tcW w:w="1130" w:type="dxa"/>
            <w:tcBorders>
              <w:top w:val="single" w:sz="4" w:space="0" w:color="000000"/>
              <w:left w:val="single" w:sz="4" w:space="0" w:color="000000"/>
              <w:bottom w:val="single" w:sz="4" w:space="0" w:color="000000"/>
              <w:right w:val="single" w:sz="4" w:space="0" w:color="000000"/>
            </w:tcBorders>
          </w:tcPr>
          <w:p>
            <w:pPr/>
          </w:p>
        </w:tc>
        <w:tc>
          <w:tcPr>
            <w:tcW w:w="41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7"/>
          <w:szCs w:val="17"/>
        </w:rPr>
      </w:pPr>
    </w:p>
    <w:p>
      <w:pPr>
        <w:pStyle w:val="Heading2"/>
        <w:spacing w:line="240" w:lineRule="auto" w:before="26"/>
        <w:ind w:right="1127"/>
        <w:jc w:val="left"/>
        <w:rPr>
          <w:b w:val="0"/>
          <w:bCs w:val="0"/>
        </w:rPr>
      </w:pPr>
      <w:bookmarkStart w:name="十七、母公司财务报表主要项目注释" w:id="639"/>
      <w:bookmarkEnd w:id="639"/>
      <w:r>
        <w:rPr>
          <w:b w:val="0"/>
          <w:bCs w:val="0"/>
        </w:rPr>
      </w:r>
      <w:r>
        <w:rPr/>
        <w:t>十七、母公司财务报表主要项目注释</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right="1127"/>
        <w:jc w:val="left"/>
        <w:rPr>
          <w:b w:val="0"/>
          <w:bCs w:val="0"/>
        </w:rPr>
      </w:pPr>
      <w:bookmarkStart w:name="1、应收账款" w:id="640"/>
      <w:bookmarkEnd w:id="640"/>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1）应收账款分类披露" w:id="641"/>
      <w:bookmarkEnd w:id="64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3"/>
        <w:gridCol w:w="761"/>
        <w:gridCol w:w="763"/>
        <w:gridCol w:w="790"/>
        <w:gridCol w:w="775"/>
        <w:gridCol w:w="797"/>
        <w:gridCol w:w="799"/>
        <w:gridCol w:w="790"/>
        <w:gridCol w:w="931"/>
      </w:tblGrid>
      <w:tr>
        <w:trPr>
          <w:trHeight w:val="319" w:hRule="exact"/>
        </w:trPr>
        <w:tc>
          <w:tcPr>
            <w:tcW w:w="1624" w:type="dxa"/>
            <w:vMerge w:val="restart"/>
            <w:tcBorders>
              <w:top w:val="single" w:sz="4" w:space="0" w:color="000000"/>
              <w:left w:val="single" w:sz="4" w:space="0" w:color="000000"/>
              <w:right w:val="single" w:sz="4" w:space="0" w:color="000000"/>
            </w:tcBorders>
            <w:shd w:val="clear" w:color="auto" w:fill="D4D4D4"/>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2"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7" w:hRule="exact"/>
        </w:trPr>
        <w:tc>
          <w:tcPr>
            <w:tcW w:w="1624" w:type="dxa"/>
            <w:vMerge/>
            <w:tcBorders>
              <w:left w:val="single" w:sz="4" w:space="0" w:color="000000"/>
              <w:bottom w:val="nil" w:sz="6" w:space="0" w:color="auto"/>
              <w:right w:val="single" w:sz="4" w:space="0" w:color="000000"/>
            </w:tcBorders>
            <w:shd w:val="clear" w:color="auto" w:fill="D4D4D4"/>
          </w:tcPr>
          <w:p>
            <w:pPr/>
          </w:p>
        </w:tc>
        <w:tc>
          <w:tcPr>
            <w:tcW w:w="153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4D4D4"/>
          </w:tcPr>
          <w:p>
            <w:pPr/>
          </w:p>
        </w:tc>
        <w:tc>
          <w:tcPr>
            <w:tcW w:w="157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59" w:hRule="exact"/>
        </w:trPr>
        <w:tc>
          <w:tcPr>
            <w:tcW w:w="16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4D4D4"/>
          </w:tcPr>
          <w:p>
            <w:pPr/>
          </w:p>
        </w:tc>
        <w:tc>
          <w:tcPr>
            <w:tcW w:w="1524" w:type="dxa"/>
            <w:gridSpan w:val="2"/>
            <w:vMerge/>
            <w:tcBorders>
              <w:left w:val="single" w:sz="4" w:space="0" w:color="000000"/>
              <w:bottom w:val="single" w:sz="4" w:space="0" w:color="000000"/>
              <w:right w:val="single" w:sz="4" w:space="0" w:color="000000"/>
            </w:tcBorders>
            <w:shd w:val="clear" w:color="auto" w:fill="D4D4D4"/>
          </w:tcPr>
          <w:p>
            <w:pPr/>
          </w:p>
        </w:tc>
        <w:tc>
          <w:tcPr>
            <w:tcW w:w="790" w:type="dxa"/>
            <w:vMerge/>
            <w:tcBorders>
              <w:left w:val="single" w:sz="4" w:space="0" w:color="000000"/>
              <w:bottom w:val="nil" w:sz="6" w:space="0" w:color="auto"/>
              <w:right w:val="single" w:sz="4" w:space="0" w:color="000000"/>
            </w:tcBorders>
            <w:shd w:val="clear" w:color="auto" w:fill="D4D4D4"/>
          </w:tcPr>
          <w:p>
            <w:pPr/>
          </w:p>
        </w:tc>
        <w:tc>
          <w:tcPr>
            <w:tcW w:w="1572" w:type="dxa"/>
            <w:gridSpan w:val="2"/>
            <w:vMerge/>
            <w:tcBorders>
              <w:left w:val="single" w:sz="4" w:space="0" w:color="000000"/>
              <w:bottom w:val="single" w:sz="4" w:space="0" w:color="000000"/>
              <w:right w:val="single" w:sz="4" w:space="0" w:color="000000"/>
            </w:tcBorders>
            <w:shd w:val="clear" w:color="auto" w:fill="D4D4D4"/>
          </w:tcPr>
          <w:p>
            <w:pPr/>
          </w:p>
        </w:tc>
        <w:tc>
          <w:tcPr>
            <w:tcW w:w="1589"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16" w:hRule="exact"/>
        </w:trPr>
        <w:tc>
          <w:tcPr>
            <w:tcW w:w="1624" w:type="dxa"/>
            <w:vMerge w:val="restart"/>
            <w:tcBorders>
              <w:top w:val="nil" w:sz="6" w:space="0" w:color="auto"/>
              <w:left w:val="single" w:sz="4" w:space="0" w:color="000000"/>
              <w:right w:val="single" w:sz="4" w:space="0" w:color="000000"/>
            </w:tcBorders>
            <w:shd w:val="clear" w:color="auto" w:fill="D4D4D4"/>
          </w:tcPr>
          <w:p>
            <w:pPr/>
          </w:p>
        </w:tc>
        <w:tc>
          <w:tcPr>
            <w:tcW w:w="77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5"/>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5"/>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5"/>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185" w:lineRule="exact"/>
              <w:ind w:left="2" w:right="0"/>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nil" w:sz="6" w:space="0" w:color="auto"/>
              <w:left w:val="single" w:sz="9" w:space="0" w:color="D4D4D4"/>
              <w:bottom w:val="nil" w:sz="6" w:space="0" w:color="auto"/>
              <w:right w:val="single" w:sz="10" w:space="0" w:color="D4D4D4"/>
            </w:tcBorders>
          </w:tcPr>
          <w:p>
            <w:pPr>
              <w:pStyle w:val="TableParagraph"/>
              <w:spacing w:line="145" w:lineRule="exact"/>
              <w:ind w:left="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4D4D4" w:color="auto" w:val="clear"/>
              </w:rPr>
              <w:t>账面价值</w:t>
            </w:r>
            <w:r>
              <w:rPr>
                <w:rFonts w:ascii="宋体" w:hAnsi="宋体" w:cs="宋体" w:eastAsia="宋体" w:hint="default"/>
                <w:sz w:val="18"/>
                <w:szCs w:val="18"/>
              </w:rPr>
            </w:r>
          </w:p>
        </w:tc>
        <w:tc>
          <w:tcPr>
            <w:tcW w:w="77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5"/>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5"/>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5"/>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145" w:lineRule="exact"/>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9" w:hRule="exact"/>
        </w:trPr>
        <w:tc>
          <w:tcPr>
            <w:tcW w:w="1624" w:type="dxa"/>
            <w:vMerge/>
            <w:tcBorders>
              <w:left w:val="single" w:sz="4" w:space="0" w:color="000000"/>
              <w:bottom w:val="single" w:sz="4" w:space="0" w:color="000000"/>
              <w:right w:val="single" w:sz="4" w:space="0" w:color="000000"/>
            </w:tcBorders>
            <w:shd w:val="clear" w:color="auto" w:fill="D4D4D4"/>
          </w:tcPr>
          <w:p>
            <w:pPr/>
          </w:p>
        </w:tc>
        <w:tc>
          <w:tcPr>
            <w:tcW w:w="774" w:type="dxa"/>
            <w:vMerge/>
            <w:tcBorders>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61" w:type="dxa"/>
            <w:vMerge/>
            <w:tcBorders>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90" w:type="dxa"/>
            <w:tcBorders>
              <w:top w:val="nil" w:sz="6" w:space="0" w:color="auto"/>
              <w:left w:val="single" w:sz="4" w:space="0" w:color="000000"/>
              <w:bottom w:val="single" w:sz="4" w:space="0" w:color="000000"/>
              <w:right w:val="single" w:sz="4" w:space="0" w:color="000000"/>
            </w:tcBorders>
            <w:shd w:val="clear" w:color="auto" w:fill="D4D4D4"/>
          </w:tcPr>
          <w:p>
            <w:pPr/>
          </w:p>
        </w:tc>
        <w:tc>
          <w:tcPr>
            <w:tcW w:w="775"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vMerge/>
            <w:tcBorders>
              <w:left w:val="single" w:sz="4" w:space="0" w:color="000000"/>
              <w:bottom w:val="single" w:sz="4" w:space="0" w:color="000000"/>
              <w:right w:val="single" w:sz="4" w:space="0" w:color="000000"/>
            </w:tcBorders>
            <w:shd w:val="clear" w:color="auto" w:fill="D4D4D4"/>
          </w:tcPr>
          <w:p>
            <w:pPr/>
          </w:p>
        </w:tc>
        <w:tc>
          <w:tcPr>
            <w:tcW w:w="790" w:type="dxa"/>
            <w:vMerge/>
            <w:tcBorders>
              <w:left w:val="single" w:sz="4" w:space="0" w:color="000000"/>
              <w:bottom w:val="single" w:sz="4" w:space="0" w:color="000000"/>
              <w:right w:val="single" w:sz="4" w:space="0" w:color="000000"/>
            </w:tcBorders>
            <w:shd w:val="clear" w:color="auto" w:fill="D4D4D4"/>
          </w:tcPr>
          <w:p>
            <w:pPr/>
          </w:p>
        </w:tc>
        <w:tc>
          <w:tcPr>
            <w:tcW w:w="931"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0"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570"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0" w:lineRule="exact" w:before="43"/>
              <w:ind w:left="24" w:right="14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9" w:space="0" w:color="D4D4D4"/>
              <w:left w:val="single" w:sz="10" w:space="0" w:color="D4D4D4"/>
              <w:bottom w:val="single" w:sz="10" w:space="0" w:color="D4D4D4"/>
              <w:right w:val="single" w:sz="4" w:space="0" w:color="000000"/>
            </w:tcBorders>
          </w:tcPr>
          <w:p>
            <w:pPr>
              <w:pStyle w:val="TableParagraph"/>
              <w:spacing w:line="205" w:lineRule="exact" w:before="62"/>
              <w:ind w:left="86" w:right="0"/>
              <w:jc w:val="center"/>
              <w:rPr>
                <w:rFonts w:ascii="Times New Roman" w:hAnsi="Times New Roman" w:cs="Times New Roman" w:eastAsia="Times New Roman" w:hint="default"/>
                <w:sz w:val="18"/>
                <w:szCs w:val="18"/>
              </w:rPr>
            </w:pPr>
            <w:r>
              <w:rPr>
                <w:rFonts w:ascii="Times New Roman"/>
                <w:sz w:val="18"/>
              </w:rPr>
              <w:t>188,128,</w:t>
            </w:r>
          </w:p>
          <w:p>
            <w:pPr>
              <w:pStyle w:val="TableParagraph"/>
              <w:spacing w:line="205" w:lineRule="exact"/>
              <w:ind w:left="219" w:right="0"/>
              <w:jc w:val="center"/>
              <w:rPr>
                <w:rFonts w:ascii="Times New Roman" w:hAnsi="Times New Roman" w:cs="Times New Roman" w:eastAsia="Times New Roman" w:hint="default"/>
                <w:sz w:val="18"/>
                <w:szCs w:val="18"/>
              </w:rPr>
            </w:pPr>
            <w:r>
              <w:rPr>
                <w:rFonts w:ascii="Times New Roman"/>
                <w:sz w:val="18"/>
              </w:rPr>
              <w:t>232.97</w:t>
            </w:r>
          </w:p>
        </w:tc>
        <w:tc>
          <w:tcPr>
            <w:tcW w:w="763" w:type="dxa"/>
            <w:tcBorders>
              <w:top w:val="single" w:sz="9" w:space="0" w:color="D4D4D4"/>
              <w:left w:val="single" w:sz="4" w:space="0" w:color="000000"/>
              <w:bottom w:val="single" w:sz="10" w:space="0" w:color="D4D4D4"/>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9" w:space="0" w:color="D4D4D4"/>
              <w:left w:val="single" w:sz="4" w:space="0" w:color="000000"/>
              <w:bottom w:val="single" w:sz="10" w:space="0" w:color="D4D4D4"/>
              <w:right w:val="single" w:sz="4" w:space="0" w:color="000000"/>
            </w:tcBorders>
          </w:tcPr>
          <w:p>
            <w:pPr>
              <w:pStyle w:val="TableParagraph"/>
              <w:spacing w:line="205" w:lineRule="exact" w:before="62"/>
              <w:ind w:left="98" w:right="0"/>
              <w:jc w:val="left"/>
              <w:rPr>
                <w:rFonts w:ascii="Times New Roman" w:hAnsi="Times New Roman" w:cs="Times New Roman" w:eastAsia="Times New Roman" w:hint="default"/>
                <w:sz w:val="18"/>
                <w:szCs w:val="18"/>
              </w:rPr>
            </w:pPr>
            <w:r>
              <w:rPr>
                <w:rFonts w:ascii="Times New Roman"/>
                <w:sz w:val="18"/>
              </w:rPr>
              <w:t>28,317,5</w:t>
            </w:r>
          </w:p>
          <w:p>
            <w:pPr>
              <w:pStyle w:val="TableParagraph"/>
              <w:spacing w:line="205" w:lineRule="exact"/>
              <w:ind w:left="323" w:right="0"/>
              <w:jc w:val="left"/>
              <w:rPr>
                <w:rFonts w:ascii="Times New Roman" w:hAnsi="Times New Roman" w:cs="Times New Roman" w:eastAsia="Times New Roman" w:hint="default"/>
                <w:sz w:val="18"/>
                <w:szCs w:val="18"/>
              </w:rPr>
            </w:pPr>
            <w:r>
              <w:rPr>
                <w:rFonts w:ascii="Times New Roman"/>
                <w:sz w:val="18"/>
              </w:rPr>
              <w:t>32.40</w:t>
            </w:r>
          </w:p>
        </w:tc>
        <w:tc>
          <w:tcPr>
            <w:tcW w:w="763" w:type="dxa"/>
            <w:tcBorders>
              <w:top w:val="single" w:sz="9" w:space="0" w:color="D4D4D4"/>
              <w:left w:val="single" w:sz="4" w:space="0" w:color="000000"/>
              <w:bottom w:val="single" w:sz="10" w:space="0" w:color="D4D4D4"/>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15.05%</w:t>
            </w:r>
          </w:p>
        </w:tc>
        <w:tc>
          <w:tcPr>
            <w:tcW w:w="790" w:type="dxa"/>
            <w:tcBorders>
              <w:top w:val="single" w:sz="9" w:space="0" w:color="D4D4D4"/>
              <w:left w:val="single" w:sz="4" w:space="0" w:color="000000"/>
              <w:bottom w:val="single" w:sz="10" w:space="0" w:color="D4D4D4"/>
              <w:right w:val="single" w:sz="4" w:space="0" w:color="000000"/>
            </w:tcBorders>
          </w:tcPr>
          <w:p>
            <w:pPr>
              <w:pStyle w:val="TableParagraph"/>
              <w:spacing w:line="205" w:lineRule="exact" w:before="62"/>
              <w:ind w:left="35" w:right="0"/>
              <w:jc w:val="left"/>
              <w:rPr>
                <w:rFonts w:ascii="Times New Roman" w:hAnsi="Times New Roman" w:cs="Times New Roman" w:eastAsia="Times New Roman" w:hint="default"/>
                <w:sz w:val="18"/>
                <w:szCs w:val="18"/>
              </w:rPr>
            </w:pPr>
            <w:r>
              <w:rPr>
                <w:rFonts w:ascii="Times New Roman"/>
                <w:sz w:val="18"/>
              </w:rPr>
              <w:t>159,810,7</w:t>
            </w:r>
          </w:p>
          <w:p>
            <w:pPr>
              <w:pStyle w:val="TableParagraph"/>
              <w:spacing w:line="205" w:lineRule="exact"/>
              <w:ind w:left="350" w:right="0"/>
              <w:jc w:val="left"/>
              <w:rPr>
                <w:rFonts w:ascii="Times New Roman" w:hAnsi="Times New Roman" w:cs="Times New Roman" w:eastAsia="Times New Roman" w:hint="default"/>
                <w:sz w:val="18"/>
                <w:szCs w:val="18"/>
              </w:rPr>
            </w:pPr>
            <w:r>
              <w:rPr>
                <w:rFonts w:ascii="Times New Roman"/>
                <w:sz w:val="18"/>
              </w:rPr>
              <w:t>00.57</w:t>
            </w:r>
          </w:p>
        </w:tc>
        <w:tc>
          <w:tcPr>
            <w:tcW w:w="775" w:type="dxa"/>
            <w:tcBorders>
              <w:top w:val="single" w:sz="9" w:space="0" w:color="D4D4D4"/>
              <w:left w:val="single" w:sz="4" w:space="0" w:color="000000"/>
              <w:bottom w:val="single" w:sz="10" w:space="0" w:color="D4D4D4"/>
              <w:right w:val="single" w:sz="4" w:space="0" w:color="000000"/>
            </w:tcBorders>
          </w:tcPr>
          <w:p>
            <w:pPr>
              <w:pStyle w:val="TableParagraph"/>
              <w:spacing w:line="205" w:lineRule="exact" w:before="62"/>
              <w:ind w:left="23" w:right="0"/>
              <w:jc w:val="left"/>
              <w:rPr>
                <w:rFonts w:ascii="Times New Roman" w:hAnsi="Times New Roman" w:cs="Times New Roman" w:eastAsia="Times New Roman" w:hint="default"/>
                <w:sz w:val="18"/>
                <w:szCs w:val="18"/>
              </w:rPr>
            </w:pPr>
            <w:r>
              <w:rPr>
                <w:rFonts w:ascii="Times New Roman"/>
                <w:sz w:val="18"/>
              </w:rPr>
              <w:t>148,032,5</w:t>
            </w:r>
          </w:p>
          <w:p>
            <w:pPr>
              <w:pStyle w:val="TableParagraph"/>
              <w:spacing w:line="205" w:lineRule="exact"/>
              <w:ind w:left="338" w:right="0"/>
              <w:jc w:val="left"/>
              <w:rPr>
                <w:rFonts w:ascii="Times New Roman" w:hAnsi="Times New Roman" w:cs="Times New Roman" w:eastAsia="Times New Roman" w:hint="default"/>
                <w:sz w:val="18"/>
                <w:szCs w:val="18"/>
              </w:rPr>
            </w:pPr>
            <w:r>
              <w:rPr>
                <w:rFonts w:ascii="Times New Roman"/>
                <w:sz w:val="18"/>
              </w:rPr>
              <w:t>22.82</w:t>
            </w:r>
          </w:p>
        </w:tc>
        <w:tc>
          <w:tcPr>
            <w:tcW w:w="797" w:type="dxa"/>
            <w:tcBorders>
              <w:top w:val="single" w:sz="9" w:space="0" w:color="D4D4D4"/>
              <w:left w:val="single" w:sz="4" w:space="0" w:color="000000"/>
              <w:bottom w:val="single" w:sz="10" w:space="0" w:color="D4D4D4"/>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9" w:space="0" w:color="D4D4D4"/>
              <w:left w:val="single" w:sz="4" w:space="0" w:color="000000"/>
              <w:bottom w:val="single" w:sz="10" w:space="0" w:color="D4D4D4"/>
              <w:right w:val="single" w:sz="4" w:space="0" w:color="000000"/>
            </w:tcBorders>
          </w:tcPr>
          <w:p>
            <w:pPr>
              <w:pStyle w:val="TableParagraph"/>
              <w:spacing w:line="205" w:lineRule="exact" w:before="62"/>
              <w:ind w:left="52" w:right="0"/>
              <w:jc w:val="left"/>
              <w:rPr>
                <w:rFonts w:ascii="Times New Roman" w:hAnsi="Times New Roman" w:cs="Times New Roman" w:eastAsia="Times New Roman" w:hint="default"/>
                <w:sz w:val="18"/>
                <w:szCs w:val="18"/>
              </w:rPr>
            </w:pPr>
            <w:r>
              <w:rPr>
                <w:rFonts w:ascii="Times New Roman"/>
                <w:sz w:val="18"/>
              </w:rPr>
              <w:t>21,811,06</w:t>
            </w:r>
          </w:p>
          <w:p>
            <w:pPr>
              <w:pStyle w:val="TableParagraph"/>
              <w:spacing w:line="205" w:lineRule="exact"/>
              <w:ind w:left="451" w:right="0"/>
              <w:jc w:val="left"/>
              <w:rPr>
                <w:rFonts w:ascii="Times New Roman" w:hAnsi="Times New Roman" w:cs="Times New Roman" w:eastAsia="Times New Roman" w:hint="default"/>
                <w:sz w:val="18"/>
                <w:szCs w:val="18"/>
              </w:rPr>
            </w:pPr>
            <w:r>
              <w:rPr>
                <w:rFonts w:ascii="Times New Roman"/>
                <w:sz w:val="18"/>
              </w:rPr>
              <w:t>4.65</w:t>
            </w:r>
          </w:p>
        </w:tc>
        <w:tc>
          <w:tcPr>
            <w:tcW w:w="790" w:type="dxa"/>
            <w:tcBorders>
              <w:top w:val="single" w:sz="9" w:space="0" w:color="D4D4D4"/>
              <w:left w:val="single" w:sz="4" w:space="0" w:color="000000"/>
              <w:bottom w:val="single" w:sz="10" w:space="0" w:color="D4D4D4"/>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14.73%</w:t>
            </w:r>
          </w:p>
        </w:tc>
        <w:tc>
          <w:tcPr>
            <w:tcW w:w="931" w:type="dxa"/>
            <w:tcBorders>
              <w:top w:val="single" w:sz="9" w:space="0" w:color="D4D4D4"/>
              <w:left w:val="single" w:sz="4" w:space="0" w:color="000000"/>
              <w:bottom w:val="single" w:sz="10" w:space="0" w:color="D4D4D4"/>
              <w:right w:val="single" w:sz="4" w:space="0" w:color="000000"/>
            </w:tcBorders>
          </w:tcPr>
          <w:p>
            <w:pPr>
              <w:pStyle w:val="TableParagraph"/>
              <w:spacing w:line="205" w:lineRule="exact" w:before="62"/>
              <w:ind w:left="88" w:right="0"/>
              <w:jc w:val="left"/>
              <w:rPr>
                <w:rFonts w:ascii="Times New Roman" w:hAnsi="Times New Roman" w:cs="Times New Roman" w:eastAsia="Times New Roman" w:hint="default"/>
                <w:sz w:val="18"/>
                <w:szCs w:val="18"/>
              </w:rPr>
            </w:pPr>
            <w:r>
              <w:rPr>
                <w:rFonts w:ascii="Times New Roman"/>
                <w:sz w:val="18"/>
              </w:rPr>
              <w:t>126,221,45</w:t>
            </w:r>
          </w:p>
          <w:p>
            <w:pPr>
              <w:pStyle w:val="TableParagraph"/>
              <w:spacing w:line="205" w:lineRule="exact"/>
              <w:ind w:left="585" w:right="0"/>
              <w:jc w:val="left"/>
              <w:rPr>
                <w:rFonts w:ascii="Times New Roman" w:hAnsi="Times New Roman" w:cs="Times New Roman" w:eastAsia="Times New Roman" w:hint="default"/>
                <w:sz w:val="18"/>
                <w:szCs w:val="18"/>
              </w:rPr>
            </w:pPr>
            <w:r>
              <w:rPr>
                <w:rFonts w:ascii="Times New Roman"/>
                <w:sz w:val="18"/>
              </w:rPr>
              <w:t>8.17</w:t>
            </w:r>
          </w:p>
        </w:tc>
      </w:tr>
      <w:tr>
        <w:trPr>
          <w:trHeight w:val="311"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510"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74" w:type="dxa"/>
            <w:tcBorders>
              <w:top w:val="single" w:sz="9" w:space="0" w:color="D4D4D4"/>
              <w:left w:val="single" w:sz="4" w:space="0" w:color="000000"/>
              <w:bottom w:val="single" w:sz="4" w:space="0" w:color="000000"/>
              <w:right w:val="single" w:sz="4" w:space="0" w:color="000000"/>
            </w:tcBorders>
          </w:tcPr>
          <w:p>
            <w:pPr>
              <w:pStyle w:val="TableParagraph"/>
              <w:spacing w:line="207" w:lineRule="exact" w:before="33"/>
              <w:ind w:left="93" w:right="0"/>
              <w:jc w:val="center"/>
              <w:rPr>
                <w:rFonts w:ascii="Times New Roman" w:hAnsi="Times New Roman" w:cs="Times New Roman" w:eastAsia="Times New Roman" w:hint="default"/>
                <w:sz w:val="18"/>
                <w:szCs w:val="18"/>
              </w:rPr>
            </w:pPr>
            <w:r>
              <w:rPr>
                <w:rFonts w:ascii="Times New Roman"/>
                <w:sz w:val="18"/>
              </w:rPr>
              <w:t>155,721,</w:t>
            </w:r>
          </w:p>
          <w:p>
            <w:pPr>
              <w:pStyle w:val="TableParagraph"/>
              <w:spacing w:line="207" w:lineRule="exact"/>
              <w:ind w:left="226" w:right="0"/>
              <w:jc w:val="center"/>
              <w:rPr>
                <w:rFonts w:ascii="Times New Roman" w:hAnsi="Times New Roman" w:cs="Times New Roman" w:eastAsia="Times New Roman" w:hint="default"/>
                <w:sz w:val="18"/>
                <w:szCs w:val="18"/>
              </w:rPr>
            </w:pPr>
            <w:r>
              <w:rPr>
                <w:rFonts w:ascii="Times New Roman"/>
                <w:sz w:val="18"/>
              </w:rPr>
              <w:t>863.16</w:t>
            </w:r>
          </w:p>
        </w:tc>
        <w:tc>
          <w:tcPr>
            <w:tcW w:w="763" w:type="dxa"/>
            <w:tcBorders>
              <w:top w:val="single" w:sz="9" w:space="0" w:color="D4D4D4"/>
              <w:left w:val="single" w:sz="4" w:space="0" w:color="000000"/>
              <w:bottom w:val="single" w:sz="4" w:space="0" w:color="000000"/>
              <w:right w:val="single" w:sz="4" w:space="0" w:color="000000"/>
            </w:tcBorders>
          </w:tcPr>
          <w:p>
            <w:pPr>
              <w:pStyle w:val="TableParagraph"/>
              <w:spacing w:line="240" w:lineRule="auto" w:before="136"/>
              <w:ind w:right="16"/>
              <w:jc w:val="right"/>
              <w:rPr>
                <w:rFonts w:ascii="Times New Roman" w:hAnsi="Times New Roman" w:cs="Times New Roman" w:eastAsia="Times New Roman" w:hint="default"/>
                <w:sz w:val="18"/>
                <w:szCs w:val="18"/>
              </w:rPr>
            </w:pPr>
            <w:r>
              <w:rPr>
                <w:rFonts w:ascii="Times New Roman"/>
                <w:sz w:val="18"/>
              </w:rPr>
              <w:t>82.77%</w:t>
            </w:r>
          </w:p>
        </w:tc>
        <w:tc>
          <w:tcPr>
            <w:tcW w:w="761" w:type="dxa"/>
            <w:tcBorders>
              <w:top w:val="single" w:sz="9" w:space="0" w:color="D4D4D4"/>
              <w:left w:val="single" w:sz="4" w:space="0" w:color="000000"/>
              <w:bottom w:val="single" w:sz="4" w:space="0" w:color="000000"/>
              <w:right w:val="single" w:sz="4" w:space="0" w:color="000000"/>
            </w:tcBorders>
          </w:tcPr>
          <w:p>
            <w:pPr>
              <w:pStyle w:val="TableParagraph"/>
              <w:spacing w:line="207" w:lineRule="exact" w:before="33"/>
              <w:ind w:left="98" w:right="0"/>
              <w:jc w:val="left"/>
              <w:rPr>
                <w:rFonts w:ascii="Times New Roman" w:hAnsi="Times New Roman" w:cs="Times New Roman" w:eastAsia="Times New Roman" w:hint="default"/>
                <w:sz w:val="18"/>
                <w:szCs w:val="18"/>
              </w:rPr>
            </w:pPr>
            <w:r>
              <w:rPr>
                <w:rFonts w:ascii="Times New Roman"/>
                <w:sz w:val="18"/>
              </w:rPr>
              <w:t>28,317,5</w:t>
            </w:r>
          </w:p>
          <w:p>
            <w:pPr>
              <w:pStyle w:val="TableParagraph"/>
              <w:spacing w:line="207" w:lineRule="exact"/>
              <w:ind w:left="323" w:right="0"/>
              <w:jc w:val="left"/>
              <w:rPr>
                <w:rFonts w:ascii="Times New Roman" w:hAnsi="Times New Roman" w:cs="Times New Roman" w:eastAsia="Times New Roman" w:hint="default"/>
                <w:sz w:val="18"/>
                <w:szCs w:val="18"/>
              </w:rPr>
            </w:pPr>
            <w:r>
              <w:rPr>
                <w:rFonts w:ascii="Times New Roman"/>
                <w:sz w:val="18"/>
              </w:rPr>
              <w:t>32.40</w:t>
            </w:r>
          </w:p>
        </w:tc>
        <w:tc>
          <w:tcPr>
            <w:tcW w:w="763" w:type="dxa"/>
            <w:tcBorders>
              <w:top w:val="single" w:sz="9" w:space="0" w:color="D4D4D4"/>
              <w:left w:val="single" w:sz="4" w:space="0" w:color="000000"/>
              <w:bottom w:val="single" w:sz="4" w:space="0" w:color="000000"/>
              <w:right w:val="single" w:sz="4" w:space="0" w:color="000000"/>
            </w:tcBorders>
          </w:tcPr>
          <w:p>
            <w:pPr>
              <w:pStyle w:val="TableParagraph"/>
              <w:spacing w:line="240" w:lineRule="auto" w:before="136"/>
              <w:ind w:right="14"/>
              <w:jc w:val="right"/>
              <w:rPr>
                <w:rFonts w:ascii="Times New Roman" w:hAnsi="Times New Roman" w:cs="Times New Roman" w:eastAsia="Times New Roman" w:hint="default"/>
                <w:sz w:val="18"/>
                <w:szCs w:val="18"/>
              </w:rPr>
            </w:pPr>
            <w:r>
              <w:rPr>
                <w:rFonts w:ascii="Times New Roman"/>
                <w:sz w:val="18"/>
              </w:rPr>
              <w:t>18.18%</w:t>
            </w:r>
          </w:p>
        </w:tc>
        <w:tc>
          <w:tcPr>
            <w:tcW w:w="790" w:type="dxa"/>
            <w:tcBorders>
              <w:top w:val="single" w:sz="9" w:space="0" w:color="D4D4D4"/>
              <w:left w:val="single" w:sz="4" w:space="0" w:color="000000"/>
              <w:bottom w:val="single" w:sz="4" w:space="0" w:color="000000"/>
              <w:right w:val="single" w:sz="4" w:space="0" w:color="000000"/>
            </w:tcBorders>
          </w:tcPr>
          <w:p>
            <w:pPr>
              <w:pStyle w:val="TableParagraph"/>
              <w:spacing w:line="207" w:lineRule="exact" w:before="33"/>
              <w:ind w:left="35" w:right="0"/>
              <w:jc w:val="left"/>
              <w:rPr>
                <w:rFonts w:ascii="Times New Roman" w:hAnsi="Times New Roman" w:cs="Times New Roman" w:eastAsia="Times New Roman" w:hint="default"/>
                <w:sz w:val="18"/>
                <w:szCs w:val="18"/>
              </w:rPr>
            </w:pPr>
            <w:r>
              <w:rPr>
                <w:rFonts w:ascii="Times New Roman"/>
                <w:sz w:val="18"/>
              </w:rPr>
              <w:t>127,404,3</w:t>
            </w:r>
          </w:p>
          <w:p>
            <w:pPr>
              <w:pStyle w:val="TableParagraph"/>
              <w:spacing w:line="207" w:lineRule="exact"/>
              <w:ind w:left="350" w:right="0"/>
              <w:jc w:val="left"/>
              <w:rPr>
                <w:rFonts w:ascii="Times New Roman" w:hAnsi="Times New Roman" w:cs="Times New Roman" w:eastAsia="Times New Roman" w:hint="default"/>
                <w:sz w:val="18"/>
                <w:szCs w:val="18"/>
              </w:rPr>
            </w:pPr>
            <w:r>
              <w:rPr>
                <w:rFonts w:ascii="Times New Roman"/>
                <w:sz w:val="18"/>
              </w:rPr>
              <w:t>30.76</w:t>
            </w:r>
          </w:p>
        </w:tc>
        <w:tc>
          <w:tcPr>
            <w:tcW w:w="775" w:type="dxa"/>
            <w:tcBorders>
              <w:top w:val="single" w:sz="9" w:space="0" w:color="D4D4D4"/>
              <w:left w:val="single" w:sz="4" w:space="0" w:color="000000"/>
              <w:bottom w:val="single" w:sz="4" w:space="0" w:color="000000"/>
              <w:right w:val="single" w:sz="4" w:space="0" w:color="000000"/>
            </w:tcBorders>
          </w:tcPr>
          <w:p>
            <w:pPr>
              <w:pStyle w:val="TableParagraph"/>
              <w:spacing w:line="207" w:lineRule="exact" w:before="33"/>
              <w:ind w:left="31" w:right="0"/>
              <w:jc w:val="left"/>
              <w:rPr>
                <w:rFonts w:ascii="Times New Roman" w:hAnsi="Times New Roman" w:cs="Times New Roman" w:eastAsia="Times New Roman" w:hint="default"/>
                <w:sz w:val="18"/>
                <w:szCs w:val="18"/>
              </w:rPr>
            </w:pPr>
            <w:r>
              <w:rPr>
                <w:rFonts w:ascii="Times New Roman"/>
                <w:sz w:val="18"/>
              </w:rPr>
              <w:t>121,211,6</w:t>
            </w:r>
          </w:p>
          <w:p>
            <w:pPr>
              <w:pStyle w:val="TableParagraph"/>
              <w:spacing w:line="207" w:lineRule="exact"/>
              <w:ind w:left="338" w:right="0"/>
              <w:jc w:val="left"/>
              <w:rPr>
                <w:rFonts w:ascii="Times New Roman" w:hAnsi="Times New Roman" w:cs="Times New Roman" w:eastAsia="Times New Roman" w:hint="default"/>
                <w:sz w:val="18"/>
                <w:szCs w:val="18"/>
              </w:rPr>
            </w:pPr>
            <w:r>
              <w:rPr>
                <w:rFonts w:ascii="Times New Roman"/>
                <w:sz w:val="18"/>
              </w:rPr>
              <w:t>88.89</w:t>
            </w:r>
          </w:p>
        </w:tc>
        <w:tc>
          <w:tcPr>
            <w:tcW w:w="797" w:type="dxa"/>
            <w:tcBorders>
              <w:top w:val="single" w:sz="9" w:space="0" w:color="D4D4D4"/>
              <w:left w:val="single" w:sz="4" w:space="0" w:color="000000"/>
              <w:bottom w:val="single" w:sz="4" w:space="0" w:color="000000"/>
              <w:right w:val="single" w:sz="4" w:space="0" w:color="000000"/>
            </w:tcBorders>
          </w:tcPr>
          <w:p>
            <w:pPr>
              <w:pStyle w:val="TableParagraph"/>
              <w:spacing w:line="240" w:lineRule="auto" w:before="136"/>
              <w:ind w:right="14"/>
              <w:jc w:val="right"/>
              <w:rPr>
                <w:rFonts w:ascii="Times New Roman" w:hAnsi="Times New Roman" w:cs="Times New Roman" w:eastAsia="Times New Roman" w:hint="default"/>
                <w:sz w:val="18"/>
                <w:szCs w:val="18"/>
              </w:rPr>
            </w:pPr>
            <w:r>
              <w:rPr>
                <w:rFonts w:ascii="Times New Roman"/>
                <w:sz w:val="18"/>
              </w:rPr>
              <w:t>81.88%</w:t>
            </w:r>
          </w:p>
        </w:tc>
        <w:tc>
          <w:tcPr>
            <w:tcW w:w="799" w:type="dxa"/>
            <w:tcBorders>
              <w:top w:val="single" w:sz="9" w:space="0" w:color="D4D4D4"/>
              <w:left w:val="single" w:sz="4" w:space="0" w:color="000000"/>
              <w:bottom w:val="single" w:sz="4" w:space="0" w:color="000000"/>
              <w:right w:val="single" w:sz="4" w:space="0" w:color="000000"/>
            </w:tcBorders>
          </w:tcPr>
          <w:p>
            <w:pPr>
              <w:pStyle w:val="TableParagraph"/>
              <w:spacing w:line="207" w:lineRule="exact" w:before="33"/>
              <w:ind w:left="52" w:right="0"/>
              <w:jc w:val="left"/>
              <w:rPr>
                <w:rFonts w:ascii="Times New Roman" w:hAnsi="Times New Roman" w:cs="Times New Roman" w:eastAsia="Times New Roman" w:hint="default"/>
                <w:sz w:val="18"/>
                <w:szCs w:val="18"/>
              </w:rPr>
            </w:pPr>
            <w:r>
              <w:rPr>
                <w:rFonts w:ascii="Times New Roman"/>
                <w:sz w:val="18"/>
              </w:rPr>
              <w:t>21,811,06</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4.60</w:t>
            </w:r>
          </w:p>
        </w:tc>
        <w:tc>
          <w:tcPr>
            <w:tcW w:w="790" w:type="dxa"/>
            <w:tcBorders>
              <w:top w:val="single" w:sz="9" w:space="0" w:color="D4D4D4"/>
              <w:left w:val="single" w:sz="4" w:space="0" w:color="000000"/>
              <w:bottom w:val="single" w:sz="4" w:space="0" w:color="000000"/>
              <w:right w:val="single" w:sz="4" w:space="0" w:color="000000"/>
            </w:tcBorders>
          </w:tcPr>
          <w:p>
            <w:pPr>
              <w:pStyle w:val="TableParagraph"/>
              <w:spacing w:line="240" w:lineRule="auto" w:before="136"/>
              <w:ind w:right="14"/>
              <w:jc w:val="right"/>
              <w:rPr>
                <w:rFonts w:ascii="Times New Roman" w:hAnsi="Times New Roman" w:cs="Times New Roman" w:eastAsia="Times New Roman" w:hint="default"/>
                <w:sz w:val="18"/>
                <w:szCs w:val="18"/>
              </w:rPr>
            </w:pPr>
            <w:r>
              <w:rPr>
                <w:rFonts w:ascii="Times New Roman"/>
                <w:sz w:val="18"/>
              </w:rPr>
              <w:t>17.99%</w:t>
            </w:r>
          </w:p>
        </w:tc>
        <w:tc>
          <w:tcPr>
            <w:tcW w:w="931" w:type="dxa"/>
            <w:tcBorders>
              <w:top w:val="single" w:sz="9" w:space="0" w:color="D4D4D4"/>
              <w:left w:val="single" w:sz="4" w:space="0" w:color="000000"/>
              <w:bottom w:val="single" w:sz="4" w:space="0" w:color="000000"/>
              <w:right w:val="single" w:sz="4" w:space="0" w:color="000000"/>
            </w:tcBorders>
          </w:tcPr>
          <w:p>
            <w:pPr>
              <w:pStyle w:val="TableParagraph"/>
              <w:spacing w:line="207" w:lineRule="exact" w:before="33"/>
              <w:ind w:right="17"/>
              <w:jc w:val="right"/>
              <w:rPr>
                <w:rFonts w:ascii="Times New Roman" w:hAnsi="Times New Roman" w:cs="Times New Roman" w:eastAsia="Times New Roman" w:hint="default"/>
                <w:sz w:val="18"/>
                <w:szCs w:val="18"/>
              </w:rPr>
            </w:pPr>
            <w:r>
              <w:rPr>
                <w:rFonts w:ascii="Times New Roman"/>
                <w:spacing w:val="-1"/>
                <w:sz w:val="18"/>
              </w:rPr>
              <w:t>99,400,624.</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29</w:t>
            </w:r>
          </w:p>
        </w:tc>
      </w:tr>
      <w:tr>
        <w:trPr>
          <w:trHeight w:val="504"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111" w:right="0"/>
              <w:jc w:val="left"/>
              <w:rPr>
                <w:rFonts w:ascii="Times New Roman" w:hAnsi="Times New Roman" w:cs="Times New Roman" w:eastAsia="Times New Roman" w:hint="default"/>
                <w:sz w:val="18"/>
                <w:szCs w:val="18"/>
              </w:rPr>
            </w:pPr>
            <w:r>
              <w:rPr>
                <w:rFonts w:ascii="Times New Roman"/>
                <w:sz w:val="18"/>
              </w:rPr>
              <w:t>32,406,3</w:t>
            </w:r>
          </w:p>
          <w:p>
            <w:pPr>
              <w:pStyle w:val="TableParagraph"/>
              <w:spacing w:line="207" w:lineRule="exact"/>
              <w:ind w:left="337" w:right="0"/>
              <w:jc w:val="left"/>
              <w:rPr>
                <w:rFonts w:ascii="Times New Roman" w:hAnsi="Times New Roman" w:cs="Times New Roman" w:eastAsia="Times New Roman" w:hint="default"/>
                <w:sz w:val="18"/>
                <w:szCs w:val="18"/>
              </w:rPr>
            </w:pPr>
            <w:r>
              <w:rPr>
                <w:rFonts w:ascii="Times New Roman"/>
                <w:sz w:val="18"/>
              </w:rPr>
              <w:t>69.81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6"/>
              <w:jc w:val="right"/>
              <w:rPr>
                <w:rFonts w:ascii="Times New Roman" w:hAnsi="Times New Roman" w:cs="Times New Roman" w:eastAsia="Times New Roman" w:hint="default"/>
                <w:sz w:val="18"/>
                <w:szCs w:val="18"/>
              </w:rPr>
            </w:pPr>
            <w:r>
              <w:rPr>
                <w:rFonts w:ascii="Times New Roman"/>
                <w:sz w:val="18"/>
              </w:rPr>
              <w:t>17.23%</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35" w:right="0"/>
              <w:jc w:val="left"/>
              <w:rPr>
                <w:rFonts w:ascii="Times New Roman" w:hAnsi="Times New Roman" w:cs="Times New Roman" w:eastAsia="Times New Roman" w:hint="default"/>
                <w:sz w:val="18"/>
                <w:szCs w:val="18"/>
              </w:rPr>
            </w:pPr>
            <w:r>
              <w:rPr>
                <w:rFonts w:ascii="Times New Roman"/>
                <w:sz w:val="18"/>
              </w:rPr>
              <w:t>32,406,36</w:t>
            </w:r>
          </w:p>
          <w:p>
            <w:pPr>
              <w:pStyle w:val="TableParagraph"/>
              <w:spacing w:line="207" w:lineRule="exact"/>
              <w:ind w:left="441" w:right="0"/>
              <w:jc w:val="left"/>
              <w:rPr>
                <w:rFonts w:ascii="Times New Roman" w:hAnsi="Times New Roman" w:cs="Times New Roman" w:eastAsia="Times New Roman" w:hint="default"/>
                <w:sz w:val="18"/>
                <w:szCs w:val="18"/>
              </w:rPr>
            </w:pPr>
            <w:r>
              <w:rPr>
                <w:rFonts w:ascii="Times New Roman"/>
                <w:sz w:val="18"/>
              </w:rPr>
              <w:t>9.81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3" w:right="0"/>
              <w:jc w:val="left"/>
              <w:rPr>
                <w:rFonts w:ascii="Times New Roman" w:hAnsi="Times New Roman" w:cs="Times New Roman" w:eastAsia="Times New Roman" w:hint="default"/>
                <w:sz w:val="18"/>
                <w:szCs w:val="18"/>
              </w:rPr>
            </w:pPr>
            <w:r>
              <w:rPr>
                <w:rFonts w:ascii="Times New Roman"/>
                <w:sz w:val="18"/>
              </w:rPr>
              <w:t>26,820,83</w:t>
            </w:r>
          </w:p>
          <w:p>
            <w:pPr>
              <w:pStyle w:val="TableParagraph"/>
              <w:spacing w:line="207" w:lineRule="exact"/>
              <w:ind w:left="429" w:right="0"/>
              <w:jc w:val="left"/>
              <w:rPr>
                <w:rFonts w:ascii="Times New Roman" w:hAnsi="Times New Roman" w:cs="Times New Roman" w:eastAsia="Times New Roman" w:hint="default"/>
                <w:sz w:val="18"/>
                <w:szCs w:val="18"/>
              </w:rPr>
            </w:pPr>
            <w:r>
              <w:rPr>
                <w:rFonts w:ascii="Times New Roman"/>
                <w:sz w:val="18"/>
              </w:rPr>
              <w:t>3.93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4"/>
              <w:jc w:val="right"/>
              <w:rPr>
                <w:rFonts w:ascii="Times New Roman" w:hAnsi="Times New Roman" w:cs="Times New Roman" w:eastAsia="Times New Roman" w:hint="default"/>
                <w:sz w:val="18"/>
                <w:szCs w:val="18"/>
              </w:rPr>
            </w:pPr>
            <w:r>
              <w:rPr>
                <w:rFonts w:ascii="Times New Roman"/>
                <w:sz w:val="18"/>
              </w:rPr>
              <w:t>18.12%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51" w:right="0"/>
              <w:jc w:val="lef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pacing w:val="-1"/>
                <w:sz w:val="18"/>
              </w:rPr>
              <w:t>26,820,833.</w:t>
            </w:r>
            <w:r>
              <w:rPr>
                <w:rFonts w:ascii="Times New Roman"/>
                <w:sz w:val="18"/>
              </w:rPr>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93</w:t>
            </w:r>
          </w:p>
        </w:tc>
      </w:tr>
      <w:tr>
        <w:trPr>
          <w:trHeight w:val="504"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93" w:right="0"/>
              <w:jc w:val="center"/>
              <w:rPr>
                <w:rFonts w:ascii="Times New Roman" w:hAnsi="Times New Roman" w:cs="Times New Roman" w:eastAsia="Times New Roman" w:hint="default"/>
                <w:sz w:val="18"/>
                <w:szCs w:val="18"/>
              </w:rPr>
            </w:pPr>
            <w:r>
              <w:rPr>
                <w:rFonts w:ascii="Times New Roman"/>
                <w:sz w:val="18"/>
              </w:rPr>
              <w:t>188,128,</w:t>
            </w:r>
          </w:p>
          <w:p>
            <w:pPr>
              <w:pStyle w:val="TableParagraph"/>
              <w:spacing w:line="207" w:lineRule="exact"/>
              <w:ind w:left="226" w:right="0"/>
              <w:jc w:val="center"/>
              <w:rPr>
                <w:rFonts w:ascii="Times New Roman" w:hAnsi="Times New Roman" w:cs="Times New Roman" w:eastAsia="Times New Roman" w:hint="default"/>
                <w:sz w:val="18"/>
                <w:szCs w:val="18"/>
              </w:rPr>
            </w:pPr>
            <w:r>
              <w:rPr>
                <w:rFonts w:ascii="Times New Roman"/>
                <w:sz w:val="18"/>
              </w:rPr>
              <w:t>232.97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100%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98" w:right="0"/>
              <w:jc w:val="left"/>
              <w:rPr>
                <w:rFonts w:ascii="Times New Roman" w:hAnsi="Times New Roman" w:cs="Times New Roman" w:eastAsia="Times New Roman" w:hint="default"/>
                <w:sz w:val="18"/>
                <w:szCs w:val="18"/>
              </w:rPr>
            </w:pPr>
            <w:r>
              <w:rPr>
                <w:rFonts w:ascii="Times New Roman"/>
                <w:sz w:val="18"/>
              </w:rPr>
              <w:t>28,317,5</w:t>
            </w:r>
          </w:p>
          <w:p>
            <w:pPr>
              <w:pStyle w:val="TableParagraph"/>
              <w:spacing w:line="207" w:lineRule="exact"/>
              <w:ind w:left="323" w:right="0"/>
              <w:jc w:val="left"/>
              <w:rPr>
                <w:rFonts w:ascii="Times New Roman" w:hAnsi="Times New Roman" w:cs="Times New Roman" w:eastAsia="Times New Roman" w:hint="default"/>
                <w:sz w:val="18"/>
                <w:szCs w:val="18"/>
              </w:rPr>
            </w:pPr>
            <w:r>
              <w:rPr>
                <w:rFonts w:ascii="Times New Roman"/>
                <w:sz w:val="18"/>
              </w:rPr>
              <w:t>32.40</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35" w:right="0"/>
              <w:jc w:val="left"/>
              <w:rPr>
                <w:rFonts w:ascii="Times New Roman" w:hAnsi="Times New Roman" w:cs="Times New Roman" w:eastAsia="Times New Roman" w:hint="default"/>
                <w:sz w:val="18"/>
                <w:szCs w:val="18"/>
              </w:rPr>
            </w:pPr>
            <w:r>
              <w:rPr>
                <w:rFonts w:ascii="Times New Roman"/>
                <w:sz w:val="18"/>
              </w:rPr>
              <w:t>159,810,7</w:t>
            </w:r>
          </w:p>
          <w:p>
            <w:pPr>
              <w:pStyle w:val="TableParagraph"/>
              <w:spacing w:line="207" w:lineRule="exact"/>
              <w:ind w:left="350" w:right="0"/>
              <w:jc w:val="left"/>
              <w:rPr>
                <w:rFonts w:ascii="Times New Roman" w:hAnsi="Times New Roman" w:cs="Times New Roman" w:eastAsia="Times New Roman" w:hint="default"/>
                <w:sz w:val="18"/>
                <w:szCs w:val="18"/>
              </w:rPr>
            </w:pPr>
            <w:r>
              <w:rPr>
                <w:rFonts w:ascii="Times New Roman"/>
                <w:sz w:val="18"/>
              </w:rPr>
              <w:t>00.57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3" w:right="0"/>
              <w:jc w:val="left"/>
              <w:rPr>
                <w:rFonts w:ascii="Times New Roman" w:hAnsi="Times New Roman" w:cs="Times New Roman" w:eastAsia="Times New Roman" w:hint="default"/>
                <w:sz w:val="18"/>
                <w:szCs w:val="18"/>
              </w:rPr>
            </w:pPr>
            <w:r>
              <w:rPr>
                <w:rFonts w:ascii="Times New Roman"/>
                <w:sz w:val="18"/>
              </w:rPr>
              <w:t>148,032,5</w:t>
            </w:r>
          </w:p>
          <w:p>
            <w:pPr>
              <w:pStyle w:val="TableParagraph"/>
              <w:spacing w:line="207" w:lineRule="exact"/>
              <w:ind w:left="338" w:right="0"/>
              <w:jc w:val="left"/>
              <w:rPr>
                <w:rFonts w:ascii="Times New Roman" w:hAnsi="Times New Roman" w:cs="Times New Roman" w:eastAsia="Times New Roman" w:hint="default"/>
                <w:sz w:val="18"/>
                <w:szCs w:val="18"/>
              </w:rPr>
            </w:pPr>
            <w:r>
              <w:rPr>
                <w:rFonts w:ascii="Times New Roman"/>
                <w:sz w:val="18"/>
              </w:rPr>
              <w:t>22.82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52" w:right="0"/>
              <w:jc w:val="left"/>
              <w:rPr>
                <w:rFonts w:ascii="Times New Roman" w:hAnsi="Times New Roman" w:cs="Times New Roman" w:eastAsia="Times New Roman" w:hint="default"/>
                <w:sz w:val="18"/>
                <w:szCs w:val="18"/>
              </w:rPr>
            </w:pPr>
            <w:r>
              <w:rPr>
                <w:rFonts w:ascii="Times New Roman"/>
                <w:sz w:val="18"/>
              </w:rPr>
              <w:t>21,811,06</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4.65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4"/>
              <w:jc w:val="right"/>
              <w:rPr>
                <w:rFonts w:ascii="Times New Roman" w:hAnsi="Times New Roman" w:cs="Times New Roman" w:eastAsia="Times New Roman" w:hint="default"/>
                <w:sz w:val="18"/>
                <w:szCs w:val="18"/>
              </w:rPr>
            </w:pPr>
            <w:r>
              <w:rPr>
                <w:rFonts w:ascii="Times New Roman"/>
                <w:sz w:val="18"/>
              </w:rPr>
              <w:t>14.73%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88" w:right="0"/>
              <w:jc w:val="left"/>
              <w:rPr>
                <w:rFonts w:ascii="Times New Roman" w:hAnsi="Times New Roman" w:cs="Times New Roman" w:eastAsia="Times New Roman" w:hint="default"/>
                <w:sz w:val="18"/>
                <w:szCs w:val="18"/>
              </w:rPr>
            </w:pPr>
            <w:r>
              <w:rPr>
                <w:rFonts w:ascii="Times New Roman"/>
                <w:sz w:val="18"/>
              </w:rPr>
              <w:t>126,221,45</w:t>
            </w:r>
          </w:p>
          <w:p>
            <w:pPr>
              <w:pStyle w:val="TableParagraph"/>
              <w:spacing w:line="207" w:lineRule="exact"/>
              <w:ind w:left="585" w:right="0"/>
              <w:jc w:val="left"/>
              <w:rPr>
                <w:rFonts w:ascii="Times New Roman" w:hAnsi="Times New Roman" w:cs="Times New Roman" w:eastAsia="Times New Roman" w:hint="default"/>
                <w:sz w:val="18"/>
                <w:szCs w:val="18"/>
              </w:rPr>
            </w:pPr>
            <w:r>
              <w:rPr>
                <w:rFonts w:ascii="Times New Roman"/>
                <w:sz w:val="18"/>
              </w:rPr>
              <w:t>8.17</w:t>
            </w:r>
          </w:p>
        </w:tc>
      </w:tr>
    </w:tbl>
    <w:p>
      <w:pPr>
        <w:pStyle w:val="BodyText"/>
        <w:spacing w:line="240" w:lineRule="auto" w:before="64"/>
        <w:ind w:right="1127"/>
        <w:jc w:val="left"/>
      </w:pPr>
      <w:r>
        <w:rPr/>
        <w:t>按单项计提坏账准备：</w:t>
      </w:r>
    </w:p>
    <w:p>
      <w:pPr>
        <w:spacing w:line="240" w:lineRule="auto" w:before="10"/>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324" w:hRule="exact"/>
        </w:trPr>
        <w:tc>
          <w:tcPr>
            <w:tcW w:w="191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912"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64"/>
        <w:ind w:right="1127"/>
        <w:jc w:val="left"/>
      </w:pPr>
      <w:r>
        <w:rPr/>
        <w:t>按组合计提坏账准备：</w:t>
      </w:r>
    </w:p>
    <w:p>
      <w:pPr>
        <w:spacing w:line="240" w:lineRule="auto" w:before="10"/>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324" w:hRule="exact"/>
        </w:trPr>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393" w:type="dxa"/>
            <w:vMerge/>
            <w:tcBorders>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年，下同）</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76,897,816.87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3,844,890.84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5.00%</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27,125,441.00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2,712,544.10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10.00%</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27,100,758.98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5,420,151.80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20.00%</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9,427,454.06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4,713,727.03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50.00%</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7,088,347.25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3,544,173.63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50.00%</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8,082,045.00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8,082,045.00</w:t>
            </w:r>
            <w:r>
              <w:rPr>
                <w:rFonts w:ascii="Times New Roman"/>
                <w:sz w:val="18"/>
              </w:rPr>
            </w:r>
          </w:p>
        </w:tc>
        <w:tc>
          <w:tcPr>
            <w:tcW w:w="2393"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155,721,863.16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28,317,532.40</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82" w:footer="1134" w:top="1280" w:bottom="1320" w:left="980" w:right="0"/>
        </w:sectPr>
      </w:pPr>
    </w:p>
    <w:p>
      <w:pPr>
        <w:pStyle w:val="BodyText"/>
        <w:spacing w:line="444" w:lineRule="auto" w:before="110"/>
        <w:ind w:right="7290"/>
        <w:jc w:val="left"/>
      </w:pPr>
      <w:r>
        <w:rPr>
          <w:spacing w:val="-2"/>
        </w:rPr>
        <w:t>确定该组合依据的说明：</w:t>
      </w:r>
      <w:r>
        <w:rPr>
          <w:spacing w:val="-82"/>
        </w:rPr>
        <w:t> </w:t>
      </w:r>
      <w:r>
        <w:rPr>
          <w:spacing w:val="-82"/>
        </w:rPr>
      </w:r>
      <w:r>
        <w:rPr/>
        <w:t>按组合计提坏账准备：</w:t>
      </w:r>
    </w:p>
    <w:p>
      <w:pPr>
        <w:spacing w:before="59"/>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5"/>
      </w:tblGrid>
      <w:tr>
        <w:trPr>
          <w:trHeight w:val="323" w:hRule="exact"/>
        </w:trPr>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2392" w:type="dxa"/>
            <w:vMerge/>
            <w:tcBorders>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446" w:lineRule="auto" w:before="64"/>
        <w:ind w:right="1127"/>
        <w:jc w:val="left"/>
      </w:pPr>
      <w:r>
        <w:rPr/>
        <w:t>确定该组合依据的说明：</w:t>
      </w:r>
      <w:r>
        <w:rPr>
          <w:w w:val="100"/>
        </w:rPr>
        <w:t> </w:t>
      </w:r>
      <w:r>
        <w:rPr>
          <w:spacing w:val="-2"/>
        </w:rPr>
        <w:t>如是按照预期信用损失一般模型计提应收账款坏账准备，请参照其他应收款的披露方式披露坏账准备</w:t>
      </w:r>
    </w:p>
    <w:p>
      <w:pPr>
        <w:pStyle w:val="BodyText"/>
        <w:spacing w:line="225" w:lineRule="exact"/>
        <w:ind w:left="152" w:right="1127"/>
        <w:jc w:val="left"/>
      </w:pPr>
      <w:r>
        <w:rPr/>
        <w:t>的相关信息：</w:t>
      </w:r>
    </w:p>
    <w:p>
      <w:pPr>
        <w:spacing w:line="240" w:lineRule="auto" w:before="12"/>
        <w:rPr>
          <w:rFonts w:ascii="宋体" w:hAnsi="宋体" w:cs="宋体" w:eastAsia="宋体" w:hint="default"/>
          <w:sz w:val="17"/>
          <w:szCs w:val="17"/>
        </w:rPr>
      </w:pPr>
    </w:p>
    <w:p>
      <w:pPr>
        <w:pStyle w:val="BodyText"/>
        <w:spacing w:line="420" w:lineRule="auto"/>
        <w:ind w:right="8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100"/>
        </w:rPr>
        <w:t> </w:t>
      </w:r>
      <w:r>
        <w:rPr/>
        <w:t>按账龄披露</w:t>
      </w:r>
    </w:p>
    <w:p>
      <w:pPr>
        <w:spacing w:before="8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60"/>
        <w:gridCol w:w="4796"/>
      </w:tblGrid>
      <w:tr>
        <w:trPr>
          <w:trHeight w:val="32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2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99,162,899.90</w:t>
            </w:r>
          </w:p>
        </w:tc>
      </w:tr>
      <w:tr>
        <w:trPr>
          <w:trHeight w:val="32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37,266,727.78</w:t>
            </w:r>
          </w:p>
        </w:tc>
      </w:tr>
      <w:tr>
        <w:trPr>
          <w:trHeight w:val="32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27,100,758.98</w:t>
            </w:r>
          </w:p>
        </w:tc>
      </w:tr>
      <w:tr>
        <w:trPr>
          <w:trHeight w:val="32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24,597,846.31</w:t>
            </w:r>
          </w:p>
        </w:tc>
      </w:tr>
      <w:tr>
        <w:trPr>
          <w:trHeight w:val="32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9,427,454.06</w:t>
            </w:r>
            <w:r>
              <w:rPr>
                <w:rFonts w:ascii="Times New Roman"/>
                <w:sz w:val="18"/>
              </w:rPr>
            </w:r>
          </w:p>
        </w:tc>
      </w:tr>
      <w:tr>
        <w:trPr>
          <w:trHeight w:val="32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7,088,347.25</w:t>
            </w:r>
            <w:r>
              <w:rPr>
                <w:rFonts w:ascii="Times New Roman"/>
                <w:sz w:val="18"/>
              </w:rPr>
            </w:r>
          </w:p>
        </w:tc>
      </w:tr>
      <w:tr>
        <w:trPr>
          <w:trHeight w:val="32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8,082,045.00</w:t>
            </w:r>
            <w:r>
              <w:rPr>
                <w:rFonts w:ascii="Times New Roman"/>
                <w:sz w:val="18"/>
              </w:rPr>
            </w:r>
          </w:p>
        </w:tc>
      </w:tr>
      <w:tr>
        <w:trPr>
          <w:trHeight w:val="32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188,128,232.97</w:t>
            </w:r>
            <w:r>
              <w:rPr>
                <w:rFonts w:ascii="Times New Roman"/>
                <w:sz w:val="18"/>
              </w:rPr>
            </w:r>
          </w:p>
        </w:tc>
      </w:tr>
    </w:tbl>
    <w:p>
      <w:pPr>
        <w:spacing w:line="240" w:lineRule="auto" w:before="7"/>
        <w:rPr>
          <w:rFonts w:ascii="宋体" w:hAnsi="宋体" w:cs="宋体" w:eastAsia="宋体" w:hint="default"/>
          <w:sz w:val="17"/>
          <w:szCs w:val="17"/>
        </w:rPr>
      </w:pPr>
    </w:p>
    <w:p>
      <w:pPr>
        <w:spacing w:line="472" w:lineRule="auto" w:before="36"/>
        <w:ind w:left="572" w:right="5512" w:hanging="421"/>
        <w:jc w:val="left"/>
        <w:rPr>
          <w:rFonts w:ascii="宋体" w:hAnsi="宋体" w:cs="宋体" w:eastAsia="宋体" w:hint="default"/>
          <w:sz w:val="21"/>
          <w:szCs w:val="21"/>
        </w:rPr>
      </w:pPr>
      <w:bookmarkStart w:name="（2）本期计提、收回或转回的坏账准备情况" w:id="642"/>
      <w:bookmarkEnd w:id="642"/>
      <w:r>
        <w:rPr/>
      </w: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）本期计提、收回或转回的坏账准备情况</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本期计提坏账准备情况：</w:t>
      </w:r>
    </w:p>
    <w:p>
      <w:pPr>
        <w:spacing w:before="3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322"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7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72"/>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21,811,064.65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6,506,467.75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28,317,532.40</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21,811,064.65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6,506,467.75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28,317,532.40</w:t>
            </w:r>
          </w:p>
        </w:tc>
      </w:tr>
    </w:tbl>
    <w:p>
      <w:pPr>
        <w:pStyle w:val="BodyText"/>
        <w:spacing w:line="240" w:lineRule="auto" w:before="64"/>
        <w:ind w:right="1127"/>
        <w:jc w:val="left"/>
      </w:pPr>
      <w:r>
        <w:rPr/>
        <w:t>其中本期坏账准备收回或转回金额重要的：</w:t>
      </w:r>
    </w:p>
    <w:p>
      <w:pPr>
        <w:spacing w:line="240" w:lineRule="auto" w:before="10"/>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089"/>
      </w:tblGrid>
      <w:tr>
        <w:trPr>
          <w:trHeight w:val="324" w:hRule="exact"/>
        </w:trPr>
        <w:tc>
          <w:tcPr>
            <w:tcW w:w="3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3）本期实际核销的应收账款情况" w:id="643"/>
      <w:bookmarkEnd w:id="64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32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pgSz w:w="11910" w:h="16840"/>
          <w:pgMar w:header="882" w:footer="1134" w:top="1280" w:bottom="1320" w:left="980" w:right="0"/>
        </w:sectPr>
      </w:pPr>
    </w:p>
    <w:p>
      <w:pPr>
        <w:pStyle w:val="BodyText"/>
        <w:spacing w:line="240" w:lineRule="auto" w:before="110"/>
        <w:ind w:right="1127"/>
        <w:jc w:val="left"/>
      </w:pPr>
      <w:r>
        <w:rPr/>
        <w:t>其中重要的应收账款核销情况：</w:t>
      </w:r>
    </w:p>
    <w:p>
      <w:pPr>
        <w:spacing w:line="240" w:lineRule="auto" w:before="10"/>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557" w:hRule="exact"/>
        </w:trPr>
        <w:tc>
          <w:tcPr>
            <w:tcW w:w="1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64"/>
        <w:ind w:right="1127"/>
        <w:jc w:val="left"/>
      </w:pPr>
      <w:r>
        <w:rPr/>
        <w:t>应收账款核销说明：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4）按欠款方归集的期末余额前五名的应收账款情况" w:id="644"/>
      <w:bookmarkEnd w:id="64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557"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921" w:right="110"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20,066,260.00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10.67%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3,250,754.00</w:t>
            </w:r>
            <w:r>
              <w:rPr>
                <w:rFonts w:ascii="Times New Roman"/>
                <w:sz w:val="18"/>
              </w:rPr>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pacing w:val="-1"/>
                <w:sz w:val="18"/>
              </w:rPr>
              <w:t>11,684,340.00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6.21%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2,336,868.00</w:t>
            </w:r>
            <w:r>
              <w:rPr>
                <w:rFonts w:ascii="Times New Roman"/>
                <w:sz w:val="18"/>
              </w:rPr>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9,500,000.00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5.05%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950,000.00</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8,093,000.00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4.30%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768,050.00</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7,933,559.00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4.22%</w:t>
            </w:r>
          </w:p>
        </w:tc>
        <w:tc>
          <w:tcPr>
            <w:tcW w:w="2393" w:type="dxa"/>
            <w:tcBorders>
              <w:top w:val="single" w:sz="4" w:space="0" w:color="000000"/>
              <w:left w:val="single" w:sz="4" w:space="0" w:color="000000"/>
              <w:bottom w:val="single" w:sz="9" w:space="0" w:color="D4D4D4"/>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542,730.90</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57,277,159.00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30.45%</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5）因金融资产转移而终止确认的应收账款" w:id="645"/>
      <w:bookmarkEnd w:id="64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1"/>
          <w:szCs w:val="21"/>
        </w:rPr>
      </w:pPr>
    </w:p>
    <w:p>
      <w:pPr>
        <w:pStyle w:val="Heading4"/>
        <w:spacing w:line="470" w:lineRule="auto"/>
        <w:ind w:left="572" w:right="5512" w:hanging="420"/>
        <w:jc w:val="left"/>
        <w:rPr>
          <w:rFonts w:ascii="宋体" w:hAnsi="宋体" w:cs="宋体" w:eastAsia="宋体" w:hint="default"/>
          <w:b w:val="0"/>
          <w:bCs w:val="0"/>
        </w:rPr>
      </w:pPr>
      <w:bookmarkStart w:name="（6）转移应收账款且继续涉入形成的资产、负债金额" w:id="646"/>
      <w:bookmarkEnd w:id="646"/>
      <w:r>
        <w:rPr>
          <w:b w:val="0"/>
          <w:bCs w:val="0"/>
        </w:rPr>
      </w:r>
      <w:r>
        <w:rPr>
          <w:spacing w:val="-1"/>
        </w:rPr>
        <w:t>（</w:t>
      </w:r>
      <w:r>
        <w:rPr>
          <w:rFonts w:ascii="Times New Roman" w:hAnsi="Times New Roman" w:cs="Times New Roman" w:eastAsia="Times New Roman" w:hint="default"/>
          <w:spacing w:val="-1"/>
        </w:rPr>
        <w:t>6</w:t>
      </w:r>
      <w:r>
        <w:rPr>
          <w:spacing w:val="-1"/>
        </w:rPr>
        <w:t>）转移应收账款且继续涉入形成的资产、负债金额</w:t>
      </w:r>
      <w:r>
        <w:rPr>
          <w:spacing w:val="-86"/>
        </w:rPr>
        <w:t> </w:t>
      </w:r>
      <w:r>
        <w:rPr>
          <w:spacing w:val="-86"/>
        </w:rPr>
      </w:r>
      <w:r>
        <w:rPr>
          <w:rFonts w:ascii="宋体" w:hAnsi="宋体" w:cs="宋体" w:eastAsia="宋体" w:hint="default"/>
          <w:b w:val="0"/>
          <w:bCs w:val="0"/>
        </w:rPr>
        <w:t>其他说明：</w:t>
      </w:r>
    </w:p>
    <w:p>
      <w:pPr>
        <w:spacing w:line="240" w:lineRule="auto" w:before="1"/>
        <w:rPr>
          <w:rFonts w:ascii="宋体" w:hAnsi="宋体" w:cs="宋体" w:eastAsia="宋体" w:hint="default"/>
          <w:sz w:val="18"/>
          <w:szCs w:val="18"/>
        </w:rPr>
      </w:pPr>
    </w:p>
    <w:p>
      <w:pPr>
        <w:pStyle w:val="Heading4"/>
        <w:spacing w:line="240" w:lineRule="auto"/>
        <w:ind w:right="1127"/>
        <w:jc w:val="left"/>
        <w:rPr>
          <w:b w:val="0"/>
          <w:bCs w:val="0"/>
        </w:rPr>
      </w:pPr>
      <w:bookmarkStart w:name="2、其他应收款" w:id="647"/>
      <w:bookmarkEnd w:id="64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0"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0"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310,574,422.12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335,066,079.43</w:t>
            </w:r>
            <w:r>
              <w:rPr>
                <w:rFonts w:ascii="Times New Roman"/>
                <w:sz w:val="18"/>
              </w:rPr>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310,574,422.12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335,066,079.43</w:t>
            </w:r>
            <w:r>
              <w:rPr>
                <w:rFonts w:ascii="Times New Roman"/>
                <w:sz w:val="18"/>
              </w:rPr>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1）应收利息" w:id="648"/>
      <w:bookmarkEnd w:id="648"/>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1）应收利息分类" w:id="649"/>
      <w:bookmarkEnd w:id="649"/>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0"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2）重要逾期利息" w:id="650"/>
      <w:bookmarkEnd w:id="650"/>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3"/>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324"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9"/>
              <w:ind w:left="52" w:right="0"/>
              <w:jc w:val="left"/>
              <w:rPr>
                <w:rFonts w:ascii="宋体" w:hAnsi="宋体" w:cs="宋体" w:eastAsia="宋体" w:hint="default"/>
                <w:sz w:val="18"/>
                <w:szCs w:val="18"/>
              </w:rPr>
            </w:pPr>
            <w:r>
              <w:rPr>
                <w:rFonts w:ascii="宋体" w:hAnsi="宋体" w:cs="宋体" w:eastAsia="宋体" w:hint="default"/>
                <w:sz w:val="18"/>
                <w:szCs w:val="18"/>
              </w:rPr>
              <w:t>是否发生减值及其判断</w:t>
            </w:r>
          </w:p>
        </w:tc>
      </w:tr>
    </w:tbl>
    <w:p>
      <w:pPr>
        <w:spacing w:after="0" w:line="240" w:lineRule="auto"/>
        <w:jc w:val="left"/>
        <w:rPr>
          <w:rFonts w:ascii="宋体" w:hAnsi="宋体" w:cs="宋体" w:eastAsia="宋体" w:hint="default"/>
          <w:sz w:val="18"/>
          <w:szCs w:val="18"/>
        </w:rPr>
        <w:sectPr>
          <w:footerReference w:type="default" r:id="rId89"/>
          <w:pgSz w:w="11910" w:h="16840"/>
          <w:pgMar w:footer="1134" w:header="882" w:top="1280" w:bottom="1320" w:left="980" w:right="0"/>
        </w:sectPr>
      </w:pPr>
    </w:p>
    <w:p>
      <w:pPr>
        <w:spacing w:line="240" w:lineRule="auto" w:before="2"/>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28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pStyle w:val="BodyText"/>
        <w:spacing w:line="240" w:lineRule="auto" w:before="64"/>
        <w:ind w:left="152" w:right="1127" w:firstLine="420"/>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76"/>
        <w:ind w:right="1127"/>
        <w:jc w:val="left"/>
        <w:rPr>
          <w:b w:val="0"/>
          <w:bCs w:val="0"/>
        </w:rPr>
      </w:pPr>
      <w:bookmarkStart w:name="3）坏账准备计提情况" w:id="651"/>
      <w:bookmarkEnd w:id="651"/>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32"/>
          <w:szCs w:val="32"/>
        </w:rPr>
      </w:pPr>
    </w:p>
    <w:p>
      <w:pPr>
        <w:pStyle w:val="Heading4"/>
        <w:spacing w:line="240" w:lineRule="auto"/>
        <w:ind w:right="1127"/>
        <w:jc w:val="left"/>
        <w:rPr>
          <w:b w:val="0"/>
          <w:bCs w:val="0"/>
        </w:rPr>
      </w:pPr>
      <w:bookmarkStart w:name="（2）应收股利" w:id="652"/>
      <w:bookmarkEnd w:id="652"/>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1127"/>
        <w:jc w:val="left"/>
        <w:rPr>
          <w:b w:val="0"/>
          <w:bCs w:val="0"/>
        </w:rPr>
      </w:pPr>
      <w:bookmarkStart w:name="1）应收股利分类" w:id="653"/>
      <w:bookmarkEnd w:id="653"/>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7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0"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2）重要的账龄超过1年的应收股利" w:id="654"/>
      <w:bookmarkEnd w:id="654"/>
      <w:r>
        <w:rPr>
          <w:b w:val="0"/>
          <w:bCs w:val="0"/>
        </w:rPr>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557"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3）坏账准备计提情况" w:id="655"/>
      <w:bookmarkEnd w:id="655"/>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6"/>
        <w:rPr>
          <w:rFonts w:ascii="宋体" w:hAnsi="宋体" w:cs="宋体" w:eastAsia="宋体" w:hint="default"/>
          <w:b/>
          <w:bCs/>
          <w:sz w:val="21"/>
          <w:szCs w:val="21"/>
        </w:rPr>
      </w:pPr>
    </w:p>
    <w:p>
      <w:pPr>
        <w:pStyle w:val="BodyText"/>
        <w:spacing w:line="420" w:lineRule="auto"/>
        <w:ind w:right="8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100"/>
        </w:rPr>
        <w:t> </w:t>
      </w:r>
      <w:r>
        <w:rPr/>
        <w:t>其他说明：</w:t>
      </w:r>
    </w:p>
    <w:p>
      <w:pPr>
        <w:spacing w:line="240" w:lineRule="auto" w:before="6"/>
        <w:rPr>
          <w:rFonts w:ascii="宋体" w:hAnsi="宋体" w:cs="宋体" w:eastAsia="宋体" w:hint="default"/>
          <w:sz w:val="21"/>
          <w:szCs w:val="21"/>
        </w:rPr>
      </w:pPr>
    </w:p>
    <w:p>
      <w:pPr>
        <w:pStyle w:val="Heading4"/>
        <w:spacing w:line="240" w:lineRule="auto"/>
        <w:ind w:right="1127"/>
        <w:jc w:val="left"/>
        <w:rPr>
          <w:b w:val="0"/>
          <w:bCs w:val="0"/>
        </w:rPr>
      </w:pPr>
      <w:bookmarkStart w:name="（3）其他应收款" w:id="656"/>
      <w:bookmarkEnd w:id="656"/>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1127"/>
        <w:jc w:val="left"/>
        <w:rPr>
          <w:b w:val="0"/>
          <w:bCs w:val="0"/>
        </w:rPr>
      </w:pPr>
      <w:bookmarkStart w:name="1）其他应收款按款项性质分类情况" w:id="657"/>
      <w:bookmarkEnd w:id="657"/>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合并内关联方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304,678,724.77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63,939,370.76</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4,975,101.76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2,306,549.78</w:t>
            </w:r>
            <w:r>
              <w:rPr>
                <w:rFonts w:ascii="Times New Roman"/>
                <w:sz w:val="18"/>
              </w:rPr>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1,360,219.81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2,560,388.42</w:t>
            </w:r>
            <w:r>
              <w:rPr>
                <w:rFonts w:ascii="Times New Roman"/>
                <w:sz w:val="18"/>
              </w:rPr>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单位往来借款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676,909.30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1,435,917.32</w:t>
            </w:r>
            <w:r>
              <w:rPr>
                <w:rFonts w:ascii="Times New Roman"/>
                <w:sz w:val="18"/>
              </w:rPr>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291,379.55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162,131.70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实际控制人资金占用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179,744,730.00</w:t>
            </w:r>
            <w:r>
              <w:rPr>
                <w:rFonts w:ascii="Times New Roman"/>
                <w:sz w:val="18"/>
              </w:rPr>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合作意向金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311,982,335.19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350,149,087.98</w:t>
            </w:r>
            <w:r>
              <w:rPr>
                <w:rFonts w:ascii="Times New Roman"/>
                <w:sz w:val="18"/>
              </w:rPr>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2）坏账准备计提情况" w:id="658"/>
      <w:bookmarkEnd w:id="658"/>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footerReference w:type="default" r:id="rId90"/>
          <w:pgSz w:w="11910" w:h="16840"/>
          <w:pgMar w:footer="1134" w:header="882" w:top="1280" w:bottom="1320" w:left="980" w:right="0"/>
          <w:pgNumType w:start="281"/>
        </w:sectPr>
      </w:pPr>
    </w:p>
    <w:p>
      <w:pPr>
        <w:spacing w:line="240" w:lineRule="auto" w:before="2"/>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1892"/>
        <w:gridCol w:w="1662"/>
        <w:gridCol w:w="2098"/>
        <w:gridCol w:w="2100"/>
        <w:gridCol w:w="1805"/>
      </w:tblGrid>
      <w:tr>
        <w:trPr>
          <w:trHeight w:val="324" w:hRule="exact"/>
        </w:trPr>
        <w:tc>
          <w:tcPr>
            <w:tcW w:w="1892" w:type="dxa"/>
            <w:tcBorders>
              <w:top w:val="single" w:sz="4" w:space="0" w:color="000000"/>
              <w:left w:val="single" w:sz="4" w:space="0" w:color="000000"/>
              <w:bottom w:val="nil" w:sz="6" w:space="0" w:color="auto"/>
              <w:right w:val="single" w:sz="4" w:space="0" w:color="000000"/>
            </w:tcBorders>
            <w:shd w:val="clear" w:color="auto" w:fill="D4D4D4"/>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74" w:hRule="exact"/>
        </w:trPr>
        <w:tc>
          <w:tcPr>
            <w:tcW w:w="189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03" w:lineRule="exact"/>
              <w:ind w:left="5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32"/>
              <w:ind w:left="56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4D4D4"/>
          </w:tcPr>
          <w:p>
            <w:pPr>
              <w:pStyle w:val="TableParagraph"/>
              <w:spacing w:line="234" w:lineRule="exact" w:before="8"/>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8"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vMerge w:val="restart"/>
            <w:tcBorders>
              <w:top w:val="single" w:sz="4" w:space="0" w:color="000000"/>
              <w:left w:val="single" w:sz="4" w:space="0" w:color="000000"/>
              <w:right w:val="single" w:sz="4" w:space="0" w:color="000000"/>
            </w:tcBorders>
            <w:shd w:val="clear" w:color="auto" w:fill="D4D4D4"/>
          </w:tcPr>
          <w:p>
            <w:pPr>
              <w:pStyle w:val="TableParagraph"/>
              <w:spacing w:line="234" w:lineRule="exact" w:before="8"/>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8" w:lineRule="exact"/>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03" w:lineRule="exact"/>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283" w:hRule="exact"/>
        </w:trPr>
        <w:tc>
          <w:tcPr>
            <w:tcW w:w="1892" w:type="dxa"/>
            <w:tcBorders>
              <w:top w:val="nil" w:sz="6" w:space="0" w:color="auto"/>
              <w:left w:val="single" w:sz="4" w:space="0" w:color="000000"/>
              <w:bottom w:val="single" w:sz="4" w:space="0" w:color="000000"/>
              <w:right w:val="single" w:sz="4" w:space="0" w:color="000000"/>
            </w:tcBorders>
            <w:shd w:val="clear" w:color="auto" w:fill="D4D4D4"/>
          </w:tcPr>
          <w:p>
            <w:pPr/>
          </w:p>
        </w:tc>
        <w:tc>
          <w:tcPr>
            <w:tcW w:w="1662" w:type="dxa"/>
            <w:vMerge/>
            <w:tcBorders>
              <w:left w:val="single" w:sz="4" w:space="0" w:color="000000"/>
              <w:bottom w:val="single" w:sz="4" w:space="0" w:color="000000"/>
              <w:right w:val="single" w:sz="4" w:space="0" w:color="000000"/>
            </w:tcBorders>
            <w:shd w:val="clear" w:color="auto" w:fill="D4D4D4"/>
          </w:tcPr>
          <w:p>
            <w:pPr/>
          </w:p>
        </w:tc>
        <w:tc>
          <w:tcPr>
            <w:tcW w:w="2098" w:type="dxa"/>
            <w:vMerge/>
            <w:tcBorders>
              <w:left w:val="single" w:sz="4" w:space="0" w:color="000000"/>
              <w:bottom w:val="single" w:sz="4" w:space="0" w:color="000000"/>
              <w:right w:val="single" w:sz="4" w:space="0" w:color="000000"/>
            </w:tcBorders>
            <w:shd w:val="clear" w:color="auto" w:fill="D4D4D4"/>
          </w:tcPr>
          <w:p>
            <w:pPr/>
          </w:p>
        </w:tc>
        <w:tc>
          <w:tcPr>
            <w:tcW w:w="2100" w:type="dxa"/>
            <w:vMerge/>
            <w:tcBorders>
              <w:left w:val="single" w:sz="4" w:space="0" w:color="000000"/>
              <w:bottom w:val="single" w:sz="4" w:space="0" w:color="000000"/>
              <w:right w:val="single" w:sz="4" w:space="0" w:color="000000"/>
            </w:tcBorders>
            <w:shd w:val="clear" w:color="auto" w:fill="D4D4D4"/>
          </w:tcPr>
          <w:p>
            <w:pPr/>
          </w:p>
        </w:tc>
        <w:tc>
          <w:tcPr>
            <w:tcW w:w="180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89"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2" w:type="dxa"/>
            <w:tcBorders>
              <w:top w:val="single" w:sz="4" w:space="0" w:color="000000"/>
              <w:left w:val="single" w:sz="10" w:space="0" w:color="D4D4D4"/>
              <w:bottom w:val="single" w:sz="56" w:space="0" w:color="D4D4D4"/>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15,083,008.55</w:t>
            </w:r>
          </w:p>
        </w:tc>
        <w:tc>
          <w:tcPr>
            <w:tcW w:w="2098" w:type="dxa"/>
            <w:tcBorders>
              <w:top w:val="single" w:sz="4" w:space="0" w:color="000000"/>
              <w:left w:val="single" w:sz="4" w:space="0" w:color="000000"/>
              <w:bottom w:val="single" w:sz="56" w:space="0" w:color="D4D4D4"/>
              <w:right w:val="single" w:sz="4" w:space="0" w:color="000000"/>
            </w:tcBorders>
          </w:tcPr>
          <w:p>
            <w:pPr/>
          </w:p>
        </w:tc>
        <w:tc>
          <w:tcPr>
            <w:tcW w:w="2100" w:type="dxa"/>
            <w:tcBorders>
              <w:top w:val="single" w:sz="4" w:space="0" w:color="000000"/>
              <w:left w:val="single" w:sz="4" w:space="0" w:color="000000"/>
              <w:bottom w:val="single" w:sz="56" w:space="0" w:color="D4D4D4"/>
              <w:right w:val="single" w:sz="4" w:space="0" w:color="000000"/>
            </w:tcBorders>
          </w:tcPr>
          <w:p>
            <w:pPr/>
          </w:p>
        </w:tc>
        <w:tc>
          <w:tcPr>
            <w:tcW w:w="1805" w:type="dxa"/>
            <w:tcBorders>
              <w:top w:val="single" w:sz="4" w:space="0" w:color="000000"/>
              <w:left w:val="single" w:sz="4" w:space="0" w:color="000000"/>
              <w:bottom w:val="single" w:sz="56" w:space="0" w:color="D4D4D4"/>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15,083,008.55</w:t>
            </w:r>
            <w:r>
              <w:rPr>
                <w:rFonts w:ascii="Times New Roman"/>
                <w:sz w:val="18"/>
              </w:rPr>
            </w:r>
          </w:p>
        </w:tc>
      </w:tr>
      <w:tr>
        <w:trPr>
          <w:trHeight w:val="426"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184"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w:t>
            </w:r>
          </w:p>
          <w:p>
            <w:pPr>
              <w:pStyle w:val="TableParagraph"/>
              <w:spacing w:line="227" w:lineRule="exact"/>
              <w:ind w:left="12" w:right="0"/>
              <w:jc w:val="left"/>
              <w:rPr>
                <w:rFonts w:ascii="宋体" w:hAnsi="宋体" w:cs="宋体" w:eastAsia="宋体" w:hint="default"/>
                <w:sz w:val="18"/>
                <w:szCs w:val="18"/>
              </w:rPr>
            </w:pPr>
            <w:r>
              <w:rPr>
                <w:rFonts w:ascii="宋体" w:hAnsi="宋体" w:cs="宋体" w:eastAsia="宋体" w:hint="default"/>
                <w:sz w:val="18"/>
                <w:szCs w:val="18"/>
              </w:rPr>
              <w:t>本期</w:t>
            </w:r>
          </w:p>
        </w:tc>
        <w:tc>
          <w:tcPr>
            <w:tcW w:w="1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8"/>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8"/>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8"/>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88"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57" w:space="0" w:color="D4D4D4"/>
              <w:left w:val="single" w:sz="10" w:space="0" w:color="D4D4D4"/>
              <w:bottom w:val="single" w:sz="4" w:space="0" w:color="000000"/>
              <w:right w:val="single" w:sz="4" w:space="0" w:color="000000"/>
            </w:tcBorders>
          </w:tcPr>
          <w:p>
            <w:pPr/>
          </w:p>
        </w:tc>
        <w:tc>
          <w:tcPr>
            <w:tcW w:w="2098" w:type="dxa"/>
            <w:tcBorders>
              <w:top w:val="single" w:sz="57" w:space="0" w:color="D4D4D4"/>
              <w:left w:val="single" w:sz="4" w:space="0" w:color="000000"/>
              <w:bottom w:val="single" w:sz="4" w:space="0" w:color="000000"/>
              <w:right w:val="single" w:sz="4" w:space="0" w:color="000000"/>
            </w:tcBorders>
          </w:tcPr>
          <w:p>
            <w:pPr/>
          </w:p>
        </w:tc>
        <w:tc>
          <w:tcPr>
            <w:tcW w:w="2100" w:type="dxa"/>
            <w:tcBorders>
              <w:top w:val="single" w:sz="57" w:space="0" w:color="D4D4D4"/>
              <w:left w:val="single" w:sz="4" w:space="0" w:color="000000"/>
              <w:bottom w:val="single" w:sz="4" w:space="0" w:color="000000"/>
              <w:right w:val="single" w:sz="4" w:space="0" w:color="000000"/>
            </w:tcBorders>
          </w:tcPr>
          <w:p>
            <w:pPr/>
          </w:p>
        </w:tc>
        <w:tc>
          <w:tcPr>
            <w:tcW w:w="1805" w:type="dxa"/>
            <w:tcBorders>
              <w:top w:val="single" w:sz="57" w:space="0" w:color="D4D4D4"/>
              <w:left w:val="single" w:sz="4" w:space="0" w:color="000000"/>
              <w:bottom w:val="single" w:sz="4" w:space="0" w:color="000000"/>
              <w:right w:val="single" w:sz="4" w:space="0" w:color="000000"/>
            </w:tcBorders>
          </w:tcPr>
          <w:p>
            <w:pPr/>
          </w:p>
        </w:tc>
      </w:tr>
      <w:tr>
        <w:trPr>
          <w:trHeight w:val="324"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13,675,095.48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13,675,095.48</w:t>
            </w:r>
          </w:p>
        </w:tc>
      </w:tr>
      <w:tr>
        <w:trPr>
          <w:trHeight w:val="324"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1,407,913.07</w:t>
            </w:r>
            <w:r>
              <w:rPr>
                <w:rFonts w:ascii="Times New Roman"/>
                <w:sz w:val="18"/>
              </w:rPr>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1,407,913.07</w:t>
            </w:r>
            <w:r>
              <w:rPr>
                <w:rFonts w:ascii="Times New Roman"/>
                <w:sz w:val="18"/>
              </w:rPr>
            </w:r>
          </w:p>
        </w:tc>
      </w:tr>
    </w:tbl>
    <w:p>
      <w:pPr>
        <w:pStyle w:val="BodyText"/>
        <w:spacing w:line="240" w:lineRule="auto" w:before="64"/>
        <w:ind w:right="1127"/>
        <w:jc w:val="left"/>
      </w:pPr>
      <w:r>
        <w:rPr/>
        <w:t>损失准备本期变动金额重大的账面余额变动情况</w:t>
      </w:r>
    </w:p>
    <w:p>
      <w:pPr>
        <w:spacing w:line="240" w:lineRule="auto" w:before="12"/>
        <w:rPr>
          <w:rFonts w:ascii="宋体" w:hAnsi="宋体" w:cs="宋体" w:eastAsia="宋体" w:hint="default"/>
          <w:sz w:val="17"/>
          <w:szCs w:val="17"/>
        </w:rPr>
      </w:pPr>
    </w:p>
    <w:p>
      <w:pPr>
        <w:pStyle w:val="BodyText"/>
        <w:spacing w:line="417" w:lineRule="auto"/>
        <w:ind w:right="8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100"/>
        </w:rPr>
        <w:t> </w:t>
      </w:r>
      <w:r>
        <w:rPr/>
        <w:t>按账龄披露</w:t>
      </w:r>
    </w:p>
    <w:p>
      <w:pPr>
        <w:spacing w:before="82"/>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60"/>
        <w:gridCol w:w="4796"/>
      </w:tblGrid>
      <w:tr>
        <w:trPr>
          <w:trHeight w:val="32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2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307,689,536.71</w:t>
            </w:r>
            <w:r>
              <w:rPr>
                <w:rFonts w:ascii="Times New Roman"/>
                <w:sz w:val="18"/>
              </w:rPr>
            </w:r>
          </w:p>
        </w:tc>
      </w:tr>
      <w:tr>
        <w:trPr>
          <w:trHeight w:val="32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869,868.38</w:t>
            </w:r>
          </w:p>
        </w:tc>
      </w:tr>
      <w:tr>
        <w:trPr>
          <w:trHeight w:val="32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710,008.50</w:t>
            </w:r>
          </w:p>
        </w:tc>
      </w:tr>
      <w:tr>
        <w:trPr>
          <w:trHeight w:val="32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2,712,921.60</w:t>
            </w:r>
          </w:p>
        </w:tc>
      </w:tr>
      <w:tr>
        <w:trPr>
          <w:trHeight w:val="32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750,629.07</w:t>
            </w:r>
          </w:p>
        </w:tc>
      </w:tr>
      <w:tr>
        <w:trPr>
          <w:trHeight w:val="32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746,568.90</w:t>
            </w:r>
          </w:p>
        </w:tc>
      </w:tr>
      <w:tr>
        <w:trPr>
          <w:trHeight w:val="32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1,215,723.63</w:t>
            </w:r>
            <w:r>
              <w:rPr>
                <w:rFonts w:ascii="Times New Roman"/>
                <w:sz w:val="18"/>
              </w:rPr>
            </w:r>
          </w:p>
        </w:tc>
      </w:tr>
      <w:tr>
        <w:trPr>
          <w:trHeight w:val="32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311,982,335.19</w:t>
            </w:r>
          </w:p>
        </w:tc>
      </w:tr>
    </w:tbl>
    <w:p>
      <w:pPr>
        <w:spacing w:line="240" w:lineRule="auto" w:before="7"/>
        <w:rPr>
          <w:rFonts w:ascii="宋体" w:hAnsi="宋体" w:cs="宋体" w:eastAsia="宋体" w:hint="default"/>
          <w:sz w:val="17"/>
          <w:szCs w:val="17"/>
        </w:rPr>
      </w:pPr>
    </w:p>
    <w:p>
      <w:pPr>
        <w:spacing w:line="472" w:lineRule="auto" w:before="36"/>
        <w:ind w:left="572" w:right="5512" w:hanging="421"/>
        <w:jc w:val="left"/>
        <w:rPr>
          <w:rFonts w:ascii="宋体" w:hAnsi="宋体" w:cs="宋体" w:eastAsia="宋体" w:hint="default"/>
          <w:sz w:val="21"/>
          <w:szCs w:val="21"/>
        </w:rPr>
      </w:pPr>
      <w:bookmarkStart w:name="3）本期计提、收回或转回的坏账准备情况" w:id="659"/>
      <w:bookmarkEnd w:id="659"/>
      <w:r>
        <w:rPr/>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）本期计提、收回或转回的坏账准备情况</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z w:val="21"/>
          <w:szCs w:val="21"/>
        </w:rPr>
        <w:t>本期计提坏账准备情况：</w:t>
      </w:r>
    </w:p>
    <w:p>
      <w:pPr>
        <w:spacing w:before="3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79"/>
        <w:gridCol w:w="1087"/>
        <w:gridCol w:w="1332"/>
        <w:gridCol w:w="1452"/>
        <w:gridCol w:w="1198"/>
        <w:gridCol w:w="1346"/>
        <w:gridCol w:w="1574"/>
      </w:tblGrid>
      <w:tr>
        <w:trPr>
          <w:trHeight w:val="324" w:hRule="exact"/>
        </w:trPr>
        <w:tc>
          <w:tcPr>
            <w:tcW w:w="157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579" w:type="dxa"/>
            <w:vMerge/>
            <w:tcBorders>
              <w:left w:val="single" w:sz="4" w:space="0" w:color="000000"/>
              <w:bottom w:val="single" w:sz="4" w:space="0" w:color="000000"/>
              <w:right w:val="single" w:sz="4" w:space="0" w:color="000000"/>
            </w:tcBorders>
            <w:shd w:val="clear" w:color="auto" w:fill="D4D4D4"/>
          </w:tcPr>
          <w:p>
            <w:pPr/>
          </w:p>
        </w:tc>
        <w:tc>
          <w:tcPr>
            <w:tcW w:w="1087" w:type="dxa"/>
            <w:vMerge/>
            <w:tcBorders>
              <w:left w:val="single" w:sz="4" w:space="0" w:color="000000"/>
              <w:bottom w:val="single" w:sz="4" w:space="0" w:color="000000"/>
              <w:right w:val="single" w:sz="4" w:space="0" w:color="000000"/>
            </w:tcBorders>
            <w:shd w:val="clear" w:color="auto" w:fill="D4D4D4"/>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4D4D4"/>
          </w:tcPr>
          <w:p>
            <w:pPr/>
          </w:p>
        </w:tc>
      </w:tr>
      <w:tr>
        <w:trPr>
          <w:trHeight w:val="504"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15,083,008.5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5</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13,675,095.48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6"/>
              <w:jc w:val="right"/>
              <w:rPr>
                <w:rFonts w:ascii="Times New Roman" w:hAnsi="Times New Roman" w:cs="Times New Roman" w:eastAsia="Times New Roman" w:hint="default"/>
                <w:sz w:val="18"/>
                <w:szCs w:val="18"/>
              </w:rPr>
            </w:pPr>
            <w:r>
              <w:rPr>
                <w:rFonts w:ascii="Times New Roman"/>
                <w:spacing w:val="-1"/>
                <w:sz w:val="18"/>
              </w:rPr>
              <w:t>1,407,913.07</w:t>
            </w:r>
            <w:r>
              <w:rPr>
                <w:rFonts w:ascii="Times New Roman"/>
                <w:sz w:val="18"/>
              </w:rPr>
            </w:r>
          </w:p>
        </w:tc>
      </w:tr>
      <w:tr>
        <w:trPr>
          <w:trHeight w:val="504" w:hRule="exact"/>
        </w:trPr>
        <w:tc>
          <w:tcPr>
            <w:tcW w:w="15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15,083,008.5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5</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13,675,095.48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6"/>
              <w:jc w:val="right"/>
              <w:rPr>
                <w:rFonts w:ascii="Times New Roman" w:hAnsi="Times New Roman" w:cs="Times New Roman" w:eastAsia="Times New Roman" w:hint="default"/>
                <w:sz w:val="18"/>
                <w:szCs w:val="18"/>
              </w:rPr>
            </w:pPr>
            <w:r>
              <w:rPr>
                <w:rFonts w:ascii="Times New Roman"/>
                <w:spacing w:val="-1"/>
                <w:sz w:val="18"/>
              </w:rPr>
              <w:t>1,407,913.07</w:t>
            </w:r>
            <w:r>
              <w:rPr>
                <w:rFonts w:ascii="Times New Roman"/>
                <w:sz w:val="18"/>
              </w:rPr>
            </w:r>
          </w:p>
        </w:tc>
      </w:tr>
    </w:tbl>
    <w:p>
      <w:pPr>
        <w:pStyle w:val="BodyText"/>
        <w:spacing w:line="240" w:lineRule="auto" w:before="64"/>
        <w:ind w:right="1127"/>
        <w:jc w:val="left"/>
      </w:pPr>
      <w:r>
        <w:rPr/>
        <w:t>其中本期坏账准备转回或收回金额重要的：</w:t>
      </w:r>
    </w:p>
    <w:p>
      <w:pPr>
        <w:spacing w:line="240" w:lineRule="auto" w:before="8"/>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8,987,236.50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常州燕璐资本管理有限公司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3190" w:type="dxa"/>
            <w:tcBorders>
              <w:top w:val="single" w:sz="4" w:space="0" w:color="000000"/>
              <w:left w:val="single" w:sz="4" w:space="0" w:color="000000"/>
              <w:bottom w:val="single" w:sz="5" w:space="0" w:color="D4D4D4"/>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45"/>
              <w:ind w:right="13"/>
              <w:jc w:val="right"/>
              <w:rPr>
                <w:rFonts w:ascii="Times New Roman" w:hAnsi="Times New Roman" w:cs="Times New Roman" w:eastAsia="Times New Roman" w:hint="default"/>
                <w:sz w:val="18"/>
                <w:szCs w:val="18"/>
              </w:rPr>
            </w:pPr>
            <w:r>
              <w:rPr>
                <w:rFonts w:ascii="Times New Roman"/>
                <w:spacing w:val="-1"/>
                <w:sz w:val="18"/>
              </w:rPr>
              <w:t>13,987,236.50</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4）本期实际核销的其他应收款情况" w:id="660"/>
      <w:bookmarkEnd w:id="660"/>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after="0" w:line="240" w:lineRule="auto"/>
        <w:jc w:val="left"/>
        <w:sectPr>
          <w:pgSz w:w="11910" w:h="16840"/>
          <w:pgMar w:header="882" w:footer="1134" w:top="1280" w:bottom="1320" w:left="980" w:right="0"/>
        </w:sectPr>
      </w:pPr>
    </w:p>
    <w:p>
      <w:pPr>
        <w:spacing w:line="240" w:lineRule="auto" w:before="10"/>
        <w:rPr>
          <w:rFonts w:ascii="宋体" w:hAnsi="宋体" w:cs="宋体" w:eastAsia="宋体" w:hint="default"/>
          <w:b/>
          <w:bCs/>
          <w:sz w:val="19"/>
          <w:szCs w:val="19"/>
        </w:rPr>
      </w:pPr>
    </w:p>
    <w:p>
      <w:pPr>
        <w:spacing w:before="44"/>
        <w:ind w:left="0" w:right="1133" w:firstLine="0"/>
        <w:jc w:val="right"/>
        <w:rPr>
          <w:rFonts w:ascii="宋体" w:hAnsi="宋体" w:cs="宋体" w:eastAsia="宋体" w:hint="default"/>
          <w:sz w:val="18"/>
          <w:szCs w:val="18"/>
        </w:rPr>
      </w:pPr>
      <w:r>
        <w:rPr/>
        <w:pict>
          <v:shape style="position:absolute;margin-left:56.459999pt;margin-top:-4.208303pt;width:479.1pt;height:38.4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0"/>
                    <w:gridCol w:w="4788"/>
                  </w:tblGrid>
                  <w:tr>
                    <w:trPr>
                      <w:trHeight w:val="432" w:hRule="exact"/>
                    </w:trPr>
                    <w:tc>
                      <w:tcPr>
                        <w:tcW w:w="4780" w:type="dxa"/>
                        <w:tcBorders>
                          <w:top w:val="single" w:sz="6" w:space="0" w:color="000000"/>
                          <w:left w:val="nil" w:sz="6" w:space="0" w:color="auto"/>
                          <w:bottom w:val="single" w:sz="4" w:space="0" w:color="000000"/>
                          <w:right w:val="nil" w:sz="6" w:space="0" w:color="auto"/>
                        </w:tcBorders>
                      </w:tcPr>
                      <w:p>
                        <w:pPr/>
                      </w:p>
                    </w:tc>
                    <w:tc>
                      <w:tcPr>
                        <w:tcW w:w="4788" w:type="dxa"/>
                        <w:tcBorders>
                          <w:top w:val="single" w:sz="6" w:space="0" w:color="000000"/>
                          <w:left w:val="nil" w:sz="6" w:space="0" w:color="auto"/>
                          <w:bottom w:val="single" w:sz="4" w:space="0" w:color="000000"/>
                          <w:right w:val="nil" w:sz="6" w:space="0" w:color="auto"/>
                        </w:tcBorders>
                      </w:tcPr>
                      <w:p>
                        <w:pPr>
                          <w:pStyle w:val="TableParagraph"/>
                          <w:spacing w:line="240" w:lineRule="auto" w:before="113"/>
                          <w:ind w:right="199"/>
                          <w:jc w:val="right"/>
                          <w:rPr>
                            <w:rFonts w:ascii="宋体" w:hAnsi="宋体" w:cs="宋体" w:eastAsia="宋体" w:hint="default"/>
                            <w:sz w:val="18"/>
                            <w:szCs w:val="18"/>
                          </w:rPr>
                        </w:pPr>
                        <w:r>
                          <w:rPr>
                            <w:rFonts w:ascii="宋体" w:hAnsi="宋体" w:cs="宋体" w:eastAsia="宋体" w:hint="default"/>
                            <w:sz w:val="18"/>
                            <w:szCs w:val="18"/>
                          </w:rPr>
                          <w:t>单位：</w:t>
                        </w:r>
                      </w:p>
                    </w:tc>
                  </w:tr>
                  <w:tr>
                    <w:trPr>
                      <w:trHeight w:val="324"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
              </w:txbxContent>
            </v:textbox>
            <w10:wrap type="none"/>
          </v:shape>
        </w:pic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532" w:right="4814"/>
        <w:jc w:val="left"/>
      </w:pPr>
      <w:r>
        <w:rPr/>
        <w:t>其中重要的其他应收款核销情况：</w:t>
      </w:r>
    </w:p>
    <w:p>
      <w:pPr>
        <w:spacing w:line="240" w:lineRule="auto" w:before="8"/>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557" w:hRule="exact"/>
        </w:trPr>
        <w:tc>
          <w:tcPr>
            <w:tcW w:w="1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4"/>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4"/>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4"/>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4"/>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4"/>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0" w:lineRule="exact" w:before="35"/>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65"/>
        <w:ind w:left="532" w:right="4814"/>
        <w:jc w:val="left"/>
      </w:pPr>
      <w:r>
        <w:rPr/>
        <w:t>其他应收款核销说明：</w:t>
      </w:r>
    </w:p>
    <w:p>
      <w:pPr>
        <w:spacing w:line="240" w:lineRule="auto" w:before="0"/>
        <w:rPr>
          <w:rFonts w:ascii="宋体" w:hAnsi="宋体" w:cs="宋体" w:eastAsia="宋体" w:hint="default"/>
          <w:sz w:val="20"/>
          <w:szCs w:val="20"/>
        </w:rPr>
      </w:pPr>
    </w:p>
    <w:p>
      <w:pPr>
        <w:pStyle w:val="Heading4"/>
        <w:spacing w:line="240" w:lineRule="auto" w:before="174"/>
        <w:ind w:left="112" w:right="4814"/>
        <w:jc w:val="left"/>
        <w:rPr>
          <w:b w:val="0"/>
          <w:bCs w:val="0"/>
        </w:rPr>
      </w:pPr>
      <w:bookmarkStart w:name="5）按欠款方归集的期末余额前五名的其他应收款情况" w:id="661"/>
      <w:bookmarkEnd w:id="661"/>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557"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150,873,580.00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34" w:lineRule="exact"/>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150,000,000.00</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p>
            <w:pPr>
              <w:pStyle w:val="TableParagraph"/>
              <w:spacing w:line="233" w:lineRule="exact"/>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年以上</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873,580.00</w:t>
            </w:r>
          </w:p>
          <w:p>
            <w:pPr>
              <w:pStyle w:val="TableParagraph"/>
              <w:spacing w:line="226" w:lineRule="exact"/>
              <w:ind w:left="2"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48.36%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147,161,975.34</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25" w:right="0"/>
              <w:jc w:val="left"/>
              <w:rPr>
                <w:rFonts w:ascii="Times New Roman" w:hAnsi="Times New Roman" w:cs="Times New Roman" w:eastAsia="Times New Roman" w:hint="default"/>
                <w:sz w:val="18"/>
                <w:szCs w:val="18"/>
              </w:rPr>
            </w:pPr>
            <w:r>
              <w:rPr>
                <w:rFonts w:ascii="Times New Roman"/>
                <w:sz w:val="18"/>
              </w:rPr>
              <w:t>47.17%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6,010,000.00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71" w:right="0"/>
              <w:jc w:val="left"/>
              <w:rPr>
                <w:rFonts w:ascii="Times New Roman" w:hAnsi="Times New Roman" w:cs="Times New Roman" w:eastAsia="Times New Roman" w:hint="default"/>
                <w:sz w:val="18"/>
                <w:szCs w:val="18"/>
              </w:rPr>
            </w:pPr>
            <w:r>
              <w:rPr>
                <w:rFonts w:ascii="Times New Roman"/>
                <w:sz w:val="18"/>
              </w:rPr>
              <w:t>1.93%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749,350.00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71" w:right="0"/>
              <w:jc w:val="left"/>
              <w:rPr>
                <w:rFonts w:ascii="Times New Roman" w:hAnsi="Times New Roman" w:cs="Times New Roman" w:eastAsia="Times New Roman" w:hint="default"/>
                <w:sz w:val="18"/>
                <w:szCs w:val="18"/>
              </w:rPr>
            </w:pPr>
            <w:r>
              <w:rPr>
                <w:rFonts w:ascii="Times New Roman"/>
                <w:sz w:val="18"/>
              </w:rPr>
              <w:t>0.24%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98" w:right="0"/>
              <w:jc w:val="left"/>
              <w:rPr>
                <w:rFonts w:ascii="Times New Roman" w:hAnsi="Times New Roman" w:cs="Times New Roman" w:eastAsia="Times New Roman" w:hint="default"/>
                <w:sz w:val="18"/>
                <w:szCs w:val="18"/>
              </w:rPr>
            </w:pPr>
            <w:r>
              <w:rPr>
                <w:rFonts w:ascii="Times New Roman"/>
                <w:sz w:val="18"/>
              </w:rPr>
              <w:t>524,545.00</w:t>
            </w:r>
          </w:p>
        </w:tc>
      </w:tr>
      <w:tr>
        <w:trPr>
          <w:trHeight w:val="32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550"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666,532.14</w:t>
            </w:r>
          </w:p>
        </w:tc>
        <w:tc>
          <w:tcPr>
            <w:tcW w:w="1550"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71" w:right="0"/>
              <w:jc w:val="left"/>
              <w:rPr>
                <w:rFonts w:ascii="Times New Roman" w:hAnsi="Times New Roman" w:cs="Times New Roman" w:eastAsia="Times New Roman" w:hint="default"/>
                <w:sz w:val="18"/>
                <w:szCs w:val="18"/>
              </w:rPr>
            </w:pPr>
            <w:r>
              <w:rPr>
                <w:rFonts w:ascii="Times New Roman"/>
                <w:sz w:val="18"/>
              </w:rPr>
              <w:t>0.21%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43" w:right="0"/>
              <w:jc w:val="left"/>
              <w:rPr>
                <w:rFonts w:ascii="Times New Roman" w:hAnsi="Times New Roman" w:cs="Times New Roman" w:eastAsia="Times New Roman" w:hint="default"/>
                <w:sz w:val="18"/>
                <w:szCs w:val="18"/>
              </w:rPr>
            </w:pPr>
            <w:r>
              <w:rPr>
                <w:rFonts w:ascii="Times New Roman"/>
                <w:sz w:val="18"/>
              </w:rPr>
              <w:t>33,326.61</w:t>
            </w:r>
          </w:p>
        </w:tc>
      </w:tr>
      <w:tr>
        <w:trPr>
          <w:trHeight w:val="324"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305,461,437.48</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29" w:right="0"/>
              <w:jc w:val="left"/>
              <w:rPr>
                <w:rFonts w:ascii="Times New Roman" w:hAnsi="Times New Roman" w:cs="Times New Roman" w:eastAsia="Times New Roman" w:hint="default"/>
                <w:sz w:val="18"/>
                <w:szCs w:val="18"/>
              </w:rPr>
            </w:pPr>
            <w:r>
              <w:rPr>
                <w:rFonts w:ascii="Times New Roman"/>
                <w:sz w:val="18"/>
              </w:rPr>
              <w:t>97.91%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557,871.61</w:t>
            </w:r>
          </w:p>
        </w:tc>
      </w:tr>
    </w:tbl>
    <w:p>
      <w:pPr>
        <w:spacing w:line="240" w:lineRule="auto" w:before="7"/>
        <w:rPr>
          <w:rFonts w:ascii="宋体" w:hAnsi="宋体" w:cs="宋体" w:eastAsia="宋体" w:hint="default"/>
          <w:sz w:val="17"/>
          <w:szCs w:val="17"/>
        </w:rPr>
      </w:pPr>
    </w:p>
    <w:p>
      <w:pPr>
        <w:pStyle w:val="Heading4"/>
        <w:spacing w:line="240" w:lineRule="auto" w:before="36"/>
        <w:ind w:left="112" w:right="4814"/>
        <w:jc w:val="left"/>
        <w:rPr>
          <w:b w:val="0"/>
          <w:bCs w:val="0"/>
        </w:rPr>
      </w:pPr>
      <w:bookmarkStart w:name="6）涉及政府补助的应收款项" w:id="662"/>
      <w:bookmarkEnd w:id="662"/>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024"/>
        <w:gridCol w:w="1865"/>
        <w:gridCol w:w="1867"/>
        <w:gridCol w:w="1867"/>
        <w:gridCol w:w="1944"/>
      </w:tblGrid>
      <w:tr>
        <w:trPr>
          <w:trHeight w:val="557" w:hRule="exact"/>
        </w:trPr>
        <w:tc>
          <w:tcPr>
            <w:tcW w:w="20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5"/>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2"/>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7"/>
        <w:rPr>
          <w:rFonts w:ascii="宋体" w:hAnsi="宋体" w:cs="宋体" w:eastAsia="宋体" w:hint="default"/>
          <w:sz w:val="17"/>
          <w:szCs w:val="17"/>
        </w:rPr>
      </w:pPr>
    </w:p>
    <w:p>
      <w:pPr>
        <w:pStyle w:val="Heading4"/>
        <w:spacing w:line="240" w:lineRule="auto" w:before="36"/>
        <w:ind w:left="112" w:right="4814"/>
        <w:jc w:val="left"/>
        <w:rPr>
          <w:b w:val="0"/>
          <w:bCs w:val="0"/>
        </w:rPr>
      </w:pPr>
      <w:bookmarkStart w:name="7）因金融资产转移而终止确认的其他应收款" w:id="663"/>
      <w:bookmarkEnd w:id="663"/>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1"/>
          <w:szCs w:val="21"/>
        </w:rPr>
      </w:pPr>
    </w:p>
    <w:p>
      <w:pPr>
        <w:pStyle w:val="Heading4"/>
        <w:spacing w:line="472" w:lineRule="auto"/>
        <w:ind w:left="532" w:right="4814" w:hanging="420"/>
        <w:jc w:val="left"/>
        <w:rPr>
          <w:rFonts w:ascii="宋体" w:hAnsi="宋体" w:cs="宋体" w:eastAsia="宋体" w:hint="default"/>
          <w:b w:val="0"/>
          <w:bCs w:val="0"/>
        </w:rPr>
      </w:pPr>
      <w:bookmarkStart w:name="8）转移其他应收款且继续涉入形成的资产、负债金额" w:id="664"/>
      <w:bookmarkEnd w:id="664"/>
      <w:r>
        <w:rPr>
          <w:b w:val="0"/>
          <w:bCs w:val="0"/>
        </w:rPr>
      </w:r>
      <w:r>
        <w:rPr>
          <w:rFonts w:ascii="Times New Roman" w:hAnsi="Times New Roman" w:cs="Times New Roman" w:eastAsia="Times New Roman" w:hint="default"/>
          <w:spacing w:val="-1"/>
        </w:rPr>
        <w:t>8</w:t>
      </w:r>
      <w:r>
        <w:rPr>
          <w:spacing w:val="-1"/>
        </w:rPr>
        <w:t>）转移其他应收款且继续涉入形成的资产、负债金额</w:t>
      </w:r>
      <w:r>
        <w:rPr>
          <w:spacing w:val="-85"/>
        </w:rPr>
        <w:t> </w:t>
      </w:r>
      <w:r>
        <w:rPr>
          <w:spacing w:val="-85"/>
        </w:rPr>
      </w:r>
      <w:r>
        <w:rPr>
          <w:rFonts w:ascii="宋体" w:hAnsi="宋体" w:cs="宋体" w:eastAsia="宋体" w:hint="default"/>
          <w:b w:val="0"/>
          <w:bCs w:val="0"/>
        </w:rPr>
        <w:t>其他说明：</w:t>
      </w:r>
    </w:p>
    <w:p>
      <w:pPr>
        <w:spacing w:line="240" w:lineRule="auto" w:before="12"/>
        <w:rPr>
          <w:rFonts w:ascii="宋体" w:hAnsi="宋体" w:cs="宋体" w:eastAsia="宋体" w:hint="default"/>
          <w:sz w:val="17"/>
          <w:szCs w:val="17"/>
        </w:rPr>
      </w:pPr>
    </w:p>
    <w:p>
      <w:pPr>
        <w:pStyle w:val="Heading4"/>
        <w:spacing w:line="240" w:lineRule="auto"/>
        <w:ind w:left="112" w:right="4814"/>
        <w:jc w:val="left"/>
        <w:rPr>
          <w:b w:val="0"/>
          <w:bCs w:val="0"/>
        </w:rPr>
      </w:pPr>
      <w:bookmarkStart w:name="3、长期股权投资" w:id="665"/>
      <w:bookmarkEnd w:id="66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1345"/>
        <w:gridCol w:w="1379"/>
        <w:gridCol w:w="1368"/>
        <w:gridCol w:w="1366"/>
        <w:gridCol w:w="1368"/>
        <w:gridCol w:w="1366"/>
        <w:gridCol w:w="1368"/>
      </w:tblGrid>
      <w:tr>
        <w:trPr>
          <w:trHeight w:val="168" w:hRule="exact"/>
        </w:trPr>
        <w:tc>
          <w:tcPr>
            <w:tcW w:w="1345" w:type="dxa"/>
            <w:tcBorders>
              <w:top w:val="single" w:sz="4" w:space="0" w:color="000000"/>
              <w:left w:val="single" w:sz="4" w:space="0" w:color="000000"/>
              <w:bottom w:val="nil" w:sz="6" w:space="0" w:color="auto"/>
              <w:right w:val="single" w:sz="4" w:space="0" w:color="000000"/>
            </w:tcBorders>
            <w:shd w:val="clear" w:color="auto" w:fill="D4D4D4"/>
          </w:tcPr>
          <w:p>
            <w:pPr/>
          </w:p>
        </w:tc>
        <w:tc>
          <w:tcPr>
            <w:tcW w:w="411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1" w:hRule="exact"/>
        </w:trPr>
        <w:tc>
          <w:tcPr>
            <w:tcW w:w="134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2" w:type="dxa"/>
            <w:gridSpan w:val="3"/>
            <w:vMerge/>
            <w:tcBorders>
              <w:left w:val="single" w:sz="4" w:space="0" w:color="000000"/>
              <w:bottom w:val="single" w:sz="4" w:space="0" w:color="000000"/>
              <w:right w:val="single" w:sz="4" w:space="0" w:color="000000"/>
            </w:tcBorders>
            <w:shd w:val="clear" w:color="auto" w:fill="D4D4D4"/>
          </w:tcPr>
          <w:p>
            <w:pPr/>
          </w:p>
        </w:tc>
        <w:tc>
          <w:tcPr>
            <w:tcW w:w="4102" w:type="dxa"/>
            <w:gridSpan w:val="3"/>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345" w:type="dxa"/>
            <w:vMerge/>
            <w:tcBorders>
              <w:left w:val="single" w:sz="4" w:space="0" w:color="000000"/>
              <w:bottom w:val="nil" w:sz="6" w:space="0" w:color="auto"/>
              <w:right w:val="single" w:sz="4" w:space="0" w:color="000000"/>
            </w:tcBorders>
            <w:shd w:val="clear" w:color="auto" w:fill="D4D4D4"/>
          </w:tcPr>
          <w:p>
            <w:pPr/>
          </w:p>
        </w:tc>
        <w:tc>
          <w:tcPr>
            <w:tcW w:w="137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6" w:hRule="exact"/>
        </w:trPr>
        <w:tc>
          <w:tcPr>
            <w:tcW w:w="1345" w:type="dxa"/>
            <w:tcBorders>
              <w:top w:val="nil" w:sz="6" w:space="0" w:color="auto"/>
              <w:left w:val="single" w:sz="4" w:space="0" w:color="000000"/>
              <w:bottom w:val="single" w:sz="4" w:space="0" w:color="000000"/>
              <w:right w:val="single" w:sz="4" w:space="0" w:color="000000"/>
            </w:tcBorders>
            <w:shd w:val="clear" w:color="auto" w:fill="D4D4D4"/>
          </w:tcPr>
          <w:p>
            <w:pPr/>
          </w:p>
        </w:tc>
        <w:tc>
          <w:tcPr>
            <w:tcW w:w="1379"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324"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2,752,672,127.94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8,736,000.00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2,743,936,127.94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2,753,972,127.94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8,736,000.00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2" w:right="0"/>
              <w:jc w:val="center"/>
              <w:rPr>
                <w:rFonts w:ascii="Times New Roman" w:hAnsi="Times New Roman" w:cs="Times New Roman" w:eastAsia="Times New Roman" w:hint="default"/>
                <w:sz w:val="18"/>
                <w:szCs w:val="18"/>
              </w:rPr>
            </w:pPr>
            <w:r>
              <w:rPr>
                <w:rFonts w:ascii="Times New Roman"/>
                <w:sz w:val="18"/>
              </w:rPr>
              <w:t>2,745,236,127.94</w:t>
            </w:r>
          </w:p>
        </w:tc>
      </w:tr>
      <w:tr>
        <w:trPr>
          <w:trHeight w:val="557"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12" w:right="61"/>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258,262,947.02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258,262,947.02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224,011,034.74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3" w:right="0"/>
              <w:jc w:val="center"/>
              <w:rPr>
                <w:rFonts w:ascii="Times New Roman" w:hAnsi="Times New Roman" w:cs="Times New Roman" w:eastAsia="Times New Roman" w:hint="default"/>
                <w:sz w:val="18"/>
                <w:szCs w:val="18"/>
              </w:rPr>
            </w:pPr>
            <w:r>
              <w:rPr>
                <w:rFonts w:ascii="Times New Roman"/>
                <w:sz w:val="18"/>
              </w:rPr>
              <w:t>224,011,034.74</w:t>
            </w:r>
          </w:p>
        </w:tc>
      </w:tr>
      <w:tr>
        <w:trPr>
          <w:trHeight w:val="324"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3,010,935,074.96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8,736,000.00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3,002,199,074.96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2,977,983,162.68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8,736,000.00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2" w:right="0"/>
              <w:jc w:val="center"/>
              <w:rPr>
                <w:rFonts w:ascii="Times New Roman" w:hAnsi="Times New Roman" w:cs="Times New Roman" w:eastAsia="Times New Roman" w:hint="default"/>
                <w:sz w:val="18"/>
                <w:szCs w:val="18"/>
              </w:rPr>
            </w:pPr>
            <w:r>
              <w:rPr>
                <w:rFonts w:ascii="Times New Roman"/>
                <w:sz w:val="18"/>
              </w:rPr>
              <w:t>2,969,247,162.68</w:t>
            </w:r>
          </w:p>
        </w:tc>
      </w:tr>
    </w:tbl>
    <w:p>
      <w:pPr>
        <w:spacing w:after="0" w:line="240" w:lineRule="auto"/>
        <w:jc w:val="center"/>
        <w:rPr>
          <w:rFonts w:ascii="Times New Roman" w:hAnsi="Times New Roman" w:cs="Times New Roman" w:eastAsia="Times New Roman" w:hint="default"/>
          <w:sz w:val="18"/>
          <w:szCs w:val="18"/>
        </w:rPr>
        <w:sectPr>
          <w:headerReference w:type="default" r:id="rId91"/>
          <w:pgSz w:w="11910" w:h="16840"/>
          <w:pgMar w:header="882" w:footer="1134" w:top="1100" w:bottom="1320" w:left="1020" w:right="0"/>
        </w:sectPr>
      </w:pPr>
    </w:p>
    <w:p>
      <w:pPr>
        <w:spacing w:line="240" w:lineRule="auto" w:before="5"/>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5"/>
          <w:szCs w:val="5"/>
        </w:rPr>
      </w:pPr>
    </w:p>
    <w:p>
      <w:pPr>
        <w:pStyle w:val="Heading4"/>
        <w:spacing w:line="240" w:lineRule="auto" w:before="36"/>
        <w:ind w:right="1127"/>
        <w:jc w:val="left"/>
        <w:rPr>
          <w:b w:val="0"/>
          <w:bCs w:val="0"/>
        </w:rPr>
      </w:pPr>
      <w:bookmarkStart w:name="（1）对子公司投资" w:id="666"/>
      <w:bookmarkEnd w:id="66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267"/>
        <w:gridCol w:w="1166"/>
        <w:gridCol w:w="1166"/>
        <w:gridCol w:w="1164"/>
        <w:gridCol w:w="1166"/>
        <w:gridCol w:w="1214"/>
        <w:gridCol w:w="1212"/>
        <w:gridCol w:w="1214"/>
      </w:tblGrid>
      <w:tr>
        <w:trPr>
          <w:trHeight w:val="324" w:hRule="exact"/>
        </w:trPr>
        <w:tc>
          <w:tcPr>
            <w:tcW w:w="12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78"/>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2" w:type="dxa"/>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78"/>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4D4D4"/>
          </w:tcPr>
          <w:p>
            <w:pPr>
              <w:pStyle w:val="TableParagraph"/>
              <w:spacing w:line="232" w:lineRule="exact" w:before="78"/>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322" w:hRule="exact"/>
        </w:trPr>
        <w:tc>
          <w:tcPr>
            <w:tcW w:w="1267" w:type="dxa"/>
            <w:vMerge/>
            <w:tcBorders>
              <w:left w:val="single" w:sz="4" w:space="0" w:color="000000"/>
              <w:bottom w:val="single" w:sz="4" w:space="0" w:color="000000"/>
              <w:right w:val="single" w:sz="4" w:space="0" w:color="000000"/>
            </w:tcBorders>
            <w:shd w:val="clear" w:color="auto" w:fill="D4D4D4"/>
          </w:tcPr>
          <w:p>
            <w:pPr/>
          </w:p>
        </w:tc>
        <w:tc>
          <w:tcPr>
            <w:tcW w:w="1166" w:type="dxa"/>
            <w:vMerge/>
            <w:tcBorders>
              <w:left w:val="single" w:sz="4" w:space="0" w:color="000000"/>
              <w:bottom w:val="single" w:sz="4" w:space="0" w:color="000000"/>
              <w:right w:val="single" w:sz="4" w:space="0" w:color="000000"/>
            </w:tcBorders>
            <w:shd w:val="clear" w:color="auto" w:fill="D4D4D4"/>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2" w:type="dxa"/>
            <w:vMerge/>
            <w:tcBorders>
              <w:left w:val="single" w:sz="4" w:space="0" w:color="000000"/>
              <w:bottom w:val="single" w:sz="4" w:space="0" w:color="000000"/>
              <w:right w:val="single" w:sz="4" w:space="0" w:color="000000"/>
            </w:tcBorders>
            <w:shd w:val="clear" w:color="auto" w:fill="D4D4D4"/>
          </w:tcPr>
          <w:p>
            <w:pPr/>
          </w:p>
        </w:tc>
        <w:tc>
          <w:tcPr>
            <w:tcW w:w="1214" w:type="dxa"/>
            <w:vMerge/>
            <w:tcBorders>
              <w:left w:val="single" w:sz="4" w:space="0" w:color="000000"/>
              <w:bottom w:val="single" w:sz="4" w:space="0" w:color="000000"/>
              <w:right w:val="single" w:sz="4" w:space="0" w:color="000000"/>
            </w:tcBorders>
            <w:shd w:val="clear" w:color="auto" w:fill="D4D4D4"/>
          </w:tcPr>
          <w:p>
            <w:pPr/>
          </w:p>
        </w:tc>
      </w:tr>
      <w:tr>
        <w:trPr>
          <w:trHeight w:val="79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151"/>
              <w:jc w:val="both"/>
              <w:rPr>
                <w:rFonts w:ascii="宋体" w:hAnsi="宋体" w:cs="宋体" w:eastAsia="宋体" w:hint="default"/>
                <w:sz w:val="18"/>
                <w:szCs w:val="18"/>
              </w:rPr>
            </w:pPr>
            <w:r>
              <w:rPr>
                <w:rFonts w:ascii="宋体" w:hAnsi="宋体" w:cs="宋体" w:eastAsia="宋体" w:hint="default"/>
                <w:sz w:val="18"/>
                <w:szCs w:val="18"/>
              </w:rPr>
              <w:t>北京联合信标 测试技术有限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37,468,460.46</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37,468,460.46</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51"/>
              <w:jc w:val="both"/>
              <w:rPr>
                <w:rFonts w:ascii="宋体" w:hAnsi="宋体" w:cs="宋体" w:eastAsia="宋体" w:hint="default"/>
                <w:sz w:val="18"/>
                <w:szCs w:val="18"/>
              </w:rPr>
            </w:pPr>
            <w:r>
              <w:rPr>
                <w:rFonts w:ascii="宋体" w:hAnsi="宋体" w:cs="宋体" w:eastAsia="宋体" w:hint="default"/>
                <w:sz w:val="18"/>
                <w:szCs w:val="18"/>
              </w:rPr>
              <w:t>北京分贝海洋 信息技术有限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4,000,000.00</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4,000,000.00</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51"/>
              <w:jc w:val="both"/>
              <w:rPr>
                <w:rFonts w:ascii="宋体" w:hAnsi="宋体" w:cs="宋体" w:eastAsia="宋体" w:hint="default"/>
                <w:sz w:val="18"/>
                <w:szCs w:val="18"/>
              </w:rPr>
            </w:pPr>
            <w:r>
              <w:rPr>
                <w:rFonts w:ascii="宋体" w:hAnsi="宋体" w:cs="宋体" w:eastAsia="宋体" w:hint="default"/>
                <w:sz w:val="18"/>
                <w:szCs w:val="18"/>
              </w:rPr>
              <w:t>北京云网信服 信息技术有限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航泰恒通（北 </w:t>
            </w:r>
            <w:r>
              <w:rPr>
                <w:rFonts w:ascii="宋体" w:hAnsi="宋体" w:cs="宋体" w:eastAsia="宋体" w:hint="default"/>
                <w:spacing w:val="-7"/>
                <w:sz w:val="18"/>
                <w:szCs w:val="18"/>
              </w:rPr>
              <w:t>京）科技有限公</w:t>
            </w:r>
            <w:r>
              <w:rPr>
                <w:rFonts w:ascii="宋体" w:hAnsi="宋体" w:cs="宋体" w:eastAsia="宋体" w:hint="default"/>
                <w:sz w:val="18"/>
                <w:szCs w:val="18"/>
              </w:rPr>
              <w:t>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2,550,000.00</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2,550,000.00</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51"/>
              <w:jc w:val="left"/>
              <w:rPr>
                <w:rFonts w:ascii="宋体" w:hAnsi="宋体" w:cs="宋体" w:eastAsia="宋体" w:hint="default"/>
                <w:sz w:val="18"/>
                <w:szCs w:val="18"/>
              </w:rPr>
            </w:pPr>
            <w:r>
              <w:rPr>
                <w:rFonts w:ascii="宋体" w:hAnsi="宋体" w:cs="宋体" w:eastAsia="宋体" w:hint="default"/>
                <w:sz w:val="18"/>
                <w:szCs w:val="18"/>
              </w:rPr>
              <w:t>北京麦禾信通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5,334,766.48</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5,334,766.48</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r>
      <w:tr>
        <w:trPr>
          <w:trHeight w:val="790"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51"/>
              <w:jc w:val="both"/>
              <w:rPr>
                <w:rFonts w:ascii="宋体" w:hAnsi="宋体" w:cs="宋体" w:eastAsia="宋体" w:hint="default"/>
                <w:sz w:val="18"/>
                <w:szCs w:val="18"/>
              </w:rPr>
            </w:pPr>
            <w:r>
              <w:rPr>
                <w:rFonts w:ascii="宋体" w:hAnsi="宋体" w:cs="宋体" w:eastAsia="宋体" w:hint="default"/>
                <w:sz w:val="18"/>
                <w:szCs w:val="18"/>
              </w:rPr>
              <w:t>成都旋极历通 信息技术有限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1,812,701.00</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1,812,701.00</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51"/>
              <w:jc w:val="both"/>
              <w:rPr>
                <w:rFonts w:ascii="宋体" w:hAnsi="宋体" w:cs="宋体" w:eastAsia="宋体" w:hint="default"/>
                <w:sz w:val="18"/>
                <w:szCs w:val="18"/>
              </w:rPr>
            </w:pPr>
            <w:r>
              <w:rPr>
                <w:rFonts w:ascii="宋体" w:hAnsi="宋体" w:cs="宋体" w:eastAsia="宋体" w:hint="default"/>
                <w:sz w:val="18"/>
                <w:szCs w:val="18"/>
              </w:rPr>
              <w:t>西安西谷微电 子有限责任公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546,000,000.0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546,000,000.00</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51"/>
              <w:jc w:val="both"/>
              <w:rPr>
                <w:rFonts w:ascii="宋体" w:hAnsi="宋体" w:cs="宋体" w:eastAsia="宋体" w:hint="default"/>
                <w:sz w:val="18"/>
                <w:szCs w:val="18"/>
              </w:rPr>
            </w:pPr>
            <w:r>
              <w:rPr>
                <w:rFonts w:ascii="宋体" w:hAnsi="宋体" w:cs="宋体" w:eastAsia="宋体" w:hint="default"/>
                <w:sz w:val="18"/>
                <w:szCs w:val="18"/>
              </w:rPr>
              <w:t>北京中软金卡 信息技术有限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160,000,000.0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160,000,000.00</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51"/>
              <w:jc w:val="left"/>
              <w:rPr>
                <w:rFonts w:ascii="宋体" w:hAnsi="宋体" w:cs="宋体" w:eastAsia="宋体" w:hint="default"/>
                <w:sz w:val="18"/>
                <w:szCs w:val="18"/>
              </w:rPr>
            </w:pPr>
            <w:r>
              <w:rPr>
                <w:rFonts w:ascii="宋体" w:hAnsi="宋体" w:cs="宋体" w:eastAsia="宋体" w:hint="default"/>
                <w:sz w:val="18"/>
                <w:szCs w:val="18"/>
              </w:rPr>
              <w:t>旋极国际（香 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865,200.00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865,200.00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51"/>
              <w:jc w:val="left"/>
              <w:rPr>
                <w:rFonts w:ascii="宋体" w:hAnsi="宋体" w:cs="宋体" w:eastAsia="宋体" w:hint="default"/>
                <w:sz w:val="18"/>
                <w:szCs w:val="18"/>
              </w:rPr>
            </w:pPr>
            <w:r>
              <w:rPr>
                <w:rFonts w:ascii="宋体" w:hAnsi="宋体" w:cs="宋体" w:eastAsia="宋体" w:hint="default"/>
                <w:sz w:val="18"/>
                <w:szCs w:val="18"/>
              </w:rPr>
              <w:t>上海旋极信息 技术有限公司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44,485,000.00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44,485,000.00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51"/>
              <w:jc w:val="left"/>
              <w:rPr>
                <w:rFonts w:ascii="宋体" w:hAnsi="宋体" w:cs="宋体" w:eastAsia="宋体" w:hint="default"/>
                <w:sz w:val="18"/>
                <w:szCs w:val="18"/>
              </w:rPr>
            </w:pPr>
            <w:r>
              <w:rPr>
                <w:rFonts w:ascii="宋体" w:hAnsi="宋体" w:cs="宋体" w:eastAsia="宋体" w:hint="default"/>
                <w:sz w:val="18"/>
                <w:szCs w:val="18"/>
              </w:rPr>
              <w:t>北京泰豪智能 工程有限公司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6"/>
              <w:jc w:val="right"/>
              <w:rPr>
                <w:rFonts w:ascii="Times New Roman" w:hAnsi="Times New Roman" w:cs="Times New Roman" w:eastAsia="Times New Roman" w:hint="default"/>
                <w:sz w:val="18"/>
                <w:szCs w:val="18"/>
              </w:rPr>
            </w:pPr>
            <w:r>
              <w:rPr>
                <w:rFonts w:ascii="Times New Roman"/>
                <w:spacing w:val="-1"/>
                <w:sz w:val="18"/>
              </w:rPr>
              <w:t>1,800,000,000.</w:t>
            </w:r>
            <w:r>
              <w:rPr>
                <w:rFonts w:ascii="Times New Roman"/>
                <w:sz w:val="18"/>
              </w:rPr>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6"/>
              <w:jc w:val="right"/>
              <w:rPr>
                <w:rFonts w:ascii="Times New Roman" w:hAnsi="Times New Roman" w:cs="Times New Roman" w:eastAsia="Times New Roman" w:hint="default"/>
                <w:sz w:val="18"/>
                <w:szCs w:val="18"/>
              </w:rPr>
            </w:pPr>
            <w:r>
              <w:rPr>
                <w:rFonts w:ascii="Times New Roman"/>
                <w:spacing w:val="-1"/>
                <w:sz w:val="18"/>
              </w:rPr>
              <w:t>1,800,000,000.</w:t>
            </w:r>
            <w:r>
              <w:rPr>
                <w:rFonts w:ascii="Times New Roman"/>
                <w:sz w:val="18"/>
              </w:rPr>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51"/>
              <w:jc w:val="left"/>
              <w:rPr>
                <w:rFonts w:ascii="宋体" w:hAnsi="宋体" w:cs="宋体" w:eastAsia="宋体" w:hint="default"/>
                <w:sz w:val="18"/>
                <w:szCs w:val="18"/>
              </w:rPr>
            </w:pPr>
            <w:r>
              <w:rPr>
                <w:rFonts w:ascii="宋体" w:hAnsi="宋体" w:cs="宋体" w:eastAsia="宋体" w:hint="default"/>
                <w:sz w:val="18"/>
                <w:szCs w:val="18"/>
              </w:rPr>
              <w:t>北京旋极百旺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69,750,000.00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69,750,000.00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51"/>
              <w:jc w:val="left"/>
              <w:rPr>
                <w:rFonts w:ascii="宋体" w:hAnsi="宋体" w:cs="宋体" w:eastAsia="宋体" w:hint="default"/>
                <w:sz w:val="18"/>
                <w:szCs w:val="18"/>
              </w:rPr>
            </w:pPr>
            <w:r>
              <w:rPr>
                <w:rFonts w:ascii="宋体" w:hAnsi="宋体" w:cs="宋体" w:eastAsia="宋体" w:hint="default"/>
                <w:sz w:val="18"/>
                <w:szCs w:val="18"/>
              </w:rPr>
              <w:t>杭州百旺金赋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1,560,000.00</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1,560,000.00</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51"/>
              <w:jc w:val="both"/>
              <w:rPr>
                <w:rFonts w:ascii="宋体" w:hAnsi="宋体" w:cs="宋体" w:eastAsia="宋体" w:hint="default"/>
                <w:sz w:val="18"/>
                <w:szCs w:val="18"/>
              </w:rPr>
            </w:pPr>
            <w:r>
              <w:rPr>
                <w:rFonts w:ascii="宋体" w:hAnsi="宋体" w:cs="宋体" w:eastAsia="宋体" w:hint="default"/>
                <w:sz w:val="18"/>
                <w:szCs w:val="18"/>
              </w:rPr>
              <w:t>宁波百旺金赋 信息科技有限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51"/>
              <w:jc w:val="left"/>
              <w:rPr>
                <w:rFonts w:ascii="宋体" w:hAnsi="宋体" w:cs="宋体" w:eastAsia="宋体" w:hint="default"/>
                <w:sz w:val="18"/>
                <w:szCs w:val="18"/>
              </w:rPr>
            </w:pPr>
            <w:r>
              <w:rPr>
                <w:rFonts w:ascii="宋体" w:hAnsi="宋体" w:cs="宋体" w:eastAsia="宋体" w:hint="default"/>
                <w:sz w:val="18"/>
                <w:szCs w:val="18"/>
              </w:rPr>
              <w:t>天津百望金赋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1,300,000.00</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1,300,000.00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51"/>
              <w:jc w:val="left"/>
              <w:rPr>
                <w:rFonts w:ascii="宋体" w:hAnsi="宋体" w:cs="宋体" w:eastAsia="宋体" w:hint="default"/>
                <w:sz w:val="18"/>
                <w:szCs w:val="18"/>
              </w:rPr>
            </w:pPr>
            <w:r>
              <w:rPr>
                <w:rFonts w:ascii="宋体" w:hAnsi="宋体" w:cs="宋体" w:eastAsia="宋体" w:hint="default"/>
                <w:sz w:val="18"/>
                <w:szCs w:val="18"/>
              </w:rPr>
              <w:t>北京百旺金赋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51"/>
              <w:jc w:val="left"/>
              <w:rPr>
                <w:rFonts w:ascii="宋体" w:hAnsi="宋体" w:cs="宋体" w:eastAsia="宋体" w:hint="default"/>
                <w:sz w:val="18"/>
                <w:szCs w:val="18"/>
              </w:rPr>
            </w:pPr>
            <w:r>
              <w:rPr>
                <w:rFonts w:ascii="宋体" w:hAnsi="宋体" w:cs="宋体" w:eastAsia="宋体" w:hint="default"/>
                <w:sz w:val="18"/>
                <w:szCs w:val="18"/>
              </w:rPr>
              <w:t>宁夏百旺金赋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51"/>
              <w:jc w:val="both"/>
              <w:rPr>
                <w:rFonts w:ascii="宋体" w:hAnsi="宋体" w:cs="宋体" w:eastAsia="宋体" w:hint="default"/>
                <w:sz w:val="18"/>
                <w:szCs w:val="18"/>
              </w:rPr>
            </w:pPr>
            <w:r>
              <w:rPr>
                <w:rFonts w:ascii="宋体" w:hAnsi="宋体" w:cs="宋体" w:eastAsia="宋体" w:hint="default"/>
                <w:sz w:val="18"/>
                <w:szCs w:val="18"/>
              </w:rPr>
              <w:t>北京旋极伏羲 大数据技术有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赛瑞工信科技</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100" w:bottom="1320" w:left="980" w:right="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267"/>
        <w:gridCol w:w="1166"/>
        <w:gridCol w:w="1166"/>
        <w:gridCol w:w="1164"/>
        <w:gridCol w:w="1166"/>
        <w:gridCol w:w="1214"/>
        <w:gridCol w:w="1212"/>
        <w:gridCol w:w="1214"/>
      </w:tblGrid>
      <w:tr>
        <w:trPr>
          <w:trHeight w:val="51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pacing w:val="-7"/>
                <w:sz w:val="18"/>
                <w:szCs w:val="18"/>
              </w:rPr>
              <w:t>（北京）有限公</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24" w:right="151"/>
              <w:jc w:val="left"/>
              <w:rPr>
                <w:rFonts w:ascii="宋体" w:hAnsi="宋体" w:cs="宋体" w:eastAsia="宋体" w:hint="default"/>
                <w:sz w:val="18"/>
                <w:szCs w:val="18"/>
              </w:rPr>
            </w:pPr>
            <w:r>
              <w:rPr>
                <w:rFonts w:ascii="宋体" w:hAnsi="宋体" w:cs="宋体" w:eastAsia="宋体" w:hint="default"/>
                <w:sz w:val="18"/>
                <w:szCs w:val="18"/>
              </w:rPr>
              <w:t>深圳旋极历通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1,736,000.00</w:t>
            </w:r>
            <w:r>
              <w:rPr>
                <w:rFonts w:ascii="Times New Roman"/>
                <w:sz w:val="18"/>
              </w:rPr>
            </w:r>
          </w:p>
        </w:tc>
      </w:tr>
      <w:tr>
        <w:trPr>
          <w:trHeight w:val="506" w:hRule="exact"/>
        </w:trPr>
        <w:tc>
          <w:tcPr>
            <w:tcW w:w="1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36"/>
              <w:ind w:right="16"/>
              <w:jc w:val="right"/>
              <w:rPr>
                <w:rFonts w:ascii="Times New Roman" w:hAnsi="Times New Roman" w:cs="Times New Roman" w:eastAsia="Times New Roman" w:hint="default"/>
                <w:sz w:val="18"/>
                <w:szCs w:val="18"/>
              </w:rPr>
            </w:pPr>
            <w:r>
              <w:rPr>
                <w:rFonts w:ascii="Times New Roman"/>
                <w:spacing w:val="-1"/>
                <w:sz w:val="18"/>
              </w:rPr>
              <w:t>2,745,236,127.</w:t>
            </w:r>
            <w:r>
              <w:rPr>
                <w:rFonts w:ascii="Times New Roman"/>
                <w:sz w:val="18"/>
              </w:rPr>
            </w:r>
          </w:p>
          <w:p>
            <w:pPr>
              <w:pStyle w:val="TableParagraph"/>
              <w:spacing w:line="205" w:lineRule="exact"/>
              <w:ind w:right="17"/>
              <w:jc w:val="right"/>
              <w:rPr>
                <w:rFonts w:ascii="Times New Roman" w:hAnsi="Times New Roman" w:cs="Times New Roman" w:eastAsia="Times New Roman" w:hint="default"/>
                <w:sz w:val="18"/>
                <w:szCs w:val="18"/>
              </w:rPr>
            </w:pPr>
            <w:r>
              <w:rPr>
                <w:rFonts w:ascii="Times New Roman"/>
                <w:sz w:val="18"/>
              </w:rPr>
              <w:t>94</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89" w:right="0"/>
              <w:jc w:val="left"/>
              <w:rPr>
                <w:rFonts w:ascii="Times New Roman" w:hAnsi="Times New Roman" w:cs="Times New Roman" w:eastAsia="Times New Roman" w:hint="default"/>
                <w:sz w:val="18"/>
                <w:szCs w:val="18"/>
              </w:rPr>
            </w:pPr>
            <w:r>
              <w:rPr>
                <w:rFonts w:ascii="Times New Roman"/>
                <w:sz w:val="18"/>
              </w:rPr>
              <w:t>1,300,000.00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36"/>
              <w:ind w:right="16"/>
              <w:jc w:val="right"/>
              <w:rPr>
                <w:rFonts w:ascii="Times New Roman" w:hAnsi="Times New Roman" w:cs="Times New Roman" w:eastAsia="Times New Roman" w:hint="default"/>
                <w:sz w:val="18"/>
                <w:szCs w:val="18"/>
              </w:rPr>
            </w:pPr>
            <w:r>
              <w:rPr>
                <w:rFonts w:ascii="Times New Roman"/>
                <w:spacing w:val="-1"/>
                <w:sz w:val="18"/>
              </w:rPr>
              <w:t>2,743,936,127.</w:t>
            </w:r>
            <w:r>
              <w:rPr>
                <w:rFonts w:ascii="Times New Roman"/>
                <w:sz w:val="18"/>
              </w:rPr>
            </w:r>
          </w:p>
          <w:p>
            <w:pPr>
              <w:pStyle w:val="TableParagraph"/>
              <w:spacing w:line="205" w:lineRule="exact"/>
              <w:ind w:right="17"/>
              <w:jc w:val="right"/>
              <w:rPr>
                <w:rFonts w:ascii="Times New Roman" w:hAnsi="Times New Roman" w:cs="Times New Roman" w:eastAsia="Times New Roman" w:hint="default"/>
                <w:sz w:val="18"/>
                <w:szCs w:val="18"/>
              </w:rPr>
            </w:pPr>
            <w:r>
              <w:rPr>
                <w:rFonts w:ascii="Times New Roman"/>
                <w:sz w:val="18"/>
              </w:rPr>
              <w:t>94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pacing w:val="-1"/>
                <w:sz w:val="18"/>
              </w:rPr>
              <w:t>8,736,000.00</w:t>
            </w:r>
            <w:r>
              <w:rPr>
                <w:rFonts w:ascii="Times New Roman"/>
                <w:sz w:val="18"/>
              </w:rPr>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2）对联营、合营企业投资" w:id="667"/>
      <w:bookmarkEnd w:id="66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323" w:hRule="exact"/>
        </w:trPr>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3"/>
                <w:szCs w:val="13"/>
              </w:rPr>
            </w:pPr>
          </w:p>
          <w:p>
            <w:pPr>
              <w:pStyle w:val="TableParagraph"/>
              <w:spacing w:line="230"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3"/>
                <w:szCs w:val="13"/>
              </w:rPr>
            </w:pPr>
          </w:p>
          <w:p>
            <w:pPr>
              <w:pStyle w:val="TableParagraph"/>
              <w:spacing w:line="230"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23"/>
                <w:szCs w:val="23"/>
              </w:rPr>
            </w:pPr>
          </w:p>
          <w:p>
            <w:pPr>
              <w:pStyle w:val="TableParagraph"/>
              <w:spacing w:line="232" w:lineRule="exact"/>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90" w:hRule="exact"/>
        </w:trPr>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150"/>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150"/>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150"/>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324"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5" w:hRule="exact"/>
        </w:trPr>
        <w:tc>
          <w:tcPr>
            <w:tcW w:w="797" w:type="dxa"/>
            <w:tcBorders>
              <w:top w:val="single" w:sz="4" w:space="0" w:color="000000"/>
              <w:left w:val="single" w:sz="4" w:space="0" w:color="000000"/>
              <w:bottom w:val="single" w:sz="40" w:space="0" w:color="D4D4D4"/>
              <w:right w:val="single" w:sz="4" w:space="0" w:color="000000"/>
            </w:tcBorders>
          </w:tcPr>
          <w:p>
            <w:pPr>
              <w:pStyle w:val="TableParagraph"/>
              <w:spacing w:line="237" w:lineRule="auto" w:before="10"/>
              <w:ind w:left="24" w:right="41"/>
              <w:jc w:val="both"/>
              <w:rPr>
                <w:rFonts w:ascii="宋体" w:hAnsi="宋体" w:cs="宋体" w:eastAsia="宋体" w:hint="default"/>
                <w:sz w:val="18"/>
                <w:szCs w:val="18"/>
              </w:rPr>
            </w:pPr>
            <w:r>
              <w:rPr>
                <w:rFonts w:ascii="宋体" w:hAnsi="宋体" w:cs="宋体" w:eastAsia="宋体" w:hint="default"/>
                <w:sz w:val="18"/>
                <w:szCs w:val="18"/>
              </w:rPr>
              <w:t>北京考拉 昆仑信息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5,543,959</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68,895.13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5,612,854</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96" w:hRule="exact"/>
        </w:trPr>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10" w:space="0" w:color="D4D4D4"/>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5,543,959</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.07</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36"/>
              <w:ind w:left="45" w:right="0"/>
              <w:jc w:val="left"/>
              <w:rPr>
                <w:rFonts w:ascii="Times New Roman" w:hAnsi="Times New Roman" w:cs="Times New Roman" w:eastAsia="Times New Roman" w:hint="default"/>
                <w:sz w:val="18"/>
                <w:szCs w:val="18"/>
              </w:rPr>
            </w:pPr>
            <w:r>
              <w:rPr>
                <w:rFonts w:ascii="Times New Roman"/>
                <w:sz w:val="18"/>
              </w:rPr>
              <w:t>68,895.13</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07" w:lineRule="exact" w:before="33"/>
              <w:ind w:right="20"/>
              <w:jc w:val="right"/>
              <w:rPr>
                <w:rFonts w:ascii="Times New Roman" w:hAnsi="Times New Roman" w:cs="Times New Roman" w:eastAsia="Times New Roman" w:hint="default"/>
                <w:sz w:val="18"/>
                <w:szCs w:val="18"/>
              </w:rPr>
            </w:pPr>
            <w:r>
              <w:rPr>
                <w:rFonts w:ascii="Times New Roman"/>
                <w:spacing w:val="-1"/>
                <w:sz w:val="18"/>
              </w:rPr>
              <w:t>5,612,854</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.20</w:t>
            </w:r>
          </w:p>
        </w:tc>
        <w:tc>
          <w:tcPr>
            <w:tcW w:w="797" w:type="dxa"/>
            <w:vMerge w:val="restart"/>
            <w:tcBorders>
              <w:top w:val="single" w:sz="4" w:space="0" w:color="000000"/>
              <w:left w:val="single" w:sz="4" w:space="0" w:color="000000"/>
              <w:right w:val="single" w:sz="4" w:space="0" w:color="000000"/>
            </w:tcBorders>
          </w:tcPr>
          <w:p>
            <w:pPr/>
          </w:p>
        </w:tc>
      </w:tr>
      <w:tr>
        <w:trPr>
          <w:trHeight w:val="408" w:hRule="exact"/>
        </w:trPr>
        <w:tc>
          <w:tcPr>
            <w:tcW w:w="797"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4D4D4"/>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24"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41"/>
              <w:jc w:val="both"/>
              <w:rPr>
                <w:rFonts w:ascii="宋体" w:hAnsi="宋体" w:cs="宋体" w:eastAsia="宋体" w:hint="default"/>
                <w:sz w:val="18"/>
                <w:szCs w:val="18"/>
              </w:rPr>
            </w:pPr>
            <w:r>
              <w:rPr>
                <w:rFonts w:ascii="宋体" w:hAnsi="宋体" w:cs="宋体" w:eastAsia="宋体" w:hint="default"/>
                <w:sz w:val="18"/>
                <w:szCs w:val="18"/>
              </w:rPr>
              <w:t>北京蓝鲸 众和投资 管理有限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1,362,007</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101,371.1</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1,463,378</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.22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41"/>
              <w:jc w:val="both"/>
              <w:rPr>
                <w:rFonts w:ascii="宋体" w:hAnsi="宋体" w:cs="宋体" w:eastAsia="宋体" w:hint="default"/>
                <w:sz w:val="18"/>
                <w:szCs w:val="18"/>
              </w:rPr>
            </w:pPr>
            <w:r>
              <w:rPr>
                <w:rFonts w:ascii="宋体" w:hAnsi="宋体" w:cs="宋体" w:eastAsia="宋体" w:hint="default"/>
                <w:sz w:val="18"/>
                <w:szCs w:val="18"/>
              </w:rPr>
              <w:t>上海索乐 互娱科技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53,255,38</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3.92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-882,515.</w:t>
            </w:r>
            <w:r>
              <w:rPr>
                <w:rFonts w:ascii="Times New Roman"/>
                <w:sz w:val="18"/>
              </w:rPr>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52,372,86</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8.80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41"/>
              <w:jc w:val="both"/>
              <w:rPr>
                <w:rFonts w:ascii="宋体" w:hAnsi="宋体" w:cs="宋体" w:eastAsia="宋体" w:hint="default"/>
                <w:sz w:val="18"/>
                <w:szCs w:val="18"/>
              </w:rPr>
            </w:pPr>
            <w:r>
              <w:rPr>
                <w:rFonts w:ascii="宋体" w:hAnsi="宋体" w:cs="宋体" w:eastAsia="宋体" w:hint="default"/>
                <w:sz w:val="18"/>
                <w:szCs w:val="18"/>
              </w:rPr>
              <w:t>北京中科 微电子技 术有限公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3,084,832</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219,751.3</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3,304,583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41"/>
              <w:jc w:val="both"/>
              <w:rPr>
                <w:rFonts w:ascii="宋体" w:hAnsi="宋体" w:cs="宋体" w:eastAsia="宋体" w:hint="default"/>
                <w:sz w:val="18"/>
                <w:szCs w:val="18"/>
              </w:rPr>
            </w:pPr>
            <w:r>
              <w:rPr>
                <w:rFonts w:ascii="宋体" w:hAnsi="宋体" w:cs="宋体" w:eastAsia="宋体" w:hint="default"/>
                <w:sz w:val="18"/>
                <w:szCs w:val="18"/>
              </w:rPr>
              <w:t>北京唯致 动力网络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28,608,29</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2.34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1,698,091</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30,306,38</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4.29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41"/>
              <w:jc w:val="both"/>
              <w:rPr>
                <w:rFonts w:ascii="宋体" w:hAnsi="宋体" w:cs="宋体" w:eastAsia="宋体" w:hint="default"/>
                <w:sz w:val="18"/>
                <w:szCs w:val="18"/>
              </w:rPr>
            </w:pPr>
            <w:r>
              <w:rPr>
                <w:rFonts w:ascii="宋体" w:hAnsi="宋体" w:cs="宋体" w:eastAsia="宋体" w:hint="default"/>
                <w:sz w:val="18"/>
                <w:szCs w:val="18"/>
              </w:rPr>
              <w:t>北京旋极 星达技术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7,662,197</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6" w:right="0"/>
              <w:jc w:val="left"/>
              <w:rPr>
                <w:rFonts w:ascii="Times New Roman" w:hAnsi="Times New Roman" w:cs="Times New Roman" w:eastAsia="Times New Roman" w:hint="default"/>
                <w:sz w:val="18"/>
                <w:szCs w:val="18"/>
              </w:rPr>
            </w:pPr>
            <w:r>
              <w:rPr>
                <w:rFonts w:ascii="Times New Roman"/>
                <w:sz w:val="18"/>
              </w:rPr>
              <w:t>-1,028,20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4.97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6,633,992</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41"/>
              <w:jc w:val="both"/>
              <w:rPr>
                <w:rFonts w:ascii="宋体" w:hAnsi="宋体" w:cs="宋体" w:eastAsia="宋体" w:hint="default"/>
                <w:sz w:val="18"/>
                <w:szCs w:val="18"/>
              </w:rPr>
            </w:pPr>
            <w:r>
              <w:rPr>
                <w:rFonts w:ascii="宋体" w:hAnsi="宋体" w:cs="宋体" w:eastAsia="宋体" w:hint="default"/>
                <w:sz w:val="18"/>
                <w:szCs w:val="18"/>
              </w:rPr>
              <w:t>沈阳捷程 汉荣停车 管理有限 责任公司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2,300,731</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-136,276.</w:t>
            </w:r>
            <w:r>
              <w:rPr>
                <w:rFonts w:ascii="Times New Roman"/>
                <w:sz w:val="18"/>
              </w:rPr>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94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2,164,454</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41"/>
              <w:jc w:val="both"/>
              <w:rPr>
                <w:rFonts w:ascii="宋体" w:hAnsi="宋体" w:cs="宋体" w:eastAsia="宋体" w:hint="default"/>
                <w:sz w:val="18"/>
                <w:szCs w:val="18"/>
              </w:rPr>
            </w:pPr>
            <w:r>
              <w:rPr>
                <w:rFonts w:ascii="宋体" w:hAnsi="宋体" w:cs="宋体" w:eastAsia="宋体" w:hint="default"/>
                <w:sz w:val="18"/>
                <w:szCs w:val="18"/>
              </w:rPr>
              <w:t>北京汉荣 捷通技术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236,676.6</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-11,780.5</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224,896.0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41"/>
              <w:jc w:val="left"/>
              <w:rPr>
                <w:rFonts w:ascii="宋体" w:hAnsi="宋体" w:cs="宋体" w:eastAsia="宋体" w:hint="default"/>
                <w:sz w:val="18"/>
                <w:szCs w:val="18"/>
              </w:rPr>
            </w:pPr>
            <w:r>
              <w:rPr>
                <w:rFonts w:ascii="宋体" w:hAnsi="宋体" w:cs="宋体" w:eastAsia="宋体" w:hint="default"/>
                <w:sz w:val="18"/>
                <w:szCs w:val="18"/>
              </w:rPr>
              <w:t>百望股份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45" w:right="0"/>
              <w:jc w:val="left"/>
              <w:rPr>
                <w:rFonts w:ascii="Times New Roman" w:hAnsi="Times New Roman" w:cs="Times New Roman" w:eastAsia="Times New Roman" w:hint="default"/>
                <w:sz w:val="18"/>
                <w:szCs w:val="18"/>
              </w:rPr>
            </w:pPr>
            <w:r>
              <w:rPr>
                <w:rFonts w:ascii="Times New Roman"/>
                <w:sz w:val="18"/>
              </w:rPr>
              <w:t>42,006,12</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7.12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76" w:right="0"/>
              <w:jc w:val="left"/>
              <w:rPr>
                <w:rFonts w:ascii="Times New Roman" w:hAnsi="Times New Roman" w:cs="Times New Roman" w:eastAsia="Times New Roman" w:hint="default"/>
                <w:sz w:val="18"/>
                <w:szCs w:val="18"/>
              </w:rPr>
            </w:pPr>
            <w:r>
              <w:rPr>
                <w:rFonts w:ascii="Times New Roman"/>
                <w:sz w:val="18"/>
              </w:rPr>
              <w:t>-20,895,5</w:t>
            </w:r>
          </w:p>
          <w:p>
            <w:pPr>
              <w:pStyle w:val="TableParagraph"/>
              <w:spacing w:line="207" w:lineRule="exact"/>
              <w:ind w:left="359" w:right="0"/>
              <w:jc w:val="left"/>
              <w:rPr>
                <w:rFonts w:ascii="Times New Roman" w:hAnsi="Times New Roman" w:cs="Times New Roman" w:eastAsia="Times New Roman" w:hint="default"/>
                <w:sz w:val="18"/>
                <w:szCs w:val="18"/>
              </w:rPr>
            </w:pPr>
            <w:r>
              <w:rPr>
                <w:rFonts w:ascii="Times New Roman"/>
                <w:sz w:val="18"/>
              </w:rPr>
              <w:t>68.49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45" w:right="0"/>
              <w:jc w:val="left"/>
              <w:rPr>
                <w:rFonts w:ascii="Times New Roman" w:hAnsi="Times New Roman" w:cs="Times New Roman" w:eastAsia="Times New Roman" w:hint="default"/>
                <w:sz w:val="18"/>
                <w:szCs w:val="18"/>
              </w:rPr>
            </w:pPr>
            <w:r>
              <w:rPr>
                <w:rFonts w:ascii="Times New Roman"/>
                <w:sz w:val="18"/>
              </w:rPr>
              <w:t>47,198,19</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45" w:right="0"/>
              <w:jc w:val="left"/>
              <w:rPr>
                <w:rFonts w:ascii="Times New Roman" w:hAnsi="Times New Roman" w:cs="Times New Roman" w:eastAsia="Times New Roman" w:hint="default"/>
                <w:sz w:val="18"/>
                <w:szCs w:val="18"/>
              </w:rPr>
            </w:pPr>
            <w:r>
              <w:rPr>
                <w:rFonts w:ascii="Times New Roman"/>
                <w:sz w:val="18"/>
              </w:rPr>
              <w:t>68,308,74</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9.17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41"/>
              <w:jc w:val="both"/>
              <w:rPr>
                <w:rFonts w:ascii="宋体" w:hAnsi="宋体" w:cs="宋体" w:eastAsia="宋体" w:hint="default"/>
                <w:sz w:val="18"/>
                <w:szCs w:val="18"/>
              </w:rPr>
            </w:pPr>
            <w:r>
              <w:rPr>
                <w:rFonts w:ascii="宋体" w:hAnsi="宋体" w:cs="宋体" w:eastAsia="宋体" w:hint="default"/>
                <w:sz w:val="18"/>
                <w:szCs w:val="18"/>
              </w:rPr>
              <w:t>北京中航 通用科技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right="18"/>
              <w:jc w:val="right"/>
              <w:rPr>
                <w:rFonts w:ascii="Times New Roman" w:hAnsi="Times New Roman" w:cs="Times New Roman" w:eastAsia="Times New Roman" w:hint="default"/>
                <w:sz w:val="18"/>
                <w:szCs w:val="18"/>
              </w:rPr>
            </w:pPr>
            <w:r>
              <w:rPr>
                <w:rFonts w:ascii="Times New Roman"/>
                <w:spacing w:val="-1"/>
                <w:sz w:val="18"/>
              </w:rPr>
              <w:t>1,300,399</w:t>
            </w:r>
          </w:p>
          <w:p>
            <w:pPr>
              <w:pStyle w:val="TableParagraph"/>
              <w:spacing w:line="205" w:lineRule="exact"/>
              <w:ind w:right="18"/>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right="18"/>
              <w:jc w:val="right"/>
              <w:rPr>
                <w:rFonts w:ascii="Times New Roman" w:hAnsi="Times New Roman" w:cs="Times New Roman" w:eastAsia="Times New Roman" w:hint="default"/>
                <w:sz w:val="18"/>
                <w:szCs w:val="18"/>
              </w:rPr>
            </w:pPr>
            <w:r>
              <w:rPr>
                <w:rFonts w:ascii="Times New Roman"/>
                <w:spacing w:val="-1"/>
                <w:sz w:val="18"/>
              </w:rPr>
              <w:t>322,500.0</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pacing w:val="-1"/>
                <w:sz w:val="18"/>
              </w:rPr>
              <w:t>1,848,956</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pacing w:val="-1"/>
                <w:sz w:val="18"/>
              </w:rPr>
              <w:t>1,328,760</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pacing w:val="-1"/>
                <w:sz w:val="18"/>
              </w:rPr>
              <w:t>4,800,616</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92"/>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79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41"/>
              <w:jc w:val="both"/>
              <w:rPr>
                <w:rFonts w:ascii="宋体" w:hAnsi="宋体" w:cs="宋体" w:eastAsia="宋体" w:hint="default"/>
                <w:sz w:val="18"/>
                <w:szCs w:val="18"/>
              </w:rPr>
            </w:pPr>
            <w:r>
              <w:rPr>
                <w:rFonts w:ascii="宋体" w:hAnsi="宋体" w:cs="宋体" w:eastAsia="宋体" w:hint="default"/>
                <w:sz w:val="18"/>
                <w:szCs w:val="18"/>
              </w:rPr>
              <w:t>湖南苏科 智能科技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9,183,879</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.94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1,047,818</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10,231,69</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8.77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41"/>
              <w:jc w:val="both"/>
              <w:rPr>
                <w:rFonts w:ascii="宋体" w:hAnsi="宋体" w:cs="宋体" w:eastAsia="宋体" w:hint="default"/>
                <w:sz w:val="18"/>
                <w:szCs w:val="18"/>
              </w:rPr>
            </w:pPr>
            <w:r>
              <w:rPr>
                <w:rFonts w:ascii="宋体" w:hAnsi="宋体" w:cs="宋体" w:eastAsia="宋体" w:hint="default"/>
                <w:sz w:val="18"/>
                <w:szCs w:val="18"/>
              </w:rPr>
              <w:t>深圳市斯 普瑞特通 信技术有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17,384,96</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6.29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2,405,770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19,790,73</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6.34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41"/>
              <w:jc w:val="both"/>
              <w:rPr>
                <w:rFonts w:ascii="宋体" w:hAnsi="宋体" w:cs="宋体" w:eastAsia="宋体" w:hint="default"/>
                <w:sz w:val="18"/>
                <w:szCs w:val="18"/>
              </w:rPr>
            </w:pPr>
            <w:r>
              <w:rPr>
                <w:rFonts w:ascii="宋体" w:hAnsi="宋体" w:cs="宋体" w:eastAsia="宋体" w:hint="default"/>
                <w:sz w:val="18"/>
                <w:szCs w:val="18"/>
              </w:rPr>
              <w:t>北京航星 中云科技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24,251,65</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9.24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6" w:right="0"/>
              <w:jc w:val="left"/>
              <w:rPr>
                <w:rFonts w:ascii="Times New Roman" w:hAnsi="Times New Roman" w:cs="Times New Roman" w:eastAsia="Times New Roman" w:hint="default"/>
                <w:sz w:val="18"/>
                <w:szCs w:val="18"/>
              </w:rPr>
            </w:pPr>
            <w:r>
              <w:rPr>
                <w:rFonts w:ascii="Times New Roman"/>
                <w:sz w:val="18"/>
              </w:rPr>
              <w:t>-1,006,73</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3.41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23,244,92</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5.83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41"/>
              <w:jc w:val="both"/>
              <w:rPr>
                <w:rFonts w:ascii="宋体" w:hAnsi="宋体" w:cs="宋体" w:eastAsia="宋体" w:hint="default"/>
                <w:sz w:val="18"/>
                <w:szCs w:val="18"/>
              </w:rPr>
            </w:pPr>
            <w:r>
              <w:rPr>
                <w:rFonts w:ascii="宋体" w:hAnsi="宋体" w:cs="宋体" w:eastAsia="宋体" w:hint="default"/>
                <w:sz w:val="18"/>
                <w:szCs w:val="18"/>
              </w:rPr>
              <w:t>沈阳旋飞 航空技术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-810,417.</w:t>
            </w:r>
            <w:r>
              <w:rPr>
                <w:rFonts w:ascii="Times New Roman"/>
                <w:sz w:val="18"/>
              </w:rPr>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-810,417.</w:t>
            </w:r>
            <w:r>
              <w:rPr>
                <w:rFonts w:ascii="Times New Roman"/>
                <w:sz w:val="18"/>
              </w:rPr>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41"/>
              <w:jc w:val="both"/>
              <w:rPr>
                <w:rFonts w:ascii="宋体" w:hAnsi="宋体" w:cs="宋体" w:eastAsia="宋体" w:hint="default"/>
                <w:sz w:val="18"/>
                <w:szCs w:val="18"/>
              </w:rPr>
            </w:pPr>
            <w:r>
              <w:rPr>
                <w:rFonts w:ascii="宋体" w:hAnsi="宋体" w:cs="宋体" w:eastAsia="宋体" w:hint="default"/>
                <w:sz w:val="18"/>
                <w:szCs w:val="18"/>
              </w:rPr>
              <w:t>上海海多 投资发展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206,462.5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-206,462.</w:t>
            </w:r>
            <w:r>
              <w:rPr>
                <w:rFonts w:ascii="Times New Roman"/>
                <w:sz w:val="18"/>
              </w:rPr>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41"/>
              <w:jc w:val="both"/>
              <w:rPr>
                <w:rFonts w:ascii="宋体" w:hAnsi="宋体" w:cs="宋体" w:eastAsia="宋体" w:hint="default"/>
                <w:sz w:val="18"/>
                <w:szCs w:val="18"/>
              </w:rPr>
            </w:pPr>
            <w:r>
              <w:rPr>
                <w:rFonts w:ascii="宋体" w:hAnsi="宋体" w:cs="宋体" w:eastAsia="宋体" w:hint="default"/>
                <w:sz w:val="18"/>
                <w:szCs w:val="18"/>
              </w:rPr>
              <w:t>北京旋极 伏羲科技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left="45" w:right="0"/>
              <w:jc w:val="left"/>
              <w:rPr>
                <w:rFonts w:ascii="Times New Roman" w:hAnsi="Times New Roman" w:cs="Times New Roman" w:eastAsia="Times New Roman" w:hint="default"/>
                <w:sz w:val="18"/>
                <w:szCs w:val="18"/>
              </w:rPr>
            </w:pPr>
            <w:r>
              <w:rPr>
                <w:rFonts w:ascii="Times New Roman"/>
                <w:sz w:val="18"/>
              </w:rPr>
              <w:t>28,433,87</w:t>
            </w:r>
          </w:p>
          <w:p>
            <w:pPr>
              <w:pStyle w:val="TableParagraph"/>
              <w:spacing w:line="205" w:lineRule="exact"/>
              <w:ind w:left="451" w:right="0"/>
              <w:jc w:val="left"/>
              <w:rPr>
                <w:rFonts w:ascii="Times New Roman" w:hAnsi="Times New Roman" w:cs="Times New Roman" w:eastAsia="Times New Roman" w:hint="default"/>
                <w:sz w:val="18"/>
                <w:szCs w:val="18"/>
              </w:rPr>
            </w:pPr>
            <w:r>
              <w:rPr>
                <w:rFonts w:ascii="Times New Roman"/>
                <w:sz w:val="18"/>
              </w:rPr>
              <w:t>6.79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left="76" w:right="0"/>
              <w:jc w:val="left"/>
              <w:rPr>
                <w:rFonts w:ascii="Times New Roman" w:hAnsi="Times New Roman" w:cs="Times New Roman" w:eastAsia="Times New Roman" w:hint="default"/>
                <w:sz w:val="18"/>
                <w:szCs w:val="18"/>
              </w:rPr>
            </w:pPr>
            <w:r>
              <w:rPr>
                <w:rFonts w:ascii="Times New Roman"/>
                <w:sz w:val="18"/>
              </w:rPr>
              <w:t>-1,746,91</w:t>
            </w:r>
          </w:p>
          <w:p>
            <w:pPr>
              <w:pStyle w:val="TableParagraph"/>
              <w:spacing w:line="205" w:lineRule="exact"/>
              <w:ind w:left="451" w:right="0"/>
              <w:jc w:val="left"/>
              <w:rPr>
                <w:rFonts w:ascii="Times New Roman" w:hAnsi="Times New Roman" w:cs="Times New Roman" w:eastAsia="Times New Roman" w:hint="default"/>
                <w:sz w:val="18"/>
                <w:szCs w:val="18"/>
              </w:rPr>
            </w:pPr>
            <w:r>
              <w:rPr>
                <w:rFonts w:ascii="Times New Roman"/>
                <w:sz w:val="18"/>
              </w:rPr>
              <w:t>9.58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pacing w:val="-1"/>
                <w:sz w:val="18"/>
              </w:rPr>
              <w:t>176,922.2</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left="45" w:right="0"/>
              <w:jc w:val="left"/>
              <w:rPr>
                <w:rFonts w:ascii="Times New Roman" w:hAnsi="Times New Roman" w:cs="Times New Roman" w:eastAsia="Times New Roman" w:hint="default"/>
                <w:sz w:val="18"/>
                <w:szCs w:val="18"/>
              </w:rPr>
            </w:pPr>
            <w:r>
              <w:rPr>
                <w:rFonts w:ascii="Times New Roman"/>
                <w:sz w:val="18"/>
              </w:rPr>
              <w:t>26,863,87</w:t>
            </w:r>
          </w:p>
          <w:p>
            <w:pPr>
              <w:pStyle w:val="TableParagraph"/>
              <w:spacing w:line="205" w:lineRule="exact"/>
              <w:ind w:left="451" w:right="0"/>
              <w:jc w:val="left"/>
              <w:rPr>
                <w:rFonts w:ascii="Times New Roman" w:hAnsi="Times New Roman" w:cs="Times New Roman" w:eastAsia="Times New Roman" w:hint="default"/>
                <w:sz w:val="18"/>
                <w:szCs w:val="18"/>
              </w:rPr>
            </w:pPr>
            <w:r>
              <w:rPr>
                <w:rFonts w:ascii="Times New Roman"/>
                <w:sz w:val="18"/>
              </w:rPr>
              <w:t>9.49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41"/>
              <w:jc w:val="both"/>
              <w:rPr>
                <w:rFonts w:ascii="宋体" w:hAnsi="宋体" w:cs="宋体" w:eastAsia="宋体" w:hint="default"/>
                <w:sz w:val="18"/>
                <w:szCs w:val="18"/>
              </w:rPr>
            </w:pPr>
            <w:r>
              <w:rPr>
                <w:rFonts w:ascii="宋体" w:hAnsi="宋体" w:cs="宋体" w:eastAsia="宋体" w:hint="default"/>
                <w:sz w:val="18"/>
                <w:szCs w:val="18"/>
              </w:rPr>
              <w:t>北京旋极 星源技术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2"/>
                <w:sz w:val="18"/>
              </w:rPr>
              <w:t>3,113,636</w:t>
            </w:r>
            <w:r>
              <w:rPr>
                <w:rFonts w:ascii="Times New Roman"/>
                <w:sz w:val="18"/>
              </w:rPr>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635,709.8</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3,749,345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36"/>
              <w:ind w:left="45" w:right="0"/>
              <w:jc w:val="left"/>
              <w:rPr>
                <w:rFonts w:ascii="Times New Roman" w:hAnsi="Times New Roman" w:cs="Times New Roman" w:eastAsia="Times New Roman" w:hint="default"/>
                <w:sz w:val="18"/>
                <w:szCs w:val="18"/>
              </w:rPr>
            </w:pPr>
            <w:r>
              <w:rPr>
                <w:rFonts w:ascii="Times New Roman"/>
                <w:sz w:val="18"/>
              </w:rPr>
              <w:t>218,467,0</w:t>
            </w:r>
          </w:p>
          <w:p>
            <w:pPr>
              <w:pStyle w:val="TableParagraph"/>
              <w:spacing w:line="205" w:lineRule="exact"/>
              <w:ind w:left="359" w:right="0"/>
              <w:jc w:val="left"/>
              <w:rPr>
                <w:rFonts w:ascii="Times New Roman" w:hAnsi="Times New Roman" w:cs="Times New Roman" w:eastAsia="Times New Roman" w:hint="default"/>
                <w:sz w:val="18"/>
                <w:szCs w:val="18"/>
              </w:rPr>
            </w:pPr>
            <w:r>
              <w:rPr>
                <w:rFonts w:ascii="Times New Roman"/>
                <w:sz w:val="18"/>
              </w:rPr>
              <w:t>75.67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36"/>
              <w:ind w:right="18"/>
              <w:jc w:val="right"/>
              <w:rPr>
                <w:rFonts w:ascii="Times New Roman" w:hAnsi="Times New Roman" w:cs="Times New Roman" w:eastAsia="Times New Roman" w:hint="default"/>
                <w:sz w:val="18"/>
                <w:szCs w:val="18"/>
              </w:rPr>
            </w:pPr>
            <w:r>
              <w:rPr>
                <w:rFonts w:ascii="Times New Roman"/>
                <w:spacing w:val="-1"/>
                <w:sz w:val="18"/>
              </w:rPr>
              <w:t>3,436,136</w:t>
            </w:r>
          </w:p>
          <w:p>
            <w:pPr>
              <w:pStyle w:val="TableParagraph"/>
              <w:spacing w:line="205" w:lineRule="exact"/>
              <w:ind w:right="18"/>
              <w:jc w:val="righ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36"/>
              <w:ind w:left="76" w:right="0"/>
              <w:jc w:val="left"/>
              <w:rPr>
                <w:rFonts w:ascii="Times New Roman" w:hAnsi="Times New Roman" w:cs="Times New Roman" w:eastAsia="Times New Roman" w:hint="default"/>
                <w:sz w:val="18"/>
                <w:szCs w:val="18"/>
              </w:rPr>
            </w:pPr>
            <w:r>
              <w:rPr>
                <w:rFonts w:ascii="Times New Roman"/>
                <w:sz w:val="18"/>
              </w:rPr>
              <w:t>-17,956,9</w:t>
            </w:r>
          </w:p>
          <w:p>
            <w:pPr>
              <w:pStyle w:val="TableParagraph"/>
              <w:spacing w:line="205" w:lineRule="exact"/>
              <w:ind w:left="359" w:right="0"/>
              <w:jc w:val="left"/>
              <w:rPr>
                <w:rFonts w:ascii="Times New Roman" w:hAnsi="Times New Roman" w:cs="Times New Roman" w:eastAsia="Times New Roman" w:hint="default"/>
                <w:sz w:val="18"/>
                <w:szCs w:val="18"/>
              </w:rPr>
            </w:pPr>
            <w:r>
              <w:rPr>
                <w:rFonts w:ascii="Times New Roman"/>
                <w:sz w:val="18"/>
              </w:rPr>
              <w:t>91.74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36"/>
              <w:ind w:left="45" w:right="0"/>
              <w:jc w:val="left"/>
              <w:rPr>
                <w:rFonts w:ascii="Times New Roman" w:hAnsi="Times New Roman" w:cs="Times New Roman" w:eastAsia="Times New Roman" w:hint="default"/>
                <w:sz w:val="18"/>
                <w:szCs w:val="18"/>
              </w:rPr>
            </w:pPr>
            <w:r>
              <w:rPr>
                <w:rFonts w:ascii="Times New Roman"/>
                <w:sz w:val="18"/>
              </w:rPr>
              <w:t>48,703,87</w:t>
            </w:r>
          </w:p>
          <w:p>
            <w:pPr>
              <w:pStyle w:val="TableParagraph"/>
              <w:spacing w:line="205" w:lineRule="exact"/>
              <w:ind w:left="451" w:right="0"/>
              <w:jc w:val="left"/>
              <w:rPr>
                <w:rFonts w:ascii="Times New Roman" w:hAnsi="Times New Roman" w:cs="Times New Roman" w:eastAsia="Times New Roman" w:hint="default"/>
                <w:sz w:val="18"/>
                <w:szCs w:val="18"/>
              </w:rPr>
            </w:pPr>
            <w:r>
              <w:rPr>
                <w:rFonts w:ascii="Times New Roman"/>
                <w:sz w:val="18"/>
              </w:rPr>
              <w:t>2.82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36"/>
              <w:ind w:left="45" w:right="0"/>
              <w:jc w:val="left"/>
              <w:rPr>
                <w:rFonts w:ascii="Times New Roman" w:hAnsi="Times New Roman" w:cs="Times New Roman" w:eastAsia="Times New Roman" w:hint="default"/>
                <w:sz w:val="18"/>
                <w:szCs w:val="18"/>
              </w:rPr>
            </w:pPr>
            <w:r>
              <w:rPr>
                <w:rFonts w:ascii="Times New Roman"/>
                <w:sz w:val="18"/>
              </w:rPr>
              <w:t>252,650,0</w:t>
            </w:r>
          </w:p>
          <w:p>
            <w:pPr>
              <w:pStyle w:val="TableParagraph"/>
              <w:spacing w:line="205" w:lineRule="exact"/>
              <w:ind w:left="359" w:right="0"/>
              <w:jc w:val="left"/>
              <w:rPr>
                <w:rFonts w:ascii="Times New Roman" w:hAnsi="Times New Roman" w:cs="Times New Roman" w:eastAsia="Times New Roman" w:hint="default"/>
                <w:sz w:val="18"/>
                <w:szCs w:val="18"/>
              </w:rPr>
            </w:pPr>
            <w:r>
              <w:rPr>
                <w:rFonts w:ascii="Times New Roman"/>
                <w:sz w:val="18"/>
              </w:rPr>
              <w:t>92.82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52" w:right="0"/>
              <w:jc w:val="left"/>
              <w:rPr>
                <w:rFonts w:ascii="Times New Roman" w:hAnsi="Times New Roman" w:cs="Times New Roman" w:eastAsia="Times New Roman" w:hint="default"/>
                <w:sz w:val="18"/>
                <w:szCs w:val="18"/>
              </w:rPr>
            </w:pPr>
            <w:r>
              <w:rPr>
                <w:rFonts w:ascii="Times New Roman"/>
                <w:sz w:val="18"/>
              </w:rPr>
              <w:t>224,011,0</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34.74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3,436,136</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6" w:right="0"/>
              <w:jc w:val="left"/>
              <w:rPr>
                <w:rFonts w:ascii="Times New Roman" w:hAnsi="Times New Roman" w:cs="Times New Roman" w:eastAsia="Times New Roman" w:hint="default"/>
                <w:sz w:val="18"/>
                <w:szCs w:val="18"/>
              </w:rPr>
            </w:pPr>
            <w:r>
              <w:rPr>
                <w:rFonts w:ascii="Times New Roman"/>
                <w:sz w:val="18"/>
              </w:rPr>
              <w:t>-17,888,0</w:t>
            </w:r>
          </w:p>
          <w:p>
            <w:pPr>
              <w:pStyle w:val="TableParagraph"/>
              <w:spacing w:line="207" w:lineRule="exact"/>
              <w:ind w:left="359" w:right="0"/>
              <w:jc w:val="left"/>
              <w:rPr>
                <w:rFonts w:ascii="Times New Roman" w:hAnsi="Times New Roman" w:cs="Times New Roman" w:eastAsia="Times New Roman" w:hint="default"/>
                <w:sz w:val="18"/>
                <w:szCs w:val="18"/>
              </w:rPr>
            </w:pPr>
            <w:r>
              <w:rPr>
                <w:rFonts w:ascii="Times New Roman"/>
                <w:sz w:val="18"/>
              </w:rPr>
              <w:t>96.61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5" w:right="0"/>
              <w:jc w:val="left"/>
              <w:rPr>
                <w:rFonts w:ascii="Times New Roman" w:hAnsi="Times New Roman" w:cs="Times New Roman" w:eastAsia="Times New Roman" w:hint="default"/>
                <w:sz w:val="18"/>
                <w:szCs w:val="18"/>
              </w:rPr>
            </w:pPr>
            <w:r>
              <w:rPr>
                <w:rFonts w:ascii="Times New Roman"/>
                <w:sz w:val="18"/>
              </w:rPr>
              <w:t>48,703,87</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2.82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5" w:right="0"/>
              <w:jc w:val="left"/>
              <w:rPr>
                <w:rFonts w:ascii="Times New Roman" w:hAnsi="Times New Roman" w:cs="Times New Roman" w:eastAsia="Times New Roman" w:hint="default"/>
                <w:sz w:val="18"/>
                <w:szCs w:val="18"/>
              </w:rPr>
            </w:pPr>
            <w:r>
              <w:rPr>
                <w:rFonts w:ascii="Times New Roman"/>
                <w:sz w:val="18"/>
              </w:rPr>
              <w:t>258,262,9</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47.02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3）其他说明" w:id="668"/>
      <w:bookmarkEnd w:id="66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4、营业收入和营业成本" w:id="669"/>
      <w:bookmarkEnd w:id="66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4"/>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5"/>
      </w:tblGrid>
      <w:tr>
        <w:trPr>
          <w:trHeight w:val="168" w:hRule="exact"/>
        </w:trPr>
        <w:tc>
          <w:tcPr>
            <w:tcW w:w="1996" w:type="dxa"/>
            <w:tcBorders>
              <w:top w:val="single" w:sz="4" w:space="0" w:color="000000"/>
              <w:left w:val="single" w:sz="4" w:space="0" w:color="000000"/>
              <w:bottom w:val="nil" w:sz="6" w:space="0" w:color="auto"/>
              <w:right w:val="single" w:sz="4" w:space="0" w:color="000000"/>
            </w:tcBorders>
            <w:shd w:val="clear" w:color="auto" w:fill="D4D4D4"/>
          </w:tcPr>
          <w:p>
            <w:pPr/>
          </w:p>
        </w:tc>
        <w:tc>
          <w:tcPr>
            <w:tcW w:w="374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51" w:hRule="exact"/>
        </w:trPr>
        <w:tc>
          <w:tcPr>
            <w:tcW w:w="199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8"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996" w:type="dxa"/>
            <w:vMerge/>
            <w:tcBorders>
              <w:left w:val="single" w:sz="4" w:space="0" w:color="000000"/>
              <w:bottom w:val="nil" w:sz="6" w:space="0" w:color="auto"/>
              <w:right w:val="single" w:sz="4" w:space="0" w:color="000000"/>
            </w:tcBorders>
            <w:shd w:val="clear" w:color="auto" w:fill="D4D4D4"/>
          </w:tcPr>
          <w:p>
            <w:pPr/>
          </w:p>
        </w:tc>
        <w:tc>
          <w:tcPr>
            <w:tcW w:w="183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68" w:hRule="exact"/>
        </w:trPr>
        <w:tc>
          <w:tcPr>
            <w:tcW w:w="19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83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324" w:hRule="exact"/>
        </w:trPr>
        <w:tc>
          <w:tcPr>
            <w:tcW w:w="1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233,033,659.58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85,194,965.00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181,521,680.64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38,389,788.40</w:t>
            </w:r>
          </w:p>
        </w:tc>
      </w:tr>
      <w:tr>
        <w:trPr>
          <w:trHeight w:val="322" w:hRule="exact"/>
        </w:trPr>
        <w:tc>
          <w:tcPr>
            <w:tcW w:w="1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773,093.36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310,866.12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1,191,954.46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301,371.12</w:t>
            </w:r>
          </w:p>
        </w:tc>
      </w:tr>
      <w:tr>
        <w:trPr>
          <w:trHeight w:val="324" w:hRule="exact"/>
        </w:trPr>
        <w:tc>
          <w:tcPr>
            <w:tcW w:w="1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233,806,752.94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85,505,831.12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182,713,635.10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38,691,159.52</w:t>
            </w:r>
          </w:p>
        </w:tc>
      </w:tr>
    </w:tbl>
    <w:p>
      <w:pPr>
        <w:pStyle w:val="BodyText"/>
        <w:spacing w:line="240" w:lineRule="auto" w:before="64"/>
        <w:ind w:right="1127"/>
        <w:jc w:val="left"/>
      </w:pPr>
      <w:r>
        <w:rPr/>
        <w:t>是否已执行新收入准则</w:t>
      </w:r>
    </w:p>
    <w:p>
      <w:pPr>
        <w:spacing w:line="240" w:lineRule="auto" w:before="12"/>
        <w:rPr>
          <w:rFonts w:ascii="宋体" w:hAnsi="宋体" w:cs="宋体" w:eastAsia="宋体" w:hint="default"/>
          <w:sz w:val="17"/>
          <w:szCs w:val="17"/>
        </w:rPr>
      </w:pPr>
    </w:p>
    <w:p>
      <w:pPr>
        <w:pStyle w:val="BodyText"/>
        <w:spacing w:line="420" w:lineRule="auto"/>
        <w:ind w:right="928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w w:val="100"/>
        </w:rPr>
        <w:t> </w:t>
      </w:r>
      <w:r>
        <w:rPr/>
        <w:t>其他说明：</w:t>
      </w:r>
    </w:p>
    <w:p>
      <w:pPr>
        <w:spacing w:line="240" w:lineRule="auto" w:before="6"/>
        <w:rPr>
          <w:rFonts w:ascii="宋体" w:hAnsi="宋体" w:cs="宋体" w:eastAsia="宋体" w:hint="default"/>
          <w:sz w:val="21"/>
          <w:szCs w:val="21"/>
        </w:rPr>
      </w:pPr>
    </w:p>
    <w:p>
      <w:pPr>
        <w:pStyle w:val="Heading4"/>
        <w:spacing w:line="240" w:lineRule="auto"/>
        <w:ind w:right="1127"/>
        <w:jc w:val="left"/>
        <w:rPr>
          <w:b w:val="0"/>
          <w:bCs w:val="0"/>
        </w:rPr>
      </w:pPr>
      <w:bookmarkStart w:name="5、投资收益" w:id="670"/>
      <w:bookmarkEnd w:id="67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2"/>
        <w:rPr>
          <w:rFonts w:ascii="宋体" w:hAnsi="宋体" w:cs="宋体" w:eastAsia="宋体" w:hint="default"/>
          <w:b/>
          <w:bCs/>
          <w:sz w:val="18"/>
          <w:szCs w:val="18"/>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4D4D4"/>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91,843,835.28</w:t>
            </w:r>
            <w:r>
              <w:rPr>
                <w:rFonts w:ascii="Times New Roman"/>
                <w:sz w:val="18"/>
              </w:rPr>
            </w: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left="1936" w:right="0"/>
              <w:jc w:val="left"/>
              <w:rPr>
                <w:rFonts w:ascii="Times New Roman" w:hAnsi="Times New Roman" w:cs="Times New Roman" w:eastAsia="Times New Roman" w:hint="default"/>
                <w:sz w:val="18"/>
                <w:szCs w:val="18"/>
              </w:rPr>
            </w:pPr>
            <w:r>
              <w:rPr>
                <w:rFonts w:ascii="Times New Roman"/>
                <w:sz w:val="18"/>
              </w:rPr>
              <w:t>-17,888,096.61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-1,120,328.12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4" w:top="1280" w:bottom="1320" w:left="980" w:right="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324"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2,325,939.90</w:t>
            </w:r>
            <w:r>
              <w:rPr>
                <w:rFonts w:ascii="Times New Roman"/>
                <w:sz w:val="18"/>
              </w:rPr>
            </w:r>
          </w:p>
        </w:tc>
      </w:tr>
      <w:tr>
        <w:trPr>
          <w:trHeight w:val="324"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38,500.30</w:t>
            </w:r>
          </w:p>
        </w:tc>
      </w:tr>
      <w:tr>
        <w:trPr>
          <w:trHeight w:val="322"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931" w:right="0"/>
              <w:jc w:val="left"/>
              <w:rPr>
                <w:rFonts w:ascii="Times New Roman" w:hAnsi="Times New Roman" w:cs="Times New Roman" w:eastAsia="Times New Roman" w:hint="default"/>
                <w:sz w:val="18"/>
                <w:szCs w:val="18"/>
              </w:rPr>
            </w:pPr>
            <w:r>
              <w:rPr>
                <w:rFonts w:ascii="Times New Roman"/>
                <w:sz w:val="18"/>
              </w:rPr>
              <w:t>-17,888,096.61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93,087,947.36</w:t>
            </w:r>
          </w:p>
        </w:tc>
      </w:tr>
    </w:tbl>
    <w:p>
      <w:pPr>
        <w:spacing w:line="240" w:lineRule="auto" w:before="7"/>
        <w:rPr>
          <w:rFonts w:ascii="宋体" w:hAnsi="宋体" w:cs="宋体" w:eastAsia="宋体" w:hint="default"/>
          <w:sz w:val="17"/>
          <w:szCs w:val="17"/>
        </w:rPr>
      </w:pPr>
    </w:p>
    <w:p>
      <w:pPr>
        <w:pStyle w:val="Heading4"/>
        <w:spacing w:line="240" w:lineRule="auto" w:before="36"/>
        <w:ind w:right="1127"/>
        <w:jc w:val="left"/>
        <w:rPr>
          <w:b w:val="0"/>
          <w:bCs w:val="0"/>
        </w:rPr>
      </w:pPr>
      <w:bookmarkStart w:name="6、其他" w:id="671"/>
      <w:bookmarkEnd w:id="671"/>
      <w:r>
        <w:rPr>
          <w:b w:val="0"/>
          <w:bCs w:val="0"/>
        </w:rPr>
      </w:r>
      <w:r>
        <w:rPr>
          <w:rFonts w:ascii="Times New Roman" w:hAnsi="Times New Roman" w:cs="Times New Roman" w:eastAsia="Times New Roman" w:hint="default"/>
        </w:rPr>
        <w:t>6</w:t>
      </w:r>
      <w:r>
        <w:rPr/>
        <w:t>、其他</w:t>
      </w:r>
      <w:r>
        <w:rPr>
          <w:b w:val="0"/>
          <w:bCs w:val="0"/>
        </w:rPr>
      </w:r>
    </w:p>
    <w:p>
      <w:pPr>
        <w:spacing w:line="240" w:lineRule="auto" w:before="2"/>
        <w:rPr>
          <w:rFonts w:ascii="宋体" w:hAnsi="宋体" w:cs="宋体" w:eastAsia="宋体" w:hint="default"/>
          <w:b/>
          <w:bCs/>
          <w:sz w:val="21"/>
          <w:szCs w:val="21"/>
        </w:rPr>
      </w:pPr>
    </w:p>
    <w:p>
      <w:pPr>
        <w:pStyle w:val="Heading2"/>
        <w:spacing w:line="240" w:lineRule="auto"/>
        <w:ind w:right="1127"/>
        <w:jc w:val="left"/>
        <w:rPr>
          <w:b w:val="0"/>
          <w:bCs w:val="0"/>
        </w:rPr>
      </w:pPr>
      <w:bookmarkStart w:name="十八、补充资料" w:id="672"/>
      <w:bookmarkEnd w:id="672"/>
      <w:r>
        <w:rPr>
          <w:b w:val="0"/>
          <w:bCs w:val="0"/>
        </w:rPr>
      </w:r>
      <w:r>
        <w:rPr/>
        <w:t>十八、补充资料</w:t>
      </w:r>
      <w:r>
        <w:rPr>
          <w:b w:val="0"/>
          <w:bCs w:val="0"/>
        </w:rPr>
      </w:r>
    </w:p>
    <w:p>
      <w:pPr>
        <w:spacing w:line="240" w:lineRule="auto" w:before="6"/>
        <w:rPr>
          <w:rFonts w:ascii="宋体" w:hAnsi="宋体" w:cs="宋体" w:eastAsia="宋体" w:hint="default"/>
          <w:b/>
          <w:bCs/>
          <w:sz w:val="23"/>
          <w:szCs w:val="23"/>
        </w:rPr>
      </w:pPr>
    </w:p>
    <w:p>
      <w:pPr>
        <w:pStyle w:val="Heading4"/>
        <w:spacing w:line="240" w:lineRule="auto"/>
        <w:ind w:right="1127"/>
        <w:jc w:val="left"/>
        <w:rPr>
          <w:b w:val="0"/>
          <w:bCs w:val="0"/>
        </w:rPr>
      </w:pPr>
      <w:bookmarkStart w:name="1、当期非经常性损益明细表" w:id="673"/>
      <w:bookmarkEnd w:id="67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left="134" w:right="8302"/>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3"/>
          <w:szCs w:val="1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22" w:hRule="exact"/>
        </w:trPr>
        <w:tc>
          <w:tcPr>
            <w:tcW w:w="3301" w:type="dxa"/>
            <w:tcBorders>
              <w:top w:val="single" w:sz="4" w:space="0" w:color="000000"/>
              <w:left w:val="single" w:sz="4" w:space="0" w:color="000000"/>
              <w:bottom w:val="nil" w:sz="6" w:space="0" w:color="auto"/>
              <w:right w:val="single" w:sz="4" w:space="0" w:color="000000"/>
            </w:tcBorders>
            <w:shd w:val="clear" w:color="auto" w:fill="D4D4D4"/>
          </w:tcPr>
          <w:p>
            <w:pPr/>
          </w:p>
        </w:tc>
        <w:tc>
          <w:tcPr>
            <w:tcW w:w="3071" w:type="dxa"/>
            <w:vMerge w:val="restart"/>
            <w:tcBorders>
              <w:top w:val="single" w:sz="4" w:space="0" w:color="000000"/>
              <w:left w:val="single" w:sz="9" w:space="0" w:color="D4D4D4"/>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001" w:right="0"/>
              <w:jc w:val="left"/>
              <w:rPr>
                <w:rFonts w:ascii="Times New Roman" w:hAnsi="Times New Roman" w:cs="Times New Roman" w:eastAsia="Times New Roman" w:hint="default"/>
                <w:sz w:val="18"/>
                <w:szCs w:val="18"/>
              </w:rPr>
            </w:pPr>
            <w:r>
              <w:rPr>
                <w:rFonts w:ascii="Times New Roman"/>
                <w:sz w:val="18"/>
              </w:rPr>
              <w:t>15,732,115.29</w:t>
            </w:r>
          </w:p>
        </w:tc>
        <w:tc>
          <w:tcPr>
            <w:tcW w:w="3185" w:type="dxa"/>
            <w:vMerge w:val="restart"/>
            <w:tcBorders>
              <w:top w:val="single" w:sz="4" w:space="0" w:color="000000"/>
              <w:left w:val="single" w:sz="4" w:space="0" w:color="000000"/>
              <w:right w:val="single" w:sz="4" w:space="0" w:color="000000"/>
            </w:tcBorders>
          </w:tcPr>
          <w:p>
            <w:pPr>
              <w:pStyle w:val="TableParagraph"/>
              <w:spacing w:line="232" w:lineRule="exact" w:before="32"/>
              <w:ind w:left="23" w:right="89"/>
              <w:jc w:val="left"/>
              <w:rPr>
                <w:rFonts w:ascii="宋体" w:hAnsi="宋体" w:cs="宋体" w:eastAsia="宋体" w:hint="default"/>
                <w:sz w:val="18"/>
                <w:szCs w:val="18"/>
              </w:rPr>
            </w:pPr>
            <w:r>
              <w:rPr>
                <w:rFonts w:ascii="宋体" w:hAnsi="宋体" w:cs="宋体" w:eastAsia="宋体" w:hint="default"/>
                <w:sz w:val="18"/>
                <w:szCs w:val="18"/>
              </w:rPr>
              <w:t>主要是本报告期旋极伏羲处置子公司郑 州众合景轩信息技术有限公司所致</w:t>
            </w:r>
          </w:p>
        </w:tc>
      </w:tr>
      <w:tr>
        <w:trPr>
          <w:trHeight w:val="434" w:hRule="exact"/>
        </w:trPr>
        <w:tc>
          <w:tcPr>
            <w:tcW w:w="3301"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vMerge/>
            <w:tcBorders>
              <w:left w:val="single" w:sz="9" w:space="0" w:color="D4D4D4"/>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790"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
              <w:ind w:left="12" w:right="3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11,159,190.76</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明细详见附注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p>
        </w:tc>
      </w:tr>
      <w:tr>
        <w:trPr>
          <w:trHeight w:val="1726"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2"/>
              <w:ind w:left="12" w:right="3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4,267,173.59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主要系中关村银行评估增值</w:t>
            </w: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1,064,964.45</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2,610,673.81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1,943,162.67</w:t>
            </w:r>
          </w:p>
        </w:tc>
        <w:tc>
          <w:tcPr>
            <w:tcW w:w="3185" w:type="dxa"/>
            <w:tcBorders>
              <w:top w:val="single" w:sz="4" w:space="0" w:color="000000"/>
              <w:left w:val="single" w:sz="4" w:space="0" w:color="000000"/>
              <w:bottom w:val="single" w:sz="10" w:space="0" w:color="D4D4D4"/>
              <w:right w:val="single" w:sz="4" w:space="0" w:color="000000"/>
            </w:tcBorders>
          </w:tcPr>
          <w:p>
            <w:pP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4D4D4"/>
              <w:bottom w:val="single" w:sz="4" w:space="0" w:color="000000"/>
              <w:right w:val="single" w:sz="10" w:space="0" w:color="D4D4D4"/>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27,669,607.61</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4"/>
        <w:ind w:right="0"/>
        <w:jc w:val="left"/>
      </w:pPr>
      <w:r>
        <w:rPr>
          <w:spacing w:val="-2"/>
        </w:rPr>
        <w:t>对公司根据《公开发行证券的公司信息披露解释性公告第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2"/>
        </w:rPr>
        <w:t>号</w:t>
      </w:r>
      <w:r>
        <w:rPr>
          <w:rFonts w:ascii="Times New Roman" w:hAnsi="Times New Roman" w:cs="Times New Roman" w:eastAsia="Times New Roman" w:hint="default"/>
          <w:spacing w:val="-2"/>
        </w:rPr>
        <w:t>——</w:t>
      </w:r>
      <w:r>
        <w:rPr>
          <w:spacing w:val="-2"/>
        </w:rPr>
        <w:t>非经常性损益》定义界定的非经常</w:t>
      </w:r>
    </w:p>
    <w:p>
      <w:pPr>
        <w:pStyle w:val="BodyText"/>
        <w:spacing w:line="333" w:lineRule="auto" w:before="119"/>
        <w:ind w:left="153" w:right="1127" w:hanging="1"/>
        <w:jc w:val="left"/>
      </w:pPr>
      <w:r>
        <w:rPr>
          <w:spacing w:val="-2"/>
        </w:rPr>
        <w:t>性损益项目，以及把《公开发行证券的公司信息披露解释性公告第</w:t>
      </w:r>
      <w:r>
        <w:rPr/>
        <w:t> </w:t>
      </w:r>
      <w:r>
        <w:rPr>
          <w:rFonts w:ascii="Times New Roman" w:hAnsi="Times New Roman" w:cs="Times New Roman" w:eastAsia="Times New Roman" w:hint="default"/>
        </w:rPr>
        <w:t>1 </w:t>
      </w:r>
      <w:r>
        <w:rPr>
          <w:spacing w:val="-2"/>
        </w:rPr>
        <w:t>号</w:t>
      </w:r>
      <w:r>
        <w:rPr>
          <w:rFonts w:ascii="Times New Roman" w:hAnsi="Times New Roman" w:cs="Times New Roman" w:eastAsia="Times New Roman" w:hint="default"/>
          <w:spacing w:val="-2"/>
        </w:rPr>
        <w:t>——</w:t>
      </w:r>
      <w:r>
        <w:rPr>
          <w:spacing w:val="-2"/>
        </w:rPr>
        <w:t>非经常性损益》中列举的非经</w:t>
      </w:r>
      <w:r>
        <w:rPr>
          <w:spacing w:val="-99"/>
        </w:rPr>
        <w:t> </w:t>
      </w:r>
      <w:r>
        <w:rPr>
          <w:spacing w:val="-99"/>
        </w:rPr>
      </w:r>
      <w:r>
        <w:rPr/>
        <w:t>常性损益项目界定为经常性损益的项目，应说明原因。</w:t>
      </w:r>
    </w:p>
    <w:p>
      <w:pPr>
        <w:pStyle w:val="BodyText"/>
        <w:spacing w:line="240" w:lineRule="auto" w:before="152"/>
        <w:ind w:left="573"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32"/>
          <w:szCs w:val="32"/>
        </w:rPr>
      </w:pPr>
    </w:p>
    <w:p>
      <w:pPr>
        <w:pStyle w:val="Heading4"/>
        <w:spacing w:line="240" w:lineRule="auto"/>
        <w:ind w:left="153" w:right="1127"/>
        <w:jc w:val="left"/>
        <w:rPr>
          <w:b w:val="0"/>
          <w:bCs w:val="0"/>
        </w:rPr>
      </w:pPr>
      <w:bookmarkStart w:name="2、净资产收益率及每股收益" w:id="674"/>
      <w:bookmarkEnd w:id="67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168" w:hRule="exact"/>
        </w:trPr>
        <w:tc>
          <w:tcPr>
            <w:tcW w:w="2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3082" w:type="dxa"/>
            <w:tcBorders>
              <w:top w:val="single" w:sz="4" w:space="0" w:color="000000"/>
              <w:left w:val="single" w:sz="4" w:space="0" w:color="000000"/>
              <w:bottom w:val="nil" w:sz="6" w:space="0" w:color="auto"/>
              <w:right w:val="single" w:sz="4" w:space="0" w:color="000000"/>
            </w:tcBorders>
            <w:shd w:val="clear" w:color="auto" w:fill="D4D4D4"/>
          </w:tcPr>
          <w:p>
            <w:pPr/>
          </w:p>
        </w:tc>
        <w:tc>
          <w:tcPr>
            <w:tcW w:w="38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51" w:hRule="exact"/>
        </w:trPr>
        <w:tc>
          <w:tcPr>
            <w:tcW w:w="26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2662" w:type="dxa"/>
            <w:vMerge/>
            <w:tcBorders>
              <w:left w:val="single" w:sz="4" w:space="0" w:color="000000"/>
              <w:bottom w:val="nil" w:sz="6" w:space="0" w:color="auto"/>
              <w:right w:val="single" w:sz="4" w:space="0" w:color="000000"/>
            </w:tcBorders>
            <w:shd w:val="clear" w:color="auto" w:fill="D4D4D4"/>
          </w:tcPr>
          <w:p>
            <w:pPr/>
          </w:p>
        </w:tc>
        <w:tc>
          <w:tcPr>
            <w:tcW w:w="3082" w:type="dxa"/>
            <w:vMerge/>
            <w:tcBorders>
              <w:left w:val="single" w:sz="4" w:space="0" w:color="000000"/>
              <w:bottom w:val="nil" w:sz="6" w:space="0" w:color="auto"/>
              <w:right w:val="single" w:sz="4" w:space="0" w:color="000000"/>
            </w:tcBorders>
            <w:shd w:val="clear" w:color="auto" w:fill="D4D4D4"/>
          </w:tcPr>
          <w:p>
            <w:pP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168" w:hRule="exact"/>
        </w:trPr>
        <w:tc>
          <w:tcPr>
            <w:tcW w:w="2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308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324"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5.13%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0.1512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0.1503</w:t>
            </w:r>
            <w:r>
              <w:rPr>
                <w:rFonts w:ascii="Times New Roman"/>
                <w:sz w:val="18"/>
              </w:rPr>
            </w:r>
          </w:p>
        </w:tc>
      </w:tr>
      <w:tr>
        <w:trPr>
          <w:trHeight w:val="557"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before="33"/>
              <w:ind w:left="24"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0.1350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0.1342</w:t>
            </w:r>
            <w:r>
              <w:rPr>
                <w:rFonts w:ascii="Times New Roman"/>
                <w:sz w:val="18"/>
              </w:rPr>
            </w:r>
          </w:p>
        </w:tc>
      </w:tr>
    </w:tbl>
    <w:p>
      <w:pPr>
        <w:spacing w:line="240" w:lineRule="auto" w:before="7"/>
        <w:rPr>
          <w:rFonts w:ascii="宋体" w:hAnsi="宋体" w:cs="宋体" w:eastAsia="宋体" w:hint="default"/>
          <w:b/>
          <w:bCs/>
          <w:sz w:val="17"/>
          <w:szCs w:val="17"/>
        </w:rPr>
      </w:pPr>
    </w:p>
    <w:p>
      <w:pPr>
        <w:pStyle w:val="Heading4"/>
        <w:spacing w:line="240" w:lineRule="auto" w:before="36"/>
        <w:ind w:right="1127"/>
        <w:jc w:val="left"/>
        <w:rPr>
          <w:b w:val="0"/>
          <w:bCs w:val="0"/>
        </w:rPr>
      </w:pPr>
      <w:bookmarkStart w:name="3、境内外会计准则下会计数据差异" w:id="675"/>
      <w:bookmarkEnd w:id="67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1127"/>
        <w:jc w:val="left"/>
        <w:rPr>
          <w:b w:val="0"/>
          <w:bCs w:val="0"/>
        </w:rPr>
      </w:pPr>
      <w:bookmarkStart w:name="（1）同时按照国际会计准则与按中国会计准则披露的财务报告中净利润和净资产差异情况" w:id="676"/>
      <w:bookmarkEnd w:id="67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after="0" w:line="240" w:lineRule="auto"/>
        <w:jc w:val="left"/>
        <w:sectPr>
          <w:pgSz w:w="11910" w:h="16840"/>
          <w:pgMar w:header="882" w:footer="1134" w:top="1280" w:bottom="1320" w:left="980" w:right="0"/>
        </w:sectPr>
      </w:pPr>
    </w:p>
    <w:p>
      <w:pPr>
        <w:pStyle w:val="BodyText"/>
        <w:spacing w:line="240" w:lineRule="auto" w:before="110"/>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32"/>
          <w:szCs w:val="32"/>
        </w:rPr>
      </w:pPr>
    </w:p>
    <w:p>
      <w:pPr>
        <w:pStyle w:val="Heading4"/>
        <w:spacing w:line="240" w:lineRule="auto"/>
        <w:ind w:right="1127"/>
        <w:jc w:val="left"/>
        <w:rPr>
          <w:b w:val="0"/>
          <w:bCs w:val="0"/>
        </w:rPr>
      </w:pPr>
      <w:bookmarkStart w:name="（2）同时按照境外会计准则与按中国会计准则披露的财务报告中净利润和净资产差异情况" w:id="677"/>
      <w:bookmarkEnd w:id="67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2"/>
          <w:szCs w:val="22"/>
        </w:rPr>
      </w:pPr>
    </w:p>
    <w:p>
      <w:pPr>
        <w:pStyle w:val="Heading4"/>
        <w:spacing w:line="272" w:lineRule="exact" w:before="162"/>
        <w:ind w:right="1127"/>
        <w:jc w:val="left"/>
        <w:rPr>
          <w:b w:val="0"/>
          <w:bCs w:val="0"/>
        </w:rPr>
      </w:pPr>
      <w:bookmarkStart w:name="（3）境内外会计准则下会计数据差异原因说明，对已经境外审计机构审计的数据进行差异" w:id="678"/>
      <w:bookmarkEnd w:id="67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12"/>
        <w:rPr>
          <w:rFonts w:ascii="宋体" w:hAnsi="宋体" w:cs="宋体" w:eastAsia="宋体" w:hint="default"/>
          <w:b/>
          <w:bCs/>
          <w:sz w:val="20"/>
          <w:szCs w:val="20"/>
        </w:rPr>
      </w:pPr>
    </w:p>
    <w:p>
      <w:pPr>
        <w:pStyle w:val="Heading4"/>
        <w:spacing w:line="240" w:lineRule="auto"/>
        <w:ind w:right="1127"/>
        <w:jc w:val="left"/>
        <w:rPr>
          <w:b w:val="0"/>
          <w:bCs w:val="0"/>
        </w:rPr>
      </w:pPr>
      <w:bookmarkStart w:name="4、其他" w:id="679"/>
      <w:bookmarkEnd w:id="679"/>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82" w:footer="1134" w:top="1280" w:bottom="1320" w:left="980" w:right="0"/>
        </w:sectPr>
      </w:pPr>
    </w:p>
    <w:p>
      <w:pPr>
        <w:spacing w:line="240" w:lineRule="auto" w:before="12"/>
        <w:rPr>
          <w:rFonts w:ascii="宋体" w:hAnsi="宋体" w:cs="宋体" w:eastAsia="宋体" w:hint="default"/>
          <w:b/>
          <w:bCs/>
          <w:sz w:val="9"/>
          <w:szCs w:val="9"/>
        </w:rPr>
      </w:pPr>
    </w:p>
    <w:p>
      <w:pPr>
        <w:pStyle w:val="Heading1"/>
        <w:spacing w:line="240" w:lineRule="auto"/>
        <w:ind w:left="3292" w:right="1127"/>
        <w:jc w:val="left"/>
      </w:pPr>
      <w:bookmarkStart w:name="_TOC_250000" w:id="680"/>
      <w:bookmarkStart w:name="第十三节 备查文件目录" w:id="681"/>
      <w:r>
        <w:rPr/>
      </w:r>
      <w:r>
        <w:rPr/>
        <w:t>第十三节</w:t>
      </w:r>
      <w:r>
        <w:rPr>
          <w:spacing w:val="-3"/>
        </w:rPr>
        <w:t> </w:t>
      </w:r>
      <w:bookmarkEnd w:id="680"/>
      <w:r>
        <w:rPr/>
        <w:t>备查文件目录</w:t>
      </w:r>
    </w:p>
    <w:p>
      <w:pPr>
        <w:spacing w:line="240" w:lineRule="auto" w:before="0"/>
        <w:rPr>
          <w:rFonts w:ascii="黑体" w:hAnsi="黑体" w:cs="黑体" w:eastAsia="黑体" w:hint="default"/>
          <w:sz w:val="32"/>
          <w:szCs w:val="32"/>
        </w:rPr>
      </w:pPr>
    </w:p>
    <w:p>
      <w:pPr>
        <w:spacing w:line="240" w:lineRule="auto" w:before="2"/>
        <w:rPr>
          <w:rFonts w:ascii="黑体" w:hAnsi="黑体" w:cs="黑体" w:eastAsia="黑体" w:hint="default"/>
          <w:sz w:val="39"/>
          <w:szCs w:val="39"/>
        </w:rPr>
      </w:pPr>
    </w:p>
    <w:p>
      <w:pPr>
        <w:pStyle w:val="BodyText"/>
        <w:spacing w:line="240" w:lineRule="auto"/>
        <w:ind w:right="1127"/>
        <w:jc w:val="left"/>
      </w:pPr>
      <w:r>
        <w:rPr>
          <w:rFonts w:ascii="Times New Roman" w:hAnsi="Times New Roman" w:cs="Times New Roman" w:eastAsia="Times New Roman" w:hint="default"/>
        </w:rPr>
        <w:t>1</w:t>
      </w:r>
      <w:r>
        <w:rPr/>
        <w:t>、载有公司法定代表人签名的</w:t>
      </w:r>
      <w:r>
        <w:rPr>
          <w:spacing w:val="-5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年年度报告文本；</w:t>
      </w:r>
    </w:p>
    <w:p>
      <w:pPr>
        <w:spacing w:line="240" w:lineRule="auto" w:before="9"/>
        <w:rPr>
          <w:rFonts w:ascii="宋体" w:hAnsi="宋体" w:cs="宋体" w:eastAsia="宋体" w:hint="default"/>
          <w:sz w:val="16"/>
          <w:szCs w:val="16"/>
        </w:rPr>
      </w:pPr>
    </w:p>
    <w:p>
      <w:pPr>
        <w:pStyle w:val="BodyText"/>
        <w:spacing w:line="336" w:lineRule="auto"/>
        <w:ind w:left="152" w:right="1127" w:firstLine="420"/>
        <w:jc w:val="left"/>
      </w:pPr>
      <w:r>
        <w:rPr>
          <w:rFonts w:ascii="Times New Roman" w:hAnsi="Times New Roman" w:cs="Times New Roman" w:eastAsia="Times New Roman" w:hint="default"/>
        </w:rPr>
        <w:t>2</w:t>
      </w:r>
      <w:r>
        <w:rPr/>
        <w:t>、载有单位负责人、主管会计工作负责人、公司会计机构负责人（会计主管人员）签名并盖章的财</w:t>
      </w:r>
      <w:r>
        <w:rPr>
          <w:w w:val="100"/>
        </w:rPr>
        <w:t> </w:t>
      </w:r>
      <w:r>
        <w:rPr/>
        <w:t>务报表；</w:t>
      </w:r>
    </w:p>
    <w:p>
      <w:pPr>
        <w:pStyle w:val="BodyText"/>
        <w:spacing w:line="240" w:lineRule="auto" w:before="150"/>
        <w:ind w:right="1127"/>
        <w:jc w:val="left"/>
      </w:pPr>
      <w:r>
        <w:rPr>
          <w:rFonts w:ascii="Times New Roman" w:hAnsi="Times New Roman" w:cs="Times New Roman" w:eastAsia="Times New Roman" w:hint="default"/>
        </w:rPr>
        <w:t>3</w:t>
      </w:r>
      <w:r>
        <w:rPr/>
        <w:t>、载有会计师事务所盖章、注册会计师签名并盖章的审计报告原件；</w:t>
      </w:r>
    </w:p>
    <w:p>
      <w:pPr>
        <w:spacing w:line="240" w:lineRule="auto" w:before="6"/>
        <w:rPr>
          <w:rFonts w:ascii="宋体" w:hAnsi="宋体" w:cs="宋体" w:eastAsia="宋体" w:hint="default"/>
          <w:sz w:val="16"/>
          <w:szCs w:val="16"/>
        </w:rPr>
      </w:pPr>
    </w:p>
    <w:p>
      <w:pPr>
        <w:pStyle w:val="BodyText"/>
        <w:spacing w:line="240" w:lineRule="auto"/>
        <w:ind w:right="1127"/>
        <w:jc w:val="left"/>
      </w:pPr>
      <w:r>
        <w:rPr>
          <w:rFonts w:ascii="Times New Roman" w:hAnsi="Times New Roman" w:cs="Times New Roman" w:eastAsia="Times New Roman" w:hint="default"/>
        </w:rPr>
        <w:t>4</w:t>
      </w:r>
      <w:r>
        <w:rPr/>
        <w:t>、报告期内在中国证监会指定网站上公开披露过的所有公司文件的正本及公告的原稿；</w:t>
      </w:r>
    </w:p>
    <w:p>
      <w:pPr>
        <w:spacing w:line="240" w:lineRule="auto" w:before="9"/>
        <w:rPr>
          <w:rFonts w:ascii="宋体" w:hAnsi="宋体" w:cs="宋体" w:eastAsia="宋体" w:hint="default"/>
          <w:sz w:val="16"/>
          <w:szCs w:val="16"/>
        </w:rPr>
      </w:pPr>
    </w:p>
    <w:p>
      <w:pPr>
        <w:pStyle w:val="BodyText"/>
        <w:spacing w:line="420" w:lineRule="auto"/>
        <w:ind w:right="5512"/>
        <w:jc w:val="left"/>
      </w:pPr>
      <w:r>
        <w:rPr>
          <w:rFonts w:ascii="Times New Roman" w:hAnsi="Times New Roman" w:cs="Times New Roman" w:eastAsia="Times New Roman" w:hint="default"/>
        </w:rPr>
        <w:t>5</w:t>
      </w:r>
      <w:r>
        <w:rPr/>
        <w:t>、其他有关资料。</w:t>
      </w:r>
      <w:r>
        <w:rPr>
          <w:w w:val="100"/>
        </w:rPr>
        <w:t> </w:t>
      </w:r>
      <w:r>
        <w:rPr>
          <w:spacing w:val="-2"/>
        </w:rPr>
        <w:t>以上备查文件的备置地点：公司证券部</w:t>
      </w:r>
    </w:p>
    <w:sectPr>
      <w:pgSz w:w="11910" w:h="16840"/>
      <w:pgMar w:header="882" w:footer="1134" w:top="1280" w:bottom="132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PGothic">
    <w:altName w:val="MS PGothic"/>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7512" type="#_x0000_t75" stroked="false">
          <v:imagedata r:id="rId1" o:title=""/>
        </v:shape>
      </w:pict>
    </w:r>
    <w:r>
      <w:rPr/>
      <w:pict>
        <v:shape style="position:absolute;margin-left:531.280029pt;margin-top:774.222656pt;width:9.3pt;height:12.6pt;mso-position-horizontal-relative:page;mso-position-vertical-relative:page;z-index:-1427488"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w w:val="100"/>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426984" type="#_x0000_t75" stroked="false">
          <v:imagedata r:id="rId1" o:title=""/>
        </v:shape>
      </w:pict>
    </w:r>
    <w:r>
      <w:rPr/>
      <w:pict>
        <v:shape style="position:absolute;margin-left:757.359985pt;margin-top:527.622681pt;width:14.6pt;height:12.6pt;mso-position-horizontal-relative:page;mso-position-vertical-relative:page;z-index:-1426960"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44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6888" type="#_x0000_t75" stroked="false">
          <v:imagedata r:id="rId1" o:title=""/>
        </v:shape>
      </w:pict>
    </w:r>
    <w:r>
      <w:rPr/>
      <w:pict>
        <v:shape style="position:absolute;margin-left:526pt;margin-top:774.222656pt;width:14.6pt;height:12.6pt;mso-position-horizontal-relative:page;mso-position-vertical-relative:page;z-index:-1426864"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46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6840" type="#_x0000_t75" stroked="false">
          <v:imagedata r:id="rId1" o:title=""/>
        </v:shape>
      </w:pict>
    </w:r>
    <w:r>
      <w:rPr/>
      <w:pict>
        <v:shape style="position:absolute;margin-left:527pt;margin-top:774.222656pt;width:12.6pt;height:12.6pt;mso-position-horizontal-relative:page;mso-position-vertical-relative:page;z-index:-1426816"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50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6792" type="#_x0000_t75" stroked="false">
          <v:imagedata r:id="rId1" o:title=""/>
        </v:shape>
      </w:pict>
    </w:r>
    <w:r>
      <w:rPr/>
      <w:pict>
        <v:shape style="position:absolute;margin-left:526pt;margin-top:774.222656pt;width:14.6pt;height:12.6pt;mso-position-horizontal-relative:page;mso-position-vertical-relative:page;z-index:-1426768"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51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426720" type="#_x0000_t75" stroked="false">
          <v:imagedata r:id="rId1" o:title=""/>
        </v:shape>
      </w:pict>
    </w:r>
    <w:r>
      <w:rPr/>
      <w:pict>
        <v:shape style="position:absolute;margin-left:757.359985pt;margin-top:527.622681pt;width:14.6pt;height:12.6pt;mso-position-horizontal-relative:page;mso-position-vertical-relative:page;z-index:-1426696"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6624" type="#_x0000_t75" stroked="false">
          <v:imagedata r:id="rId1" o:title=""/>
        </v:shape>
      </w:pict>
    </w:r>
    <w:r>
      <w:rPr/>
      <w:pict>
        <v:shape style="position:absolute;margin-left:526pt;margin-top:774.222656pt;width:14.6pt;height:12.6pt;mso-position-horizontal-relative:page;mso-position-vertical-relative:page;z-index:-1426600"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66</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6576" type="#_x0000_t75" stroked="false">
          <v:imagedata r:id="rId1" o:title=""/>
        </v:shape>
      </w:pict>
    </w:r>
    <w:r>
      <w:rPr/>
      <w:pict>
        <v:shape style="position:absolute;margin-left:527pt;margin-top:774.222656pt;width:12.6pt;height:12.6pt;mso-position-horizontal-relative:page;mso-position-vertical-relative:page;z-index:-1426552"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70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6528" type="#_x0000_t75" stroked="false">
          <v:imagedata r:id="rId1" o:title=""/>
        </v:shape>
      </w:pict>
    </w:r>
    <w:r>
      <w:rPr/>
      <w:pict>
        <v:shape style="position:absolute;margin-left:526pt;margin-top:774.222656pt;width:14.6pt;height:12.6pt;mso-position-horizontal-relative:page;mso-position-vertical-relative:page;z-index:-1426504"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71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7440" type="#_x0000_t75" stroked="false">
          <v:imagedata r:id="rId1" o:title=""/>
        </v:shape>
      </w:pict>
    </w:r>
    <w:r>
      <w:rPr/>
      <w:pict>
        <v:shape style="position:absolute;margin-left:527pt;margin-top:774.222656pt;width:12.6pt;height:12.6pt;mso-position-horizontal-relative:page;mso-position-vertical-relative:page;z-index:-1427416"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6480" type="#_x0000_t75" stroked="false">
          <v:imagedata r:id="rId1" o:title=""/>
        </v:shape>
      </w:pict>
    </w:r>
    <w:r>
      <w:rPr/>
      <w:pict>
        <v:shape style="position:absolute;margin-left:527pt;margin-top:774.222656pt;width:12.6pt;height:12.6pt;mso-position-horizontal-relative:page;mso-position-vertical-relative:page;z-index:-1426456"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80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6432" type="#_x0000_t75" stroked="false">
          <v:imagedata r:id="rId1" o:title=""/>
        </v:shape>
      </w:pict>
    </w:r>
    <w:r>
      <w:rPr/>
      <w:pict>
        <v:shape style="position:absolute;margin-left:526pt;margin-top:774.222656pt;width:14.6pt;height:12.6pt;mso-position-horizontal-relative:page;mso-position-vertical-relative:page;z-index:-1426408"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81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6384" type="#_x0000_t75" stroked="false">
          <v:imagedata r:id="rId1" o:title=""/>
        </v:shape>
      </w:pict>
    </w:r>
    <w:r>
      <w:rPr/>
      <w:pict>
        <v:shape style="position:absolute;margin-left:526pt;margin-top:774.222656pt;width:14.6pt;height:12.6pt;mso-position-horizontal-relative:page;mso-position-vertical-relative:page;z-index:-1426360"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86</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6336" type="#_x0000_t75" stroked="false">
          <v:imagedata r:id="rId1" o:title=""/>
        </v:shape>
      </w:pict>
    </w:r>
    <w:r>
      <w:rPr/>
      <w:pict>
        <v:shape style="position:absolute;margin-left:527pt;margin-top:774.222656pt;width:12.6pt;height:12.6pt;mso-position-horizontal-relative:page;mso-position-vertical-relative:page;z-index:-1426312"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90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6288" type="#_x0000_t75" stroked="false">
          <v:imagedata r:id="rId1" o:title=""/>
        </v:shape>
      </w:pict>
    </w:r>
    <w:r>
      <w:rPr/>
      <w:pict>
        <v:shape style="position:absolute;margin-left:526pt;margin-top:774.222656pt;width:14.6pt;height:12.6pt;mso-position-horizontal-relative:page;mso-position-vertical-relative:page;z-index:-1426264"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91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6168" type="#_x0000_t75" stroked="false">
          <v:imagedata r:id="rId1" o:title=""/>
        </v:shape>
      </w:pict>
    </w:r>
    <w:r>
      <w:rPr/>
      <w:pict>
        <v:shape style="position:absolute;margin-left:521.840027pt;margin-top:774.222656pt;width:17.850pt;height:12.6pt;mso-position-horizontal-relative:page;mso-position-vertical-relative:page;z-index:-1426144"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6120" type="#_x0000_t75" stroked="false">
          <v:imagedata r:id="rId1" o:title=""/>
        </v:shape>
      </w:pict>
    </w:r>
    <w:r>
      <w:rPr/>
      <w:pict>
        <v:shape style="position:absolute;margin-left:520.840027pt;margin-top:774.222656pt;width:19.850pt;height:12.6pt;mso-position-horizontal-relative:page;mso-position-vertical-relative:page;z-index:-1426096"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6072" type="#_x0000_t75" stroked="false">
          <v:imagedata r:id="rId1" o:title=""/>
        </v:shape>
      </w:pict>
    </w:r>
    <w:r>
      <w:rPr/>
      <w:pict>
        <v:shape style="position:absolute;margin-left:521.200012pt;margin-top:774.222656pt;width:19.5pt;height:12.6pt;mso-position-horizontal-relative:page;mso-position-vertical-relative:page;z-index:-1426048"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6024" type="#_x0000_t75" stroked="false">
          <v:imagedata r:id="rId1" o:title=""/>
        </v:shape>
      </w:pict>
    </w:r>
    <w:r>
      <w:rPr/>
      <w:pict>
        <v:shape style="position:absolute;margin-left:520.840027pt;margin-top:774.222656pt;width:19.850pt;height:12.6pt;mso-position-horizontal-relative:page;mso-position-vertical-relative:page;z-index:-1426000"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5976" type="#_x0000_t75" stroked="false">
          <v:imagedata r:id="rId1" o:title=""/>
        </v:shape>
      </w:pict>
    </w:r>
    <w:r>
      <w:rPr/>
      <w:pict>
        <v:shape style="position:absolute;margin-left:521.840027pt;margin-top:774.222656pt;width:17.850pt;height:12.6pt;mso-position-horizontal-relative:page;mso-position-vertical-relative:page;z-index:-1425952"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130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7344" type="#_x0000_t75" stroked="false">
          <v:imagedata r:id="rId1" o:title=""/>
        </v:shape>
      </w:pict>
    </w:r>
    <w:r>
      <w:rPr/>
      <w:pict>
        <v:shape style="position:absolute;margin-left:526pt;margin-top:774.222656pt;width:14.6pt;height:12.6pt;mso-position-horizontal-relative:page;mso-position-vertical-relative:page;z-index:-1427320"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12</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5928" type="#_x0000_t75" stroked="false">
          <v:imagedata r:id="rId1" o:title=""/>
        </v:shape>
      </w:pict>
    </w:r>
    <w:r>
      <w:rPr/>
      <w:pict>
        <v:shape style="position:absolute;margin-left:520.840027pt;margin-top:774.222656pt;width:19.850pt;height:12.6pt;mso-position-horizontal-relative:page;mso-position-vertical-relative:page;z-index:-1425904"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131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5880" type="#_x0000_t75" stroked="false">
          <v:imagedata r:id="rId1" o:title=""/>
        </v:shape>
      </w:pict>
    </w:r>
    <w:r>
      <w:rPr/>
      <w:pict>
        <v:shape style="position:absolute;margin-left:521.840027pt;margin-top:774.222656pt;width:17.850pt;height:12.6pt;mso-position-horizontal-relative:page;mso-position-vertical-relative:page;z-index:-1425856"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140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5832" type="#_x0000_t75" stroked="false">
          <v:imagedata r:id="rId1" o:title=""/>
        </v:shape>
      </w:pict>
    </w:r>
    <w:r>
      <w:rPr/>
      <w:pict>
        <v:shape style="position:absolute;margin-left:520.840027pt;margin-top:774.222656pt;width:19.850pt;height:12.6pt;mso-position-horizontal-relative:page;mso-position-vertical-relative:page;z-index:-1425808"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141</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5784" type="#_x0000_t75" stroked="false">
          <v:imagedata r:id="rId1" o:title=""/>
        </v:shape>
      </w:pict>
    </w:r>
    <w:r>
      <w:rPr/>
      <w:pict>
        <v:shape style="position:absolute;margin-left:521.840027pt;margin-top:774.222656pt;width:17.850pt;height:12.6pt;mso-position-horizontal-relative:page;mso-position-vertical-relative:page;z-index:-1425760"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150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5736" type="#_x0000_t75" stroked="false">
          <v:imagedata r:id="rId1" o:title=""/>
        </v:shape>
      </w:pict>
    </w:r>
    <w:r>
      <w:rPr/>
      <w:pict>
        <v:shape style="position:absolute;margin-left:520.840027pt;margin-top:774.222656pt;width:19.850pt;height:12.6pt;mso-position-horizontal-relative:page;mso-position-vertical-relative:page;z-index:-1425712"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151</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5688" type="#_x0000_t75" stroked="false">
          <v:imagedata r:id="rId1" o:title=""/>
        </v:shape>
      </w:pict>
    </w:r>
    <w:r>
      <w:rPr/>
      <w:pict>
        <v:shape style="position:absolute;margin-left:521.840027pt;margin-top:774.222656pt;width:17.850pt;height:12.6pt;mso-position-horizontal-relative:page;mso-position-vertical-relative:page;z-index:-1425664"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160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5640" type="#_x0000_t75" stroked="false">
          <v:imagedata r:id="rId1" o:title=""/>
        </v:shape>
      </w:pict>
    </w:r>
    <w:r>
      <w:rPr/>
      <w:pict>
        <v:shape style="position:absolute;margin-left:520.840027pt;margin-top:774.222656pt;width:19.850pt;height:12.6pt;mso-position-horizontal-relative:page;mso-position-vertical-relative:page;z-index:-1425616"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161</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5592" type="#_x0000_t75" stroked="false">
          <v:imagedata r:id="rId1" o:title=""/>
        </v:shape>
      </w:pict>
    </w:r>
    <w:r>
      <w:rPr/>
      <w:pict>
        <v:shape style="position:absolute;margin-left:521.840027pt;margin-top:774.222656pt;width:17.850pt;height:12.6pt;mso-position-horizontal-relative:page;mso-position-vertical-relative:page;z-index:-1425568"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170</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5544" type="#_x0000_t75" stroked="false">
          <v:imagedata r:id="rId1" o:title=""/>
        </v:shape>
      </w:pict>
    </w:r>
    <w:r>
      <w:rPr/>
      <w:pict>
        <v:shape style="position:absolute;margin-left:520.840027pt;margin-top:774.222656pt;width:19.850pt;height:12.6pt;mso-position-horizontal-relative:page;mso-position-vertical-relative:page;z-index:-1425520"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171</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5496" type="#_x0000_t75" stroked="false">
          <v:imagedata r:id="rId1" o:title=""/>
        </v:shape>
      </w:pict>
    </w:r>
    <w:r>
      <w:rPr/>
      <w:pict>
        <v:shape style="position:absolute;margin-left:521.840027pt;margin-top:774.222656pt;width:17.850pt;height:12.6pt;mso-position-horizontal-relative:page;mso-position-vertical-relative:page;z-index:-1425472"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180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7296" type="#_x0000_t75" stroked="false">
          <v:imagedata r:id="rId1" o:title=""/>
        </v:shape>
      </w:pict>
    </w:r>
    <w:r>
      <w:rPr/>
      <w:pict>
        <v:shape style="position:absolute;margin-left:527pt;margin-top:774.222656pt;width:12.6pt;height:12.6pt;mso-position-horizontal-relative:page;mso-position-vertical-relative:page;z-index:-1427272"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20</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5448" type="#_x0000_t75" stroked="false">
          <v:imagedata r:id="rId1" o:title=""/>
        </v:shape>
      </w:pict>
    </w:r>
    <w:r>
      <w:rPr/>
      <w:pict>
        <v:shape style="position:absolute;margin-left:520.840027pt;margin-top:774.222656pt;width:19.850pt;height:12.6pt;mso-position-horizontal-relative:page;mso-position-vertical-relative:page;z-index:-1425424"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181</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5400" type="#_x0000_t75" stroked="false">
          <v:imagedata r:id="rId1" o:title=""/>
        </v:shape>
      </w:pict>
    </w:r>
    <w:r>
      <w:rPr/>
      <w:pict>
        <v:shape style="position:absolute;margin-left:521.840027pt;margin-top:774.222656pt;width:17.850pt;height:12.6pt;mso-position-horizontal-relative:page;mso-position-vertical-relative:page;z-index:-1425376"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190</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5352" type="#_x0000_t75" stroked="false">
          <v:imagedata r:id="rId1" o:title=""/>
        </v:shape>
      </w:pict>
    </w:r>
    <w:r>
      <w:rPr/>
      <w:pict>
        <v:shape style="position:absolute;margin-left:520.840027pt;margin-top:774.222656pt;width:19.850pt;height:12.6pt;mso-position-horizontal-relative:page;mso-position-vertical-relative:page;z-index:-1425328"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191</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5304" type="#_x0000_t75" stroked="false">
          <v:imagedata r:id="rId1" o:title=""/>
        </v:shape>
      </w:pict>
    </w:r>
    <w:r>
      <w:rPr/>
      <w:pict>
        <v:shape style="position:absolute;margin-left:521.840027pt;margin-top:774.222656pt;width:17.850pt;height:12.6pt;mso-position-horizontal-relative:page;mso-position-vertical-relative:page;z-index:-1425280"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5256" type="#_x0000_t75" stroked="false">
          <v:imagedata r:id="rId1" o:title=""/>
        </v:shape>
      </w:pict>
    </w:r>
    <w:r>
      <w:rPr/>
      <w:pict>
        <v:shape style="position:absolute;margin-left:520.840027pt;margin-top:774.222656pt;width:19.850pt;height:12.6pt;mso-position-horizontal-relative:page;mso-position-vertical-relative:page;z-index:-1425232"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5208" type="#_x0000_t75" stroked="false">
          <v:imagedata r:id="rId1" o:title=""/>
        </v:shape>
      </w:pict>
    </w:r>
    <w:r>
      <w:rPr/>
      <w:pict>
        <v:shape style="position:absolute;margin-left:521.840027pt;margin-top:774.222656pt;width:17.850pt;height:12.6pt;mso-position-horizontal-relative:page;mso-position-vertical-relative:page;z-index:-1425184"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210</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5160" type="#_x0000_t75" stroked="false">
          <v:imagedata r:id="rId1" o:title=""/>
        </v:shape>
      </w:pict>
    </w:r>
    <w:r>
      <w:rPr/>
      <w:pict>
        <v:shape style="position:absolute;margin-left:520.840027pt;margin-top:774.222656pt;width:19.850pt;height:12.6pt;mso-position-horizontal-relative:page;mso-position-vertical-relative:page;z-index:-1425136"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212</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5112" type="#_x0000_t75" stroked="false">
          <v:imagedata r:id="rId1" o:title=""/>
        </v:shape>
      </w:pict>
    </w:r>
    <w:r>
      <w:rPr/>
      <w:pict>
        <v:shape style="position:absolute;margin-left:521.840027pt;margin-top:774.222656pt;width:17.850pt;height:12.6pt;mso-position-horizontal-relative:page;mso-position-vertical-relative:page;z-index:-1425088"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220</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5064" type="#_x0000_t75" stroked="false">
          <v:imagedata r:id="rId1" o:title=""/>
        </v:shape>
      </w:pict>
    </w:r>
    <w:r>
      <w:rPr/>
      <w:pict>
        <v:shape style="position:absolute;margin-left:520.840027pt;margin-top:774.222656pt;width:19.850pt;height:12.6pt;mso-position-horizontal-relative:page;mso-position-vertical-relative:page;z-index:-1425040"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221</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5016" type="#_x0000_t75" stroked="false">
          <v:imagedata r:id="rId1" o:title=""/>
        </v:shape>
      </w:pict>
    </w:r>
    <w:r>
      <w:rPr/>
      <w:pict>
        <v:shape style="position:absolute;margin-left:521.840027pt;margin-top:774.222656pt;width:17.850pt;height:12.6pt;mso-position-horizontal-relative:page;mso-position-vertical-relative:page;z-index:-1424992"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230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7248" type="#_x0000_t75" stroked="false">
          <v:imagedata r:id="rId1" o:title=""/>
        </v:shape>
      </w:pict>
    </w:r>
    <w:r>
      <w:rPr/>
      <w:pict>
        <v:shape style="position:absolute;margin-left:526pt;margin-top:774.222656pt;width:14.6pt;height:12.6pt;mso-position-horizontal-relative:page;mso-position-vertical-relative:page;z-index:-1427224"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21</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4968" type="#_x0000_t75" stroked="false">
          <v:imagedata r:id="rId1" o:title=""/>
        </v:shape>
      </w:pict>
    </w:r>
    <w:r>
      <w:rPr/>
      <w:pict>
        <v:shape style="position:absolute;margin-left:520.840027pt;margin-top:774.222656pt;width:19.850pt;height:12.6pt;mso-position-horizontal-relative:page;mso-position-vertical-relative:page;z-index:-1424944"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231</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4920" type="#_x0000_t75" stroked="false">
          <v:imagedata r:id="rId1" o:title=""/>
        </v:shape>
      </w:pict>
    </w:r>
    <w:r>
      <w:rPr/>
      <w:pict>
        <v:shape style="position:absolute;margin-left:521.840027pt;margin-top:774.222656pt;width:17.850pt;height:12.6pt;mso-position-horizontal-relative:page;mso-position-vertical-relative:page;z-index:-1424896"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240</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4872" type="#_x0000_t75" stroked="false">
          <v:imagedata r:id="rId1" o:title=""/>
        </v:shape>
      </w:pict>
    </w:r>
    <w:r>
      <w:rPr/>
      <w:pict>
        <v:shape style="position:absolute;margin-left:520.840027pt;margin-top:774.222656pt;width:19.850pt;height:12.6pt;mso-position-horizontal-relative:page;mso-position-vertical-relative:page;z-index:-1424848"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241</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4824" type="#_x0000_t75" stroked="false">
          <v:imagedata r:id="rId1" o:title=""/>
        </v:shape>
      </w:pict>
    </w:r>
    <w:r>
      <w:rPr/>
      <w:pict>
        <v:shape style="position:absolute;margin-left:521.840027pt;margin-top:774.222656pt;width:17.850pt;height:12.6pt;mso-position-horizontal-relative:page;mso-position-vertical-relative:page;z-index:-1424800"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250</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4776" type="#_x0000_t75" stroked="false">
          <v:imagedata r:id="rId1" o:title=""/>
        </v:shape>
      </w:pict>
    </w:r>
    <w:r>
      <w:rPr/>
      <w:pict>
        <v:shape style="position:absolute;margin-left:520.840027pt;margin-top:774.222656pt;width:19.850pt;height:12.6pt;mso-position-horizontal-relative:page;mso-position-vertical-relative:page;z-index:-1424752"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251</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4728" type="#_x0000_t75" stroked="false">
          <v:imagedata r:id="rId1" o:title=""/>
        </v:shape>
      </w:pict>
    </w:r>
    <w:r>
      <w:rPr/>
      <w:pict>
        <v:shape style="position:absolute;margin-left:520.840027pt;margin-top:774.222656pt;width:19.850pt;height:12.6pt;mso-position-horizontal-relative:page;mso-position-vertical-relative:page;z-index:-1424704"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254</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4680" type="#_x0000_t75" stroked="false">
          <v:imagedata r:id="rId1" o:title=""/>
        </v:shape>
      </w:pict>
    </w:r>
    <w:r>
      <w:rPr/>
      <w:pict>
        <v:shape style="position:absolute;margin-left:521.840027pt;margin-top:774.222656pt;width:17.850pt;height:12.6pt;mso-position-horizontal-relative:page;mso-position-vertical-relative:page;z-index:-1424656"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260</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4632" type="#_x0000_t75" stroked="false">
          <v:imagedata r:id="rId1" o:title=""/>
        </v:shape>
      </w:pict>
    </w:r>
    <w:r>
      <w:rPr/>
      <w:pict>
        <v:shape style="position:absolute;margin-left:520.840027pt;margin-top:774.222656pt;width:19.850pt;height:12.6pt;mso-position-horizontal-relative:page;mso-position-vertical-relative:page;z-index:-1424608"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261</w:t>
                </w:r>
                <w:r>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4584" type="#_x0000_t75" stroked="false">
          <v:imagedata r:id="rId1" o:title=""/>
        </v:shape>
      </w:pict>
    </w:r>
    <w:r>
      <w:rPr/>
      <w:pict>
        <v:shape style="position:absolute;margin-left:521.840027pt;margin-top:774.222656pt;width:17.850pt;height:12.6pt;mso-position-horizontal-relative:page;mso-position-vertical-relative:page;z-index:-1424560"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270</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4536" type="#_x0000_t75" stroked="false">
          <v:imagedata r:id="rId1" o:title=""/>
        </v:shape>
      </w:pict>
    </w:r>
    <w:r>
      <w:rPr/>
      <w:pict>
        <v:shape style="position:absolute;margin-left:520.840027pt;margin-top:774.222656pt;width:19.850pt;height:12.6pt;mso-position-horizontal-relative:page;mso-position-vertical-relative:page;z-index:-1424512"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271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7200" type="#_x0000_t75" stroked="false">
          <v:imagedata r:id="rId1" o:title=""/>
        </v:shape>
      </w:pict>
    </w:r>
    <w:r>
      <w:rPr/>
      <w:pict>
        <v:shape style="position:absolute;margin-left:527pt;margin-top:774.222656pt;width:12.6pt;height:12.6pt;mso-position-horizontal-relative:page;mso-position-vertical-relative:page;z-index:-1427176"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30</w:t>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4488" type="#_x0000_t75" stroked="false">
          <v:imagedata r:id="rId1" o:title=""/>
        </v:shape>
      </w:pict>
    </w:r>
    <w:r>
      <w:rPr/>
      <w:pict>
        <v:shape style="position:absolute;margin-left:521.840027pt;margin-top:774.222656pt;width:17.850pt;height:12.6pt;mso-position-horizontal-relative:page;mso-position-vertical-relative:page;z-index:-1424464"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280</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4440" type="#_x0000_t75" stroked="false">
          <v:imagedata r:id="rId1" o:title=""/>
        </v:shape>
      </w:pict>
    </w:r>
    <w:r>
      <w:rPr/>
      <w:pict>
        <v:shape style="position:absolute;margin-left:520.840027pt;margin-top:774.222656pt;width:19.850pt;height:12.6pt;mso-position-horizontal-relative:page;mso-position-vertical-relative:page;z-index:-1424416"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281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7152" type="#_x0000_t75" stroked="false">
          <v:imagedata r:id="rId1" o:title=""/>
        </v:shape>
      </w:pict>
    </w:r>
    <w:r>
      <w:rPr/>
      <w:pict>
        <v:shape style="position:absolute;margin-left:526pt;margin-top:774.222656pt;width:14.6pt;height:12.6pt;mso-position-horizontal-relative:page;mso-position-vertical-relative:page;z-index:-1427128"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31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7104" type="#_x0000_t75" stroked="false">
          <v:imagedata r:id="rId1" o:title=""/>
        </v:shape>
      </w:pict>
    </w:r>
    <w:r>
      <w:rPr/>
      <w:pict>
        <v:shape style="position:absolute;margin-left:527pt;margin-top:774.222656pt;width:12.6pt;height:12.6pt;mso-position-horizontal-relative:page;mso-position-vertical-relative:page;z-index:-1427080"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40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27056" type="#_x0000_t75" stroked="false">
          <v:imagedata r:id="rId1" o:title=""/>
        </v:shape>
      </w:pict>
    </w:r>
    <w:r>
      <w:rPr/>
      <w:pict>
        <v:shape style="position:absolute;margin-left:526pt;margin-top:774.222656pt;width:14.6pt;height:12.6pt;mso-position-horizontal-relative:page;mso-position-vertical-relative:page;z-index:-1427032"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41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4.319984pt;width:484.8pt;height:.1pt;mso-position-horizontal-relative:page;mso-position-vertical-relative:page;z-index:-1427560" coordorigin="1104,1286" coordsize="9696,2">
          <v:shape style="position:absolute;left:1104;top:1286;width:9696;height:2" coordorigin="1104,1286" coordsize="9696,0" path="m1104,1286l10800,1286e" filled="false" stroked="true" strokeweight=".72pt" strokecolor="#000000">
            <v:path arrowok="t"/>
          </v:shape>
          <w10:wrap type="none"/>
        </v:group>
      </w:pict>
    </w:r>
    <w:r>
      <w:rPr/>
      <w:pict>
        <v:shape style="position:absolute;margin-left:290.720001pt;margin-top:43.084984pt;width:248.75pt;height:13.15pt;mso-position-horizontal-relative:page;mso-position-vertical-relative:page;z-index:-1427536" type="#_x0000_t202" filled="false" stroked="false">
          <v:textbox inset="0,0,0,0">
            <w:txbxContent>
              <w:p>
                <w:pPr>
                  <w:pStyle w:val="BodyText"/>
                  <w:spacing w:line="247" w:lineRule="exact"/>
                  <w:ind w:left="20" w:right="0"/>
                  <w:jc w:val="left"/>
                </w:pPr>
                <w:r>
                  <w:rPr/>
                  <w:t>北京旋极信息技术股份有限公司</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spacing w:val="-3"/>
                  </w:rPr>
                  <w:t>年年度报告全文</w:t>
                </w:r>
                <w:r>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4.319984pt;width:484.8pt;height:.1pt;mso-position-horizontal-relative:page;mso-position-vertical-relative:page;z-index:-1426216" coordorigin="1104,1286" coordsize="9696,2">
          <v:shape style="position:absolute;left:1104;top:1286;width:9696;height:2" coordorigin="1104,1286" coordsize="9696,0" path="m1104,1286l10800,1286e" filled="false" stroked="true" strokeweight=".72pt" strokecolor="#000000">
            <v:path arrowok="t"/>
          </v:shape>
          <w10:wrap type="none"/>
        </v:group>
      </w:pict>
    </w:r>
    <w:r>
      <w:rPr/>
      <w:pict>
        <v:shape style="position:absolute;margin-left:290.720001pt;margin-top:43.084984pt;width:248.75pt;height:13.15pt;mso-position-horizontal-relative:page;mso-position-vertical-relative:page;z-index:-1426192" type="#_x0000_t202" filled="false" stroked="false">
          <v:textbox inset="0,0,0,0">
            <w:txbxContent>
              <w:p>
                <w:pPr>
                  <w:pStyle w:val="BodyText"/>
                  <w:spacing w:line="247" w:lineRule="exact"/>
                  <w:ind w:left="20" w:right="0"/>
                  <w:jc w:val="left"/>
                </w:pPr>
                <w:r>
                  <w:rPr/>
                  <w:t>北京旋极信息技术股份有限公司</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spacing w:val="-3"/>
                  </w:rPr>
                  <w:t>年年度报告全文</w:t>
                </w:r>
                <w:r>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720001pt;margin-top:43.084984pt;width:248.75pt;height:13.15pt;mso-position-horizontal-relative:page;mso-position-vertical-relative:page;z-index:-1424392" type="#_x0000_t202" filled="false" stroked="false">
          <v:textbox inset="0,0,0,0">
            <w:txbxContent>
              <w:p>
                <w:pPr>
                  <w:pStyle w:val="BodyText"/>
                  <w:spacing w:line="247" w:lineRule="exact"/>
                  <w:ind w:left="20" w:right="0"/>
                  <w:jc w:val="left"/>
                </w:pPr>
                <w:r>
                  <w:rPr/>
                  <w:t>北京旋极信息技术股份有限公司</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spacing w:val="-3"/>
                  </w:rPr>
                  <w:t>年年度报告全文</w:t>
                </w:r>
                <w:r>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4.319984pt;width:484.8pt;height:.1pt;mso-position-horizontal-relative:page;mso-position-vertical-relative:page;z-index:-1424368" coordorigin="1104,1286" coordsize="9696,2">
          <v:shape style="position:absolute;left:1104;top:1286;width:9696;height:2" coordorigin="1104,1286" coordsize="9696,0" path="m1104,1286l10800,1286e" filled="false" stroked="true" strokeweight=".72pt" strokecolor="#000000">
            <v:path arrowok="t"/>
          </v:shape>
          <w10:wrap type="none"/>
        </v:group>
      </w:pict>
    </w:r>
    <w:r>
      <w:rPr/>
      <w:pict>
        <v:shape style="position:absolute;margin-left:290.720001pt;margin-top:43.084984pt;width:248.75pt;height:13.15pt;mso-position-horizontal-relative:page;mso-position-vertical-relative:page;z-index:-1424344" type="#_x0000_t202" filled="false" stroked="false">
          <v:textbox inset="0,0,0,0">
            <w:txbxContent>
              <w:p>
                <w:pPr>
                  <w:pStyle w:val="BodyText"/>
                  <w:spacing w:line="247" w:lineRule="exact"/>
                  <w:ind w:left="20" w:right="0"/>
                  <w:jc w:val="left"/>
                </w:pPr>
                <w:r>
                  <w:rPr/>
                  <w:t>北京旋极信息技术股份有限公司</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spacing w:val="-3"/>
                  </w:rPr>
                  <w:t>年年度报告全文</w:t>
                </w:r>
                <w:r>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720001pt;margin-top:43.084984pt;width:248.75pt;height:13.15pt;mso-position-horizontal-relative:page;mso-position-vertical-relative:page;z-index:-1427464" type="#_x0000_t202" filled="false" stroked="false">
          <v:textbox inset="0,0,0,0">
            <w:txbxContent>
              <w:p>
                <w:pPr>
                  <w:pStyle w:val="BodyText"/>
                  <w:spacing w:line="247" w:lineRule="exact"/>
                  <w:ind w:left="20" w:right="0"/>
                  <w:jc w:val="left"/>
                </w:pPr>
                <w:r>
                  <w:rPr/>
                  <w:t>北京旋极信息技术股份有限公司</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spacing w:val="-3"/>
                  </w:rPr>
                  <w:t>年年度报告全文</w:t>
                </w:r>
                <w:r>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4.319984pt;width:484.8pt;height:.1pt;mso-position-horizontal-relative:page;mso-position-vertical-relative:page;z-index:-1427392" coordorigin="1104,1286" coordsize="9696,2">
          <v:shape style="position:absolute;left:1104;top:1286;width:9696;height:2" coordorigin="1104,1286" coordsize="9696,0" path="m1104,1286l10800,1286e" filled="false" stroked="true" strokeweight=".72pt" strokecolor="#000000">
            <v:path arrowok="t"/>
          </v:shape>
          <w10:wrap type="none"/>
        </v:group>
      </w:pict>
    </w:r>
    <w:r>
      <w:rPr/>
      <w:pict>
        <v:shape style="position:absolute;margin-left:290.720001pt;margin-top:43.084984pt;width:248.75pt;height:13.15pt;mso-position-horizontal-relative:page;mso-position-vertical-relative:page;z-index:-1427368" type="#_x0000_t202" filled="false" stroked="false">
          <v:textbox inset="0,0,0,0">
            <w:txbxContent>
              <w:p>
                <w:pPr>
                  <w:pStyle w:val="BodyText"/>
                  <w:spacing w:line="247" w:lineRule="exact"/>
                  <w:ind w:left="20" w:right="0"/>
                  <w:jc w:val="left"/>
                </w:pPr>
                <w:r>
                  <w:rPr/>
                  <w:t>北京旋极信息技术股份有限公司</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spacing w:val="-3"/>
                  </w:rPr>
                  <w:t>年年度报告全文</w:t>
                </w:r>
                <w:r>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080017pt;margin-top:43.085007pt;width:248.75pt;height:13.15pt;mso-position-horizontal-relative:page;mso-position-vertical-relative:page;z-index:-1427008" type="#_x0000_t202" filled="false" stroked="false">
          <v:textbox inset="0,0,0,0">
            <w:txbxContent>
              <w:p>
                <w:pPr>
                  <w:pStyle w:val="BodyText"/>
                  <w:spacing w:line="247" w:lineRule="exact"/>
                  <w:ind w:left="20" w:right="0"/>
                  <w:jc w:val="left"/>
                </w:pPr>
                <w:r>
                  <w:rPr/>
                  <w:t>北京旋极信息技术股份有限公司</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spacing w:val="-3"/>
                  </w:rPr>
                  <w:t>年年度报告全文</w:t>
                </w:r>
                <w:r>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4.319984pt;width:484.8pt;height:.1pt;mso-position-horizontal-relative:page;mso-position-vertical-relative:page;z-index:-1426936" coordorigin="1104,1286" coordsize="9696,2">
          <v:shape style="position:absolute;left:1104;top:1286;width:9696;height:2" coordorigin="1104,1286" coordsize="9696,0" path="m1104,1286l10800,1286e" filled="false" stroked="true" strokeweight=".72pt" strokecolor="#000000">
            <v:path arrowok="t"/>
          </v:shape>
          <w10:wrap type="none"/>
        </v:group>
      </w:pict>
    </w:r>
    <w:r>
      <w:rPr/>
      <w:pict>
        <v:shape style="position:absolute;margin-left:290.720001pt;margin-top:43.084984pt;width:248.75pt;height:13.15pt;mso-position-horizontal-relative:page;mso-position-vertical-relative:page;z-index:-1426912" type="#_x0000_t202" filled="false" stroked="false">
          <v:textbox inset="0,0,0,0">
            <w:txbxContent>
              <w:p>
                <w:pPr>
                  <w:pStyle w:val="BodyText"/>
                  <w:spacing w:line="247" w:lineRule="exact"/>
                  <w:ind w:left="20" w:right="0"/>
                  <w:jc w:val="left"/>
                </w:pPr>
                <w:r>
                  <w:rPr/>
                  <w:t>北京旋极信息技术股份有限公司</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spacing w:val="-3"/>
                  </w:rPr>
                  <w:t>年年度报告全文</w:t>
                </w:r>
                <w:r>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080017pt;margin-top:43.085007pt;width:248.75pt;height:13.15pt;mso-position-horizontal-relative:page;mso-position-vertical-relative:page;z-index:-1426744" type="#_x0000_t202" filled="false" stroked="false">
          <v:textbox inset="0,0,0,0">
            <w:txbxContent>
              <w:p>
                <w:pPr>
                  <w:pStyle w:val="BodyText"/>
                  <w:spacing w:line="247" w:lineRule="exact"/>
                  <w:ind w:left="20" w:right="0"/>
                  <w:jc w:val="left"/>
                </w:pPr>
                <w:r>
                  <w:rPr/>
                  <w:t>北京旋极信息技术股份有限公司</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spacing w:val="-3"/>
                  </w:rPr>
                  <w:t>年年度报告全文</w:t>
                </w:r>
                <w:r>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4.319984pt;width:484.8pt;height:.1pt;mso-position-horizontal-relative:page;mso-position-vertical-relative:page;z-index:-1426672" coordorigin="1104,1286" coordsize="9696,2">
          <v:shape style="position:absolute;left:1104;top:1286;width:9696;height:2" coordorigin="1104,1286" coordsize="9696,0" path="m1104,1286l10800,1286e" filled="false" stroked="true" strokeweight=".72pt" strokecolor="#000000">
            <v:path arrowok="t"/>
          </v:shape>
          <w10:wrap type="none"/>
        </v:group>
      </w:pict>
    </w:r>
    <w:r>
      <w:rPr/>
      <w:pict>
        <v:shape style="position:absolute;margin-left:290.720001pt;margin-top:43.084984pt;width:248.75pt;height:13.15pt;mso-position-horizontal-relative:page;mso-position-vertical-relative:page;z-index:-1426648" type="#_x0000_t202" filled="false" stroked="false">
          <v:textbox inset="0,0,0,0">
            <w:txbxContent>
              <w:p>
                <w:pPr>
                  <w:pStyle w:val="BodyText"/>
                  <w:spacing w:line="247" w:lineRule="exact"/>
                  <w:ind w:left="20" w:right="0"/>
                  <w:jc w:val="left"/>
                </w:pPr>
                <w:r>
                  <w:rPr/>
                  <w:t>北京旋极信息技术股份有限公司</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spacing w:val="-3"/>
                  </w:rPr>
                  <w:t>年年度报告全文</w:t>
                </w:r>
                <w:r>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720001pt;margin-top:43.084984pt;width:248.75pt;height:13.15pt;mso-position-horizontal-relative:page;mso-position-vertical-relative:page;z-index:-1426240" type="#_x0000_t202" filled="false" stroked="false">
          <v:textbox inset="0,0,0,0">
            <w:txbxContent>
              <w:p>
                <w:pPr>
                  <w:pStyle w:val="BodyText"/>
                  <w:spacing w:line="247" w:lineRule="exact"/>
                  <w:ind w:left="20" w:right="0"/>
                  <w:jc w:val="left"/>
                </w:pPr>
                <w:r>
                  <w:rPr/>
                  <w:t>北京旋极信息技术股份有限公司</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spacing w:val="-3"/>
                  </w:rPr>
                  <w:t>年年度报告全文</w:t>
                </w:r>
                <w:r>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15"/>
      <w:ind w:left="635"/>
    </w:pPr>
    <w:rPr>
      <w:rFonts w:ascii="宋体" w:hAnsi="宋体" w:eastAsia="宋体"/>
      <w:b/>
      <w:bCs/>
      <w:sz w:val="24"/>
      <w:szCs w:val="24"/>
    </w:rPr>
  </w:style>
  <w:style w:styleId="BodyText" w:type="paragraph">
    <w:name w:val="Body Text"/>
    <w:basedOn w:val="Normal"/>
    <w:uiPriority w:val="1"/>
    <w:qFormat/>
    <w:pPr>
      <w:ind w:left="572"/>
    </w:pPr>
    <w:rPr>
      <w:rFonts w:ascii="宋体" w:hAnsi="宋体" w:eastAsia="宋体"/>
      <w:sz w:val="21"/>
      <w:szCs w:val="21"/>
    </w:rPr>
  </w:style>
  <w:style w:styleId="Heading1" w:type="paragraph">
    <w:name w:val="Heading 1"/>
    <w:basedOn w:val="Normal"/>
    <w:uiPriority w:val="1"/>
    <w:qFormat/>
    <w:pPr>
      <w:ind w:left="134"/>
      <w:outlineLvl w:val="1"/>
    </w:pPr>
    <w:rPr>
      <w:rFonts w:ascii="黑体" w:hAnsi="黑体" w:eastAsia="黑体"/>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632"/>
      <w:outlineLvl w:val="3"/>
    </w:pPr>
    <w:rPr>
      <w:rFonts w:ascii="黑体" w:hAnsi="黑体" w:eastAsia="黑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yperlink" Target="http://www.watertek.com/" TargetMode="External"/><Relationship Id="rId17" Type="http://schemas.openxmlformats.org/officeDocument/2006/relationships/hyperlink" Target="mailto:investor@watertek.com" TargetMode="External"/><Relationship Id="rId18" Type="http://schemas.openxmlformats.org/officeDocument/2006/relationships/hyperlink" Target="http://www.cninfo.com.cn/" TargetMode="External"/><Relationship Id="rId19" Type="http://schemas.openxmlformats.org/officeDocument/2006/relationships/header" Target="header2.xm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footer" Target="footer5.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header" Target="header4.xml"/><Relationship Id="rId30" Type="http://schemas.openxmlformats.org/officeDocument/2006/relationships/footer" Target="footer10.xml"/><Relationship Id="rId31" Type="http://schemas.openxmlformats.org/officeDocument/2006/relationships/header" Target="header5.xml"/><Relationship Id="rId32" Type="http://schemas.openxmlformats.org/officeDocument/2006/relationships/footer" Target="footer11.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header" Target="header6.xml"/><Relationship Id="rId36" Type="http://schemas.openxmlformats.org/officeDocument/2006/relationships/footer" Target="footer14.xml"/><Relationship Id="rId37" Type="http://schemas.openxmlformats.org/officeDocument/2006/relationships/header" Target="header7.xml"/><Relationship Id="rId38" Type="http://schemas.openxmlformats.org/officeDocument/2006/relationships/footer" Target="footer15.xml"/><Relationship Id="rId39" Type="http://schemas.openxmlformats.org/officeDocument/2006/relationships/image" Target="media/image10.jpeg"/><Relationship Id="rId40" Type="http://schemas.openxmlformats.org/officeDocument/2006/relationships/header" Target="header8.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footer" Target="footer19.xml"/><Relationship Id="rId45" Type="http://schemas.openxmlformats.org/officeDocument/2006/relationships/footer" Target="footer20.xml"/><Relationship Id="rId46" Type="http://schemas.openxmlformats.org/officeDocument/2006/relationships/footer" Target="footer21.xml"/><Relationship Id="rId47" Type="http://schemas.openxmlformats.org/officeDocument/2006/relationships/footer" Target="footer22.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header" Target="header9.xml"/><Relationship Id="rId51" Type="http://schemas.openxmlformats.org/officeDocument/2006/relationships/image" Target="media/image11.png"/><Relationship Id="rId52" Type="http://schemas.openxmlformats.org/officeDocument/2006/relationships/header" Target="header10.xml"/><Relationship Id="rId53" Type="http://schemas.openxmlformats.org/officeDocument/2006/relationships/footer" Target="footer25.xml"/><Relationship Id="rId54" Type="http://schemas.openxmlformats.org/officeDocument/2006/relationships/footer" Target="footer26.xml"/><Relationship Id="rId55" Type="http://schemas.openxmlformats.org/officeDocument/2006/relationships/hyperlink" Target="http://www.cninfo.com/" TargetMode="External"/><Relationship Id="rId56" Type="http://schemas.openxmlformats.org/officeDocument/2006/relationships/footer" Target="footer27.xml"/><Relationship Id="rId57" Type="http://schemas.openxmlformats.org/officeDocument/2006/relationships/footer" Target="footer28.xml"/><Relationship Id="rId58" Type="http://schemas.openxmlformats.org/officeDocument/2006/relationships/footer" Target="footer29.xml"/><Relationship Id="rId59" Type="http://schemas.openxmlformats.org/officeDocument/2006/relationships/footer" Target="footer30.xml"/><Relationship Id="rId60" Type="http://schemas.openxmlformats.org/officeDocument/2006/relationships/footer" Target="footer31.xml"/><Relationship Id="rId61" Type="http://schemas.openxmlformats.org/officeDocument/2006/relationships/footer" Target="footer32.xml"/><Relationship Id="rId62" Type="http://schemas.openxmlformats.org/officeDocument/2006/relationships/footer" Target="footer33.xml"/><Relationship Id="rId63" Type="http://schemas.openxmlformats.org/officeDocument/2006/relationships/footer" Target="footer34.xml"/><Relationship Id="rId64" Type="http://schemas.openxmlformats.org/officeDocument/2006/relationships/footer" Target="footer35.xml"/><Relationship Id="rId65" Type="http://schemas.openxmlformats.org/officeDocument/2006/relationships/footer" Target="footer36.xml"/><Relationship Id="rId66" Type="http://schemas.openxmlformats.org/officeDocument/2006/relationships/footer" Target="footer37.xml"/><Relationship Id="rId67" Type="http://schemas.openxmlformats.org/officeDocument/2006/relationships/footer" Target="footer38.xml"/><Relationship Id="rId68" Type="http://schemas.openxmlformats.org/officeDocument/2006/relationships/footer" Target="footer39.xml"/><Relationship Id="rId69" Type="http://schemas.openxmlformats.org/officeDocument/2006/relationships/footer" Target="footer40.xml"/><Relationship Id="rId70" Type="http://schemas.openxmlformats.org/officeDocument/2006/relationships/footer" Target="footer41.xml"/><Relationship Id="rId71" Type="http://schemas.openxmlformats.org/officeDocument/2006/relationships/footer" Target="footer42.xml"/><Relationship Id="rId72" Type="http://schemas.openxmlformats.org/officeDocument/2006/relationships/footer" Target="footer43.xml"/><Relationship Id="rId73" Type="http://schemas.openxmlformats.org/officeDocument/2006/relationships/footer" Target="footer44.xml"/><Relationship Id="rId74" Type="http://schemas.openxmlformats.org/officeDocument/2006/relationships/footer" Target="footer45.xml"/><Relationship Id="rId75" Type="http://schemas.openxmlformats.org/officeDocument/2006/relationships/footer" Target="footer46.xml"/><Relationship Id="rId76" Type="http://schemas.openxmlformats.org/officeDocument/2006/relationships/footer" Target="footer47.xml"/><Relationship Id="rId77" Type="http://schemas.openxmlformats.org/officeDocument/2006/relationships/footer" Target="footer48.xml"/><Relationship Id="rId78" Type="http://schemas.openxmlformats.org/officeDocument/2006/relationships/footer" Target="footer49.xml"/><Relationship Id="rId79" Type="http://schemas.openxmlformats.org/officeDocument/2006/relationships/footer" Target="footer50.xml"/><Relationship Id="rId80" Type="http://schemas.openxmlformats.org/officeDocument/2006/relationships/footer" Target="footer51.xml"/><Relationship Id="rId81" Type="http://schemas.openxmlformats.org/officeDocument/2006/relationships/footer" Target="footer52.xml"/><Relationship Id="rId82" Type="http://schemas.openxmlformats.org/officeDocument/2006/relationships/footer" Target="footer53.xml"/><Relationship Id="rId83" Type="http://schemas.openxmlformats.org/officeDocument/2006/relationships/footer" Target="footer54.xml"/><Relationship Id="rId84" Type="http://schemas.openxmlformats.org/officeDocument/2006/relationships/footer" Target="footer55.xml"/><Relationship Id="rId85" Type="http://schemas.openxmlformats.org/officeDocument/2006/relationships/footer" Target="footer56.xml"/><Relationship Id="rId86" Type="http://schemas.openxmlformats.org/officeDocument/2006/relationships/footer" Target="footer57.xml"/><Relationship Id="rId87" Type="http://schemas.openxmlformats.org/officeDocument/2006/relationships/footer" Target="footer58.xml"/><Relationship Id="rId88" Type="http://schemas.openxmlformats.org/officeDocument/2006/relationships/footer" Target="footer59.xml"/><Relationship Id="rId89" Type="http://schemas.openxmlformats.org/officeDocument/2006/relationships/footer" Target="footer60.xml"/><Relationship Id="rId90" Type="http://schemas.openxmlformats.org/officeDocument/2006/relationships/footer" Target="footer61.xml"/><Relationship Id="rId91" Type="http://schemas.openxmlformats.org/officeDocument/2006/relationships/header" Target="header11.xml"/><Relationship Id="rId92" Type="http://schemas.openxmlformats.org/officeDocument/2006/relationships/header" Target="header12.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footer10.xml.rels><?xml version="1.0" encoding="UTF-8" standalone="yes"?>
<Relationships xmlns="http://schemas.openxmlformats.org/package/2006/relationships"><Relationship Id="rId1" Type="http://schemas.openxmlformats.org/officeDocument/2006/relationships/image" Target="media/image10.jpeg"/></Relationships>

</file>

<file path=word/_rels/footer11.xml.rels><?xml version="1.0" encoding="UTF-8" standalone="yes"?>
<Relationships xmlns="http://schemas.openxmlformats.org/package/2006/relationships"><Relationship Id="rId1" Type="http://schemas.openxmlformats.org/officeDocument/2006/relationships/image" Target="media/image10.jpeg"/></Relationships>

</file>

<file path=word/_rels/footer12.xml.rels><?xml version="1.0" encoding="UTF-8" standalone="yes"?>
<Relationships xmlns="http://schemas.openxmlformats.org/package/2006/relationships"><Relationship Id="rId1" Type="http://schemas.openxmlformats.org/officeDocument/2006/relationships/image" Target="media/image10.jpeg"/></Relationships>

</file>

<file path=word/_rels/footer13.xml.rels><?xml version="1.0" encoding="UTF-8" standalone="yes"?>
<Relationships xmlns="http://schemas.openxmlformats.org/package/2006/relationships"><Relationship Id="rId1" Type="http://schemas.openxmlformats.org/officeDocument/2006/relationships/image" Target="media/image10.jpeg"/></Relationships>

</file>

<file path=word/_rels/footer14.xml.rels><?xml version="1.0" encoding="UTF-8" standalone="yes"?>
<Relationships xmlns="http://schemas.openxmlformats.org/package/2006/relationships"><Relationship Id="rId1" Type="http://schemas.openxmlformats.org/officeDocument/2006/relationships/image" Target="media/image10.jpeg"/></Relationships>

</file>

<file path=word/_rels/footer17.xml.rels><?xml version="1.0" encoding="UTF-8" standalone="yes"?>
<Relationships xmlns="http://schemas.openxmlformats.org/package/2006/relationships"><Relationship Id="rId1" Type="http://schemas.openxmlformats.org/officeDocument/2006/relationships/image" Target="media/image10.jpeg"/></Relationships>

</file>

<file path=word/_rels/footer18.xml.rels><?xml version="1.0" encoding="UTF-8" standalone="yes"?>
<Relationships xmlns="http://schemas.openxmlformats.org/package/2006/relationships"><Relationship Id="rId1" Type="http://schemas.openxmlformats.org/officeDocument/2006/relationships/image" Target="media/image10.jpeg"/></Relationships>

</file>

<file path=word/_rels/footer19.xml.rels><?xml version="1.0" encoding="UTF-8" standalone="yes"?>
<Relationships xmlns="http://schemas.openxmlformats.org/package/2006/relationships"><Relationship Id="rId1" Type="http://schemas.openxmlformats.org/officeDocument/2006/relationships/image" Target="media/image10.jpeg"/></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footer20.xml.rels><?xml version="1.0" encoding="UTF-8" standalone="yes"?>
<Relationships xmlns="http://schemas.openxmlformats.org/package/2006/relationships"><Relationship Id="rId1" Type="http://schemas.openxmlformats.org/officeDocument/2006/relationships/image" Target="media/image10.jpeg"/></Relationships>

</file>

<file path=word/_rels/footer21.xml.rels><?xml version="1.0" encoding="UTF-8" standalone="yes"?>
<Relationships xmlns="http://schemas.openxmlformats.org/package/2006/relationships"><Relationship Id="rId1" Type="http://schemas.openxmlformats.org/officeDocument/2006/relationships/image" Target="media/image10.jpeg"/></Relationships>

</file>

<file path=word/_rels/footer22.xml.rels><?xml version="1.0" encoding="UTF-8" standalone="yes"?>
<Relationships xmlns="http://schemas.openxmlformats.org/package/2006/relationships"><Relationship Id="rId1" Type="http://schemas.openxmlformats.org/officeDocument/2006/relationships/image" Target="media/image10.jpeg"/></Relationships>

</file>

<file path=word/_rels/footer23.xml.rels><?xml version="1.0" encoding="UTF-8" standalone="yes"?>
<Relationships xmlns="http://schemas.openxmlformats.org/package/2006/relationships"><Relationship Id="rId1" Type="http://schemas.openxmlformats.org/officeDocument/2006/relationships/image" Target="media/image10.jpeg"/></Relationships>

</file>

<file path=word/_rels/footer24.xml.rels><?xml version="1.0" encoding="UTF-8" standalone="yes"?>
<Relationships xmlns="http://schemas.openxmlformats.org/package/2006/relationships"><Relationship Id="rId1" Type="http://schemas.openxmlformats.org/officeDocument/2006/relationships/image" Target="media/image10.jpeg"/></Relationships>

</file>

<file path=word/_rels/footer25.xml.rels><?xml version="1.0" encoding="UTF-8" standalone="yes"?>
<Relationships xmlns="http://schemas.openxmlformats.org/package/2006/relationships"><Relationship Id="rId1" Type="http://schemas.openxmlformats.org/officeDocument/2006/relationships/image" Target="media/image10.jpeg"/></Relationships>

</file>

<file path=word/_rels/footer26.xml.rels><?xml version="1.0" encoding="UTF-8" standalone="yes"?>
<Relationships xmlns="http://schemas.openxmlformats.org/package/2006/relationships"><Relationship Id="rId1" Type="http://schemas.openxmlformats.org/officeDocument/2006/relationships/image" Target="media/image10.jpeg"/></Relationships>

</file>

<file path=word/_rels/footer27.xml.rels><?xml version="1.0" encoding="UTF-8" standalone="yes"?>
<Relationships xmlns="http://schemas.openxmlformats.org/package/2006/relationships"><Relationship Id="rId1" Type="http://schemas.openxmlformats.org/officeDocument/2006/relationships/image" Target="media/image10.jpeg"/></Relationships>

</file>

<file path=word/_rels/footer28.xml.rels><?xml version="1.0" encoding="UTF-8" standalone="yes"?>
<Relationships xmlns="http://schemas.openxmlformats.org/package/2006/relationships"><Relationship Id="rId1" Type="http://schemas.openxmlformats.org/officeDocument/2006/relationships/image" Target="media/image10.jpeg"/></Relationships>

</file>

<file path=word/_rels/footer29.xml.rels><?xml version="1.0" encoding="UTF-8" standalone="yes"?>
<Relationships xmlns="http://schemas.openxmlformats.org/package/2006/relationships"><Relationship Id="rId1" Type="http://schemas.openxmlformats.org/officeDocument/2006/relationships/image" Target="media/image10.jpeg"/></Relationships>

</file>

<file path=word/_rels/footer3.xml.rels><?xml version="1.0" encoding="UTF-8" standalone="yes"?>
<Relationships xmlns="http://schemas.openxmlformats.org/package/2006/relationships"><Relationship Id="rId1" Type="http://schemas.openxmlformats.org/officeDocument/2006/relationships/image" Target="media/image10.jpeg"/></Relationships>

</file>

<file path=word/_rels/footer30.xml.rels><?xml version="1.0" encoding="UTF-8" standalone="yes"?>
<Relationships xmlns="http://schemas.openxmlformats.org/package/2006/relationships"><Relationship Id="rId1" Type="http://schemas.openxmlformats.org/officeDocument/2006/relationships/image" Target="media/image10.jpeg"/></Relationships>

</file>

<file path=word/_rels/footer31.xml.rels><?xml version="1.0" encoding="UTF-8" standalone="yes"?>
<Relationships xmlns="http://schemas.openxmlformats.org/package/2006/relationships"><Relationship Id="rId1" Type="http://schemas.openxmlformats.org/officeDocument/2006/relationships/image" Target="media/image10.jpeg"/></Relationships>

</file>

<file path=word/_rels/footer32.xml.rels><?xml version="1.0" encoding="UTF-8" standalone="yes"?>
<Relationships xmlns="http://schemas.openxmlformats.org/package/2006/relationships"><Relationship Id="rId1" Type="http://schemas.openxmlformats.org/officeDocument/2006/relationships/image" Target="media/image10.jpeg"/></Relationships>

</file>

<file path=word/_rels/footer33.xml.rels><?xml version="1.0" encoding="UTF-8" standalone="yes"?>
<Relationships xmlns="http://schemas.openxmlformats.org/package/2006/relationships"><Relationship Id="rId1" Type="http://schemas.openxmlformats.org/officeDocument/2006/relationships/image" Target="media/image10.jpeg"/></Relationships>

</file>

<file path=word/_rels/footer34.xml.rels><?xml version="1.0" encoding="UTF-8" standalone="yes"?>
<Relationships xmlns="http://schemas.openxmlformats.org/package/2006/relationships"><Relationship Id="rId1" Type="http://schemas.openxmlformats.org/officeDocument/2006/relationships/image" Target="media/image10.jpeg"/></Relationships>

</file>

<file path=word/_rels/footer35.xml.rels><?xml version="1.0" encoding="UTF-8" standalone="yes"?>
<Relationships xmlns="http://schemas.openxmlformats.org/package/2006/relationships"><Relationship Id="rId1" Type="http://schemas.openxmlformats.org/officeDocument/2006/relationships/image" Target="media/image10.jpeg"/></Relationships>

</file>

<file path=word/_rels/footer36.xml.rels><?xml version="1.0" encoding="UTF-8" standalone="yes"?>
<Relationships xmlns="http://schemas.openxmlformats.org/package/2006/relationships"><Relationship Id="rId1" Type="http://schemas.openxmlformats.org/officeDocument/2006/relationships/image" Target="media/image10.jpeg"/></Relationships>

</file>

<file path=word/_rels/footer37.xml.rels><?xml version="1.0" encoding="UTF-8" standalone="yes"?>
<Relationships xmlns="http://schemas.openxmlformats.org/package/2006/relationships"><Relationship Id="rId1" Type="http://schemas.openxmlformats.org/officeDocument/2006/relationships/image" Target="media/image10.jpeg"/></Relationships>

</file>

<file path=word/_rels/footer38.xml.rels><?xml version="1.0" encoding="UTF-8" standalone="yes"?>
<Relationships xmlns="http://schemas.openxmlformats.org/package/2006/relationships"><Relationship Id="rId1" Type="http://schemas.openxmlformats.org/officeDocument/2006/relationships/image" Target="media/image10.jpeg"/></Relationships>

</file>

<file path=word/_rels/footer39.xml.rels><?xml version="1.0" encoding="UTF-8" standalone="yes"?>
<Relationships xmlns="http://schemas.openxmlformats.org/package/2006/relationships"><Relationship Id="rId1" Type="http://schemas.openxmlformats.org/officeDocument/2006/relationships/image" Target="media/image10.jpeg"/></Relationships>

</file>

<file path=word/_rels/footer4.xml.rels><?xml version="1.0" encoding="UTF-8" standalone="yes"?>
<Relationships xmlns="http://schemas.openxmlformats.org/package/2006/relationships"><Relationship Id="rId1" Type="http://schemas.openxmlformats.org/officeDocument/2006/relationships/image" Target="media/image10.jpeg"/></Relationships>

</file>

<file path=word/_rels/footer40.xml.rels><?xml version="1.0" encoding="UTF-8" standalone="yes"?>
<Relationships xmlns="http://schemas.openxmlformats.org/package/2006/relationships"><Relationship Id="rId1" Type="http://schemas.openxmlformats.org/officeDocument/2006/relationships/image" Target="media/image10.jpeg"/></Relationships>

</file>

<file path=word/_rels/footer41.xml.rels><?xml version="1.0" encoding="UTF-8" standalone="yes"?>
<Relationships xmlns="http://schemas.openxmlformats.org/package/2006/relationships"><Relationship Id="rId1" Type="http://schemas.openxmlformats.org/officeDocument/2006/relationships/image" Target="media/image10.jpeg"/></Relationships>

</file>

<file path=word/_rels/footer42.xml.rels><?xml version="1.0" encoding="UTF-8" standalone="yes"?>
<Relationships xmlns="http://schemas.openxmlformats.org/package/2006/relationships"><Relationship Id="rId1" Type="http://schemas.openxmlformats.org/officeDocument/2006/relationships/image" Target="media/image10.jpeg"/></Relationships>

</file>

<file path=word/_rels/footer43.xml.rels><?xml version="1.0" encoding="UTF-8" standalone="yes"?>
<Relationships xmlns="http://schemas.openxmlformats.org/package/2006/relationships"><Relationship Id="rId1" Type="http://schemas.openxmlformats.org/officeDocument/2006/relationships/image" Target="media/image10.jpeg"/></Relationships>

</file>

<file path=word/_rels/footer44.xml.rels><?xml version="1.0" encoding="UTF-8" standalone="yes"?>
<Relationships xmlns="http://schemas.openxmlformats.org/package/2006/relationships"><Relationship Id="rId1" Type="http://schemas.openxmlformats.org/officeDocument/2006/relationships/image" Target="media/image10.jpeg"/></Relationships>

</file>

<file path=word/_rels/footer45.xml.rels><?xml version="1.0" encoding="UTF-8" standalone="yes"?>
<Relationships xmlns="http://schemas.openxmlformats.org/package/2006/relationships"><Relationship Id="rId1" Type="http://schemas.openxmlformats.org/officeDocument/2006/relationships/image" Target="media/image10.jpeg"/></Relationships>

</file>

<file path=word/_rels/footer46.xml.rels><?xml version="1.0" encoding="UTF-8" standalone="yes"?>
<Relationships xmlns="http://schemas.openxmlformats.org/package/2006/relationships"><Relationship Id="rId1" Type="http://schemas.openxmlformats.org/officeDocument/2006/relationships/image" Target="media/image10.jpeg"/></Relationships>

</file>

<file path=word/_rels/footer47.xml.rels><?xml version="1.0" encoding="UTF-8" standalone="yes"?>
<Relationships xmlns="http://schemas.openxmlformats.org/package/2006/relationships"><Relationship Id="rId1" Type="http://schemas.openxmlformats.org/officeDocument/2006/relationships/image" Target="media/image10.jpeg"/></Relationships>

</file>

<file path=word/_rels/footer48.xml.rels><?xml version="1.0" encoding="UTF-8" standalone="yes"?>
<Relationships xmlns="http://schemas.openxmlformats.org/package/2006/relationships"><Relationship Id="rId1" Type="http://schemas.openxmlformats.org/officeDocument/2006/relationships/image" Target="media/image10.jpeg"/></Relationships>

</file>

<file path=word/_rels/footer49.xml.rels><?xml version="1.0" encoding="UTF-8" standalone="yes"?>
<Relationships xmlns="http://schemas.openxmlformats.org/package/2006/relationships"><Relationship Id="rId1" Type="http://schemas.openxmlformats.org/officeDocument/2006/relationships/image" Target="media/image10.jpeg"/></Relationships>

</file>

<file path=word/_rels/footer5.xml.rels><?xml version="1.0" encoding="UTF-8" standalone="yes"?>
<Relationships xmlns="http://schemas.openxmlformats.org/package/2006/relationships"><Relationship Id="rId1" Type="http://schemas.openxmlformats.org/officeDocument/2006/relationships/image" Target="media/image10.jpeg"/></Relationships>

</file>

<file path=word/_rels/footer50.xml.rels><?xml version="1.0" encoding="UTF-8" standalone="yes"?>
<Relationships xmlns="http://schemas.openxmlformats.org/package/2006/relationships"><Relationship Id="rId1" Type="http://schemas.openxmlformats.org/officeDocument/2006/relationships/image" Target="media/image10.jpeg"/></Relationships>

</file>

<file path=word/_rels/footer51.xml.rels><?xml version="1.0" encoding="UTF-8" standalone="yes"?>
<Relationships xmlns="http://schemas.openxmlformats.org/package/2006/relationships"><Relationship Id="rId1" Type="http://schemas.openxmlformats.org/officeDocument/2006/relationships/image" Target="media/image10.jpeg"/></Relationships>

</file>

<file path=word/_rels/footer52.xml.rels><?xml version="1.0" encoding="UTF-8" standalone="yes"?>
<Relationships xmlns="http://schemas.openxmlformats.org/package/2006/relationships"><Relationship Id="rId1" Type="http://schemas.openxmlformats.org/officeDocument/2006/relationships/image" Target="media/image10.jpeg"/></Relationships>

</file>

<file path=word/_rels/footer53.xml.rels><?xml version="1.0" encoding="UTF-8" standalone="yes"?>
<Relationships xmlns="http://schemas.openxmlformats.org/package/2006/relationships"><Relationship Id="rId1" Type="http://schemas.openxmlformats.org/officeDocument/2006/relationships/image" Target="media/image10.jpeg"/></Relationships>

</file>

<file path=word/_rels/footer54.xml.rels><?xml version="1.0" encoding="UTF-8" standalone="yes"?>
<Relationships xmlns="http://schemas.openxmlformats.org/package/2006/relationships"><Relationship Id="rId1" Type="http://schemas.openxmlformats.org/officeDocument/2006/relationships/image" Target="media/image10.jpeg"/></Relationships>

</file>

<file path=word/_rels/footer55.xml.rels><?xml version="1.0" encoding="UTF-8" standalone="yes"?>
<Relationships xmlns="http://schemas.openxmlformats.org/package/2006/relationships"><Relationship Id="rId1" Type="http://schemas.openxmlformats.org/officeDocument/2006/relationships/image" Target="media/image10.jpeg"/></Relationships>

</file>

<file path=word/_rels/footer56.xml.rels><?xml version="1.0" encoding="UTF-8" standalone="yes"?>
<Relationships xmlns="http://schemas.openxmlformats.org/package/2006/relationships"><Relationship Id="rId1" Type="http://schemas.openxmlformats.org/officeDocument/2006/relationships/image" Target="media/image10.jpeg"/></Relationships>

</file>

<file path=word/_rels/footer57.xml.rels><?xml version="1.0" encoding="UTF-8" standalone="yes"?>
<Relationships xmlns="http://schemas.openxmlformats.org/package/2006/relationships"><Relationship Id="rId1" Type="http://schemas.openxmlformats.org/officeDocument/2006/relationships/image" Target="media/image10.jpeg"/></Relationships>

</file>

<file path=word/_rels/footer58.xml.rels><?xml version="1.0" encoding="UTF-8" standalone="yes"?>
<Relationships xmlns="http://schemas.openxmlformats.org/package/2006/relationships"><Relationship Id="rId1" Type="http://schemas.openxmlformats.org/officeDocument/2006/relationships/image" Target="media/image10.jpeg"/></Relationships>

</file>

<file path=word/_rels/footer59.xml.rels><?xml version="1.0" encoding="UTF-8" standalone="yes"?>
<Relationships xmlns="http://schemas.openxmlformats.org/package/2006/relationships"><Relationship Id="rId1" Type="http://schemas.openxmlformats.org/officeDocument/2006/relationships/image" Target="media/image10.jpeg"/></Relationships>

</file>

<file path=word/_rels/footer6.xml.rels><?xml version="1.0" encoding="UTF-8" standalone="yes"?>
<Relationships xmlns="http://schemas.openxmlformats.org/package/2006/relationships"><Relationship Id="rId1" Type="http://schemas.openxmlformats.org/officeDocument/2006/relationships/image" Target="media/image10.jpeg"/></Relationships>

</file>

<file path=word/_rels/footer60.xml.rels><?xml version="1.0" encoding="UTF-8" standalone="yes"?>
<Relationships xmlns="http://schemas.openxmlformats.org/package/2006/relationships"><Relationship Id="rId1" Type="http://schemas.openxmlformats.org/officeDocument/2006/relationships/image" Target="media/image10.jpeg"/></Relationships>

</file>

<file path=word/_rels/footer61.xml.rels><?xml version="1.0" encoding="UTF-8" standalone="yes"?>
<Relationships xmlns="http://schemas.openxmlformats.org/package/2006/relationships"><Relationship Id="rId1" Type="http://schemas.openxmlformats.org/officeDocument/2006/relationships/image" Target="media/image10.jpeg"/></Relationships>

</file>

<file path=word/_rels/footer7.xml.rels><?xml version="1.0" encoding="UTF-8" standalone="yes"?>
<Relationships xmlns="http://schemas.openxmlformats.org/package/2006/relationships"><Relationship Id="rId1" Type="http://schemas.openxmlformats.org/officeDocument/2006/relationships/image" Target="media/image10.jpeg"/></Relationships>

</file>

<file path=word/_rels/footer8.xml.rels><?xml version="1.0" encoding="UTF-8" standalone="yes"?>
<Relationships xmlns="http://schemas.openxmlformats.org/package/2006/relationships"><Relationship Id="rId1" Type="http://schemas.openxmlformats.org/officeDocument/2006/relationships/image" Target="media/image10.jpeg"/></Relationships>

</file>

<file path=word/_rels/footer9.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北京旋极信息技术股份有限公司</dc:creator>
  <dc:title>北京旋极信息技术股份有限公司2018年年度报告全文</dc:title>
  <dcterms:created xsi:type="dcterms:W3CDTF">2020-05-19T07:27:49Z</dcterms:created>
  <dcterms:modified xsi:type="dcterms:W3CDTF">2020-05-19T07:27:49Z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Acrobat PDFMaker 15 Word 版</vt:lpwstr>
  </property>
  <property fmtid="{D5CDD505-2E9C-101B-9397-08002B2CF9AE}" pid="4" name="LastSaved">
    <vt:filetime>2020-05-18T00:00:00Z</vt:filetime>
  </property>
</Properties>
</file>