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5"/>
        <w:ind w:left="2745" w:right="2741" w:firstLine="0"/>
        <w:jc w:val="center"/>
        <w:rPr>
          <w:rFonts w:ascii="宋体" w:hAnsi="宋体" w:cs="宋体" w:eastAsia="宋体" w:hint="default"/>
          <w:sz w:val="36"/>
          <w:szCs w:val="36"/>
        </w:rPr>
      </w:pPr>
      <w:r>
        <w:rPr/>
        <w:pict>
          <v:group style="position:absolute;margin-left:56.700001pt;margin-top:-84.786293pt;width:481.95pt;height:.1pt;mso-position-horizontal-relative:page;mso-position-vertical-relative:paragraph;z-index:0" coordorigin="1134,-1696" coordsize="9639,2">
            <v:shape style="position:absolute;left:1134;top:-1696;width:9639;height:2" coordorigin="1134,-1696" coordsize="9639,0" path="m1134,-1696l10772,-1696e" filled="false" stroked="true" strokeweight=".72003pt" strokecolor="#010101">
              <v:path arrowok="t"/>
            </v:shape>
            <w10:wrap type="none"/>
          </v:group>
        </w:pict>
      </w:r>
      <w:r>
        <w:rPr>
          <w:rFonts w:ascii="宋体" w:hAnsi="宋体" w:cs="宋体" w:eastAsia="宋体" w:hint="default"/>
          <w:b/>
          <w:bCs/>
          <w:sz w:val="36"/>
          <w:szCs w:val="36"/>
        </w:rPr>
        <w:t>江苏润和软件股份有限公司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45" w:right="27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41" w:right="27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60" w:left="1020" w:right="1020"/>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6" w:right="0"/>
        <w:jc w:val="left"/>
        <w:rPr>
          <w:b w:val="0"/>
          <w:bCs w:val="0"/>
        </w:rPr>
      </w:pPr>
      <w:bookmarkStart w:name="_TOC_250009" w:id="1"/>
      <w:r>
        <w:rPr/>
        <w:t>第一节</w:t>
      </w:r>
      <w:r>
        <w:rPr>
          <w:spacing w:val="-2"/>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13"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8"/>
          <w:w w:val="95"/>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所有董事亲自出席了审议本次年报的董事会会议。</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公司董事、监事、高级管理人员对年度报告内容的真实性、准确性和完整</w:t>
      </w:r>
      <w:r>
        <w:rPr>
          <w:rFonts w:ascii="宋体" w:hAnsi="宋体" w:cs="宋体" w:eastAsia="宋体" w:hint="default"/>
          <w:sz w:val="28"/>
          <w:szCs w:val="28"/>
        </w:rPr>
      </w:r>
    </w:p>
    <w:p>
      <w:pPr>
        <w:spacing w:line="352" w:lineRule="exact" w:before="0"/>
        <w:ind w:left="113" w:right="0" w:firstLine="0"/>
        <w:jc w:val="left"/>
        <w:rPr>
          <w:rFonts w:ascii="宋体" w:hAnsi="宋体" w:cs="宋体" w:eastAsia="宋体" w:hint="default"/>
          <w:sz w:val="28"/>
          <w:szCs w:val="28"/>
        </w:rPr>
      </w:pPr>
      <w:r>
        <w:rPr>
          <w:rFonts w:ascii="宋体" w:hAnsi="宋体" w:cs="宋体" w:eastAsia="宋体" w:hint="default"/>
          <w:b/>
          <w:bCs/>
          <w:sz w:val="28"/>
          <w:szCs w:val="28"/>
        </w:rPr>
        <w:t>性均无异议。</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13" w:right="124"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公司年度财务报告已经华普天健会计师事务所（北京）有限公司审计并被</w:t>
      </w:r>
      <w:r>
        <w:rPr>
          <w:rFonts w:ascii="宋体" w:hAnsi="宋体" w:cs="宋体" w:eastAsia="宋体" w:hint="default"/>
          <w:b/>
          <w:bCs/>
          <w:spacing w:val="3"/>
          <w:w w:val="99"/>
          <w:sz w:val="28"/>
          <w:szCs w:val="28"/>
        </w:rPr>
        <w:t> </w:t>
      </w:r>
      <w:r>
        <w:rPr>
          <w:rFonts w:ascii="宋体" w:hAnsi="宋体" w:cs="宋体" w:eastAsia="宋体" w:hint="default"/>
          <w:b/>
          <w:bCs/>
          <w:sz w:val="28"/>
          <w:szCs w:val="28"/>
        </w:rPr>
        <w:t>出具了标准无保留意见的审计报告。</w:t>
      </w:r>
      <w:r>
        <w:rPr>
          <w:rFonts w:ascii="宋体" w:hAnsi="宋体" w:cs="宋体" w:eastAsia="宋体" w:hint="default"/>
          <w:sz w:val="28"/>
          <w:szCs w:val="28"/>
        </w:rPr>
      </w:r>
    </w:p>
    <w:p>
      <w:pPr>
        <w:spacing w:line="386" w:lineRule="auto" w:before="162"/>
        <w:ind w:left="114" w:right="107" w:firstLine="560"/>
        <w:jc w:val="both"/>
        <w:rPr>
          <w:rFonts w:ascii="宋体" w:hAnsi="宋体" w:cs="宋体" w:eastAsia="宋体" w:hint="default"/>
          <w:sz w:val="28"/>
          <w:szCs w:val="28"/>
        </w:rPr>
      </w:pPr>
      <w:r>
        <w:rPr>
          <w:rFonts w:ascii="宋体" w:hAnsi="宋体" w:cs="宋体" w:eastAsia="宋体" w:hint="default"/>
          <w:b/>
          <w:bCs/>
          <w:w w:val="95"/>
          <w:sz w:val="28"/>
          <w:szCs w:val="28"/>
        </w:rPr>
        <w:t>公司负责人周红卫、主管会计工作负责人黄维江及会计机构负责人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黄维江声明：保证年度报告中财务报告的真实、准确、完整。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7"/>
          <w:pgSz w:w="11910" w:h="16840"/>
          <w:pgMar w:footer="980" w:header="747" w:top="1060" w:bottom="1160" w:left="1020" w:right="1020"/>
          <w:pgNumType w:start="2"/>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42" w:right="27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52" w:val="right" w:leader="dot"/>
            </w:tabs>
            <w:spacing w:line="240" w:lineRule="auto" w:before="0"/>
            <w:ind w:left="11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52" w:val="right" w:leader="dot"/>
            </w:tabs>
            <w:spacing w:line="240" w:lineRule="auto" w:before="103"/>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rPr>
              <w:t>13</w:t>
            </w:r>
          </w:hyperlink>
        </w:p>
        <w:p>
          <w:pPr>
            <w:pStyle w:val="TOC1"/>
            <w:tabs>
              <w:tab w:pos="9752" w:val="right" w:leader="dot"/>
            </w:tabs>
            <w:spacing w:line="240" w:lineRule="auto" w:before="103"/>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r>
            <w:r>
              <w:rPr>
                <w:rFonts w:ascii="Times New Roman" w:hAnsi="Times New Roman" w:cs="Times New Roman" w:eastAsia="Times New Roman" w:hint="default"/>
              </w:rPr>
              <w:t>31</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43</w:t>
            </w:r>
          </w:hyperlink>
        </w:p>
        <w:p>
          <w:pPr>
            <w:pStyle w:val="TOC1"/>
            <w:tabs>
              <w:tab w:pos="9752"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52</w:t>
            </w:r>
          </w:hyperlink>
        </w:p>
        <w:p>
          <w:pPr>
            <w:pStyle w:val="TOC1"/>
            <w:tabs>
              <w:tab w:pos="9752" w:val="right" w:leader="dot"/>
            </w:tabs>
            <w:spacing w:line="240" w:lineRule="auto" w:before="103"/>
            <w:ind w:left="114"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r>
            <w:r>
              <w:rPr>
                <w:rFonts w:ascii="Times New Roman" w:hAnsi="Times New Roman" w:cs="Times New Roman" w:eastAsia="Times New Roman" w:hint="default"/>
              </w:rPr>
              <w:t>59</w:t>
            </w:r>
          </w:hyperlink>
        </w:p>
        <w:p>
          <w:pPr>
            <w:pStyle w:val="TOC1"/>
            <w:tabs>
              <w:tab w:pos="9752" w:val="right" w:leader="dot"/>
            </w:tabs>
            <w:spacing w:line="240" w:lineRule="auto"/>
            <w:ind w:left="114"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r>
            <w:r>
              <w:rPr>
                <w:rFonts w:ascii="Times New Roman" w:hAnsi="Times New Roman" w:cs="Times New Roman" w:eastAsia="Times New Roman" w:hint="default"/>
              </w:rPr>
              <w:t>61</w:t>
            </w:r>
          </w:hyperlink>
        </w:p>
        <w:p>
          <w:pPr>
            <w:pStyle w:val="TOC1"/>
            <w:tabs>
              <w:tab w:pos="9752" w:val="right" w:leader="dot"/>
            </w:tabs>
            <w:spacing w:line="240" w:lineRule="auto"/>
            <w:ind w:left="114"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r>
            <w:r>
              <w:rPr>
                <w:rFonts w:ascii="Times New Roman" w:hAnsi="Times New Roman" w:cs="Times New Roman" w:eastAsia="Times New Roman" w:hint="default"/>
              </w:rPr>
              <w:t>160</w:t>
            </w:r>
          </w:hyperlink>
        </w:p>
        <w:p>
          <w:pPr/>
          <w:r>
            <w:fldChar w:fldCharType="end"/>
          </w:r>
        </w:p>
      </w:sdtContent>
    </w:sdt>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7"/>
        <w:rPr>
          <w:rFonts w:ascii="Times New Roman" w:hAnsi="Times New Roman" w:cs="Times New Roman" w:eastAsia="Times New Roman" w:hint="default"/>
          <w:sz w:val="30"/>
          <w:szCs w:val="30"/>
        </w:rPr>
      </w:pPr>
    </w:p>
    <w:p>
      <w:pPr>
        <w:spacing w:before="0"/>
        <w:ind w:left="2742" w:right="27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before="65"/>
        <w:ind w:left="0" w:right="117"/>
        <w:jc w:val="right"/>
      </w:pPr>
      <w:r>
        <w:rPr/>
        <w:pict>
          <v:shape style="position:absolute;margin-left:56.459999pt;margin-top:-572.198181pt;width:479.25pt;height:592.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江苏润和科技投资有限公司，系公司控股股东。</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金石投资</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金石投资有限公司，系公司法人股东。</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焦点科技</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焦点科技股份有限公司，系公司法人股东。</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华为投资</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原名深圳市华为投资控股有限公司，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月更名为华为投资控 股有限公司，系公司法人股东。</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善翔投资</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上海善翔股权投资基金管理有限公司，系公司法人股东。</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北京分公司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江苏润和软件股份有限公司北京分公司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江苏润和软件股份有限公司武汉分公司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江苏润和软件股份有限公司杭州分公司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西安分公司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江苏润和软件股份有限公司西安分公司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江苏润和南京软件外包园投资有限公司，系公司全资子公司。</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株式会社潤和ソフトウェア東京，系公司全资子公司，原名称为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Model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reation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株式会社（简称</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BM</w:t>
                        </w:r>
                        <w:r>
                          <w:rPr>
                            <w:rFonts w:ascii="Times New Roman" w:hAnsi="Times New Roman" w:cs="Times New Roman" w:eastAsia="Times New Roman" w:hint="default"/>
                            <w:spacing w:val="1"/>
                            <w:sz w:val="18"/>
                            <w:szCs w:val="18"/>
                          </w:rPr>
                          <w:t>C</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Pte.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，系东京润和控股子公司。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润和数码</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南京润和数码有限公司，系公司控股子公司。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Technology Co.,</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SRS2</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，系公司控股子公司。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SRS2</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SilkRoad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Software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Service.Inc</w:t>
                        </w:r>
                        <w:r>
                          <w:rPr>
                            <w:rFonts w:ascii="宋体" w:hAnsi="宋体" w:cs="宋体" w:eastAsia="宋体" w:hint="default"/>
                            <w:sz w:val="18"/>
                            <w:szCs w:val="18"/>
                          </w:rPr>
                          <w:t>，系香港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SRS2 </w:t>
                        </w:r>
                        <w:r>
                          <w:rPr>
                            <w:rFonts w:ascii="宋体" w:hAnsi="宋体" w:cs="宋体" w:eastAsia="宋体" w:hint="default"/>
                            <w:sz w:val="18"/>
                            <w:szCs w:val="18"/>
                          </w:rPr>
                          <w:t>全资子公司。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上海丝略</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丝略软件（上海）有限公司，系香港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全资子公司。</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西安子公司、西安润和</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西安润和软件信息技术有限公司，系公司全资子公司。</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华为技术</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华为技术有限公司，为全球领先的电信解决方案供应商，世界</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强 企业，系公司主要客户之一。</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丰通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Syscom</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株式会社豊通シスコム，英文名：</w:t>
                        </w:r>
                        <w:r>
                          <w:rPr>
                            <w:rFonts w:ascii="Times New Roman" w:hAnsi="Times New Roman" w:cs="Times New Roman" w:eastAsia="Times New Roman" w:hint="default"/>
                            <w:sz w:val="18"/>
                            <w:szCs w:val="18"/>
                          </w:rPr>
                          <w:t>Toyotsu Syscom</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，为世 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强企业丰田通商株式会社的子公司，系公司主要客户之一。</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丰田汽车</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トヨタ自動車株式会社，英文名</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Toyota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Motor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，为全球领 先的汽车制造商，世界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强企业，系公司主要客户之一。</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日本丰田</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丰田财团，其旗下拥有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家世界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强企业，分别是丰田汽车、丰田 自动织机、丰田通商、爱信精机、日本电装，是公司主要客户丰通 </w:t>
                        </w:r>
                        <w:r>
                          <w:rPr>
                            <w:rFonts w:ascii="Times New Roman" w:hAnsi="Times New Roman" w:cs="Times New Roman" w:eastAsia="Times New Roman" w:hint="default"/>
                            <w:sz w:val="18"/>
                            <w:szCs w:val="18"/>
                          </w:rPr>
                          <w:t>Syscom</w:t>
                        </w:r>
                        <w:r>
                          <w:rPr>
                            <w:rFonts w:ascii="宋体" w:hAnsi="宋体" w:cs="宋体" w:eastAsia="宋体" w:hint="default"/>
                            <w:sz w:val="18"/>
                            <w:szCs w:val="18"/>
                          </w:rPr>
                          <w:t>、丰田汽车的实际控制人。</w:t>
                        </w:r>
                      </w:p>
                    </w:tc>
                  </w:tr>
                  <w:tr>
                    <w:trPr>
                      <w:trHeight w:val="402"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Airbiquity</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Airbiquity</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3"/>
                            <w:sz w:val="18"/>
                            <w:szCs w:val="18"/>
                          </w:rPr>
                          <w:t>Inc</w:t>
                        </w:r>
                        <w:r>
                          <w:rPr>
                            <w:rFonts w:ascii="宋体" w:hAnsi="宋体" w:cs="宋体" w:eastAsia="宋体" w:hint="default"/>
                            <w:spacing w:val="-3"/>
                            <w:sz w:val="18"/>
                            <w:szCs w:val="18"/>
                          </w:rPr>
                          <w:t>，中文名为艾比克通信技术公司，总部位于美国西雅图</w:t>
                        </w:r>
                      </w:p>
                    </w:tc>
                  </w:tr>
                </w:tbl>
                <w:p>
                  <w:pPr/>
                </w:p>
              </w:txbxContent>
            </v:textbox>
            <w10:wrap type="none"/>
          </v:shape>
        </w:pict>
      </w:r>
      <w:r>
        <w:rPr/>
        <w:t>，</w:t>
      </w:r>
    </w:p>
    <w:p>
      <w:pPr>
        <w:spacing w:after="0" w:line="240" w:lineRule="auto"/>
        <w:jc w:val="righ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0" w:right="117"/>
        <w:jc w:val="right"/>
      </w:pPr>
      <w:r>
        <w:rPr/>
        <w:pict>
          <v:shape style="position:absolute;margin-left:56.459999pt;margin-top:-85.807693pt;width:479.25pt;height:223.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4"/>
                  </w:tblGrid>
                  <w:tr>
                    <w:trPr>
                      <w:trHeight w:val="362" w:hRule="exact"/>
                    </w:trPr>
                    <w:tc>
                      <w:tcPr>
                        <w:tcW w:w="3524" w:type="dxa"/>
                        <w:tcBorders>
                          <w:top w:val="single" w:sz="4" w:space="0" w:color="010101"/>
                          <w:left w:val="single" w:sz="4" w:space="0" w:color="010101"/>
                          <w:bottom w:val="single" w:sz="4" w:space="0" w:color="010101"/>
                          <w:right w:val="single" w:sz="4" w:space="0" w:color="010101"/>
                        </w:tcBorders>
                      </w:tcPr>
                      <w:p>
                        <w:pP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为全球领先的无线连接服务技术提供商，系公司主要客户之一。</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江苏电力</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pacing w:val="-2"/>
                            <w:sz w:val="18"/>
                            <w:szCs w:val="18"/>
                          </w:rPr>
                          <w:t>江苏省电力公司，为江苏省规模最大的国有企业，也是国家电网公司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系统规模最大的省级电力公司，其子公司江苏方天电力技术有限公司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和江苏电力信息技术有限公司均系公司主要客户。</w:t>
                        </w:r>
                      </w:p>
                    </w:tc>
                  </w:tr>
                  <w:tr>
                    <w:trPr>
                      <w:trHeight w:val="1026"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捷开通讯</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pacing w:val="-7"/>
                            <w:sz w:val="18"/>
                            <w:szCs w:val="18"/>
                          </w:rPr>
                          <w:t>捷开通讯科技（上海）有限公司，为 </w:t>
                        </w: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通讯科技控股有限公司（简</w:t>
                        </w:r>
                        <w:r>
                          <w:rPr>
                            <w:rFonts w:ascii="宋体" w:hAnsi="宋体" w:cs="宋体" w:eastAsia="宋体" w:hint="default"/>
                            <w:sz w:val="18"/>
                            <w:szCs w:val="18"/>
                          </w:rPr>
                          <w:t> 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通讯，香港联交所上市公司，股票代码：</w:t>
                        </w:r>
                        <w:r>
                          <w:rPr>
                            <w:rFonts w:ascii="Times New Roman" w:hAnsi="Times New Roman" w:cs="Times New Roman" w:eastAsia="Times New Roman" w:hint="default"/>
                            <w:sz w:val="18"/>
                            <w:szCs w:val="18"/>
                          </w:rPr>
                          <w:t>2618</w:t>
                        </w:r>
                        <w:r>
                          <w:rPr>
                            <w:rFonts w:ascii="宋体" w:hAnsi="宋体" w:cs="宋体" w:eastAsia="宋体" w:hint="default"/>
                            <w:sz w:val="18"/>
                            <w:szCs w:val="18"/>
                          </w:rPr>
                          <w:t>）控制的企业 系公司主要客户之一。</w:t>
                        </w:r>
                      </w:p>
                    </w:tc>
                  </w:tr>
                  <w:tr>
                    <w:trPr>
                      <w:trHeight w:val="714"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海信电器</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3"/>
                          <w:jc w:val="left"/>
                          <w:rPr>
                            <w:rFonts w:ascii="宋体" w:hAnsi="宋体" w:cs="宋体" w:eastAsia="宋体" w:hint="default"/>
                            <w:sz w:val="18"/>
                            <w:szCs w:val="18"/>
                          </w:rPr>
                        </w:pPr>
                        <w:r>
                          <w:rPr>
                            <w:rFonts w:ascii="宋体" w:hAnsi="宋体" w:cs="宋体" w:eastAsia="宋体" w:hint="default"/>
                            <w:spacing w:val="-4"/>
                            <w:sz w:val="18"/>
                            <w:szCs w:val="18"/>
                          </w:rPr>
                          <w:t>青岛海信电器股份有限公司，为上交所上市公司，股票代码：</w:t>
                        </w:r>
                        <w:r>
                          <w:rPr>
                            <w:rFonts w:ascii="Times New Roman" w:hAnsi="Times New Roman" w:cs="Times New Roman" w:eastAsia="Times New Roman" w:hint="default"/>
                            <w:spacing w:val="-4"/>
                            <w:sz w:val="18"/>
                            <w:szCs w:val="18"/>
                          </w:rPr>
                          <w:t>600060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系公司控股子公司润和数码的主要客户之一。</w:t>
                        </w:r>
                      </w:p>
                    </w:tc>
                  </w:tr>
                  <w:tr>
                    <w:trPr>
                      <w:trHeight w:val="1338" w:hRule="exact"/>
                    </w:trPr>
                    <w:tc>
                      <w:tcPr>
                        <w:tcW w:w="3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南瑞集团</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tcPr>
                      <w:p>
                        <w:pPr>
                          <w:pStyle w:val="TableParagraph"/>
                          <w:spacing w:line="312" w:lineRule="auto" w:before="50"/>
                          <w:ind w:left="22" w:right="-9"/>
                          <w:jc w:val="both"/>
                          <w:rPr>
                            <w:rFonts w:ascii="宋体" w:hAnsi="宋体" w:cs="宋体" w:eastAsia="宋体" w:hint="default"/>
                            <w:sz w:val="18"/>
                            <w:szCs w:val="18"/>
                          </w:rPr>
                        </w:pPr>
                        <w:r>
                          <w:rPr>
                            <w:rFonts w:ascii="宋体" w:hAnsi="宋体" w:cs="宋体" w:eastAsia="宋体" w:hint="default"/>
                            <w:sz w:val="18"/>
                            <w:szCs w:val="18"/>
                          </w:rPr>
                          <w:t>南京南瑞集团公司，为国网电力科学研究院与中国电力科学研究院、 国网信息通信有限公司的主要产业公司重组整合而成高新技术企业， </w:t>
                        </w:r>
                        <w:r>
                          <w:rPr>
                            <w:rFonts w:ascii="宋体" w:hAnsi="宋体" w:cs="宋体" w:eastAsia="宋体" w:hint="default"/>
                            <w:spacing w:val="-2"/>
                            <w:sz w:val="18"/>
                            <w:szCs w:val="18"/>
                          </w:rPr>
                          <w:t>为上海证券交易所上市公司国电南瑞（股票代码：</w:t>
                        </w:r>
                        <w:r>
                          <w:rPr>
                            <w:rFonts w:ascii="Times New Roman" w:hAnsi="Times New Roman" w:cs="Times New Roman" w:eastAsia="Times New Roman" w:hint="default"/>
                            <w:spacing w:val="-2"/>
                            <w:sz w:val="18"/>
                            <w:szCs w:val="18"/>
                          </w:rPr>
                          <w:t>600406</w:t>
                        </w:r>
                        <w:r>
                          <w:rPr>
                            <w:rFonts w:ascii="宋体" w:hAnsi="宋体" w:cs="宋体" w:eastAsia="宋体" w:hint="default"/>
                            <w:spacing w:val="-2"/>
                            <w:sz w:val="18"/>
                            <w:szCs w:val="18"/>
                          </w:rPr>
                          <w:t>）之第一大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股东，系公司主要客户之一。</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0"/>
        <w:ind w:left="0" w:right="117"/>
        <w:jc w:val="right"/>
      </w:pPr>
      <w:r>
        <w:rPr/>
        <w:t>，</w:t>
      </w:r>
    </w:p>
    <w:p>
      <w:pPr>
        <w:spacing w:after="0" w:line="240" w:lineRule="auto"/>
        <w:jc w:val="righ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_TOC_250008" w:id="2"/>
      <w:r>
        <w:rPr/>
        <w:t>第二节</w:t>
      </w:r>
      <w:r>
        <w:rPr>
          <w:spacing w:val="-2"/>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6"/>
        <w:gridCol w:w="2178"/>
      </w:tblGrid>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300339</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Jiangsu Hoperun Software</w:t>
            </w:r>
            <w:r>
              <w:rPr>
                <w:rFonts w:ascii="Times New Roman"/>
                <w:spacing w:val="-6"/>
                <w:sz w:val="18"/>
              </w:rPr>
              <w:t> </w:t>
            </w:r>
            <w:r>
              <w:rPr>
                <w:rFonts w:ascii="Times New Roman"/>
                <w:sz w:val="18"/>
              </w:rPr>
              <w:t>Co.,Ltd.</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2"/>
                <w:sz w:val="18"/>
              </w:rPr>
              <w:t> </w:t>
            </w:r>
            <w:r>
              <w:rPr>
                <w:rFonts w:ascii="Times New Roman"/>
                <w:sz w:val="18"/>
              </w:rPr>
              <w:t>Software</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210012</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210012</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http://www.hoperun.com</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华普天健会计师事务所（北京）有限公司</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幢外经贸大厦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025-52668518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025-52668895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025-52668895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公司证券事务部办公室</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四、公司历史沿革</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实收资本变更至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实收资本变更至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南京市鼓楼区江东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号</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注册住所变更</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3200002103799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注册号变更</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5070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经营范围变更</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5470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注册资本变更至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5755 </w:t>
            </w:r>
            <w:r>
              <w:rPr>
                <w:rFonts w:ascii="宋体" w:hAnsi="宋体" w:cs="宋体" w:eastAsia="宋体" w:hint="default"/>
                <w:sz w:val="18"/>
                <w:szCs w:val="18"/>
              </w:rPr>
              <w:t>万元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r>
        <w:trPr>
          <w:trHeight w:val="1026"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9"/>
                <w:sz w:val="18"/>
                <w:szCs w:val="18"/>
              </w:rPr>
              <w:t>首次发行股票、注册</w:t>
            </w:r>
            <w:r>
              <w:rPr>
                <w:rFonts w:ascii="宋体" w:hAnsi="宋体" w:cs="宋体" w:eastAsia="宋体" w:hint="default"/>
                <w:sz w:val="18"/>
                <w:szCs w:val="18"/>
              </w:rPr>
              <w:t> 资本变更至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南京市雨花台区铁 心桥工业园</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320000000058203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320106788865869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78886586-9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6" w:right="0"/>
        <w:jc w:val="left"/>
        <w:rPr>
          <w:b w:val="0"/>
          <w:bCs w:val="0"/>
        </w:rPr>
      </w:pPr>
      <w:bookmarkStart w:name="_TOC_250007" w:id="3"/>
      <w:r>
        <w:rPr/>
        <w:t>第三节</w:t>
      </w:r>
      <w:r>
        <w:rPr>
          <w:spacing w:val="-2"/>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340" w:lineRule="auto" w:before="116"/>
        <w:ind w:right="8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主要会计数据</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8"/>
        <w:gridCol w:w="1736"/>
      </w:tblGrid>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379,535,216.02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234,283,272.56</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145,495,245.27</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54,183,850.19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44,099,475.77</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30,625,338.40</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71,471,361.26</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53,864,466.55</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36,186,541.16</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65,547,736.31</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46,385,012.19</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32,779,502.65</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47,073,695.49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37,966,609.04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28,028,345.41</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57,436,670.54</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50,535,043.19</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17,424,665.23</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849,497,061.38</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382,421,689.08</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301,163,322.32</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188,246,634.15</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129,352,234.00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113,755,887.52</w:t>
            </w:r>
            <w:r>
              <w:rPr>
                <w:rFonts w:ascii="Times New Roman"/>
                <w:sz w:val="18"/>
              </w:rPr>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654,740,876.57</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249,659,506.74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162.25%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184,735,744.98</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76,740,000.00</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57,550,000.00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54,700,000.00</w:t>
            </w:r>
          </w:p>
        </w:tc>
      </w:tr>
    </w:tbl>
    <w:p>
      <w:pPr>
        <w:pStyle w:val="BodyText"/>
        <w:spacing w:line="240" w:lineRule="auto" w:before="50"/>
        <w:ind w:right="0"/>
        <w:jc w:val="left"/>
      </w:pPr>
      <w:r>
        <w:rPr/>
        <w:t>主要财务指标</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0.63</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0.72</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15.17%</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w:t>
            </w:r>
            <w:r>
              <w:rPr>
                <w:rFonts w:ascii="Times New Roman"/>
                <w:sz w:val="18"/>
              </w:rPr>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36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
        </w:tc>
        <w:tc>
          <w:tcPr>
            <w:tcW w:w="1735" w:type="dxa"/>
            <w:tcBorders>
              <w:top w:val="single" w:sz="4" w:space="0" w:color="010101"/>
              <w:left w:val="single" w:sz="4" w:space="0" w:color="010101"/>
              <w:bottom w:val="single" w:sz="4" w:space="0" w:color="010101"/>
              <w:right w:val="single" w:sz="4" w:space="0" w:color="010101"/>
            </w:tcBorders>
          </w:tcPr>
          <w:p>
            <w:pPr/>
          </w:p>
        </w:tc>
        <w:tc>
          <w:tcPr>
            <w:tcW w:w="1736" w:type="dxa"/>
            <w:tcBorders>
              <w:top w:val="single" w:sz="4" w:space="0" w:color="010101"/>
              <w:left w:val="single" w:sz="4" w:space="0" w:color="010101"/>
              <w:bottom w:val="single" w:sz="4" w:space="0" w:color="010101"/>
              <w:right w:val="single" w:sz="4" w:space="0" w:color="010101"/>
            </w:tcBorders>
          </w:tcPr>
          <w:p>
            <w:pPr/>
          </w:p>
        </w:tc>
        <w:tc>
          <w:tcPr>
            <w:tcW w:w="1736"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0.75</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0.32</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8.53</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33.82%</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37.77%</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85"/>
        <w:gridCol w:w="1741"/>
        <w:gridCol w:w="2003"/>
        <w:gridCol w:w="1770"/>
        <w:gridCol w:w="1770"/>
      </w:tblGrid>
      <w:tr>
        <w:trPr>
          <w:trHeight w:val="402" w:hRule="exact"/>
        </w:trPr>
        <w:tc>
          <w:tcPr>
            <w:tcW w:w="2285" w:type="dxa"/>
            <w:vMerge w:val="restart"/>
            <w:tcBorders>
              <w:top w:val="single" w:sz="4" w:space="0" w:color="010101"/>
              <w:left w:val="single" w:sz="4" w:space="0" w:color="010101"/>
              <w:right w:val="single" w:sz="4" w:space="0" w:color="010101"/>
            </w:tcBorders>
            <w:shd w:val="clear" w:color="auto" w:fill="D3D3D3"/>
          </w:tcPr>
          <w:p>
            <w:pPr/>
          </w:p>
        </w:tc>
        <w:tc>
          <w:tcPr>
            <w:tcW w:w="37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5"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65,547,736.31</w:t>
            </w:r>
          </w:p>
        </w:tc>
        <w:tc>
          <w:tcPr>
            <w:tcW w:w="20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46,385,012.19</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654,740,876.57</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249,659,506.74</w:t>
            </w:r>
          </w:p>
        </w:tc>
      </w:tr>
      <w:tr>
        <w:trPr>
          <w:trHeight w:val="402" w:hRule="exact"/>
        </w:trPr>
        <w:tc>
          <w:tcPr>
            <w:tcW w:w="9569"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85"/>
        <w:gridCol w:w="1741"/>
        <w:gridCol w:w="2003"/>
        <w:gridCol w:w="1770"/>
        <w:gridCol w:w="1770"/>
      </w:tblGrid>
      <w:tr>
        <w:trPr>
          <w:trHeight w:val="402" w:hRule="exact"/>
        </w:trPr>
        <w:tc>
          <w:tcPr>
            <w:tcW w:w="2285" w:type="dxa"/>
            <w:vMerge w:val="restart"/>
            <w:tcBorders>
              <w:top w:val="single" w:sz="4" w:space="0" w:color="010101"/>
              <w:left w:val="single" w:sz="4" w:space="0" w:color="010101"/>
              <w:right w:val="single" w:sz="4" w:space="0" w:color="010101"/>
            </w:tcBorders>
            <w:shd w:val="clear" w:color="auto" w:fill="D3D3D3"/>
          </w:tcPr>
          <w:p>
            <w:pPr/>
          </w:p>
        </w:tc>
        <w:tc>
          <w:tcPr>
            <w:tcW w:w="37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5" w:type="dxa"/>
            <w:vMerge/>
            <w:tcBorders>
              <w:left w:val="single" w:sz="4" w:space="0" w:color="010101"/>
              <w:bottom w:val="single" w:sz="4" w:space="0" w:color="010101"/>
              <w:right w:val="single" w:sz="4" w:space="0" w:color="010101"/>
            </w:tcBorders>
            <w:shd w:val="clear" w:color="auto" w:fill="D3D3D3"/>
          </w:tcPr>
          <w:p>
            <w:pPr/>
          </w:p>
        </w:tc>
        <w:tc>
          <w:tcPr>
            <w:tcW w:w="17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65,547,736.31</w:t>
            </w:r>
          </w:p>
        </w:tc>
        <w:tc>
          <w:tcPr>
            <w:tcW w:w="20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46,385,012.19</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654,740,876.57</w:t>
            </w:r>
          </w:p>
        </w:tc>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249,659,506.74</w:t>
            </w:r>
          </w:p>
        </w:tc>
      </w:tr>
      <w:tr>
        <w:trPr>
          <w:trHeight w:val="402" w:hRule="exact"/>
        </w:trPr>
        <w:tc>
          <w:tcPr>
            <w:tcW w:w="9569"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before="0"/>
        <w:ind w:right="0"/>
        <w:jc w:val="left"/>
        <w:rPr>
          <w:b w:val="0"/>
          <w:bCs w:val="0"/>
        </w:rPr>
      </w:pPr>
      <w:r>
        <w:rPr/>
        <w:t>三、报告期内非经常性损益的项目及金额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10101"/>
              <w:left w:val="single" w:sz="4" w:space="0" w:color="010101"/>
              <w:bottom w:val="single" w:sz="4" w:space="0" w:color="010101"/>
              <w:right w:val="single" w:sz="4" w:space="0" w:color="010101"/>
            </w:tcBorders>
          </w:tcPr>
          <w:p>
            <w:pP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-63,629.66</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-2,010.25</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17,503,243.07</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9,863,935.99</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5,388,286.00</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2,066,500.00</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-143,906.40</w:t>
            </w:r>
          </w:p>
        </w:tc>
        <w:tc>
          <w:tcPr>
            <w:tcW w:w="1523" w:type="dxa"/>
            <w:tcBorders>
              <w:top w:val="single" w:sz="4" w:space="0" w:color="010101"/>
              <w:left w:val="single" w:sz="4" w:space="0" w:color="010101"/>
              <w:bottom w:val="single" w:sz="4" w:space="0" w:color="010101"/>
              <w:right w:val="single" w:sz="4" w:space="0" w:color="010101"/>
            </w:tcBorders>
          </w:tcPr>
          <w:p>
            <w:pPr/>
          </w:p>
        </w:tc>
        <w:tc>
          <w:tcPr>
            <w:tcW w:w="17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32"/>
              <w:jc w:val="center"/>
              <w:rPr>
                <w:rFonts w:ascii="宋体" w:hAnsi="宋体" w:cs="宋体" w:eastAsia="宋体" w:hint="default"/>
                <w:sz w:val="18"/>
                <w:szCs w:val="18"/>
              </w:rPr>
            </w:pPr>
            <w:r>
              <w:rPr>
                <w:rFonts w:ascii="宋体" w:hAnsi="宋体" w:cs="宋体" w:eastAsia="宋体" w:hint="default"/>
                <w:sz w:val="18"/>
                <w:szCs w:val="18"/>
              </w:rPr>
              <w:t>系公司远期外汇结汇</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336" w:hRule="exact"/>
        </w:trPr>
        <w:tc>
          <w:tcPr>
            <w:tcW w:w="3296"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20" w:type="dxa"/>
            <w:vMerge w:val="restart"/>
            <w:tcBorders>
              <w:top w:val="single" w:sz="4" w:space="0" w:color="010101"/>
              <w:left w:val="single" w:sz="4" w:space="0" w:color="010101"/>
              <w:right w:val="single" w:sz="4" w:space="0" w:color="010101"/>
            </w:tcBorders>
          </w:tcPr>
          <w:p>
            <w:pPr/>
          </w:p>
        </w:tc>
        <w:tc>
          <w:tcPr>
            <w:tcW w:w="1519" w:type="dxa"/>
            <w:vMerge w:val="restart"/>
            <w:tcBorders>
              <w:top w:val="single" w:sz="4" w:space="0" w:color="010101"/>
              <w:left w:val="single" w:sz="4" w:space="0" w:color="010101"/>
              <w:right w:val="single" w:sz="4" w:space="0" w:color="010101"/>
            </w:tcBorders>
          </w:tcPr>
          <w:p>
            <w:pPr/>
          </w:p>
        </w:tc>
        <w:tc>
          <w:tcPr>
            <w:tcW w:w="1523" w:type="dxa"/>
            <w:vMerge w:val="restart"/>
            <w:tcBorders>
              <w:top w:val="single" w:sz="4" w:space="0" w:color="010101"/>
              <w:left w:val="single" w:sz="4" w:space="0" w:color="010101"/>
              <w:right w:val="single" w:sz="4" w:space="0" w:color="010101"/>
            </w:tcBorders>
          </w:tcPr>
          <w:p>
            <w:pPr/>
          </w:p>
        </w:tc>
        <w:tc>
          <w:tcPr>
            <w:tcW w:w="171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业务产生的投资损益</w:t>
            </w:r>
          </w:p>
        </w:tc>
      </w:tr>
      <w:tr>
        <w:trPr>
          <w:trHeight w:val="312" w:hRule="exact"/>
        </w:trPr>
        <w:tc>
          <w:tcPr>
            <w:tcW w:w="329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20" w:type="dxa"/>
            <w:vMerge/>
            <w:tcBorders>
              <w:left w:val="single" w:sz="4" w:space="0" w:color="010101"/>
              <w:right w:val="single" w:sz="4" w:space="0" w:color="010101"/>
            </w:tcBorders>
          </w:tcPr>
          <w:p>
            <w:pPr/>
          </w:p>
        </w:tc>
        <w:tc>
          <w:tcPr>
            <w:tcW w:w="1519" w:type="dxa"/>
            <w:vMerge/>
            <w:tcBorders>
              <w:left w:val="single" w:sz="4" w:space="0" w:color="010101"/>
              <w:right w:val="single" w:sz="4" w:space="0" w:color="010101"/>
            </w:tcBorders>
          </w:tcPr>
          <w:p>
            <w:pPr/>
          </w:p>
        </w:tc>
        <w:tc>
          <w:tcPr>
            <w:tcW w:w="1523" w:type="dxa"/>
            <w:vMerge/>
            <w:tcBorders>
              <w:left w:val="single" w:sz="4" w:space="0" w:color="010101"/>
              <w:right w:val="single" w:sz="4" w:space="0" w:color="010101"/>
            </w:tcBorders>
          </w:tcPr>
          <w:p>
            <w:pPr/>
          </w:p>
        </w:tc>
        <w:tc>
          <w:tcPr>
            <w:tcW w:w="171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29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20" w:type="dxa"/>
            <w:vMerge/>
            <w:tcBorders>
              <w:left w:val="single" w:sz="4" w:space="0" w:color="010101"/>
              <w:right w:val="single" w:sz="4" w:space="0" w:color="010101"/>
            </w:tcBorders>
          </w:tcPr>
          <w:p>
            <w:pPr/>
          </w:p>
        </w:tc>
        <w:tc>
          <w:tcPr>
            <w:tcW w:w="1519" w:type="dxa"/>
            <w:vMerge/>
            <w:tcBorders>
              <w:left w:val="single" w:sz="4" w:space="0" w:color="010101"/>
              <w:right w:val="single" w:sz="4" w:space="0" w:color="010101"/>
            </w:tcBorders>
          </w:tcPr>
          <w:p>
            <w:pPr/>
          </w:p>
        </w:tc>
        <w:tc>
          <w:tcPr>
            <w:tcW w:w="1523" w:type="dxa"/>
            <w:vMerge/>
            <w:tcBorders>
              <w:left w:val="single" w:sz="4" w:space="0" w:color="010101"/>
              <w:right w:val="single" w:sz="4" w:space="0" w:color="010101"/>
            </w:tcBorders>
          </w:tcPr>
          <w:p>
            <w:pPr/>
          </w:p>
        </w:tc>
        <w:tc>
          <w:tcPr>
            <w:tcW w:w="1710" w:type="dxa"/>
            <w:tcBorders>
              <w:top w:val="nil" w:sz="6" w:space="0" w:color="auto"/>
              <w:left w:val="single" w:sz="4" w:space="0" w:color="010101"/>
              <w:bottom w:val="nil" w:sz="6" w:space="0" w:color="auto"/>
              <w:right w:val="single" w:sz="4" w:space="0" w:color="010101"/>
            </w:tcBorders>
          </w:tcPr>
          <w:p>
            <w:pPr/>
          </w:p>
        </w:tc>
      </w:tr>
      <w:tr>
        <w:trPr>
          <w:trHeight w:val="338" w:hRule="exact"/>
        </w:trPr>
        <w:tc>
          <w:tcPr>
            <w:tcW w:w="3296"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vMerge/>
            <w:tcBorders>
              <w:left w:val="single" w:sz="4" w:space="0" w:color="010101"/>
              <w:bottom w:val="single" w:sz="4" w:space="0" w:color="010101"/>
              <w:right w:val="single" w:sz="4" w:space="0" w:color="010101"/>
            </w:tcBorders>
          </w:tcPr>
          <w:p>
            <w:pPr/>
          </w:p>
        </w:tc>
        <w:tc>
          <w:tcPr>
            <w:tcW w:w="1519" w:type="dxa"/>
            <w:vMerge/>
            <w:tcBorders>
              <w:left w:val="single" w:sz="4" w:space="0" w:color="010101"/>
              <w:bottom w:val="single" w:sz="4" w:space="0" w:color="010101"/>
              <w:right w:val="single" w:sz="4" w:space="0" w:color="010101"/>
            </w:tcBorders>
          </w:tcPr>
          <w:p>
            <w:pPr/>
          </w:p>
        </w:tc>
        <w:tc>
          <w:tcPr>
            <w:tcW w:w="1523" w:type="dxa"/>
            <w:vMerge/>
            <w:tcBorders>
              <w:left w:val="single" w:sz="4" w:space="0" w:color="010101"/>
              <w:bottom w:val="single" w:sz="4" w:space="0" w:color="010101"/>
              <w:right w:val="single" w:sz="4" w:space="0" w:color="010101"/>
            </w:tcBorders>
          </w:tcPr>
          <w:p>
            <w:pPr/>
          </w:p>
        </w:tc>
        <w:tc>
          <w:tcPr>
            <w:tcW w:w="1710"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-215,732.00</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-35,315.55</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-109,380.80</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357" w:hRule="exact"/>
        </w:trPr>
        <w:tc>
          <w:tcPr>
            <w:tcW w:w="3296" w:type="dxa"/>
            <w:tcBorders>
              <w:top w:val="single" w:sz="4" w:space="0" w:color="010101"/>
              <w:left w:val="single" w:sz="4" w:space="0" w:color="010101"/>
              <w:bottom w:val="nil" w:sz="6" w:space="0" w:color="auto"/>
              <w:right w:val="single" w:sz="4" w:space="0" w:color="010101"/>
            </w:tcBorders>
            <w:shd w:val="clear" w:color="auto" w:fill="D3D3D3"/>
          </w:tcPr>
          <w:p>
            <w:pPr/>
          </w:p>
        </w:tc>
        <w:tc>
          <w:tcPr>
            <w:tcW w:w="1520" w:type="dxa"/>
            <w:tcBorders>
              <w:top w:val="single" w:sz="4" w:space="0" w:color="010101"/>
              <w:left w:val="single" w:sz="4" w:space="0" w:color="010101"/>
              <w:bottom w:val="nil" w:sz="6" w:space="0" w:color="auto"/>
              <w:right w:val="single" w:sz="4" w:space="0" w:color="010101"/>
            </w:tcBorders>
          </w:tcPr>
          <w:p>
            <w:pPr/>
          </w:p>
        </w:tc>
        <w:tc>
          <w:tcPr>
            <w:tcW w:w="1519" w:type="dxa"/>
            <w:vMerge w:val="restart"/>
            <w:tcBorders>
              <w:top w:val="single" w:sz="4" w:space="0" w:color="010101"/>
              <w:left w:val="single" w:sz="4" w:space="0" w:color="010101"/>
              <w:right w:val="single" w:sz="4" w:space="0" w:color="010101"/>
            </w:tcBorders>
          </w:tcPr>
          <w:p>
            <w:pPr/>
          </w:p>
        </w:tc>
        <w:tc>
          <w:tcPr>
            <w:tcW w:w="1523" w:type="dxa"/>
            <w:vMerge w:val="restart"/>
            <w:tcBorders>
              <w:top w:val="single" w:sz="4" w:space="0" w:color="010101"/>
              <w:left w:val="single" w:sz="4" w:space="0" w:color="010101"/>
              <w:right w:val="single" w:sz="4" w:space="0" w:color="010101"/>
            </w:tcBorders>
          </w:tcPr>
          <w:p>
            <w:pPr/>
          </w:p>
        </w:tc>
        <w:tc>
          <w:tcPr>
            <w:tcW w:w="171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系公司本年度被认定</w:t>
            </w:r>
          </w:p>
        </w:tc>
      </w:tr>
      <w:tr>
        <w:trPr>
          <w:trHeight w:val="316" w:hRule="exact"/>
        </w:trPr>
        <w:tc>
          <w:tcPr>
            <w:tcW w:w="3296" w:type="dxa"/>
            <w:tcBorders>
              <w:top w:val="nil" w:sz="6" w:space="0" w:color="auto"/>
              <w:left w:val="single" w:sz="4" w:space="0" w:color="010101"/>
              <w:bottom w:val="nil" w:sz="6" w:space="0" w:color="auto"/>
              <w:right w:val="single" w:sz="4" w:space="0" w:color="010101"/>
            </w:tcBorders>
            <w:shd w:val="clear" w:color="auto" w:fill="D3D3D3"/>
          </w:tcPr>
          <w:p>
            <w:pPr/>
          </w:p>
        </w:tc>
        <w:tc>
          <w:tcPr>
            <w:tcW w:w="1520" w:type="dxa"/>
            <w:tcBorders>
              <w:top w:val="nil" w:sz="6" w:space="0" w:color="auto"/>
              <w:left w:val="single" w:sz="4" w:space="0" w:color="010101"/>
              <w:bottom w:val="nil" w:sz="6" w:space="0" w:color="auto"/>
              <w:right w:val="single" w:sz="4" w:space="0" w:color="010101"/>
            </w:tcBorders>
          </w:tcPr>
          <w:p>
            <w:pPr/>
          </w:p>
        </w:tc>
        <w:tc>
          <w:tcPr>
            <w:tcW w:w="1519" w:type="dxa"/>
            <w:vMerge/>
            <w:tcBorders>
              <w:left w:val="single" w:sz="4" w:space="0" w:color="010101"/>
              <w:right w:val="single" w:sz="4" w:space="0" w:color="010101"/>
            </w:tcBorders>
          </w:tcPr>
          <w:p>
            <w:pPr/>
          </w:p>
        </w:tc>
        <w:tc>
          <w:tcPr>
            <w:tcW w:w="1523" w:type="dxa"/>
            <w:vMerge/>
            <w:tcBorders>
              <w:left w:val="single" w:sz="4" w:space="0" w:color="010101"/>
              <w:right w:val="single" w:sz="4" w:space="0" w:color="010101"/>
            </w:tcBorders>
          </w:tcPr>
          <w:p>
            <w:pPr/>
          </w:p>
        </w:tc>
        <w:tc>
          <w:tcPr>
            <w:tcW w:w="171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年度国</w:t>
            </w:r>
          </w:p>
        </w:tc>
      </w:tr>
      <w:tr>
        <w:trPr>
          <w:trHeight w:val="624" w:hRule="exact"/>
        </w:trPr>
        <w:tc>
          <w:tcPr>
            <w:tcW w:w="329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1,176,662.75</w:t>
            </w:r>
            <w:r>
              <w:rPr>
                <w:rFonts w:ascii="Times New Roman"/>
                <w:sz w:val="18"/>
              </w:rPr>
            </w:r>
          </w:p>
        </w:tc>
        <w:tc>
          <w:tcPr>
            <w:tcW w:w="1519" w:type="dxa"/>
            <w:vMerge/>
            <w:tcBorders>
              <w:left w:val="single" w:sz="4" w:space="0" w:color="010101"/>
              <w:right w:val="single" w:sz="4" w:space="0" w:color="010101"/>
            </w:tcBorders>
          </w:tcPr>
          <w:p>
            <w:pPr/>
          </w:p>
        </w:tc>
        <w:tc>
          <w:tcPr>
            <w:tcW w:w="1523" w:type="dxa"/>
            <w:vMerge/>
            <w:tcBorders>
              <w:left w:val="single" w:sz="4" w:space="0" w:color="010101"/>
              <w:right w:val="single" w:sz="4" w:space="0" w:color="010101"/>
            </w:tcBorders>
          </w:tcPr>
          <w:p>
            <w:pPr/>
          </w:p>
        </w:tc>
        <w:tc>
          <w:tcPr>
            <w:tcW w:w="1710"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21"/>
              <w:jc w:val="left"/>
              <w:rPr>
                <w:rFonts w:ascii="宋体" w:hAnsi="宋体" w:cs="宋体" w:eastAsia="宋体" w:hint="default"/>
                <w:sz w:val="18"/>
                <w:szCs w:val="18"/>
              </w:rPr>
            </w:pPr>
            <w:r>
              <w:rPr>
                <w:rFonts w:ascii="宋体" w:hAnsi="宋体" w:cs="宋体" w:eastAsia="宋体" w:hint="default"/>
                <w:sz w:val="18"/>
                <w:szCs w:val="18"/>
              </w:rPr>
              <w:t>家规划布局内重点软 件企业，</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年度所</w:t>
            </w:r>
          </w:p>
        </w:tc>
      </w:tr>
      <w:tr>
        <w:trPr>
          <w:trHeight w:val="312" w:hRule="exact"/>
        </w:trPr>
        <w:tc>
          <w:tcPr>
            <w:tcW w:w="3296" w:type="dxa"/>
            <w:tcBorders>
              <w:top w:val="nil" w:sz="6" w:space="0" w:color="auto"/>
              <w:left w:val="single" w:sz="4" w:space="0" w:color="010101"/>
              <w:bottom w:val="nil" w:sz="6" w:space="0" w:color="auto"/>
              <w:right w:val="single" w:sz="4" w:space="0" w:color="010101"/>
            </w:tcBorders>
            <w:shd w:val="clear" w:color="auto" w:fill="D3D3D3"/>
          </w:tcPr>
          <w:p>
            <w:pPr/>
          </w:p>
        </w:tc>
        <w:tc>
          <w:tcPr>
            <w:tcW w:w="1520" w:type="dxa"/>
            <w:tcBorders>
              <w:top w:val="nil" w:sz="6" w:space="0" w:color="auto"/>
              <w:left w:val="single" w:sz="4" w:space="0" w:color="010101"/>
              <w:bottom w:val="nil" w:sz="6" w:space="0" w:color="auto"/>
              <w:right w:val="single" w:sz="4" w:space="0" w:color="010101"/>
            </w:tcBorders>
          </w:tcPr>
          <w:p>
            <w:pPr/>
          </w:p>
        </w:tc>
        <w:tc>
          <w:tcPr>
            <w:tcW w:w="1519" w:type="dxa"/>
            <w:vMerge/>
            <w:tcBorders>
              <w:left w:val="single" w:sz="4" w:space="0" w:color="010101"/>
              <w:right w:val="single" w:sz="4" w:space="0" w:color="010101"/>
            </w:tcBorders>
          </w:tcPr>
          <w:p>
            <w:pPr/>
          </w:p>
        </w:tc>
        <w:tc>
          <w:tcPr>
            <w:tcW w:w="1523" w:type="dxa"/>
            <w:vMerge/>
            <w:tcBorders>
              <w:left w:val="single" w:sz="4" w:space="0" w:color="010101"/>
              <w:right w:val="single" w:sz="4" w:space="0" w:color="010101"/>
            </w:tcBorders>
          </w:tcPr>
          <w:p>
            <w:pPr/>
          </w:p>
        </w:tc>
        <w:tc>
          <w:tcPr>
            <w:tcW w:w="171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得税按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税率计算</w:t>
            </w:r>
          </w:p>
        </w:tc>
      </w:tr>
      <w:tr>
        <w:trPr>
          <w:trHeight w:val="353" w:hRule="exact"/>
        </w:trPr>
        <w:tc>
          <w:tcPr>
            <w:tcW w:w="3296" w:type="dxa"/>
            <w:tcBorders>
              <w:top w:val="nil" w:sz="6" w:space="0" w:color="auto"/>
              <w:left w:val="single" w:sz="4" w:space="0" w:color="010101"/>
              <w:bottom w:val="single" w:sz="4" w:space="0" w:color="010101"/>
              <w:right w:val="single" w:sz="4" w:space="0" w:color="010101"/>
            </w:tcBorders>
            <w:shd w:val="clear" w:color="auto" w:fill="D3D3D3"/>
          </w:tcPr>
          <w:p>
            <w:pPr/>
          </w:p>
        </w:tc>
        <w:tc>
          <w:tcPr>
            <w:tcW w:w="1520" w:type="dxa"/>
            <w:tcBorders>
              <w:top w:val="nil" w:sz="6" w:space="0" w:color="auto"/>
              <w:left w:val="single" w:sz="4" w:space="0" w:color="010101"/>
              <w:bottom w:val="single" w:sz="4" w:space="0" w:color="010101"/>
              <w:right w:val="single" w:sz="4" w:space="0" w:color="010101"/>
            </w:tcBorders>
          </w:tcPr>
          <w:p>
            <w:pPr/>
          </w:p>
        </w:tc>
        <w:tc>
          <w:tcPr>
            <w:tcW w:w="1519" w:type="dxa"/>
            <w:vMerge/>
            <w:tcBorders>
              <w:left w:val="single" w:sz="4" w:space="0" w:color="010101"/>
              <w:bottom w:val="single" w:sz="4" w:space="0" w:color="010101"/>
              <w:right w:val="single" w:sz="4" w:space="0" w:color="010101"/>
            </w:tcBorders>
          </w:tcPr>
          <w:p>
            <w:pPr/>
          </w:p>
        </w:tc>
        <w:tc>
          <w:tcPr>
            <w:tcW w:w="1523" w:type="dxa"/>
            <w:vMerge/>
            <w:tcBorders>
              <w:left w:val="single" w:sz="4" w:space="0" w:color="010101"/>
              <w:bottom w:val="single" w:sz="4" w:space="0" w:color="010101"/>
              <w:right w:val="single" w:sz="4" w:space="0" w:color="010101"/>
            </w:tcBorders>
          </w:tcPr>
          <w:p>
            <w:pPr/>
          </w:p>
        </w:tc>
        <w:tc>
          <w:tcPr>
            <w:tcW w:w="171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的影响额。</w:t>
            </w: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2,049,088.88</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1,195,965.19</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525,290.39</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7,544.12</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6,716.04</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447.32</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18,474,040.82</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8,418,403.15</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4,751,157.24</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0"/>
        <w:jc w:val="left"/>
      </w:pPr>
      <w:r>
        <w:rPr>
          <w:spacing w:val="-3"/>
        </w:rPr>
        <w:t>对公司根据《公开发行证券的公司信息披露解释性公告第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176"/>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1"/>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90"/>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0"/>
        <w:jc w:val="left"/>
      </w:pPr>
      <w:r>
        <w:rPr>
          <w:rFonts w:ascii="Times New Roman" w:hAnsi="Times New Roman" w:cs="Times New Roman" w:eastAsia="Times New Roman" w:hint="default"/>
        </w:rPr>
        <w:t>1</w:t>
      </w:r>
      <w:r>
        <w:rPr/>
        <w:t>．经营风险</w:t>
      </w:r>
    </w:p>
    <w:p>
      <w:pPr>
        <w:pStyle w:val="BodyText"/>
        <w:spacing w:line="316" w:lineRule="auto" w:before="63"/>
        <w:ind w:right="90"/>
        <w:jc w:val="left"/>
      </w:pPr>
      <w:r>
        <w:rPr>
          <w:spacing w:val="-2"/>
        </w:rPr>
        <w:t>①不能正确判断市场需求的风险。公司业务涵盖了从软件外包到软件产品开发，从国内市场到海外市场，经营环境复杂，市</w:t>
      </w:r>
      <w:r>
        <w:rPr>
          <w:spacing w:val="-64"/>
        </w:rPr>
        <w:t> </w:t>
      </w:r>
      <w:r>
        <w:rPr>
          <w:spacing w:val="-64"/>
        </w:rPr>
      </w:r>
      <w:r>
        <w:rPr>
          <w:spacing w:val="-2"/>
        </w:rPr>
        <w:t>场需求变动较大，海外市场环境、需求的变化将会对公司产生重大影响，如果对其产生战略性误判，将给公司造成重大不利</w:t>
      </w:r>
      <w:r>
        <w:rPr>
          <w:spacing w:val="-66"/>
        </w:rPr>
        <w:t> </w:t>
      </w:r>
      <w:r>
        <w:rPr>
          <w:spacing w:val="-66"/>
        </w:rPr>
      </w:r>
      <w:r>
        <w:rPr/>
        <w:t>影响。公司高层持续关注海外市场的各国政治、经济、社会、法制状况和外包需求等方面的变化信息，加大国际市场布局， </w:t>
      </w:r>
      <w:r>
        <w:rPr>
          <w:spacing w:val="-2"/>
        </w:rPr>
        <w:t>除日本市场外，积极开拓欧美中小企业市场，在布局国际市场的同时，加强培育潜力巨大的国内市场，分散市场风险，提高</w:t>
      </w:r>
      <w:r>
        <w:rPr>
          <w:spacing w:val="-65"/>
        </w:rPr>
        <w:t> </w:t>
      </w:r>
      <w:r>
        <w:rPr>
          <w:spacing w:val="-65"/>
        </w:rPr>
      </w:r>
      <w:r>
        <w:rPr/>
        <w:t>公司的抗风险能力。</w:t>
      </w:r>
    </w:p>
    <w:p>
      <w:pPr>
        <w:pStyle w:val="BodyText"/>
        <w:spacing w:line="316" w:lineRule="auto" w:before="19"/>
        <w:ind w:right="90"/>
        <w:jc w:val="left"/>
      </w:pPr>
      <w:r>
        <w:rPr>
          <w:spacing w:val="-2"/>
        </w:rPr>
        <w:t>②行业内竞争加剧风险。目前，在中国提供外包软件开发服务的国内外软件开发企业数量不断增加，竞争对手数量的增多必</w:t>
      </w:r>
      <w:r>
        <w:rPr>
          <w:spacing w:val="-65"/>
        </w:rPr>
        <w:t> </w:t>
      </w:r>
      <w:r>
        <w:rPr>
          <w:spacing w:val="-65"/>
        </w:rPr>
      </w:r>
      <w:r>
        <w:rPr>
          <w:spacing w:val="-2"/>
        </w:rPr>
        <w:t>将会引致外包软件开发市场竞争的加剧，若公司不能在产品研发、技术创新、人力资源、融资能力、市场营销、客户服务等</w:t>
      </w:r>
      <w:r>
        <w:rPr>
          <w:spacing w:val="-67"/>
        </w:rPr>
        <w:t> </w:t>
      </w:r>
      <w:r>
        <w:rPr>
          <w:spacing w:val="-67"/>
        </w:rPr>
      </w:r>
      <w:r>
        <w:rPr>
          <w:spacing w:val="-4"/>
        </w:rPr>
        <w:t>方面进一步增强实力，未来将面临更大的竞争压力，给本公司带来不利影响。公司经过数年的发展，在技术开发、人才储备、</w:t>
      </w:r>
      <w:r>
        <w:rPr>
          <w:spacing w:val="-43"/>
        </w:rPr>
        <w:t> </w:t>
      </w:r>
      <w:r>
        <w:rPr>
          <w:spacing w:val="-43"/>
        </w:rPr>
      </w:r>
      <w:r>
        <w:rPr>
          <w:spacing w:val="-2"/>
        </w:rPr>
        <w:t>业务积累、经营管理等方面均取得了长足的发展，具备参与高端市场竞争的能力，这也为公司进一步开拓高端市场提供了坚</w:t>
      </w:r>
      <w:r>
        <w:rPr>
          <w:spacing w:val="-66"/>
        </w:rPr>
        <w:t> </w:t>
      </w:r>
      <w:r>
        <w:rPr>
          <w:spacing w:val="-66"/>
        </w:rPr>
      </w:r>
      <w:r>
        <w:rPr>
          <w:spacing w:val="-2"/>
        </w:rPr>
        <w:t>实的基础，提高公司核心竞争力。同时，公司在海外市场的开拓上也具有较为明显的优势，尤其是公司在日本市场已取得了</w:t>
      </w:r>
      <w:r>
        <w:rPr>
          <w:spacing w:val="-66"/>
        </w:rPr>
        <w:t> </w:t>
      </w:r>
      <w:r>
        <w:rPr>
          <w:spacing w:val="-66"/>
        </w:rPr>
      </w:r>
      <w:r>
        <w:rPr/>
        <w:t>较为突出的成果，这将指导公司继续开拓其他海外市场。</w:t>
      </w:r>
    </w:p>
    <w:p>
      <w:pPr>
        <w:pStyle w:val="BodyText"/>
        <w:spacing w:line="316" w:lineRule="auto" w:before="19"/>
        <w:ind w:right="90"/>
        <w:jc w:val="left"/>
      </w:pPr>
      <w:r>
        <w:rPr>
          <w:spacing w:val="-4"/>
        </w:rPr>
        <w:t>③内部控制失控的管理的风险。近几年公司处于高速发展之中，业务规模、员工人数不断扩大，在技术人员引进、员工管理、</w:t>
      </w:r>
      <w:r>
        <w:rPr>
          <w:spacing w:val="-43"/>
        </w:rPr>
        <w:t> </w:t>
      </w:r>
      <w:r>
        <w:rPr>
          <w:spacing w:val="-43"/>
        </w:rPr>
      </w:r>
      <w:r>
        <w:rPr>
          <w:spacing w:val="-2"/>
        </w:rPr>
        <w:t>研发水平提升、项目质量管理、市场开拓、供应商管理等诸多方面均面临着新的管理挑战，公司面临着经营规模快速扩张而</w:t>
      </w:r>
      <w:r>
        <w:rPr>
          <w:spacing w:val="-66"/>
        </w:rPr>
        <w:t> </w:t>
      </w:r>
      <w:r>
        <w:rPr>
          <w:spacing w:val="-66"/>
        </w:rPr>
      </w:r>
      <w:r>
        <w:rPr>
          <w:spacing w:val="-2"/>
        </w:rPr>
        <w:t>管理能力不能随之适应，从而影响公司业务的科学发展和可持续增长能力。公司通过不断完善各项制度，细化内部控制制度</w:t>
      </w:r>
      <w:r>
        <w:rPr>
          <w:spacing w:val="-65"/>
        </w:rPr>
        <w:t> </w:t>
      </w:r>
      <w:r>
        <w:rPr>
          <w:spacing w:val="-65"/>
        </w:rPr>
      </w:r>
      <w:r>
        <w:rPr>
          <w:spacing w:val="-2"/>
        </w:rPr>
        <w:t>的具体执行办法，引进科学管理办法，加强对相关人员的业务和风险防范培训、考核、监督与评价工作，降低管理风险产生</w:t>
      </w:r>
      <w:r>
        <w:rPr>
          <w:spacing w:val="-65"/>
        </w:rPr>
        <w:t> </w:t>
      </w:r>
      <w:r>
        <w:rPr>
          <w:spacing w:val="-65"/>
        </w:rPr>
      </w:r>
      <w:r>
        <w:rPr/>
        <w:t>的可能性，监事会和审计部采用定期检查和抽查的方式加强监督，使内部控制制度能够适应公司不断发展的需要。</w:t>
      </w:r>
    </w:p>
    <w:p>
      <w:pPr>
        <w:pStyle w:val="BodyText"/>
        <w:spacing w:line="309" w:lineRule="auto" w:before="19"/>
        <w:ind w:right="189"/>
        <w:jc w:val="both"/>
      </w:pPr>
      <w:r>
        <w:rPr/>
        <w:t>④核心技术泄密或被侵权的风险。技术优势是公司在行业中保持竞争优势的最主要因素之一，目前，公司拥有</w:t>
      </w:r>
      <w:r>
        <w:rPr>
          <w:rFonts w:ascii="Times New Roman" w:hAnsi="Times New Roman" w:cs="Times New Roman" w:eastAsia="Times New Roman" w:hint="default"/>
        </w:rPr>
        <w:t>“</w:t>
      </w:r>
      <w:r>
        <w:rPr/>
        <w:t>润和通用商 业智能平台软件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润和指南针商圈分析系统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润和掌信手机互动交流平台软件</w:t>
      </w:r>
      <w:r>
        <w:rPr>
          <w:rFonts w:ascii="Times New Roman" w:hAnsi="Times New Roman" w:cs="Times New Roman" w:eastAsia="Times New Roman" w:hint="default"/>
        </w:rPr>
        <w:t>”</w:t>
      </w:r>
      <w:r>
        <w:rPr/>
        <w:t>等多项计算机软件著作权，属于公司的 </w:t>
      </w:r>
      <w:r>
        <w:rPr>
          <w:spacing w:val="-2"/>
        </w:rPr>
        <w:t>核心技术，上述核心技术是公司平稳快速发展的基础，如果公司核心技术泄密或计算机软件著作权被侵权，则会对公司生产</w:t>
      </w:r>
      <w:r>
        <w:rPr>
          <w:spacing w:val="-65"/>
        </w:rPr>
        <w:t> </w:t>
      </w:r>
      <w:r>
        <w:rPr>
          <w:spacing w:val="-65"/>
        </w:rPr>
      </w:r>
      <w:r>
        <w:rPr>
          <w:spacing w:val="-2"/>
        </w:rPr>
        <w:t>经营造成较大负面影响。为控制核心技术泄密，公司在与员工签订劳动合同的同时签订保密协议书，要求员工严格遵守公司</w:t>
      </w:r>
      <w:r>
        <w:rPr>
          <w:spacing w:val="-65"/>
        </w:rPr>
        <w:t> </w:t>
      </w:r>
      <w:r>
        <w:rPr>
          <w:spacing w:val="-65"/>
        </w:rPr>
      </w:r>
      <w:r>
        <w:rPr>
          <w:spacing w:val="-2"/>
        </w:rPr>
        <w:t>制定的保密制度；为防范软件著作权被侵权，公司及时将已开发的软件产品进行计算机软件著作权登记，通过法律手段保护</w:t>
      </w:r>
    </w:p>
    <w:p>
      <w:pPr>
        <w:spacing w:after="0" w:line="309" w:lineRule="auto"/>
        <w:jc w:val="both"/>
        <w:sectPr>
          <w:footerReference w:type="default" r:id="rId11"/>
          <w:pgSz w:w="11910" w:h="16840"/>
          <w:pgMar w:footer="980" w:header="747"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ind w:left="113" w:right="90"/>
        <w:jc w:val="left"/>
      </w:pPr>
      <w:r>
        <w:rPr/>
        <w:t>公司的知识产权。</w:t>
      </w:r>
    </w:p>
    <w:p>
      <w:pPr>
        <w:pStyle w:val="BodyText"/>
        <w:spacing w:line="314" w:lineRule="auto" w:before="76"/>
        <w:ind w:left="113" w:right="82"/>
        <w:jc w:val="left"/>
      </w:pPr>
      <w:r>
        <w:rPr/>
        <w:t>⑤国家产业政策变动风险。自</w:t>
      </w:r>
      <w:r>
        <w:rPr>
          <w:rFonts w:ascii="Times New Roman" w:hAnsi="Times New Roman" w:cs="Times New Roman" w:eastAsia="Times New Roman" w:hint="default"/>
        </w:rPr>
        <w:t>2000</w:t>
      </w:r>
      <w:r>
        <w:rPr/>
        <w:t>年国务院正式颁布《鼓励软件产业和集成电路产业发展的若干政策》（国发</w:t>
      </w:r>
      <w:r>
        <w:rPr>
          <w:rFonts w:ascii="Times New Roman" w:hAnsi="Times New Roman" w:cs="Times New Roman" w:eastAsia="Times New Roman" w:hint="default"/>
        </w:rPr>
        <w:t>[2000]18</w:t>
      </w:r>
      <w:r>
        <w:rPr>
          <w:rFonts w:ascii="Times New Roman" w:hAnsi="Times New Roman" w:cs="Times New Roman" w:eastAsia="Times New Roman" w:hint="default"/>
          <w:spacing w:val="24"/>
        </w:rPr>
        <w:t> </w:t>
      </w:r>
      <w:r>
        <w:rPr/>
        <w:t>号） </w:t>
      </w:r>
      <w:r>
        <w:rPr>
          <w:spacing w:val="-2"/>
        </w:rPr>
        <w:t>以来，软件行业作为国家鼓励发展的战略性、基础性和先导性支柱产业的地位得以确立，软件企业长期以来受益于各级政府</w:t>
      </w:r>
      <w:r>
        <w:rPr>
          <w:spacing w:val="-66"/>
        </w:rPr>
        <w:t> </w:t>
      </w:r>
      <w:r>
        <w:rPr>
          <w:spacing w:val="-66"/>
        </w:rPr>
      </w:r>
      <w:r>
        <w:rPr>
          <w:spacing w:val="-2"/>
        </w:rPr>
        <w:t>的一系列优惠政策。这些政策从税收优惠、软件出口、人才吸引与培养、知识产权保护、行业组织与管理等多方面为软件产</w:t>
      </w:r>
      <w:r>
        <w:rPr>
          <w:spacing w:val="-65"/>
        </w:rPr>
        <w:t> </w:t>
      </w:r>
      <w:r>
        <w:rPr>
          <w:spacing w:val="-65"/>
        </w:rPr>
      </w:r>
      <w:r>
        <w:rPr>
          <w:spacing w:val="-2"/>
        </w:rPr>
        <w:t>业发展提供了政策保障和扶持。可以说，我国软件外包企业近年来的飞速发展与国家的产业政策扶持息息相关，一旦未来国</w:t>
      </w:r>
      <w:r>
        <w:rPr>
          <w:spacing w:val="-65"/>
        </w:rPr>
        <w:t> </w:t>
      </w:r>
      <w:r>
        <w:rPr>
          <w:spacing w:val="-65"/>
        </w:rPr>
      </w:r>
      <w:r>
        <w:rPr>
          <w:spacing w:val="-2"/>
        </w:rPr>
        <w:t>家对软件外包企业的产业政策发生不利变化，将有可能对公司的生产经营造成不利影响。受益于税收政策及当地政府对软件</w:t>
      </w:r>
      <w:r>
        <w:rPr>
          <w:spacing w:val="-64"/>
        </w:rPr>
        <w:t> </w:t>
      </w:r>
      <w:r>
        <w:rPr>
          <w:spacing w:val="-64"/>
        </w:rPr>
      </w:r>
      <w:r>
        <w:rPr>
          <w:spacing w:val="-2"/>
        </w:rPr>
        <w:t>外包行业给予的各种补贴政策，公司在业务规模的扩张和综合实力的增强方面得到了快速提升，同时，随着业务的发展，公</w:t>
      </w:r>
      <w:r>
        <w:rPr>
          <w:spacing w:val="-64"/>
        </w:rPr>
        <w:t> </w:t>
      </w:r>
      <w:r>
        <w:rPr>
          <w:spacing w:val="-64"/>
        </w:rPr>
      </w:r>
      <w:r>
        <w:rPr>
          <w:spacing w:val="-2"/>
        </w:rPr>
        <w:t>司对政策的依赖风险逐年下降，发展动力已转变为依靠公司自身的硬实力，随着公司的继续发展，对国家产业政策的依赖风</w:t>
      </w:r>
      <w:r>
        <w:rPr>
          <w:spacing w:val="-65"/>
        </w:rPr>
        <w:t> </w:t>
      </w:r>
      <w:r>
        <w:rPr>
          <w:spacing w:val="-65"/>
        </w:rPr>
      </w:r>
      <w:r>
        <w:rPr/>
        <w:t>险将得到适当的控制。</w:t>
      </w:r>
    </w:p>
    <w:p>
      <w:pPr>
        <w:pStyle w:val="BodyText"/>
        <w:spacing w:line="240" w:lineRule="auto" w:before="20"/>
        <w:ind w:left="113" w:right="90"/>
        <w:jc w:val="left"/>
      </w:pPr>
      <w:r>
        <w:rPr>
          <w:rFonts w:ascii="Times New Roman" w:hAnsi="Times New Roman" w:cs="Times New Roman" w:eastAsia="Times New Roman" w:hint="default"/>
        </w:rPr>
        <w:t>2</w:t>
      </w:r>
      <w:r>
        <w:rPr/>
        <w:t>．研发风险</w:t>
      </w:r>
    </w:p>
    <w:p>
      <w:pPr>
        <w:pStyle w:val="BodyText"/>
        <w:spacing w:line="316" w:lineRule="auto" w:before="63"/>
        <w:ind w:left="113" w:right="91"/>
        <w:jc w:val="left"/>
      </w:pPr>
      <w:r>
        <w:rPr>
          <w:spacing w:val="-2"/>
        </w:rPr>
        <w:t>①新产品开发风险。新产品开发对公司的市场竞争力和未来发展具有重要影响。计算机及软件技术发展日新月异，更新换代</w:t>
      </w:r>
      <w:r>
        <w:rPr>
          <w:spacing w:val="-65"/>
        </w:rPr>
        <w:t> </w:t>
      </w:r>
      <w:r>
        <w:rPr>
          <w:spacing w:val="-65"/>
        </w:rPr>
      </w:r>
      <w:r>
        <w:rPr>
          <w:spacing w:val="-2"/>
        </w:rPr>
        <w:t>很快，公司和其他优秀的软件公司一样，始终利用成熟、先进的技术作为开发和应用平台，但如果公司错误预测软件技术的</w:t>
      </w:r>
      <w:r>
        <w:rPr>
          <w:spacing w:val="-67"/>
        </w:rPr>
        <w:t> </w:t>
      </w:r>
      <w:r>
        <w:rPr>
          <w:spacing w:val="-67"/>
        </w:rPr>
      </w:r>
      <w:r>
        <w:rPr/>
        <w:t>发展趋势，使用落后的技术开发新产品，或新产品开发失败，则会给公司造成较大的影响。公司将进一步加强对国家政策、 </w:t>
      </w:r>
      <w:r>
        <w:rPr>
          <w:spacing w:val="-2"/>
        </w:rPr>
        <w:t>行业政策的研究，进一步加强对市场的调研，收集客户当前和未来的需求信息，提高公司新产品研发的针对性；其次，将进</w:t>
      </w:r>
      <w:r>
        <w:rPr>
          <w:spacing w:val="-65"/>
        </w:rPr>
        <w:t> </w:t>
      </w:r>
      <w:r>
        <w:rPr>
          <w:spacing w:val="-65"/>
        </w:rPr>
      </w:r>
      <w:r>
        <w:rPr>
          <w:spacing w:val="-4"/>
        </w:rPr>
        <w:t>一步完善激励机制，鼓励技术人员知识更新、技术进步和产品创新；另外，公司将继续保持并加大研发投入，扩大研发规模，</w:t>
      </w:r>
      <w:r>
        <w:rPr>
          <w:spacing w:val="-43"/>
        </w:rPr>
        <w:t> </w:t>
      </w:r>
      <w:r>
        <w:rPr>
          <w:spacing w:val="-43"/>
        </w:rPr>
      </w:r>
      <w:r>
        <w:rPr/>
        <w:t>提前研究前瞻性软件技术和行业业务模式，保证公司软件产品开发保持国内领先，争取进入国际领先。</w:t>
      </w:r>
    </w:p>
    <w:p>
      <w:pPr>
        <w:pStyle w:val="BodyText"/>
        <w:spacing w:line="316" w:lineRule="auto" w:before="19"/>
        <w:ind w:left="113" w:right="191"/>
        <w:jc w:val="both"/>
      </w:pPr>
      <w:r>
        <w:rPr>
          <w:spacing w:val="-2"/>
        </w:rPr>
        <w:t>②人力资源短缺风险。软件外包行业的核心竞争力最终是人才的竞争力，公司的技术人员占公司总人数的比重很大，随着公</w:t>
      </w:r>
      <w:r>
        <w:rPr>
          <w:spacing w:val="-65"/>
        </w:rPr>
        <w:t> </w:t>
      </w:r>
      <w:r>
        <w:rPr>
          <w:spacing w:val="-65"/>
        </w:rPr>
      </w:r>
      <w:r>
        <w:rPr>
          <w:spacing w:val="-2"/>
        </w:rPr>
        <w:t>司业务规模的不断扩大，对人员的需求较为迫切，公司可能面临人才短缺的风险；技术人员中的资深项目经理、资深系统架</w:t>
      </w:r>
      <w:r>
        <w:rPr>
          <w:spacing w:val="-67"/>
        </w:rPr>
        <w:t> </w:t>
      </w:r>
      <w:r>
        <w:rPr>
          <w:spacing w:val="-67"/>
        </w:rPr>
      </w:r>
      <w:r>
        <w:rPr>
          <w:spacing w:val="-2"/>
        </w:rPr>
        <w:t>构师、高级软件工程师、嵌入式工程师等属于公司的核心技术人员，对项目的实施起着支撑的作用，随着行业间与地区间人</w:t>
      </w:r>
      <w:r>
        <w:rPr>
          <w:spacing w:val="-66"/>
        </w:rPr>
        <w:t> </w:t>
      </w:r>
      <w:r>
        <w:rPr>
          <w:spacing w:val="-66"/>
        </w:rPr>
      </w:r>
      <w:r>
        <w:rPr>
          <w:spacing w:val="-2"/>
        </w:rPr>
        <w:t>才竞争的日趋激烈，核心技术人员的流失风险不断增加，同时，该类人员的招聘难度较大，若该类人员发生变动将会对公司</w:t>
      </w:r>
      <w:r>
        <w:rPr>
          <w:spacing w:val="-66"/>
        </w:rPr>
        <w:t> </w:t>
      </w:r>
      <w:r>
        <w:rPr>
          <w:spacing w:val="-66"/>
        </w:rPr>
      </w:r>
      <w:r>
        <w:rPr>
          <w:spacing w:val="-2"/>
        </w:rPr>
        <w:t>的业务产生较大的影响，甚至限制公司的发展。为了稳定公司的技术人员尤其是核心技术人员，公司建立一套科学的人事与</w:t>
      </w:r>
      <w:r>
        <w:rPr>
          <w:spacing w:val="-65"/>
        </w:rPr>
        <w:t> </w:t>
      </w:r>
      <w:r>
        <w:rPr>
          <w:spacing w:val="-65"/>
        </w:rPr>
      </w:r>
      <w:r>
        <w:rPr>
          <w:spacing w:val="-2"/>
        </w:rPr>
        <w:t>薪酬政策，包括薪资政策、考核与奖励办法、功勋员工奖、优秀人才特别奖励办法等，同时也开拓了多种人才引进渠道，注</w:t>
      </w:r>
      <w:r>
        <w:rPr>
          <w:spacing w:val="-64"/>
        </w:rPr>
        <w:t> </w:t>
      </w:r>
      <w:r>
        <w:rPr>
          <w:spacing w:val="-64"/>
        </w:rPr>
      </w:r>
      <w:r>
        <w:rPr/>
        <w:t>重公司内部的人才培养，为公司的人才储备提供了高质量的保障。</w:t>
      </w:r>
    </w:p>
    <w:p>
      <w:pPr>
        <w:pStyle w:val="BodyText"/>
        <w:spacing w:line="240" w:lineRule="auto" w:before="19"/>
        <w:ind w:left="113" w:right="90"/>
        <w:jc w:val="left"/>
      </w:pPr>
      <w:r>
        <w:rPr>
          <w:rFonts w:ascii="Times New Roman" w:hAnsi="Times New Roman" w:cs="Times New Roman" w:eastAsia="Times New Roman" w:hint="default"/>
        </w:rPr>
        <w:t>3</w:t>
      </w:r>
      <w:r>
        <w:rPr/>
        <w:t>．财务风险</w:t>
      </w:r>
    </w:p>
    <w:p>
      <w:pPr>
        <w:pStyle w:val="BodyText"/>
        <w:spacing w:line="316" w:lineRule="auto" w:before="63"/>
        <w:ind w:left="113" w:right="191"/>
        <w:jc w:val="both"/>
      </w:pPr>
      <w:r>
        <w:rPr>
          <w:spacing w:val="-2"/>
        </w:rPr>
        <w:t>①应收账款回收风险。公司开发的大型应用软件项目从合同签订到验收需要经历部署、开发、测试和上线试运行阶段，周期</w:t>
      </w:r>
      <w:r>
        <w:rPr>
          <w:spacing w:val="-67"/>
        </w:rPr>
        <w:t> </w:t>
      </w:r>
      <w:r>
        <w:rPr>
          <w:spacing w:val="-67"/>
        </w:rPr>
      </w:r>
      <w:r>
        <w:rPr>
          <w:spacing w:val="-2"/>
        </w:rPr>
        <w:t>较长，项目会分阶段验收，项目验收与客户付款之间存在时间差，同时，随着新客户的开发和业务规模的扩大，在原有的回</w:t>
      </w:r>
      <w:r>
        <w:rPr>
          <w:spacing w:val="-65"/>
        </w:rPr>
        <w:t> </w:t>
      </w:r>
      <w:r>
        <w:rPr>
          <w:spacing w:val="-65"/>
        </w:rPr>
      </w:r>
      <w:r>
        <w:rPr>
          <w:spacing w:val="-2"/>
        </w:rPr>
        <w:t>款政策不变的情形下，应收账款余额会不断增加，虽然期末应收账款都在结算期内，公司也已按照坏账准备政策提取了坏账</w:t>
      </w:r>
      <w:r>
        <w:rPr>
          <w:spacing w:val="-65"/>
        </w:rPr>
        <w:t> </w:t>
      </w:r>
      <w:r>
        <w:rPr>
          <w:spacing w:val="-65"/>
        </w:rPr>
      </w:r>
      <w:r>
        <w:rPr>
          <w:spacing w:val="-2"/>
        </w:rPr>
        <w:t>准备，但仍不排除因客户信用恶化导致坏账准备提取不足和应收款项发生坏账损失的风险。公司不断建立和完善信用审批前</w:t>
      </w:r>
      <w:r>
        <w:rPr>
          <w:spacing w:val="-64"/>
        </w:rPr>
        <w:t> </w:t>
      </w:r>
      <w:r>
        <w:rPr>
          <w:spacing w:val="-64"/>
        </w:rPr>
      </w:r>
      <w:r>
        <w:rPr>
          <w:spacing w:val="-2"/>
        </w:rPr>
        <w:t>的信用调查、建立并有效执行了谨慎合理的坏账准备计提政策、严格的应收账款催收制度以及应收账款回收率与销售业绩挂</w:t>
      </w:r>
      <w:r>
        <w:rPr>
          <w:spacing w:val="-64"/>
        </w:rPr>
        <w:t> </w:t>
      </w:r>
      <w:r>
        <w:rPr>
          <w:spacing w:val="-64"/>
        </w:rPr>
      </w:r>
      <w:r>
        <w:rPr/>
        <w:t>钩的业务考核机制，将应收账款发生坏账的风险降低到可承受的水平。</w:t>
      </w:r>
    </w:p>
    <w:p>
      <w:pPr>
        <w:pStyle w:val="BodyText"/>
        <w:spacing w:line="316" w:lineRule="auto" w:before="19"/>
        <w:ind w:left="113" w:right="91"/>
        <w:jc w:val="left"/>
      </w:pPr>
      <w:r>
        <w:rPr/>
        <w:t>②汇率变动风险。国际软件外包业务在公司经营业务中一直占据较高比重，而公司国际软件外包业务的市场以日本为主体， </w:t>
      </w:r>
      <w:r>
        <w:rPr>
          <w:spacing w:val="-2"/>
        </w:rPr>
        <w:t>兼顾欧美，使得以日元、美元等外汇形式结算的收入保持较高比例，近年来，国际外汇市场汇率大幅波动，直接影响公司外</w:t>
      </w:r>
      <w:r>
        <w:rPr>
          <w:spacing w:val="-65"/>
        </w:rPr>
        <w:t> </w:t>
      </w:r>
      <w:r>
        <w:rPr>
          <w:spacing w:val="-65"/>
        </w:rPr>
      </w:r>
      <w:r>
        <w:rPr>
          <w:spacing w:val="-2"/>
        </w:rPr>
        <w:t>汇收入结算后以人民币计价的会计收入。随着国际经济环境的不断变化，汇率的持续变动产生汇兑损益，从而对公司的财务</w:t>
      </w:r>
      <w:r>
        <w:rPr>
          <w:spacing w:val="-65"/>
        </w:rPr>
        <w:t> </w:t>
      </w:r>
      <w:r>
        <w:rPr>
          <w:spacing w:val="-65"/>
        </w:rPr>
      </w:r>
      <w:r>
        <w:rPr/>
        <w:t>状况造成影响。不仅如此，人民币升值还将造成国际软件外包项目经营成本上升，减弱公司软件外包服务出口的成本优势， </w:t>
      </w:r>
      <w:r>
        <w:rPr>
          <w:spacing w:val="-2"/>
        </w:rPr>
        <w:t>对公司国际业务开拓形成压力。因此，公司存在着因汇率变动而导致公司业绩波动的风险。公司已经针对汇率风险采用相关</w:t>
      </w:r>
      <w:r>
        <w:rPr>
          <w:spacing w:val="-65"/>
        </w:rPr>
        <w:t> </w:t>
      </w:r>
      <w:r>
        <w:rPr>
          <w:spacing w:val="-65"/>
        </w:rPr>
      </w:r>
      <w:r>
        <w:rPr/>
        <w:t>财务与经营手段予以化解。在财务上，根据公司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日召开的第三届董事会第十一次会议审议通过的公司《远期结 </w:t>
      </w:r>
      <w:r>
        <w:rPr>
          <w:spacing w:val="-2"/>
        </w:rPr>
        <w:t>售汇业务内控管理制度》，公司签订远期结汇合同锁定汇率，降低公司面临的汇率风险。在经营上，公司一方面通过签订合</w:t>
      </w:r>
      <w:r>
        <w:rPr>
          <w:spacing w:val="-65"/>
        </w:rPr>
        <w:t> </w:t>
      </w:r>
      <w:r>
        <w:rPr>
          <w:spacing w:val="-65"/>
        </w:rPr>
      </w:r>
      <w:r>
        <w:rPr>
          <w:spacing w:val="-2"/>
        </w:rPr>
        <w:t>同时考虑汇率变动因素，加快资金周转速度，减少外汇资金沉淀等方式，降低汇率变动对公司业绩造成的不利影响；另一方</w:t>
      </w:r>
      <w:r>
        <w:rPr>
          <w:spacing w:val="-67"/>
        </w:rPr>
        <w:t> </w:t>
      </w:r>
      <w:r>
        <w:rPr>
          <w:spacing w:val="-67"/>
        </w:rPr>
      </w:r>
      <w:r>
        <w:rPr>
          <w:spacing w:val="-2"/>
        </w:rPr>
        <w:t>面，公司正着手合理布局国际市场，在巩固日本市场的同时，扩大对欧美市场和东南亚市场的业务开拓，采用多种货币结算</w:t>
      </w:r>
      <w:r>
        <w:rPr>
          <w:spacing w:val="-67"/>
        </w:rPr>
        <w:t> </w:t>
      </w:r>
      <w:r>
        <w:rPr>
          <w:spacing w:val="-67"/>
        </w:rPr>
      </w:r>
      <w:r>
        <w:rPr/>
        <w:t>以分散汇率风险。</w:t>
      </w:r>
    </w:p>
    <w:p>
      <w:pPr>
        <w:pStyle w:val="BodyText"/>
        <w:spacing w:line="312" w:lineRule="auto" w:before="19"/>
        <w:ind w:left="113" w:right="90"/>
        <w:jc w:val="left"/>
      </w:pPr>
      <w:r>
        <w:rPr>
          <w:spacing w:val="-2"/>
        </w:rPr>
        <w:t>③净资产收益率下降的风险，</w:t>
      </w:r>
      <w:r>
        <w:rPr>
          <w:rFonts w:ascii="Times New Roman" w:hAnsi="Times New Roman" w:cs="Times New Roman" w:eastAsia="Times New Roman" w:hint="default"/>
          <w:spacing w:val="-2"/>
        </w:rPr>
        <w:t>2012</w:t>
      </w:r>
      <w:r>
        <w:rPr>
          <w:spacing w:val="-2"/>
        </w:rPr>
        <w:t>年度公司募集资金成功，将存在一个较长的建设期，公司净利润的增长速度在短期内可能</w:t>
      </w:r>
      <w:r>
        <w:rPr>
          <w:spacing w:val="-61"/>
        </w:rPr>
        <w:t> </w:t>
      </w:r>
      <w:r>
        <w:rPr>
          <w:spacing w:val="-61"/>
        </w:rPr>
      </w:r>
      <w:r>
        <w:rPr>
          <w:spacing w:val="-4"/>
        </w:rPr>
        <w:t>低于净资产的增长速度，公司的净资产收益率会有较大幅度的下降，对此，公司采取不断增强新产品开发和新市场开拓力度，</w:t>
      </w:r>
      <w:r>
        <w:rPr>
          <w:spacing w:val="-43"/>
        </w:rPr>
        <w:t> </w:t>
      </w:r>
      <w:r>
        <w:rPr>
          <w:spacing w:val="-43"/>
        </w:rPr>
      </w:r>
      <w:r>
        <w:rPr/>
        <w:t>适度控制募投项目执行期及其他措施尽量降低该风险。 </w:t>
      </w:r>
      <w:r>
        <w:rPr>
          <w:spacing w:val="-2"/>
        </w:rPr>
        <w:t>在识别、评估以上存在风险领域的基础上，公司将结合不同发展阶段和业务拓展情况，持续收集与风险变化相关的信息，进</w:t>
      </w:r>
    </w:p>
    <w:p>
      <w:pPr>
        <w:spacing w:after="0" w:line="312" w:lineRule="auto"/>
        <w:jc w:val="left"/>
        <w:sectPr>
          <w:footerReference w:type="default" r:id="rId12"/>
          <w:pgSz w:w="11910" w:h="16840"/>
          <w:pgMar w:footer="980" w:header="747" w:top="1060" w:bottom="1160" w:left="1020" w:right="940"/>
          <w:pgNumType w:start="11"/>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行风险识别和风险分析，对各种风险采取适当的控制措施，及时调整风险应对策略，以实现对风险的有效控制。</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1" w:right="3684"/>
        <w:jc w:val="center"/>
        <w:rPr>
          <w:b w:val="0"/>
          <w:bCs w:val="0"/>
        </w:rPr>
      </w:pPr>
      <w:bookmarkStart w:name="_TOC_250006" w:id="4"/>
      <w:r>
        <w:rPr/>
        <w:t>第四节</w:t>
      </w:r>
      <w:r>
        <w:rPr>
          <w:spacing w:val="-2"/>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102"/>
        <w:jc w:val="left"/>
        <w:rPr>
          <w:b w:val="0"/>
          <w:bCs w:val="0"/>
        </w:rPr>
      </w:pPr>
      <w:r>
        <w:rPr/>
        <w:t>一、管理层讨论与分析</w:t>
      </w:r>
      <w:r>
        <w:rPr>
          <w:b w:val="0"/>
          <w:bCs w:val="0"/>
        </w:rPr>
      </w:r>
    </w:p>
    <w:p>
      <w:pPr>
        <w:spacing w:line="240" w:lineRule="auto" w:before="8"/>
        <w:rPr>
          <w:rFonts w:ascii="宋体" w:hAnsi="宋体" w:cs="宋体" w:eastAsia="宋体" w:hint="default"/>
          <w:b/>
          <w:bCs/>
          <w:sz w:val="24"/>
          <w:szCs w:val="24"/>
        </w:rPr>
      </w:pPr>
    </w:p>
    <w:p>
      <w:pPr>
        <w:pStyle w:val="Heading4"/>
        <w:spacing w:line="264" w:lineRule="auto"/>
        <w:ind w:right="152" w:firstLine="420"/>
        <w:jc w:val="both"/>
        <w:rPr>
          <w:b w:val="0"/>
          <w:bCs w:val="0"/>
        </w:rPr>
      </w:pPr>
      <w:r>
        <w:rPr/>
        <w:t>报告期内，公司在深圳证券交易所创业板成功上市，品牌形象和市场竞争力大幅提升。公司以上市为</w:t>
      </w:r>
      <w:r>
        <w:rPr>
          <w:spacing w:val="1"/>
          <w:w w:val="99"/>
        </w:rPr>
        <w:t> </w:t>
      </w:r>
      <w:r>
        <w:rPr/>
        <w:t>发展契机，坚持</w:t>
      </w:r>
      <w:r>
        <w:rPr>
          <w:rFonts w:ascii="Times New Roman" w:hAnsi="Times New Roman" w:cs="Times New Roman" w:eastAsia="Times New Roman" w:hint="default"/>
        </w:rPr>
        <w:t>“</w:t>
      </w:r>
      <w:r>
        <w:rPr/>
        <w:t>国际化、专业化、高端化</w:t>
      </w:r>
      <w:r>
        <w:rPr>
          <w:rFonts w:ascii="Times New Roman" w:hAnsi="Times New Roman" w:cs="Times New Roman" w:eastAsia="Times New Roman" w:hint="default"/>
        </w:rPr>
        <w:t>”</w:t>
      </w:r>
      <w:r>
        <w:rPr/>
        <w:t>的发展战略，通过募集资金投资项目的建设，利用公司多年积</w:t>
      </w:r>
      <w:r>
        <w:rPr>
          <w:spacing w:val="1"/>
          <w:w w:val="99"/>
        </w:rPr>
        <w:t> </w:t>
      </w:r>
      <w:r>
        <w:rPr/>
        <w:t>累起来的技术优势、人才优势、成本优势和专业化优势，抓住国际、国内软件产业快速发展的市场机会，</w:t>
      </w:r>
      <w:r>
        <w:rPr>
          <w:spacing w:val="-78"/>
        </w:rPr>
        <w:t> </w:t>
      </w:r>
      <w:r>
        <w:rPr>
          <w:spacing w:val="-78"/>
        </w:rPr>
      </w:r>
      <w:r>
        <w:rPr/>
        <w:t>实现了销售收入和经营业绩的稳定增长，进一步巩固了市场地位，增强了</w:t>
      </w:r>
      <w:r>
        <w:rPr>
          <w:rFonts w:ascii="Times New Roman" w:hAnsi="Times New Roman" w:cs="Times New Roman" w:eastAsia="Times New Roman" w:hint="default"/>
        </w:rPr>
        <w:t>“</w:t>
      </w:r>
      <w:r>
        <w:rPr/>
        <w:t>专业化、高端化</w:t>
      </w:r>
      <w:r>
        <w:rPr>
          <w:rFonts w:ascii="Times New Roman" w:hAnsi="Times New Roman" w:cs="Times New Roman" w:eastAsia="Times New Roman" w:hint="default"/>
        </w:rPr>
        <w:t>”</w:t>
      </w:r>
      <w:r>
        <w:rPr/>
        <w:t>品牌效应，提</w:t>
      </w:r>
      <w:r>
        <w:rPr>
          <w:w w:val="99"/>
        </w:rPr>
        <w:t> </w:t>
      </w:r>
      <w:r>
        <w:rPr/>
        <w:t>升了公司的核心竞争力。</w:t>
      </w:r>
      <w:r>
        <w:rPr>
          <w:b w:val="0"/>
          <w:bCs w:val="0"/>
        </w:rPr>
      </w:r>
    </w:p>
    <w:p>
      <w:pPr>
        <w:pStyle w:val="Heading4"/>
        <w:spacing w:line="273" w:lineRule="auto" w:before="16"/>
        <w:ind w:right="217" w:firstLine="420"/>
        <w:jc w:val="both"/>
        <w:rPr>
          <w:b w:val="0"/>
          <w:bCs w:val="0"/>
        </w:rPr>
      </w:pPr>
      <w:r>
        <w:rPr>
          <w:w w:val="95"/>
        </w:rPr>
        <w:t>报告期内，公司不断完善内控体系的建设，通过健全管理制度，提升了服务品质和管控水平，提高了</w:t>
      </w:r>
      <w:r>
        <w:rPr>
          <w:spacing w:val="-94"/>
          <w:w w:val="95"/>
        </w:rPr>
        <w:t> </w:t>
      </w:r>
      <w:r>
        <w:rPr>
          <w:spacing w:val="-94"/>
          <w:w w:val="95"/>
        </w:rPr>
      </w:r>
      <w:r>
        <w:rPr>
          <w:w w:val="95"/>
        </w:rPr>
        <w:t>公司整体运营效率。同时通过加大创新和研发投入，将公司在国际化、专业化、高端化过程中积累的经验</w:t>
      </w:r>
      <w:r>
        <w:rPr>
          <w:spacing w:val="42"/>
          <w:w w:val="95"/>
        </w:rPr>
        <w:t> </w:t>
      </w:r>
      <w:r>
        <w:rPr>
          <w:spacing w:val="42"/>
          <w:w w:val="95"/>
        </w:rPr>
      </w:r>
      <w:r>
        <w:rPr/>
        <w:t>解决方案化、产品化，主动布局公司未来发展。</w:t>
      </w:r>
      <w:r>
        <w:rPr>
          <w:b w:val="0"/>
          <w:bCs w:val="0"/>
        </w:rPr>
      </w:r>
    </w:p>
    <w:p>
      <w:pPr>
        <w:pStyle w:val="Heading4"/>
        <w:spacing w:line="264" w:lineRule="auto" w:before="7"/>
        <w:ind w:right="216" w:firstLine="419"/>
        <w:jc w:val="both"/>
        <w:rPr>
          <w:b w:val="0"/>
          <w:bCs w:val="0"/>
        </w:rPr>
      </w:pPr>
      <w:r>
        <w:rPr>
          <w:spacing w:val="-2"/>
        </w:rPr>
        <w:t>根据中国证监会《上市公司行业分类指引》，公司所处行业的编码为</w:t>
      </w:r>
      <w:r>
        <w:rPr>
          <w:rFonts w:ascii="Times New Roman" w:hAnsi="Times New Roman" w:cs="Times New Roman" w:eastAsia="Times New Roman" w:hint="default"/>
          <w:spacing w:val="-2"/>
        </w:rPr>
        <w:t>G8701</w:t>
      </w:r>
      <w:r>
        <w:rPr>
          <w:spacing w:val="-2"/>
        </w:rPr>
        <w:t>，为</w:t>
      </w:r>
      <w:r>
        <w:rPr>
          <w:rFonts w:ascii="Times New Roman" w:hAnsi="Times New Roman" w:cs="Times New Roman" w:eastAsia="Times New Roman" w:hint="default"/>
          <w:spacing w:val="-2"/>
        </w:rPr>
        <w:t>“</w:t>
      </w:r>
      <w:r>
        <w:rPr>
          <w:spacing w:val="-2"/>
        </w:rPr>
        <w:t>信息技术业</w:t>
      </w:r>
      <w:r>
        <w:rPr>
          <w:rFonts w:ascii="Times New Roman" w:hAnsi="Times New Roman" w:cs="Times New Roman" w:eastAsia="Times New Roman" w:hint="default"/>
          <w:spacing w:val="-2"/>
        </w:rPr>
        <w:t>”</w:t>
      </w:r>
      <w:r>
        <w:rPr>
          <w:spacing w:val="-2"/>
        </w:rPr>
        <w:t>中的</w:t>
      </w:r>
      <w:r>
        <w:rPr>
          <w:rFonts w:ascii="Times New Roman" w:hAnsi="Times New Roman" w:cs="Times New Roman" w:eastAsia="Times New Roman" w:hint="default"/>
          <w:spacing w:val="-2"/>
        </w:rPr>
        <w:t>“</w:t>
      </w:r>
      <w:r>
        <w:rPr>
          <w:spacing w:val="-2"/>
        </w:rPr>
        <w:t>计</w:t>
      </w:r>
      <w:r>
        <w:rPr>
          <w:w w:val="99"/>
        </w:rPr>
        <w:t> </w:t>
      </w:r>
      <w:r>
        <w:rPr/>
        <w:t>算机软件开发与咨询</w:t>
      </w:r>
      <w:r>
        <w:rPr>
          <w:rFonts w:ascii="Times New Roman" w:hAnsi="Times New Roman" w:cs="Times New Roman" w:eastAsia="Times New Roman" w:hint="default"/>
        </w:rPr>
        <w:t>”</w:t>
      </w:r>
      <w:r>
        <w:rPr/>
        <w:t>。报告期内，公司的主营业务为向国际国内客户提供软件、智能终端产品销售、外</w:t>
      </w:r>
      <w:r>
        <w:rPr>
          <w:spacing w:val="-52"/>
        </w:rPr>
        <w:t> </w:t>
      </w:r>
      <w:r>
        <w:rPr>
          <w:w w:val="95"/>
        </w:rPr>
        <w:t>购软硬件产品销售等信息技术服务。其中报告期内新开拓的智能终端产品销售业务是公司已有的三大专业</w:t>
      </w:r>
      <w:r>
        <w:rPr>
          <w:spacing w:val="37"/>
          <w:w w:val="95"/>
        </w:rPr>
        <w:t> </w:t>
      </w:r>
      <w:r>
        <w:rPr>
          <w:spacing w:val="37"/>
          <w:w w:val="95"/>
        </w:rPr>
      </w:r>
      <w:r>
        <w:rPr>
          <w:w w:val="95"/>
        </w:rPr>
        <w:t>领域之</w:t>
      </w:r>
      <w:r>
        <w:rPr>
          <w:rFonts w:ascii="Times New Roman" w:hAnsi="Times New Roman" w:cs="Times New Roman" w:eastAsia="Times New Roman" w:hint="default"/>
          <w:w w:val="95"/>
        </w:rPr>
        <w:t>“</w:t>
      </w:r>
      <w:r>
        <w:rPr>
          <w:w w:val="95"/>
        </w:rPr>
        <w:t>智能终端嵌入式软件</w:t>
      </w:r>
      <w:r>
        <w:rPr>
          <w:rFonts w:ascii="Times New Roman" w:hAnsi="Times New Roman" w:cs="Times New Roman" w:eastAsia="Times New Roman" w:hint="default"/>
          <w:w w:val="95"/>
        </w:rPr>
        <w:t>”</w:t>
      </w:r>
      <w:r>
        <w:rPr>
          <w:w w:val="95"/>
        </w:rPr>
        <w:t>业务的延伸，该业务是为客户提供智能终端设备的硬件和系统软件研发及设</w:t>
      </w:r>
      <w:r>
        <w:rPr>
          <w:spacing w:val="37"/>
          <w:w w:val="95"/>
        </w:rPr>
        <w:t> </w:t>
      </w:r>
      <w:r>
        <w:rPr>
          <w:spacing w:val="37"/>
          <w:w w:val="95"/>
        </w:rPr>
      </w:r>
      <w:r>
        <w:rPr>
          <w:w w:val="95"/>
        </w:rPr>
        <w:t>计服务，同时将公司自主开发的智能终端嵌入式软件产品集成在产品内向客户销售，该业务的开拓提高了</w:t>
      </w:r>
      <w:r>
        <w:rPr>
          <w:spacing w:val="46"/>
          <w:w w:val="95"/>
        </w:rPr>
        <w:t> </w:t>
      </w:r>
      <w:r>
        <w:rPr>
          <w:spacing w:val="46"/>
          <w:w w:val="95"/>
        </w:rPr>
      </w:r>
      <w:r>
        <w:rPr/>
        <w:t>公司在智能终端嵌入式软件及产品业务领域的核心竞争力。</w:t>
      </w:r>
      <w:r>
        <w:rPr>
          <w:b w:val="0"/>
          <w:bCs w:val="0"/>
        </w:rPr>
      </w:r>
    </w:p>
    <w:p>
      <w:pPr>
        <w:pStyle w:val="Heading4"/>
        <w:spacing w:line="264" w:lineRule="auto" w:before="16"/>
        <w:ind w:right="102" w:firstLine="419"/>
        <w:jc w:val="left"/>
        <w:rPr>
          <w:b w:val="0"/>
          <w:bCs w:val="0"/>
        </w:rPr>
      </w:pPr>
      <w:r>
        <w:rPr/>
        <w:t>软件产业作为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的七大战略性新兴产业中</w:t>
      </w:r>
      <w:r>
        <w:rPr>
          <w:rFonts w:ascii="Times New Roman" w:hAnsi="Times New Roman" w:cs="Times New Roman" w:eastAsia="Times New Roman" w:hint="default"/>
        </w:rPr>
        <w:t>“</w:t>
      </w:r>
      <w:r>
        <w:rPr/>
        <w:t>新一代信息技术产业</w:t>
      </w:r>
      <w:r>
        <w:rPr>
          <w:rFonts w:ascii="Times New Roman" w:hAnsi="Times New Roman" w:cs="Times New Roman" w:eastAsia="Times New Roman" w:hint="default"/>
        </w:rPr>
        <w:t>”</w:t>
      </w:r>
      <w:r>
        <w:rPr/>
        <w:t>的重要组成部分，属于国家鼓</w:t>
      </w:r>
      <w:r>
        <w:rPr>
          <w:spacing w:val="1"/>
          <w:w w:val="99"/>
        </w:rPr>
        <w:t> </w:t>
      </w:r>
      <w:r>
        <w:rPr>
          <w:spacing w:val="-3"/>
        </w:rPr>
        <w:t>励发展的战略性、基础性和先导性支柱产业，其中，软件服务行业作为推进两化融合、转变经济发展方式、</w:t>
      </w:r>
      <w:r>
        <w:rPr>
          <w:w w:val="99"/>
        </w:rPr>
        <w:t> </w:t>
      </w:r>
      <w:r>
        <w:rPr/>
        <w:t>提升现代服务业和软件产业国际竞争力、扩大软件出口的重要支撑，受到国家政策的大力支持，已形成有</w:t>
      </w:r>
      <w:r>
        <w:rPr>
          <w:spacing w:val="1"/>
          <w:w w:val="99"/>
        </w:rPr>
        <w:t> </w:t>
      </w:r>
      <w:r>
        <w:rPr/>
        <w:t>利发展的政策环境与日益完善的规范架构。据工信部发布数据显示，</w:t>
      </w:r>
      <w:r>
        <w:rPr>
          <w:rFonts w:ascii="Times New Roman" w:hAnsi="Times New Roman" w:cs="Times New Roman" w:eastAsia="Times New Roman" w:hint="default"/>
        </w:rPr>
        <w:t>2012</w:t>
      </w:r>
      <w:r>
        <w:rPr/>
        <w:t>年我国软件产业收入增长稳中趋</w:t>
      </w:r>
      <w:r>
        <w:rPr>
          <w:spacing w:val="1"/>
          <w:w w:val="99"/>
        </w:rPr>
        <w:t> </w:t>
      </w:r>
      <w:r>
        <w:rPr/>
        <w:t>升，共实现软件业务收入</w:t>
      </w:r>
      <w:r>
        <w:rPr>
          <w:rFonts w:ascii="Times New Roman" w:hAnsi="Times New Roman" w:cs="Times New Roman" w:eastAsia="Times New Roman" w:hint="default"/>
        </w:rPr>
        <w:t>2.5</w:t>
      </w:r>
      <w:r>
        <w:rPr/>
        <w:t>万亿元，同比增长</w:t>
      </w:r>
      <w:r>
        <w:rPr>
          <w:rFonts w:ascii="Times New Roman" w:hAnsi="Times New Roman" w:cs="Times New Roman" w:eastAsia="Times New Roman" w:hint="default"/>
        </w:rPr>
        <w:t>28.5%</w:t>
      </w:r>
      <w:r>
        <w:rPr/>
        <w:t>，增速比电子信息制造业高出</w:t>
      </w:r>
      <w:r>
        <w:rPr>
          <w:rFonts w:ascii="Times New Roman" w:hAnsi="Times New Roman" w:cs="Times New Roman" w:eastAsia="Times New Roman" w:hint="default"/>
        </w:rPr>
        <w:t>16</w:t>
      </w:r>
      <w:r>
        <w:rPr/>
        <w:t>个百分点，其中，软</w:t>
      </w:r>
      <w:r>
        <w:rPr>
          <w:w w:val="99"/>
        </w:rPr>
        <w:t> </w:t>
      </w:r>
      <w:r>
        <w:rPr/>
        <w:t>件业出口业务全年实现出口</w:t>
      </w:r>
      <w:r>
        <w:rPr>
          <w:rFonts w:ascii="Times New Roman" w:hAnsi="Times New Roman" w:cs="Times New Roman" w:eastAsia="Times New Roman" w:hint="default"/>
        </w:rPr>
        <w:t>368</w:t>
      </w:r>
      <w:r>
        <w:rPr/>
        <w:t>亿美元，同比增长</w:t>
      </w:r>
      <w:r>
        <w:rPr>
          <w:rFonts w:ascii="Times New Roman" w:hAnsi="Times New Roman" w:cs="Times New Roman" w:eastAsia="Times New Roman" w:hint="default"/>
        </w:rPr>
        <w:t>18%</w:t>
      </w:r>
      <w:r>
        <w:rPr/>
        <w:t>。</w:t>
      </w:r>
      <w:r>
        <w:rPr>
          <w:b w:val="0"/>
          <w:bCs w:val="0"/>
        </w:rPr>
      </w:r>
    </w:p>
    <w:p>
      <w:pPr>
        <w:pStyle w:val="Heading4"/>
        <w:spacing w:line="256" w:lineRule="auto"/>
        <w:ind w:right="102" w:firstLine="420"/>
        <w:jc w:val="left"/>
        <w:rPr>
          <w:b w:val="0"/>
          <w:bCs w:val="0"/>
        </w:rPr>
      </w:pPr>
      <w:r>
        <w:rPr>
          <w:w w:val="95"/>
        </w:rPr>
        <w:t>报告期内，公司实现营业收入</w:t>
      </w:r>
      <w:r>
        <w:rPr>
          <w:rFonts w:ascii="Times New Roman" w:hAnsi="Times New Roman" w:cs="Times New Roman" w:eastAsia="Times New Roman" w:hint="default"/>
          <w:w w:val="95"/>
        </w:rPr>
        <w:t>37953.52</w:t>
      </w:r>
      <w:r>
        <w:rPr>
          <w:w w:val="95"/>
        </w:rPr>
        <w:t>万元，较上年同期增长</w:t>
      </w:r>
      <w:r>
        <w:rPr>
          <w:rFonts w:ascii="Times New Roman" w:hAnsi="Times New Roman" w:cs="Times New Roman" w:eastAsia="Times New Roman" w:hint="default"/>
          <w:w w:val="95"/>
        </w:rPr>
        <w:t>62.00%</w:t>
      </w:r>
      <w:r>
        <w:rPr>
          <w:w w:val="95"/>
        </w:rPr>
        <w:t>；实现净利润</w:t>
      </w:r>
      <w:r>
        <w:rPr>
          <w:rFonts w:ascii="Times New Roman" w:hAnsi="Times New Roman" w:cs="Times New Roman" w:eastAsia="Times New Roman" w:hint="default"/>
          <w:w w:val="95"/>
        </w:rPr>
        <w:t>6578.06</w:t>
      </w:r>
      <w:r>
        <w:rPr>
          <w:w w:val="95"/>
        </w:rPr>
        <w:t>万元，较上</w:t>
      </w:r>
      <w:r>
        <w:rPr>
          <w:w w:val="99"/>
        </w:rPr>
        <w:t> </w:t>
      </w:r>
      <w:r>
        <w:rPr>
          <w:spacing w:val="-2"/>
        </w:rPr>
        <w:t>年同期增长</w:t>
      </w:r>
      <w:r>
        <w:rPr>
          <w:rFonts w:ascii="Times New Roman" w:hAnsi="Times New Roman" w:cs="Times New Roman" w:eastAsia="Times New Roman" w:hint="default"/>
          <w:spacing w:val="-2"/>
        </w:rPr>
        <w:t>39.34%</w:t>
      </w:r>
      <w:r>
        <w:rPr>
          <w:spacing w:val="-2"/>
        </w:rPr>
        <w:t>；归属母公司所有者的净利润</w:t>
      </w:r>
      <w:r>
        <w:rPr>
          <w:rFonts w:ascii="Times New Roman" w:hAnsi="Times New Roman" w:cs="Times New Roman" w:eastAsia="Times New Roman" w:hint="default"/>
          <w:spacing w:val="-2"/>
        </w:rPr>
        <w:t>6554.77</w:t>
      </w:r>
      <w:r>
        <w:rPr>
          <w:spacing w:val="-2"/>
        </w:rPr>
        <w:t>万元，较上年同期增长</w:t>
      </w:r>
      <w:r>
        <w:rPr>
          <w:rFonts w:ascii="Times New Roman" w:hAnsi="Times New Roman" w:cs="Times New Roman" w:eastAsia="Times New Roman" w:hint="default"/>
          <w:spacing w:val="-2"/>
        </w:rPr>
        <w:t>41.31%</w:t>
      </w:r>
      <w:r>
        <w:rPr>
          <w:spacing w:val="-2"/>
        </w:rPr>
        <w:t>。公司营业收入中，</w:t>
      </w:r>
      <w:r>
        <w:rPr>
          <w:spacing w:val="-86"/>
        </w:rPr>
        <w:t> </w:t>
      </w:r>
      <w:r>
        <w:rPr>
          <w:spacing w:val="-86"/>
        </w:rPr>
      </w:r>
      <w:r>
        <w:rPr/>
        <w:t>主营业务销售收入</w:t>
      </w:r>
      <w:r>
        <w:rPr>
          <w:rFonts w:ascii="Times New Roman" w:hAnsi="Times New Roman" w:cs="Times New Roman" w:eastAsia="Times New Roman" w:hint="default"/>
        </w:rPr>
        <w:t>37741.24</w:t>
      </w:r>
      <w:r>
        <w:rPr/>
        <w:t>万元，较上年同期增长</w:t>
      </w:r>
      <w:r>
        <w:rPr>
          <w:rFonts w:ascii="Times New Roman" w:hAnsi="Times New Roman" w:cs="Times New Roman" w:eastAsia="Times New Roman" w:hint="default"/>
        </w:rPr>
        <w:t>62.55%</w:t>
      </w:r>
      <w:r>
        <w:rPr/>
        <w:t>；其它业务收入系公司全资子公司外包园公司的</w:t>
      </w:r>
      <w:r>
        <w:rPr>
          <w:spacing w:val="1"/>
          <w:w w:val="99"/>
        </w:rPr>
        <w:t> </w:t>
      </w:r>
      <w:r>
        <w:rPr/>
        <w:t>房屋出租及物业收入，其销售收入</w:t>
      </w:r>
      <w:r>
        <w:rPr>
          <w:rFonts w:ascii="Times New Roman" w:hAnsi="Times New Roman" w:cs="Times New Roman" w:eastAsia="Times New Roman" w:hint="default"/>
        </w:rPr>
        <w:t>212.28</w:t>
      </w:r>
      <w:r>
        <w:rPr/>
        <w:t>万元，较上年同期增长</w:t>
      </w:r>
      <w:r>
        <w:rPr>
          <w:rFonts w:ascii="Times New Roman" w:hAnsi="Times New Roman" w:cs="Times New Roman" w:eastAsia="Times New Roman" w:hint="default"/>
        </w:rPr>
        <w:t>1.30%</w:t>
      </w:r>
      <w:r>
        <w:rPr/>
        <w:t>。</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3"/>
          <w:szCs w:val="23"/>
        </w:rPr>
      </w:pPr>
    </w:p>
    <w:p>
      <w:pPr>
        <w:pStyle w:val="Heading2"/>
        <w:spacing w:line="240" w:lineRule="auto" w:before="0"/>
        <w:ind w:right="102"/>
        <w:jc w:val="left"/>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02"/>
        <w:jc w:val="left"/>
      </w:pPr>
      <w:r>
        <w:rPr/>
        <w:t>说明</w:t>
      </w:r>
    </w:p>
    <w:p>
      <w:pPr>
        <w:pStyle w:val="Heading4"/>
        <w:spacing w:line="240" w:lineRule="auto" w:before="90"/>
        <w:ind w:left="534" w:right="102"/>
        <w:jc w:val="left"/>
        <w:rPr>
          <w:b w:val="0"/>
          <w:bCs w:val="0"/>
        </w:rPr>
      </w:pPr>
      <w:r>
        <w:rPr/>
        <w:t>公司主营业务收入中，软件业务销售收入</w:t>
      </w:r>
      <w:r>
        <w:rPr>
          <w:rFonts w:ascii="Times New Roman" w:hAnsi="Times New Roman" w:cs="Times New Roman" w:eastAsia="Times New Roman" w:hint="default"/>
        </w:rPr>
        <w:t>31514.44</w:t>
      </w:r>
      <w:r>
        <w:rPr/>
        <w:t>万元，较上年同期增长</w:t>
      </w:r>
      <w:r>
        <w:rPr>
          <w:rFonts w:ascii="Times New Roman" w:hAnsi="Times New Roman" w:cs="Times New Roman" w:eastAsia="Times New Roman" w:hint="default"/>
        </w:rPr>
        <w:t>43.13%</w:t>
      </w:r>
      <w:r>
        <w:rPr/>
        <w:t>；外购软硬件销售收</w:t>
      </w:r>
      <w:r>
        <w:rPr>
          <w:b w:val="0"/>
          <w:bCs w:val="0"/>
        </w:rPr>
      </w:r>
    </w:p>
    <w:p>
      <w:pPr>
        <w:pStyle w:val="Heading4"/>
        <w:spacing w:line="256" w:lineRule="auto" w:before="21"/>
        <w:ind w:left="533" w:right="102" w:hanging="420"/>
        <w:jc w:val="left"/>
        <w:rPr>
          <w:b w:val="0"/>
          <w:bCs w:val="0"/>
        </w:rPr>
      </w:pPr>
      <w:r>
        <w:rPr/>
        <w:t>入</w:t>
      </w:r>
      <w:r>
        <w:rPr>
          <w:rFonts w:ascii="Times New Roman" w:hAnsi="Times New Roman" w:cs="Times New Roman" w:eastAsia="Times New Roman" w:hint="default"/>
        </w:rPr>
        <w:t>2037.75</w:t>
      </w:r>
      <w:r>
        <w:rPr/>
        <w:t>万元，较上年同期增长</w:t>
      </w:r>
      <w:r>
        <w:rPr>
          <w:rFonts w:ascii="Times New Roman" w:hAnsi="Times New Roman" w:cs="Times New Roman" w:eastAsia="Times New Roman" w:hint="default"/>
        </w:rPr>
        <w:t>69.66%</w:t>
      </w:r>
      <w:r>
        <w:rPr/>
        <w:t>；智能终端产品业务销售收入</w:t>
      </w:r>
      <w:r>
        <w:rPr>
          <w:rFonts w:ascii="Times New Roman" w:hAnsi="Times New Roman" w:cs="Times New Roman" w:eastAsia="Times New Roman" w:hint="default"/>
        </w:rPr>
        <w:t>4189.05</w:t>
      </w:r>
      <w:r>
        <w:rPr/>
        <w:t>万元。</w:t>
      </w:r>
      <w:r>
        <w:rPr>
          <w:w w:val="99"/>
        </w:rPr>
        <w:t> </w:t>
      </w:r>
      <w:r>
        <w:rPr/>
        <w:t>报告期内，公司的主营业务主要分国际、国内两部分，其中国际业务销售收入</w:t>
      </w:r>
      <w:r>
        <w:rPr>
          <w:rFonts w:ascii="Times New Roman" w:hAnsi="Times New Roman" w:cs="Times New Roman" w:eastAsia="Times New Roman" w:hint="default"/>
        </w:rPr>
        <w:t>11529.30</w:t>
      </w:r>
      <w:r>
        <w:rPr/>
        <w:t>万元，较上年</w:t>
      </w:r>
      <w:r>
        <w:rPr>
          <w:b w:val="0"/>
          <w:bCs w:val="0"/>
        </w:rPr>
      </w:r>
    </w:p>
    <w:p>
      <w:pPr>
        <w:pStyle w:val="Heading4"/>
        <w:spacing w:line="256" w:lineRule="auto" w:before="5"/>
        <w:ind w:left="533" w:right="102" w:hanging="420"/>
        <w:jc w:val="left"/>
        <w:rPr>
          <w:b w:val="0"/>
          <w:bCs w:val="0"/>
        </w:rPr>
      </w:pPr>
      <w:r>
        <w:rPr/>
        <w:t>同期增长</w:t>
      </w:r>
      <w:r>
        <w:rPr>
          <w:rFonts w:ascii="Times New Roman" w:hAnsi="Times New Roman" w:cs="Times New Roman" w:eastAsia="Times New Roman" w:hint="default"/>
        </w:rPr>
        <w:t>24.42%</w:t>
      </w:r>
      <w:r>
        <w:rPr/>
        <w:t>；国内业务销售收入</w:t>
      </w:r>
      <w:r>
        <w:rPr>
          <w:rFonts w:ascii="Times New Roman" w:hAnsi="Times New Roman" w:cs="Times New Roman" w:eastAsia="Times New Roman" w:hint="default"/>
        </w:rPr>
        <w:t>26211.95</w:t>
      </w:r>
      <w:r>
        <w:rPr/>
        <w:t>万元，较上年同期增长</w:t>
      </w:r>
      <w:r>
        <w:rPr>
          <w:rFonts w:ascii="Times New Roman" w:hAnsi="Times New Roman" w:cs="Times New Roman" w:eastAsia="Times New Roman" w:hint="default"/>
        </w:rPr>
        <w:t>87.87%</w:t>
      </w:r>
      <w:r>
        <w:rPr/>
        <w:t>。</w:t>
      </w:r>
      <w:r>
        <w:rPr>
          <w:w w:val="99"/>
        </w:rPr>
        <w:t> </w:t>
      </w:r>
      <w:r>
        <w:rPr>
          <w:spacing w:val="2"/>
          <w:w w:val="95"/>
        </w:rPr>
        <w:t>报告期内，公司的主营业务中软件业务及智能终端产品的业务主要聚焦在</w:t>
      </w:r>
      <w:r>
        <w:rPr>
          <w:rFonts w:ascii="Times New Roman" w:hAnsi="Times New Roman" w:cs="Times New Roman" w:eastAsia="Times New Roman" w:hint="default"/>
          <w:spacing w:val="2"/>
          <w:w w:val="95"/>
        </w:rPr>
        <w:t>“</w:t>
      </w:r>
      <w:r>
        <w:rPr>
          <w:spacing w:val="2"/>
          <w:w w:val="95"/>
        </w:rPr>
        <w:t>供应链管理软件</w:t>
      </w:r>
      <w:r>
        <w:rPr>
          <w:rFonts w:ascii="Times New Roman" w:hAnsi="Times New Roman" w:cs="Times New Roman" w:eastAsia="Times New Roman" w:hint="default"/>
          <w:spacing w:val="2"/>
          <w:w w:val="95"/>
        </w:rPr>
        <w:t>”</w:t>
      </w:r>
      <w:r>
        <w:rPr>
          <w:spacing w:val="2"/>
          <w:w w:val="95"/>
        </w:rPr>
        <w:t>、</w:t>
      </w:r>
      <w:r>
        <w:rPr>
          <w:rFonts w:ascii="Times New Roman" w:hAnsi="Times New Roman" w:cs="Times New Roman" w:eastAsia="Times New Roman" w:hint="default"/>
          <w:spacing w:val="2"/>
          <w:w w:val="95"/>
        </w:rPr>
        <w:t>“</w:t>
      </w:r>
      <w:r>
        <w:rPr>
          <w:spacing w:val="2"/>
          <w:w w:val="95"/>
        </w:rPr>
        <w:t>智能</w:t>
      </w:r>
      <w:r>
        <w:rPr>
          <w:b w:val="0"/>
          <w:bCs w:val="0"/>
        </w:rPr>
      </w:r>
    </w:p>
    <w:p>
      <w:pPr>
        <w:spacing w:after="0" w:line="256" w:lineRule="auto"/>
        <w:jc w:val="left"/>
        <w:sectPr>
          <w:pgSz w:w="11910" w:h="16840"/>
          <w:pgMar w:header="747" w:footer="980" w:top="1060" w:bottom="1160" w:left="1020" w:right="880"/>
        </w:sectPr>
      </w:pPr>
    </w:p>
    <w:p>
      <w:pPr>
        <w:spacing w:line="240" w:lineRule="auto" w:before="10"/>
        <w:rPr>
          <w:rFonts w:ascii="宋体" w:hAnsi="宋体" w:cs="宋体" w:eastAsia="宋体" w:hint="default"/>
          <w:b/>
          <w:bCs/>
          <w:sz w:val="24"/>
          <w:szCs w:val="24"/>
        </w:rPr>
      </w:pPr>
    </w:p>
    <w:p>
      <w:pPr>
        <w:pStyle w:val="Heading4"/>
        <w:spacing w:line="256" w:lineRule="auto" w:before="35"/>
        <w:ind w:left="113" w:right="211"/>
        <w:jc w:val="both"/>
        <w:rPr>
          <w:b w:val="0"/>
          <w:bCs w:val="0"/>
        </w:rPr>
      </w:pPr>
      <w:r>
        <w:rPr>
          <w:spacing w:val="6"/>
        </w:rPr>
        <w:t>终端嵌入式软件及产品</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智能电网信息化软件</w:t>
      </w:r>
      <w:r>
        <w:rPr>
          <w:rFonts w:ascii="Times New Roman" w:hAnsi="Times New Roman" w:cs="Times New Roman" w:eastAsia="Times New Roman" w:hint="default"/>
          <w:spacing w:val="6"/>
        </w:rPr>
        <w:t>”</w:t>
      </w:r>
      <w:r>
        <w:rPr>
          <w:spacing w:val="6"/>
        </w:rPr>
        <w:t>等三大专业领域，其中供应链管理软件业务销售收入</w:t>
      </w:r>
      <w:r>
        <w:rPr>
          <w:spacing w:val="-97"/>
        </w:rPr>
        <w:t> </w:t>
      </w:r>
      <w:r>
        <w:rPr>
          <w:rFonts w:ascii="Times New Roman" w:hAnsi="Times New Roman" w:cs="Times New Roman" w:eastAsia="Times New Roman" w:hint="default"/>
        </w:rPr>
        <w:t>14066.02</w:t>
      </w:r>
      <w:r>
        <w:rPr/>
        <w:t>万元，较上年同期增长</w:t>
      </w:r>
      <w:r>
        <w:rPr>
          <w:rFonts w:ascii="Times New Roman" w:hAnsi="Times New Roman" w:cs="Times New Roman" w:eastAsia="Times New Roman" w:hint="default"/>
        </w:rPr>
        <w:t>35.85%</w:t>
      </w:r>
      <w:r>
        <w:rPr/>
        <w:t>；智能终端嵌入式软件及产品业务销售收入</w:t>
      </w:r>
      <w:r>
        <w:rPr>
          <w:rFonts w:ascii="Times New Roman" w:hAnsi="Times New Roman" w:cs="Times New Roman" w:eastAsia="Times New Roman" w:hint="default"/>
        </w:rPr>
        <w:t>14063.82</w:t>
      </w:r>
      <w:r>
        <w:rPr/>
        <w:t>万元，较上年</w:t>
      </w:r>
      <w:r>
        <w:rPr>
          <w:spacing w:val="-95"/>
        </w:rPr>
        <w:t> </w:t>
      </w:r>
      <w:r>
        <w:rPr>
          <w:spacing w:val="-2"/>
        </w:rPr>
        <w:t>同期增长</w:t>
      </w:r>
      <w:r>
        <w:rPr>
          <w:rFonts w:ascii="Times New Roman" w:hAnsi="Times New Roman" w:cs="Times New Roman" w:eastAsia="Times New Roman" w:hint="default"/>
          <w:spacing w:val="-2"/>
        </w:rPr>
        <w:t>116.60%</w:t>
      </w:r>
      <w:r>
        <w:rPr>
          <w:spacing w:val="-2"/>
        </w:rPr>
        <w:t>；智能电网信息化软件业务销售收入</w:t>
      </w:r>
      <w:r>
        <w:rPr>
          <w:rFonts w:ascii="Times New Roman" w:hAnsi="Times New Roman" w:cs="Times New Roman" w:eastAsia="Times New Roman" w:hint="default"/>
          <w:spacing w:val="-2"/>
        </w:rPr>
        <w:t>4995.54</w:t>
      </w:r>
      <w:r>
        <w:rPr>
          <w:spacing w:val="-2"/>
        </w:rPr>
        <w:t>万元，较上年同期增长</w:t>
      </w:r>
      <w:r>
        <w:rPr>
          <w:rFonts w:ascii="Times New Roman" w:hAnsi="Times New Roman" w:cs="Times New Roman" w:eastAsia="Times New Roman" w:hint="default"/>
          <w:spacing w:val="-2"/>
        </w:rPr>
        <w:t>57.43%</w:t>
      </w:r>
      <w:r>
        <w:rPr>
          <w:spacing w:val="-2"/>
        </w:rPr>
        <w:t>；其它领域软</w:t>
      </w:r>
      <w:r>
        <w:rPr>
          <w:spacing w:val="-90"/>
        </w:rPr>
        <w:t> </w:t>
      </w:r>
      <w:r>
        <w:rPr>
          <w:spacing w:val="-90"/>
        </w:rPr>
      </w:r>
      <w:r>
        <w:rPr/>
        <w:t>件业务销售收入</w:t>
      </w:r>
      <w:r>
        <w:rPr>
          <w:rFonts w:ascii="Times New Roman" w:hAnsi="Times New Roman" w:cs="Times New Roman" w:eastAsia="Times New Roman" w:hint="default"/>
        </w:rPr>
        <w:t>2578.10</w:t>
      </w:r>
      <w:r>
        <w:rPr/>
        <w:t>万元，较上年同期增长</w:t>
      </w:r>
      <w:r>
        <w:rPr>
          <w:rFonts w:ascii="Times New Roman" w:hAnsi="Times New Roman" w:cs="Times New Roman" w:eastAsia="Times New Roman" w:hint="default"/>
        </w:rPr>
        <w:t>29.05%</w:t>
      </w:r>
      <w:r>
        <w:rPr/>
        <w:t>。</w:t>
      </w:r>
      <w:r>
        <w:rPr>
          <w:b w:val="0"/>
          <w:bCs w:val="0"/>
        </w:rPr>
      </w:r>
    </w:p>
    <w:p>
      <w:pPr>
        <w:pStyle w:val="Heading4"/>
        <w:spacing w:line="264" w:lineRule="auto" w:before="5"/>
        <w:ind w:left="113" w:right="103" w:firstLine="420"/>
        <w:jc w:val="left"/>
        <w:rPr>
          <w:b w:val="0"/>
          <w:bCs w:val="0"/>
        </w:rPr>
      </w:pPr>
      <w:r>
        <w:rPr/>
        <w:t>报告期内，公司前五大客户累计销售收入</w:t>
      </w:r>
      <w:r>
        <w:rPr>
          <w:rFonts w:ascii="Times New Roman" w:hAnsi="Times New Roman" w:cs="Times New Roman" w:eastAsia="Times New Roman" w:hint="default"/>
        </w:rPr>
        <w:t>14194.87</w:t>
      </w:r>
      <w:r>
        <w:rPr/>
        <w:t>万元</w:t>
      </w:r>
      <w:r>
        <w:rPr>
          <w:rFonts w:ascii="Times New Roman" w:hAnsi="Times New Roman" w:cs="Times New Roman" w:eastAsia="Times New Roman" w:hint="default"/>
        </w:rPr>
        <w:t>,</w:t>
      </w:r>
      <w:r>
        <w:rPr/>
        <w:t>占营业收入的比例为</w:t>
      </w:r>
      <w:r>
        <w:rPr>
          <w:rFonts w:ascii="Times New Roman" w:hAnsi="Times New Roman" w:cs="Times New Roman" w:eastAsia="Times New Roman" w:hint="default"/>
        </w:rPr>
        <w:t>37.40%</w:t>
      </w:r>
      <w:r>
        <w:rPr/>
        <w:t>，前五大客户分别</w:t>
      </w:r>
      <w:r>
        <w:rPr>
          <w:spacing w:val="1"/>
          <w:w w:val="99"/>
        </w:rPr>
        <w:t> </w:t>
      </w:r>
      <w:r>
        <w:rPr/>
        <w:t>为：海信电器、日本丰田</w:t>
      </w:r>
      <w:r>
        <w:rPr>
          <w:rFonts w:ascii="Times New Roman" w:hAnsi="Times New Roman" w:cs="Times New Roman" w:eastAsia="Times New Roman" w:hint="default"/>
        </w:rPr>
        <w:t>(</w:t>
      </w:r>
      <w:r>
        <w:rPr/>
        <w:t>含丰田汽车、丰田通商等日本丰田同一控制人下的相关企业合并统计</w:t>
      </w:r>
      <w:r>
        <w:rPr>
          <w:rFonts w:ascii="Times New Roman" w:hAnsi="Times New Roman" w:cs="Times New Roman" w:eastAsia="Times New Roman" w:hint="default"/>
        </w:rPr>
        <w:t>)</w:t>
      </w:r>
      <w:r>
        <w:rPr/>
        <w:t>、华为技</w:t>
      </w:r>
      <w:r>
        <w:rPr>
          <w:spacing w:val="-69"/>
        </w:rPr>
        <w:t> </w:t>
      </w:r>
      <w:r>
        <w:rPr>
          <w:spacing w:val="-69"/>
        </w:rPr>
      </w:r>
      <w:r>
        <w:rPr>
          <w:spacing w:val="-5"/>
        </w:rPr>
        <w:t>术（含华为技术、华为终端、华为技术软件等华为技术同一控制人下的相关企业合并统计）、江苏电力（含</w:t>
      </w:r>
      <w:r>
        <w:rPr>
          <w:spacing w:val="1"/>
          <w:w w:val="99"/>
        </w:rPr>
        <w:t> </w:t>
      </w:r>
      <w:r>
        <w:rPr/>
        <w:t>方天电力、电力信息等江苏电力同一控制人下的相关企业合并统计）、南瑞集团（含国网电力科学院</w:t>
      </w:r>
      <w:r>
        <w:rPr>
          <w:spacing w:val="-84"/>
        </w:rPr>
        <w:t> </w:t>
      </w:r>
      <w:r>
        <w:rPr>
          <w:spacing w:val="-30"/>
        </w:rPr>
        <w:t>、南</w:t>
      </w:r>
      <w:r>
        <w:rPr>
          <w:spacing w:val="-100"/>
        </w:rPr>
        <w:t> </w:t>
      </w:r>
      <w:r>
        <w:rPr>
          <w:spacing w:val="-100"/>
        </w:rPr>
      </w:r>
      <w:r>
        <w:rPr/>
        <w:t>瑞集团等南瑞集团同一控制人下的相关企业合并统计</w:t>
      </w:r>
      <w:r>
        <w:rPr>
          <w:rFonts w:ascii="Times New Roman" w:hAnsi="Times New Roman" w:cs="Times New Roman" w:eastAsia="Times New Roman" w:hint="default"/>
        </w:rPr>
        <w:t>)</w:t>
      </w:r>
      <w:r>
        <w:rPr/>
        <w:t>；日本丰田为公司供应链管理软件业务的主要客户，</w:t>
      </w:r>
      <w:r>
        <w:rPr>
          <w:spacing w:val="-104"/>
        </w:rPr>
        <w:t> </w:t>
      </w:r>
      <w:r>
        <w:rPr>
          <w:spacing w:val="-104"/>
        </w:rPr>
      </w:r>
      <w:r>
        <w:rPr/>
        <w:t>海信电器、华为技术为公司智能终端嵌入式软件及产品业务的主要客户，江苏电力、南瑞集团为公司智能</w:t>
      </w:r>
      <w:r>
        <w:rPr>
          <w:spacing w:val="1"/>
          <w:w w:val="99"/>
        </w:rPr>
        <w:t> </w:t>
      </w:r>
      <w:r>
        <w:rPr>
          <w:w w:val="95"/>
        </w:rPr>
        <w:t>电网信息化软件业务的主要客户。上述客户不存在单客户销售收入占公司营业收入   </w:t>
      </w:r>
      <w:r>
        <w:rPr>
          <w:spacing w:val="54"/>
          <w:w w:val="95"/>
        </w:rPr>
        <w:t> </w:t>
      </w:r>
      <w:r>
        <w:rPr>
          <w:rFonts w:ascii="Times New Roman" w:hAnsi="Times New Roman" w:cs="Times New Roman" w:eastAsia="Times New Roman" w:hint="default"/>
          <w:w w:val="95"/>
        </w:rPr>
        <w:t>30%</w:t>
      </w:r>
      <w:r>
        <w:rPr>
          <w:w w:val="95"/>
        </w:rPr>
        <w:t>以上的情况。</w:t>
      </w:r>
      <w:r>
        <w:rPr>
          <w:b w:val="0"/>
          <w:bCs w:val="0"/>
        </w:rPr>
      </w:r>
    </w:p>
    <w:p>
      <w:pPr>
        <w:spacing w:line="240" w:lineRule="auto" w:before="9"/>
        <w:rPr>
          <w:rFonts w:ascii="宋体" w:hAnsi="宋体" w:cs="宋体" w:eastAsia="宋体" w:hint="default"/>
          <w:b/>
          <w:bCs/>
          <w:sz w:val="28"/>
          <w:szCs w:val="28"/>
        </w:rPr>
      </w:pPr>
    </w:p>
    <w:p>
      <w:pPr>
        <w:pStyle w:val="BodyText"/>
        <w:spacing w:line="240" w:lineRule="auto" w:before="0"/>
        <w:ind w:right="0"/>
        <w:jc w:val="both"/>
      </w:pPr>
      <w:r>
        <w:rPr/>
        <w:t>公司实物销售收入是否大于劳务收入</w:t>
      </w:r>
    </w:p>
    <w:p>
      <w:pPr>
        <w:pStyle w:val="BodyText"/>
        <w:spacing w:line="338" w:lineRule="auto" w:before="116"/>
        <w:ind w:right="78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3"/>
        <w:ind w:right="8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数量分散的订单情况</w:t>
      </w:r>
    </w:p>
    <w:p>
      <w:pPr>
        <w:pStyle w:val="BodyText"/>
        <w:spacing w:line="340" w:lineRule="auto" w:before="42"/>
        <w:ind w:right="5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公司报告期内产品或服务发生重大变化或调整有关情况</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12" w:lineRule="auto" w:before="102"/>
        <w:ind w:left="113" w:right="151" w:firstLine="540"/>
        <w:jc w:val="left"/>
      </w:pPr>
      <w:r>
        <w:rPr/>
        <w:t>报告期内，公司的主营业务为向国际国内客户提供软件、智能终端产品销售、外购软硬件产品销售等信息技术服务。 </w:t>
      </w:r>
      <w:r>
        <w:rPr>
          <w:spacing w:val="-2"/>
        </w:rPr>
        <w:t>报告期内新开拓的智能终端产品销售业务是公司已有的三大专业领域之</w:t>
      </w:r>
      <w:r>
        <w:rPr>
          <w:rFonts w:ascii="Times New Roman" w:hAnsi="Times New Roman" w:cs="Times New Roman" w:eastAsia="Times New Roman" w:hint="default"/>
          <w:spacing w:val="-2"/>
        </w:rPr>
        <w:t>“</w:t>
      </w:r>
      <w:r>
        <w:rPr>
          <w:spacing w:val="-2"/>
        </w:rPr>
        <w:t>智能终端嵌入式软件</w:t>
      </w:r>
      <w:r>
        <w:rPr>
          <w:rFonts w:ascii="Times New Roman" w:hAnsi="Times New Roman" w:cs="Times New Roman" w:eastAsia="Times New Roman" w:hint="default"/>
          <w:spacing w:val="-2"/>
        </w:rPr>
        <w:t>”</w:t>
      </w:r>
      <w:r>
        <w:rPr>
          <w:spacing w:val="-2"/>
        </w:rPr>
        <w:t>业务的延伸，该业务是为客户</w:t>
      </w:r>
      <w:r>
        <w:rPr>
          <w:spacing w:val="-42"/>
        </w:rPr>
        <w:t> </w:t>
      </w:r>
      <w:r>
        <w:rPr>
          <w:spacing w:val="-42"/>
        </w:rPr>
      </w:r>
      <w:r>
        <w:rPr>
          <w:spacing w:val="-2"/>
        </w:rPr>
        <w:t>提供智能终端设备的硬件和系统软件研发及设计服务，同时将公司自主开发的智能终端嵌入式软件产品集成在产品内向客户</w:t>
      </w:r>
      <w:r>
        <w:rPr>
          <w:spacing w:val="-64"/>
        </w:rPr>
        <w:t> </w:t>
      </w:r>
      <w:r>
        <w:rPr>
          <w:spacing w:val="-64"/>
        </w:rPr>
      </w:r>
      <w:r>
        <w:rPr/>
        <w:t>销售，该业务的开拓提高了公司在智能终端嵌入式软件及产品业务领域的核心竞争力。</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25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10101"/>
              <w:bottom w:val="single" w:sz="4" w:space="0" w:color="010101"/>
              <w:right w:val="single" w:sz="4" w:space="0" w:color="010101"/>
            </w:tcBorders>
            <w:shd w:val="clear" w:color="auto" w:fill="D3D3D3"/>
          </w:tcPr>
          <w:p>
            <w:pPr/>
          </w:p>
        </w:tc>
        <w:tc>
          <w:tcPr>
            <w:tcW w:w="1367"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96,936,825.86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60,966,140.13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101,131,911.66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45,368,215.79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122.91%</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）外包</w:t>
            </w:r>
            <w:r>
              <w:rPr>
                <w:rFonts w:ascii="宋体" w:hAnsi="宋体" w:cs="宋体" w:eastAsia="宋体" w:hint="default"/>
                <w:spacing w:val="-84"/>
                <w:sz w:val="18"/>
                <w:szCs w:val="18"/>
              </w:rPr>
              <w:t> </w:t>
            </w:r>
            <w:r>
              <w:rPr>
                <w:rFonts w:ascii="宋体" w:hAnsi="宋体" w:cs="宋体" w:eastAsia="宋体" w:hint="default"/>
                <w:sz w:val="18"/>
                <w:szCs w:val="18"/>
              </w:rPr>
              <w:t>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45,434,788.21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32,863,894.40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38.25%</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20" w:firstLine="54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）软硬</w:t>
            </w:r>
            <w:r>
              <w:rPr>
                <w:rFonts w:ascii="宋体" w:hAnsi="宋体" w:cs="宋体" w:eastAsia="宋体" w:hint="default"/>
                <w:sz w:val="18"/>
                <w:szCs w:val="18"/>
              </w:rPr>
              <w:t> 件成本</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55,697,123.45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12,504,321.39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345.42%</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、项目实施费用</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31,153,975.01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20,649,541.71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88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229,222,712.53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126,983,897.63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80.51%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8"/>
        <w:gridCol w:w="1460"/>
        <w:gridCol w:w="2918"/>
      </w:tblGrid>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8"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27,368,479.77</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15,093,386.59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81.33%</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9"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随着公司规模的扩大，销售人员增 </w:t>
            </w:r>
            <w:r>
              <w:rPr>
                <w:rFonts w:ascii="宋体" w:hAnsi="宋体" w:cs="宋体" w:eastAsia="宋体" w:hint="default"/>
                <w:spacing w:val="-2"/>
                <w:sz w:val="18"/>
                <w:szCs w:val="18"/>
              </w:rPr>
              <w:t>加，人员工资、业务费、差旅费相应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增长；同时为扩大公司知名度，广告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宣传费增加所致。</w:t>
            </w:r>
          </w:p>
        </w:tc>
      </w:tr>
      <w:tr>
        <w:trPr>
          <w:trHeight w:val="714"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60,764,635.95</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38,286,553.93</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58.71%</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公司研发费用、职工培训费用、差旅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费等相应增长所致。</w:t>
            </w:r>
          </w:p>
        </w:tc>
      </w:tr>
      <w:tr>
        <w:trPr>
          <w:trHeight w:val="714"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3,935,387.39</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6,207,983.79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-36.61%</w:t>
            </w:r>
            <w:r>
              <w:rPr>
                <w:rFonts w:ascii="Times New Roman"/>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公司本年度募集资金到位，公司利息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收入增加所致。</w:t>
            </w:r>
          </w:p>
        </w:tc>
      </w:tr>
      <w:tr>
        <w:trPr>
          <w:trHeight w:val="1338"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5,690,750.00</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6,655,257.16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w:t>
            </w:r>
            <w:r>
              <w:rPr>
                <w:rFonts w:ascii="Times New Roman"/>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公司本年度被认定为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w:t>
            </w:r>
            <w:r>
              <w:rPr>
                <w:rFonts w:ascii="宋体" w:hAnsi="宋体" w:cs="宋体" w:eastAsia="宋体" w:hint="default"/>
                <w:spacing w:val="-1"/>
                <w:sz w:val="18"/>
                <w:szCs w:val="18"/>
              </w:rPr>
              <w:t>国家规划布局内重点软件企业，</w:t>
            </w:r>
            <w:r>
              <w:rPr>
                <w:rFonts w:ascii="Times New Roman" w:hAnsi="Times New Roman" w:cs="Times New Roman" w:eastAsia="Times New Roman" w:hint="default"/>
                <w:spacing w:val="-1"/>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年度所得税按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税率计算的影响 额冲减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年度所得的费用。</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 w:firstLine="540"/>
        <w:jc w:val="both"/>
      </w:pPr>
      <w:r>
        <w:rPr>
          <w:spacing w:val="-2"/>
        </w:rPr>
        <w:t>作为高新技术企业，公司一直高度重视研发，每年都投入资金进行自主知识产权的软件产品的研发，通过自主知识产</w:t>
      </w:r>
      <w:r>
        <w:rPr/>
        <w:t> 权软件产品的研发提高公司的解决方案提供能力，保障公司的</w:t>
      </w:r>
      <w:r>
        <w:rPr>
          <w:rFonts w:ascii="Times New Roman" w:hAnsi="Times New Roman" w:cs="Times New Roman" w:eastAsia="Times New Roman" w:hint="default"/>
        </w:rPr>
        <w:t>“</w:t>
      </w:r>
      <w:r>
        <w:rPr/>
        <w:t>专业化、高端化</w:t>
      </w:r>
      <w:r>
        <w:rPr>
          <w:rFonts w:ascii="Times New Roman" w:hAnsi="Times New Roman" w:cs="Times New Roman" w:eastAsia="Times New Roman" w:hint="default"/>
        </w:rPr>
        <w:t>”</w:t>
      </w:r>
      <w:r>
        <w:rPr/>
        <w:t>战略的实施。</w:t>
      </w:r>
    </w:p>
    <w:p>
      <w:pPr>
        <w:pStyle w:val="BodyText"/>
        <w:spacing w:line="300" w:lineRule="auto" w:before="0"/>
        <w:ind w:left="113" w:right="111" w:firstLine="540"/>
        <w:jc w:val="both"/>
      </w:pPr>
      <w:r>
        <w:rPr>
          <w:spacing w:val="-1"/>
        </w:rPr>
        <w:t>报告期内，公司共投入万元的研发费用</w:t>
      </w:r>
      <w:r>
        <w:rPr>
          <w:rFonts w:ascii="Times New Roman" w:hAnsi="Times New Roman" w:cs="Times New Roman" w:eastAsia="Times New Roman" w:hint="default"/>
          <w:spacing w:val="-1"/>
        </w:rPr>
        <w:t>22,081,148.68</w:t>
      </w:r>
      <w:r>
        <w:rPr>
          <w:spacing w:val="-1"/>
        </w:rPr>
        <w:t>元，占营业收入的比重为</w:t>
      </w:r>
      <w:r>
        <w:rPr>
          <w:rFonts w:ascii="Times New Roman" w:hAnsi="Times New Roman" w:cs="Times New Roman" w:eastAsia="Times New Roman" w:hint="default"/>
          <w:spacing w:val="-1"/>
        </w:rPr>
        <w:t>5.82%</w:t>
      </w:r>
      <w:r>
        <w:rPr>
          <w:spacing w:val="-1"/>
        </w:rPr>
        <w:t>，公司的研发费用主要用于</w:t>
      </w:r>
      <w:r>
        <w:rPr>
          <w:rFonts w:ascii="Times New Roman" w:hAnsi="Times New Roman" w:cs="Times New Roman" w:eastAsia="Times New Roman" w:hint="default"/>
          <w:spacing w:val="-1"/>
        </w:rPr>
        <w:t>“</w:t>
      </w:r>
      <w:r>
        <w:rPr>
          <w:spacing w:val="-1"/>
        </w:rPr>
        <w:t>供应</w:t>
      </w:r>
      <w:r>
        <w:rPr/>
        <w:t> 链管理软件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智能终端嵌入式软件及产品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智能电网信息化软件</w:t>
      </w:r>
      <w:r>
        <w:rPr>
          <w:rFonts w:ascii="Times New Roman" w:hAnsi="Times New Roman" w:cs="Times New Roman" w:eastAsia="Times New Roman" w:hint="default"/>
        </w:rPr>
        <w:t>”</w:t>
      </w:r>
      <w:r>
        <w:rPr/>
        <w:t>等专业领域的自主知识产权软硬件产品的研发。报告 期内，共有</w:t>
      </w:r>
      <w:r>
        <w:rPr>
          <w:rFonts w:ascii="Times New Roman" w:hAnsi="Times New Roman" w:cs="Times New Roman" w:eastAsia="Times New Roman" w:hint="default"/>
        </w:rPr>
        <w:t>22</w:t>
      </w:r>
      <w:r>
        <w:rPr/>
        <w:t>个研发项目立项，申请</w:t>
      </w:r>
      <w:r>
        <w:rPr>
          <w:rFonts w:ascii="Times New Roman" w:hAnsi="Times New Roman" w:cs="Times New Roman" w:eastAsia="Times New Roman" w:hint="default"/>
        </w:rPr>
        <w:t>2</w:t>
      </w:r>
      <w:r>
        <w:rPr/>
        <w:t>个发明专利，获得</w:t>
      </w:r>
      <w:r>
        <w:rPr>
          <w:rFonts w:ascii="Times New Roman" w:hAnsi="Times New Roman" w:cs="Times New Roman" w:eastAsia="Times New Roman" w:hint="default"/>
        </w:rPr>
        <w:t>7</w:t>
      </w:r>
      <w:r>
        <w:rPr/>
        <w:t>项软件著作权、</w:t>
      </w:r>
      <w:r>
        <w:rPr>
          <w:rFonts w:ascii="Times New Roman" w:hAnsi="Times New Roman" w:cs="Times New Roman" w:eastAsia="Times New Roman" w:hint="default"/>
        </w:rPr>
        <w:t>5</w:t>
      </w:r>
      <w:r>
        <w:rPr/>
        <w:t>项软件产品登记证书。</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22,081,148.68</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10,268,700.00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6,468,600.00</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170.399094pt;margin-top:-32.666027pt;width:125.35pt;height:19.75pt;mso-position-horizontal-relative:page;mso-position-vertical-relative:paragraph;z-index:-1032112" type="#_x0000_t202" filled="false" stroked="false">
            <v:textbox inset="0,0,0,0">
              <w:txbxContent>
                <w:p>
                  <w:pPr>
                    <w:pStyle w:val="BodyText"/>
                    <w:spacing w:line="240" w:lineRule="auto" w:before="50"/>
                    <w:ind w:left="0" w:right="0"/>
                    <w:jc w:val="left"/>
                  </w:pPr>
                  <w:r>
                    <w:rPr/>
                    <w:t>）</w:t>
                  </w:r>
                </w:p>
              </w:txbxContent>
            </v:textbox>
            <w10:wrap type="none"/>
          </v:shape>
        </w:pict>
      </w:r>
      <w:r>
        <w:rPr/>
        <w:pict>
          <v:group style="position:absolute;margin-left:176.520004pt;margin-top:-32.666027pt;width:119.25pt;height:19.75pt;mso-position-horizontal-relative:page;mso-position-vertical-relative:paragraph;z-index:-1032088" coordorigin="3530,-653" coordsize="2385,395">
            <v:shape style="position:absolute;left:3530;top:-653;width:2385;height:395" coordorigin="3530,-653" coordsize="2385,395" path="m3530,-259l5915,-259,5915,-653,3530,-653,3530,-259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357,032,939.25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225,480,986.54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299,596,268.71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174,945,943.35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57,436,670.54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50,535,043.19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36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4,394,755.25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2,116,382.65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19,610,823.58</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17,375,224.17</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-15,216,068.33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-15,258,841.52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455,861,903.00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162,939,932.20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179.77%</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132,436,655.20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134,810,396.22</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323,425,247.80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28,129,535.98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1,049.77%</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364,362,748.21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62,766,205.27</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480.51%</w:t>
            </w:r>
          </w:p>
        </w:tc>
      </w:tr>
    </w:tbl>
    <w:p>
      <w:pPr>
        <w:pStyle w:val="BodyText"/>
        <w:spacing w:line="240" w:lineRule="auto" w:before="50"/>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报告年度筹资活动产生的现金流量净额较上一年度增长</w:t>
      </w:r>
      <w:r>
        <w:rPr>
          <w:rFonts w:ascii="Times New Roman" w:hAnsi="Times New Roman" w:cs="Times New Roman" w:eastAsia="Times New Roman" w:hint="default"/>
        </w:rPr>
        <w:t>1049.77%</w:t>
      </w:r>
      <w:r>
        <w:rPr/>
        <w:t>，主要系公司首发新股</w:t>
      </w:r>
      <w:r>
        <w:rPr>
          <w:rFonts w:ascii="Times New Roman" w:hAnsi="Times New Roman" w:cs="Times New Roman" w:eastAsia="Times New Roman" w:hint="default"/>
        </w:rPr>
        <w:t>1919</w:t>
      </w:r>
      <w:r>
        <w:rPr/>
        <w:t>万股，募集资金到位。 报告期内公司经营活动的现金流量与本年度净利润存在重大差异的原因说明</w:t>
      </w:r>
    </w:p>
    <w:p>
      <w:pPr>
        <w:pStyle w:val="BodyText"/>
        <w:spacing w:line="240" w:lineRule="auto" w:before="4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141,948,655.19</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bl>
    <w:p>
      <w:pPr>
        <w:pStyle w:val="BodyText"/>
        <w:spacing w:line="240" w:lineRule="auto" w:before="50"/>
        <w:ind w:right="0"/>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40" w:lineRule="auto" w:before="102"/>
        <w:ind w:left="113" w:right="8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71,181,723.78</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58.21%</w:t>
            </w:r>
          </w:p>
        </w:tc>
      </w:tr>
    </w:tbl>
    <w:p>
      <w:pPr>
        <w:pStyle w:val="BodyText"/>
        <w:spacing w:line="240" w:lineRule="auto" w:before="50"/>
        <w:ind w:right="0"/>
        <w:jc w:val="left"/>
      </w:pPr>
      <w:r>
        <w:rPr/>
        <w:pict>
          <v:shape style="position:absolute;margin-left:263.579712pt;margin-top:-20.167988pt;width:271.350pt;height:19.75pt;mso-position-horizontal-relative:page;mso-position-vertical-relative:paragraph;z-index:-103206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69.760010pt;margin-top:-20.167988pt;width:265.150pt;height:19.75pt;mso-position-horizontal-relative:page;mso-position-vertical-relative:paragraph;z-index:-1032040" coordorigin="5395,-403" coordsize="5303,395">
            <v:shape style="position:absolute;left:5395;top:-403;width:5303;height:395" coordorigin="5395,-403" coordsize="5303,395" path="m5395,-9l10698,-9,10698,-403,5395,-403,5395,-9xe" filled="true" fillcolor="#ffffff" stroked="false">
              <v:path arrowok="t"/>
              <v:fill type="solid"/>
            </v:shape>
            <w10:wrap type="none"/>
          </v:group>
        </w:pict>
      </w:r>
      <w:r>
        <w:rPr/>
        <w:t>向单一供应商采购比例超过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首次公开发行招股说明书中披露的未来发展与规划在本报告期的实施情况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654" w:right="0"/>
        <w:jc w:val="left"/>
      </w:pPr>
      <w:r>
        <w:rPr/>
        <w:t>公司在招股说明书披露的未来三年发展规划及目标如下：</w:t>
      </w:r>
    </w:p>
    <w:p>
      <w:pPr>
        <w:pStyle w:val="BodyText"/>
        <w:spacing w:line="316" w:lineRule="auto" w:before="76"/>
        <w:ind w:right="110" w:firstLine="540"/>
        <w:jc w:val="both"/>
      </w:pPr>
      <w:r>
        <w:rPr>
          <w:spacing w:val="-2"/>
        </w:rPr>
        <w:t>①公司将进一步巩固和提高在软件外包领域细分市场行业经验、经营模式、特定技术、项目管理等方面的优势，坚持</w:t>
      </w:r>
      <w:r>
        <w:rPr/>
        <w:t> </w:t>
      </w:r>
      <w:r>
        <w:rPr>
          <w:spacing w:val="-2"/>
        </w:rPr>
        <w:t>高端化发展原则，进一步凝聚高层次人才，拓展软件外包综合服务能力，通过产业链上下游企业的全面合作，构造产业聚集</w:t>
      </w:r>
      <w:r>
        <w:rPr>
          <w:spacing w:val="-67"/>
        </w:rPr>
        <w:t> </w:t>
      </w:r>
      <w:r>
        <w:rPr>
          <w:spacing w:val="-67"/>
        </w:rPr>
      </w:r>
      <w:r>
        <w:rPr/>
        <w:t>效应。</w:t>
      </w:r>
    </w:p>
    <w:p>
      <w:pPr>
        <w:pStyle w:val="BodyText"/>
        <w:spacing w:line="300" w:lineRule="auto" w:before="19"/>
        <w:ind w:right="110" w:firstLine="540"/>
        <w:jc w:val="both"/>
      </w:pPr>
      <w:r>
        <w:rPr>
          <w:spacing w:val="-1"/>
        </w:rPr>
        <w:t>②强化专业化发展原则，继续巩固和深化公司在</w:t>
      </w:r>
      <w:r>
        <w:rPr>
          <w:rFonts w:ascii="Times New Roman" w:hAnsi="Times New Roman" w:cs="Times New Roman" w:eastAsia="Times New Roman" w:hint="default"/>
          <w:spacing w:val="-1"/>
        </w:rPr>
        <w:t>“</w:t>
      </w:r>
      <w:r>
        <w:rPr>
          <w:spacing w:val="-1"/>
        </w:rPr>
        <w:t>智能终端嵌入式软件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智能电网信息化软件</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等三个核心领域的专业化能力，加大研发投入和技术储备，进一步扩大核心领域的业务规模，提升市场占有率。</w:t>
      </w:r>
    </w:p>
    <w:p>
      <w:pPr>
        <w:spacing w:after="0" w:line="300" w:lineRule="auto"/>
        <w:jc w:val="both"/>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ind w:left="113" w:right="91" w:firstLine="540"/>
        <w:jc w:val="left"/>
      </w:pPr>
      <w:r>
        <w:rPr/>
        <w:t>③坚持国际市场与国内市场互动发展原则，完善国际市场布局，进一步提升全球服务交付能力，大力拓展国内市场， 充分抓住中国产业升级背景下软件外包服务大发展的历史机遇。</w:t>
      </w:r>
    </w:p>
    <w:p>
      <w:pPr>
        <w:pStyle w:val="BodyText"/>
        <w:spacing w:line="300" w:lineRule="auto" w:before="19"/>
        <w:ind w:left="113" w:right="209" w:firstLine="540"/>
        <w:jc w:val="both"/>
      </w:pPr>
      <w:r>
        <w:rPr/>
        <w:t>④通过资本市场不断充实资本实力，尽快突破资金瓶颈与规模局限，重点完成本次募投项目建设，提升在</w:t>
      </w:r>
      <w:r>
        <w:rPr>
          <w:rFonts w:ascii="Times New Roman" w:hAnsi="Times New Roman" w:cs="Times New Roman" w:eastAsia="Times New Roman" w:hint="default"/>
        </w:rPr>
        <w:t>“</w:t>
      </w:r>
      <w:r>
        <w:rPr/>
        <w:t>智能终端 嵌入式软件</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供应链管理软件</w:t>
      </w:r>
      <w:r>
        <w:rPr>
          <w:rFonts w:ascii="Times New Roman" w:hAnsi="Times New Roman" w:cs="Times New Roman" w:eastAsia="Times New Roman" w:hint="default"/>
        </w:rPr>
        <w:t>”</w:t>
      </w:r>
      <w:r>
        <w:rPr/>
        <w:t>等专业领域进行专业团队培育、扩建与持续技术升级的能力，丰富公司组织知识库，不断 提升公司行业地位和品牌知名度。</w:t>
      </w:r>
    </w:p>
    <w:p>
      <w:pPr>
        <w:pStyle w:val="BodyText"/>
        <w:spacing w:line="240" w:lineRule="auto" w:before="31"/>
        <w:ind w:left="653" w:right="90"/>
        <w:jc w:val="left"/>
      </w:pPr>
      <w:r>
        <w:rPr/>
        <w:t>报告期内的实施情况如下：</w:t>
      </w:r>
    </w:p>
    <w:p>
      <w:pPr>
        <w:pStyle w:val="BodyText"/>
        <w:spacing w:line="300" w:lineRule="auto" w:before="76"/>
        <w:ind w:left="113" w:right="190" w:firstLine="540"/>
        <w:jc w:val="both"/>
      </w:pPr>
      <w:r>
        <w:rPr>
          <w:spacing w:val="-2"/>
        </w:rPr>
        <w:t>①公司坚持</w:t>
      </w:r>
      <w:r>
        <w:rPr>
          <w:rFonts w:ascii="Times New Roman" w:hAnsi="Times New Roman" w:cs="Times New Roman" w:eastAsia="Times New Roman" w:hint="default"/>
          <w:spacing w:val="-2"/>
        </w:rPr>
        <w:t>“</w:t>
      </w:r>
      <w:r>
        <w:rPr>
          <w:spacing w:val="-2"/>
        </w:rPr>
        <w:t>高端化</w:t>
      </w:r>
      <w:r>
        <w:rPr>
          <w:rFonts w:ascii="Times New Roman" w:hAnsi="Times New Roman" w:cs="Times New Roman" w:eastAsia="Times New Roman" w:hint="default"/>
          <w:spacing w:val="-2"/>
        </w:rPr>
        <w:t>”</w:t>
      </w:r>
      <w:r>
        <w:rPr>
          <w:spacing w:val="-2"/>
        </w:rPr>
        <w:t>的发展原则，积极探索和保持公司在软件服务中的高端发展能力，并持续通过产业链上下游企业</w:t>
      </w:r>
      <w:r>
        <w:rPr/>
        <w:t> 的合作，已经初步形成了产业集聚效应。</w:t>
      </w:r>
    </w:p>
    <w:p>
      <w:pPr>
        <w:pStyle w:val="BodyText"/>
        <w:spacing w:line="300" w:lineRule="auto" w:before="31"/>
        <w:ind w:left="113" w:right="229" w:firstLine="540"/>
        <w:jc w:val="both"/>
      </w:pPr>
      <w:r>
        <w:rPr/>
        <w:t>②公司坚持</w:t>
      </w:r>
      <w:r>
        <w:rPr>
          <w:rFonts w:ascii="Times New Roman" w:hAnsi="Times New Roman" w:cs="Times New Roman" w:eastAsia="Times New Roman" w:hint="default"/>
        </w:rPr>
        <w:t>“</w:t>
      </w:r>
      <w:r>
        <w:rPr/>
        <w:t>专业化</w:t>
      </w:r>
      <w:r>
        <w:rPr>
          <w:rFonts w:ascii="Times New Roman" w:hAnsi="Times New Roman" w:cs="Times New Roman" w:eastAsia="Times New Roman" w:hint="default"/>
        </w:rPr>
        <w:t>”</w:t>
      </w:r>
      <w:r>
        <w:rPr/>
        <w:t>的发展原则，加大市场推广力度，并通过创新研发增强了公司的核心竞争力，报告期内</w:t>
      </w:r>
      <w:r>
        <w:rPr>
          <w:rFonts w:ascii="Times New Roman" w:hAnsi="Times New Roman" w:cs="Times New Roman" w:eastAsia="Times New Roman" w:hint="default"/>
        </w:rPr>
        <w:t>“</w:t>
      </w:r>
      <w:r>
        <w:rPr/>
        <w:t>智能终 端嵌入式软件与产品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供应链管理软件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智能电网信息化软件</w:t>
      </w:r>
      <w:r>
        <w:rPr>
          <w:rFonts w:ascii="Times New Roman" w:hAnsi="Times New Roman" w:cs="Times New Roman" w:eastAsia="Times New Roman" w:hint="default"/>
        </w:rPr>
        <w:t>”</w:t>
      </w:r>
      <w:r>
        <w:rPr/>
        <w:t>等三个核心专业领域的销售收入较上年同比均实现稳定 增长，增长比例分别为：</w:t>
      </w:r>
      <w:r>
        <w:rPr>
          <w:rFonts w:ascii="Times New Roman" w:hAnsi="Times New Roman" w:cs="Times New Roman" w:eastAsia="Times New Roman" w:hint="default"/>
        </w:rPr>
        <w:t>116.60%</w:t>
      </w:r>
      <w:r>
        <w:rPr/>
        <w:t>、</w:t>
      </w:r>
      <w:r>
        <w:rPr>
          <w:rFonts w:ascii="Times New Roman" w:hAnsi="Times New Roman" w:cs="Times New Roman" w:eastAsia="Times New Roman" w:hint="default"/>
        </w:rPr>
        <w:t>35.85%</w:t>
      </w:r>
      <w:r>
        <w:rPr/>
        <w:t>、</w:t>
      </w:r>
      <w:r>
        <w:rPr>
          <w:rFonts w:ascii="Times New Roman" w:hAnsi="Times New Roman" w:cs="Times New Roman" w:eastAsia="Times New Roman" w:hint="default"/>
        </w:rPr>
        <w:t>57.43%</w:t>
      </w:r>
      <w:r>
        <w:rPr/>
        <w:t>，专业化已成为公司主营收入的主要增长点。</w:t>
      </w:r>
    </w:p>
    <w:p>
      <w:pPr>
        <w:pStyle w:val="BodyText"/>
        <w:spacing w:line="300" w:lineRule="auto" w:before="13"/>
        <w:ind w:right="190" w:firstLine="540"/>
        <w:jc w:val="both"/>
      </w:pPr>
      <w:r>
        <w:rPr>
          <w:spacing w:val="-2"/>
        </w:rPr>
        <w:t>③公司坚持</w:t>
      </w:r>
      <w:r>
        <w:rPr>
          <w:rFonts w:ascii="Times New Roman" w:hAnsi="Times New Roman" w:cs="Times New Roman" w:eastAsia="Times New Roman" w:hint="default"/>
          <w:spacing w:val="-2"/>
        </w:rPr>
        <w:t>“</w:t>
      </w:r>
      <w:r>
        <w:rPr>
          <w:spacing w:val="-2"/>
        </w:rPr>
        <w:t>国际化</w:t>
      </w:r>
      <w:r>
        <w:rPr>
          <w:rFonts w:ascii="Times New Roman" w:hAnsi="Times New Roman" w:cs="Times New Roman" w:eastAsia="Times New Roman" w:hint="default"/>
          <w:spacing w:val="-2"/>
        </w:rPr>
        <w:t>”</w:t>
      </w:r>
      <w:r>
        <w:rPr>
          <w:spacing w:val="-2"/>
        </w:rPr>
        <w:t>的发展原则，通过国际、国内市场互动，并抓住国内市场的快速发展机遇，报告期内国际、国内</w:t>
      </w:r>
      <w:r>
        <w:rPr/>
        <w:t> 主营业务收入较上年同比均实现稳定增长，增长比例分别为：</w:t>
      </w:r>
      <w:r>
        <w:rPr>
          <w:rFonts w:ascii="Times New Roman" w:hAnsi="Times New Roman" w:cs="Times New Roman" w:eastAsia="Times New Roman" w:hint="default"/>
        </w:rPr>
        <w:t>24.42%</w:t>
      </w:r>
      <w:r>
        <w:rPr/>
        <w:t>、</w:t>
      </w:r>
      <w:r>
        <w:rPr>
          <w:rFonts w:ascii="Times New Roman" w:hAnsi="Times New Roman" w:cs="Times New Roman" w:eastAsia="Times New Roman" w:hint="default"/>
        </w:rPr>
        <w:t>87.87%</w:t>
      </w:r>
      <w:r>
        <w:rPr/>
        <w:t>。</w:t>
      </w:r>
    </w:p>
    <w:p>
      <w:pPr>
        <w:pStyle w:val="BodyText"/>
        <w:spacing w:line="300" w:lineRule="auto" w:before="13"/>
        <w:ind w:right="180" w:firstLine="540"/>
        <w:jc w:val="left"/>
      </w:pPr>
      <w:r>
        <w:rPr>
          <w:spacing w:val="-1"/>
        </w:rPr>
        <w:t>④公司上市后，按募投项目的计划推进募投项目的建设，在</w:t>
      </w:r>
      <w:r>
        <w:rPr>
          <w:rFonts w:ascii="Times New Roman" w:hAnsi="Times New Roman" w:cs="Times New Roman" w:eastAsia="Times New Roman" w:hint="default"/>
          <w:spacing w:val="-1"/>
        </w:rPr>
        <w:t>“</w:t>
      </w:r>
      <w:r>
        <w:rPr>
          <w:spacing w:val="-1"/>
        </w:rPr>
        <w:t>智能终端嵌入式软件与产品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专业领</w:t>
      </w:r>
      <w:r>
        <w:rPr/>
        <w:t> 域中加快创新研发力度，并投入自有资金在</w:t>
      </w:r>
      <w:r>
        <w:rPr>
          <w:rFonts w:ascii="Times New Roman" w:hAnsi="Times New Roman" w:cs="Times New Roman" w:eastAsia="Times New Roman" w:hint="default"/>
        </w:rPr>
        <w:t>“</w:t>
      </w:r>
      <w:r>
        <w:rPr/>
        <w:t>智能电网信息化软件</w:t>
      </w:r>
      <w:r>
        <w:rPr>
          <w:rFonts w:ascii="Times New Roman" w:hAnsi="Times New Roman" w:cs="Times New Roman" w:eastAsia="Times New Roman" w:hint="default"/>
        </w:rPr>
        <w:t>”</w:t>
      </w:r>
      <w:r>
        <w:rPr/>
        <w:t>专业领域中进行技术研发，报告期内公司共投入</w:t>
      </w:r>
      <w:r>
        <w:rPr>
          <w:rFonts w:ascii="Times New Roman" w:hAnsi="Times New Roman" w:cs="Times New Roman" w:eastAsia="Times New Roman" w:hint="default"/>
        </w:rPr>
        <w:t>2208.15</w:t>
      </w:r>
      <w:r>
        <w:rPr>
          <w:rFonts w:ascii="Times New Roman" w:hAnsi="Times New Roman" w:cs="Times New Roman" w:eastAsia="Times New Roman" w:hint="default"/>
          <w:spacing w:val="-1"/>
        </w:rPr>
        <w:t> </w:t>
      </w:r>
      <w:r>
        <w:rPr>
          <w:spacing w:val="-1"/>
        </w:rPr>
        <w:t>万元用于研发，公司的研发投入主要用于</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智能终端嵌入式软件及产品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智能电网信息化软件</w:t>
      </w:r>
      <w:r>
        <w:rPr>
          <w:rFonts w:ascii="Times New Roman" w:hAnsi="Times New Roman" w:cs="Times New Roman" w:eastAsia="Times New Roman" w:hint="default"/>
          <w:spacing w:val="-1"/>
        </w:rPr>
        <w:t>”</w:t>
      </w:r>
      <w:r>
        <w:rPr>
          <w:spacing w:val="-1"/>
        </w:rPr>
        <w:t>等专业</w:t>
      </w:r>
      <w:r>
        <w:rPr>
          <w:spacing w:val="-60"/>
        </w:rPr>
        <w:t> </w:t>
      </w:r>
      <w:r>
        <w:rPr/>
        <w:t>领域的自主知识产权软硬件产品的研发。报告期内，共有</w:t>
      </w:r>
      <w:r>
        <w:rPr>
          <w:rFonts w:ascii="Times New Roman" w:hAnsi="Times New Roman" w:cs="Times New Roman" w:eastAsia="Times New Roman" w:hint="default"/>
        </w:rPr>
        <w:t>22</w:t>
      </w:r>
      <w:r>
        <w:rPr/>
        <w:t>个研发项目立项，申请</w:t>
      </w:r>
      <w:r>
        <w:rPr>
          <w:rFonts w:ascii="Times New Roman" w:hAnsi="Times New Roman" w:cs="Times New Roman" w:eastAsia="Times New Roman" w:hint="default"/>
        </w:rPr>
        <w:t>2</w:t>
      </w:r>
      <w:r>
        <w:rPr/>
        <w:t>个发明专利，获得</w:t>
      </w:r>
      <w:r>
        <w:rPr>
          <w:rFonts w:ascii="Times New Roman" w:hAnsi="Times New Roman" w:cs="Times New Roman" w:eastAsia="Times New Roman" w:hint="default"/>
        </w:rPr>
        <w:t>7</w:t>
      </w:r>
      <w:r>
        <w:rPr/>
        <w:t>项软件著作权、</w:t>
      </w:r>
      <w:r>
        <w:rPr>
          <w:rFonts w:ascii="Times New Roman" w:hAnsi="Times New Roman" w:cs="Times New Roman" w:eastAsia="Times New Roman" w:hint="default"/>
        </w:rPr>
        <w:t>5</w:t>
      </w:r>
      <w:r>
        <w:rPr/>
        <w:t>项 软件产品登记证书。</w:t>
      </w:r>
    </w:p>
    <w:p>
      <w:pPr>
        <w:spacing w:line="240" w:lineRule="auto" w:before="0"/>
        <w:rPr>
          <w:rFonts w:ascii="宋体" w:hAnsi="宋体" w:cs="宋体" w:eastAsia="宋体" w:hint="default"/>
          <w:sz w:val="18"/>
          <w:szCs w:val="18"/>
        </w:rPr>
      </w:pPr>
    </w:p>
    <w:p>
      <w:pPr>
        <w:pStyle w:val="BodyText"/>
        <w:spacing w:line="357" w:lineRule="auto" w:before="148"/>
        <w:ind w:right="4410"/>
        <w:jc w:val="left"/>
      </w:pPr>
      <w:r>
        <w:rPr/>
        <w:t>公司回顾总结前期披露的发展战略和经营计划在报告期内的进展情况 无。</w:t>
      </w:r>
    </w:p>
    <w:p>
      <w:pPr>
        <w:pStyle w:val="BodyText"/>
        <w:spacing w:line="240" w:lineRule="auto" w:before="28"/>
        <w:ind w:right="90"/>
        <w:jc w:val="left"/>
      </w:pPr>
      <w:r>
        <w:rPr/>
        <w:t>公司实际经营业绩较曾公开披露过的本年度盈利预测低于或高于</w:t>
      </w:r>
      <w:r>
        <w:rPr>
          <w:spacing w:val="-47"/>
        </w:rPr>
        <w:t> </w:t>
      </w:r>
      <w:r>
        <w:rPr>
          <w:rFonts w:ascii="Times New Roman" w:hAnsi="Times New Roman" w:cs="Times New Roman" w:eastAsia="Times New Roman" w:hint="default"/>
        </w:rPr>
        <w:t>20%</w:t>
      </w:r>
      <w:r>
        <w:rPr/>
        <w:t>以上的差异原因</w:t>
      </w:r>
    </w:p>
    <w:p>
      <w:pPr>
        <w:pStyle w:val="BodyText"/>
        <w:spacing w:line="240" w:lineRule="auto" w:before="103"/>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370"/>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4"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计算机软件开发 与咨询</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377,412,444.20</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228,137,578.68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81.19%</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140,660,246.82</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75,502,666.67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41.24%</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智能终端嵌入式 软件</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98,747,682.44</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50,688,846.72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智能电网应用软 件</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49,955,431.20</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27,979,852.70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41,890,516.52</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36,589,875.59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其它软件</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25,781,018.52</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17,442,248.63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外购软硬件销售</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20,377,548.70</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19,934,088.37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73.49%</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370"/>
      </w:tblGrid>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115,292,964.97</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57,175,769.15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262,119,479.23</w:t>
            </w:r>
            <w:r>
              <w:rPr>
                <w:rFonts w:ascii="Times New Roman"/>
                <w:sz w:val="18"/>
              </w:rPr>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170,961,809.53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109.71%</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-6.79%</w:t>
            </w:r>
          </w:p>
        </w:tc>
      </w:tr>
    </w:tbl>
    <w:p>
      <w:pPr>
        <w:pStyle w:val="BodyText"/>
        <w:spacing w:line="240" w:lineRule="auto" w:before="5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513,711,110.4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60.47%</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149,348,362.22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39.05%</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w:t>
            </w:r>
            <w:r>
              <w:rPr>
                <w:rFonts w:ascii="Times New Roman"/>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公司本年度在创业板上市募集资金 所致。</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127,484,338.7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66,328,361.83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公司业务增长，合同账期内应收款项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相应增长。</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21,156,410.06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2.49%</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公司外购的以备出售的软件产品增 加。</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121,898,492.1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w:t>
            </w:r>
            <w:r>
              <w:rPr>
                <w:rFonts w:ascii="Times New Roman"/>
                <w:sz w:val="18"/>
              </w:rPr>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119,111,414.83</w:t>
            </w:r>
            <w:r>
              <w:rPr>
                <w:rFonts w:ascii="Times New Roman"/>
                <w:sz w:val="18"/>
              </w:rPr>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公司员工增加，电脑等办公设备相应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p>
        </w:tc>
      </w:tr>
      <w:tr>
        <w:trPr>
          <w:trHeight w:val="1026"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6,327,788.29</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0.74%</w:t>
            </w:r>
            <w:r>
              <w:rPr>
                <w:rFonts w:ascii="Times New Roman"/>
                <w:w w:val="95"/>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04"/>
              <w:jc w:val="both"/>
              <w:rPr>
                <w:rFonts w:ascii="宋体" w:hAnsi="宋体" w:cs="宋体" w:eastAsia="宋体" w:hint="default"/>
                <w:sz w:val="18"/>
                <w:szCs w:val="18"/>
              </w:rPr>
            </w:pPr>
            <w:r>
              <w:rPr>
                <w:rFonts w:ascii="宋体" w:hAnsi="宋体" w:cs="宋体" w:eastAsia="宋体" w:hint="default"/>
                <w:sz w:val="18"/>
                <w:szCs w:val="18"/>
              </w:rPr>
              <w:t>公司子公司外包园公司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润和国际软 件外包研发总部基地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项目前期投入 增加。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25.1%</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公司归还部分流动资金贷款。</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2,530,417.36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4,107,704.74</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1.07%</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公司子公司东京润和分期归还长期 借款。</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4"/>
        <w:gridCol w:w="1512"/>
        <w:gridCol w:w="1513"/>
        <w:gridCol w:w="1512"/>
        <w:gridCol w:w="1514"/>
        <w:gridCol w:w="1512"/>
      </w:tblGrid>
      <w:tr>
        <w:trPr>
          <w:trHeight w:val="714"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71"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1" w:right="29"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8"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2" w:type="dxa"/>
            <w:tcBorders>
              <w:top w:val="single" w:sz="4" w:space="0" w:color="010101"/>
              <w:left w:val="single" w:sz="4" w:space="0" w:color="010101"/>
              <w:bottom w:val="single" w:sz="4" w:space="0" w:color="010101"/>
              <w:right w:val="single" w:sz="4" w:space="0" w:color="010101"/>
            </w:tcBorders>
          </w:tcPr>
          <w:p>
            <w:pP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897,600.00</w:t>
            </w:r>
          </w:p>
        </w:tc>
        <w:tc>
          <w:tcPr>
            <w:tcW w:w="1512" w:type="dxa"/>
            <w:tcBorders>
              <w:top w:val="single" w:sz="4" w:space="0" w:color="010101"/>
              <w:left w:val="single" w:sz="4" w:space="0" w:color="010101"/>
              <w:bottom w:val="single" w:sz="4" w:space="0" w:color="010101"/>
              <w:right w:val="single" w:sz="4" w:space="0" w:color="010101"/>
            </w:tcBorders>
          </w:tcPr>
          <w:p>
            <w:pPr/>
          </w:p>
        </w:tc>
        <w:tc>
          <w:tcPr>
            <w:tcW w:w="1514" w:type="dxa"/>
            <w:tcBorders>
              <w:top w:val="single" w:sz="4" w:space="0" w:color="010101"/>
              <w:left w:val="single" w:sz="4" w:space="0" w:color="010101"/>
              <w:bottom w:val="single" w:sz="4" w:space="0" w:color="010101"/>
              <w:right w:val="single" w:sz="4" w:space="0" w:color="010101"/>
            </w:tcBorders>
          </w:tcPr>
          <w:p>
            <w:pP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897,600.00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897,600.00</w:t>
            </w:r>
          </w:p>
        </w:tc>
        <w:tc>
          <w:tcPr>
            <w:tcW w:w="1512" w:type="dxa"/>
            <w:tcBorders>
              <w:top w:val="single" w:sz="4" w:space="0" w:color="010101"/>
              <w:left w:val="single" w:sz="4" w:space="0" w:color="010101"/>
              <w:bottom w:val="single" w:sz="4" w:space="0" w:color="010101"/>
              <w:right w:val="single" w:sz="4" w:space="0" w:color="010101"/>
            </w:tcBorders>
          </w:tcPr>
          <w:p>
            <w:pPr/>
          </w:p>
        </w:tc>
        <w:tc>
          <w:tcPr>
            <w:tcW w:w="1514" w:type="dxa"/>
            <w:tcBorders>
              <w:top w:val="single" w:sz="4" w:space="0" w:color="010101"/>
              <w:left w:val="single" w:sz="4" w:space="0" w:color="010101"/>
              <w:bottom w:val="single" w:sz="4" w:space="0" w:color="010101"/>
              <w:right w:val="single" w:sz="4" w:space="0" w:color="010101"/>
            </w:tcBorders>
          </w:tcPr>
          <w:p>
            <w:pP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897,600.00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
        </w:tc>
        <w:tc>
          <w:tcPr>
            <w:tcW w:w="1512" w:type="dxa"/>
            <w:tcBorders>
              <w:top w:val="single" w:sz="4" w:space="0" w:color="010101"/>
              <w:left w:val="single" w:sz="4" w:space="0" w:color="010101"/>
              <w:bottom w:val="single" w:sz="4" w:space="0" w:color="010101"/>
              <w:right w:val="single" w:sz="4" w:space="0" w:color="010101"/>
            </w:tcBorders>
          </w:tcPr>
          <w:p>
            <w:pPr/>
          </w:p>
        </w:tc>
        <w:tc>
          <w:tcPr>
            <w:tcW w:w="1514" w:type="dxa"/>
            <w:tcBorders>
              <w:top w:val="single" w:sz="4" w:space="0" w:color="010101"/>
              <w:left w:val="single" w:sz="4" w:space="0" w:color="010101"/>
              <w:bottom w:val="single" w:sz="4" w:space="0" w:color="010101"/>
              <w:right w:val="single" w:sz="4" w:space="0" w:color="010101"/>
            </w:tcBorders>
          </w:tcPr>
          <w:p>
            <w:pP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left="113" w:right="109" w:firstLine="540"/>
        <w:jc w:val="both"/>
      </w:pPr>
      <w:r>
        <w:rPr>
          <w:spacing w:val="-2"/>
        </w:rPr>
        <w:t>公司多年来一直坚持</w:t>
      </w:r>
      <w:r>
        <w:rPr>
          <w:rFonts w:ascii="Times New Roman" w:hAnsi="Times New Roman" w:cs="Times New Roman" w:eastAsia="Times New Roman" w:hint="default"/>
          <w:spacing w:val="-2"/>
        </w:rPr>
        <w:t>“</w:t>
      </w:r>
      <w:r>
        <w:rPr>
          <w:spacing w:val="-2"/>
        </w:rPr>
        <w:t>国际化、专业化、高端化</w:t>
      </w:r>
      <w:r>
        <w:rPr>
          <w:rFonts w:ascii="Times New Roman" w:hAnsi="Times New Roman" w:cs="Times New Roman" w:eastAsia="Times New Roman" w:hint="default"/>
          <w:spacing w:val="-2"/>
        </w:rPr>
        <w:t>”</w:t>
      </w:r>
      <w:r>
        <w:rPr>
          <w:spacing w:val="-2"/>
        </w:rPr>
        <w:t>的发展战略，通过结合离岸成本优势，累积行业技术经验以及灵活调</w:t>
      </w:r>
      <w:r>
        <w:rPr/>
        <w:t> </w:t>
      </w:r>
      <w:r>
        <w:rPr>
          <w:spacing w:val="-1"/>
        </w:rPr>
        <w:t>度企业内外部资源，已在</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智能终端嵌入式软件及产品</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智能电网信息化软件</w:t>
      </w:r>
      <w:r>
        <w:rPr>
          <w:rFonts w:ascii="Times New Roman" w:hAnsi="Times New Roman" w:cs="Times New Roman" w:eastAsia="Times New Roman" w:hint="default"/>
          <w:spacing w:val="-1"/>
        </w:rPr>
        <w:t>”</w:t>
      </w:r>
      <w:r>
        <w:rPr>
          <w:spacing w:val="-1"/>
        </w:rPr>
        <w:t>等专业领域打造了具有</w:t>
      </w:r>
      <w:r>
        <w:rPr>
          <w:spacing w:val="-58"/>
        </w:rPr>
        <w:t> </w:t>
      </w:r>
      <w:r>
        <w:rPr/>
        <w:t>一定市场影响力的高端软件服务品牌，随着公司成功上市，公司的品牌影响力得到了进一步提升。</w:t>
      </w:r>
    </w:p>
    <w:p>
      <w:pPr>
        <w:pStyle w:val="BodyText"/>
        <w:spacing w:line="309" w:lineRule="auto" w:before="31"/>
        <w:ind w:right="111" w:firstLine="630"/>
        <w:jc w:val="both"/>
      </w:pPr>
      <w:r>
        <w:rPr/>
        <w:t>报告期内，公司主营业务中新开拓的智能终端产品销售业务是公司已有的三大专业领域之</w:t>
      </w:r>
      <w:r>
        <w:rPr>
          <w:rFonts w:ascii="Times New Roman" w:hAnsi="Times New Roman" w:cs="Times New Roman" w:eastAsia="Times New Roman" w:hint="default"/>
        </w:rPr>
        <w:t>“</w:t>
      </w:r>
      <w:r>
        <w:rPr/>
        <w:t>智能终端嵌入式软件</w:t>
      </w:r>
      <w:r>
        <w:rPr>
          <w:rFonts w:ascii="Times New Roman" w:hAnsi="Times New Roman" w:cs="Times New Roman" w:eastAsia="Times New Roman" w:hint="default"/>
        </w:rPr>
        <w:t>”</w:t>
      </w:r>
      <w:r>
        <w:rPr/>
        <w:t>业 </w:t>
      </w:r>
      <w:r>
        <w:rPr>
          <w:spacing w:val="-2"/>
        </w:rPr>
        <w:t>务的延伸，该业务是为客户提供智能终端设备的硬件和系统软件设计及研发服务，同时将公司自主开发的智能终端嵌入式软</w:t>
      </w:r>
      <w:r>
        <w:rPr>
          <w:spacing w:val="-64"/>
        </w:rPr>
        <w:t> </w:t>
      </w:r>
      <w:r>
        <w:rPr>
          <w:spacing w:val="-64"/>
        </w:rPr>
      </w:r>
      <w:r>
        <w:rPr/>
        <w:t>件产品集成在产品内向客户销售，该业务的开拓提高了公司在智能终端嵌入式软件及产品业务领域的核心竞争力。</w:t>
      </w:r>
    </w:p>
    <w:p>
      <w:pPr>
        <w:pStyle w:val="BodyText"/>
        <w:spacing w:line="309" w:lineRule="auto" w:before="24"/>
        <w:ind w:right="109" w:firstLine="540"/>
        <w:jc w:val="both"/>
      </w:pPr>
      <w:r>
        <w:rPr>
          <w:spacing w:val="-1"/>
        </w:rPr>
        <w:t>报告期内，</w:t>
      </w:r>
      <w:r>
        <w:rPr>
          <w:rFonts w:ascii="Times New Roman" w:hAnsi="Times New Roman" w:cs="Times New Roman" w:eastAsia="Times New Roman" w:hint="default"/>
          <w:spacing w:val="-1"/>
        </w:rPr>
        <w:t>“</w:t>
      </w:r>
      <w:r>
        <w:rPr>
          <w:spacing w:val="-1"/>
        </w:rPr>
        <w:t>供应链管理软件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智能终端嵌入式软件及产品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智能电网信息化软件</w:t>
      </w:r>
      <w:r>
        <w:rPr>
          <w:rFonts w:ascii="Times New Roman" w:hAnsi="Times New Roman" w:cs="Times New Roman" w:eastAsia="Times New Roman" w:hint="default"/>
          <w:spacing w:val="-1"/>
        </w:rPr>
        <w:t>”</w:t>
      </w:r>
      <w:r>
        <w:rPr>
          <w:spacing w:val="-1"/>
        </w:rPr>
        <w:t>业务领域的业务都保持稳定增</w:t>
      </w:r>
      <w:r>
        <w:rPr/>
        <w:t> </w:t>
      </w:r>
      <w:r>
        <w:rPr>
          <w:spacing w:val="-2"/>
        </w:rPr>
        <w:t>长，并通过研发创新的投入，获取了与核心业务领域相关的拥有自主知识产权的著作权、软件产品及专利，进一步提高了公</w:t>
      </w:r>
      <w:r>
        <w:rPr>
          <w:spacing w:val="-66"/>
        </w:rPr>
        <w:t> </w:t>
      </w:r>
      <w:r>
        <w:rPr>
          <w:spacing w:val="-66"/>
        </w:rPr>
      </w:r>
      <w:r>
        <w:rPr/>
        <w:t>司的核心竞争力。</w:t>
      </w:r>
    </w:p>
    <w:p>
      <w:pPr>
        <w:pStyle w:val="BodyText"/>
        <w:spacing w:line="316" w:lineRule="auto" w:before="24"/>
        <w:ind w:right="109" w:firstLine="540"/>
        <w:jc w:val="both"/>
      </w:pPr>
      <w:r>
        <w:rPr>
          <w:spacing w:val="-2"/>
        </w:rPr>
        <w:t>报告期内，公司未发生因技术升级换代、核心技术人员辞职、产品质量问题等导致公司核心竞争能力受到严重影响的</w:t>
      </w:r>
      <w:r>
        <w:rPr/>
        <w:t> 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0"/>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35,181.47</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6,986.71</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6,986.71</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72"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w:t>
            </w:r>
            <w:r>
              <w:rPr>
                <w:rFonts w:ascii="宋体" w:hAnsi="宋体" w:cs="宋体" w:eastAsia="宋体" w:hint="default"/>
                <w:spacing w:val="-16"/>
                <w:sz w:val="18"/>
                <w:szCs w:val="18"/>
              </w:rPr>
              <w:t>，</w:t>
            </w:r>
            <w:r>
              <w:rPr>
                <w:rFonts w:ascii="宋体" w:hAnsi="宋体" w:cs="宋体" w:eastAsia="宋体" w:hint="default"/>
                <w:sz w:val="18"/>
                <w:szCs w:val="18"/>
              </w:rPr>
              <w:t>公司募集资金使用情况为</w:t>
            </w:r>
            <w:r>
              <w:rPr>
                <w:rFonts w:ascii="宋体" w:hAnsi="宋体" w:cs="宋体" w:eastAsia="宋体" w:hint="default"/>
                <w:spacing w:val="-10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直接投入募集资金项目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使用超过募集资金项目投资计</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8"/>
          <w:szCs w:val="28"/>
        </w:rPr>
      </w:pPr>
      <w:r>
        <w:rPr/>
        <w:pict>
          <v:shape style="position:absolute;margin-left:56.939999pt;margin-top:734.52002pt;width:88.1pt;height:19.7pt;mso-position-horizontal-relative:page;mso-position-vertical-relative:page;z-index:-1031992" type="#_x0000_t202" filled="false" stroked="false">
            <v:textbox inset="0,0,0,0">
              <w:txbxContent>
                <w:p>
                  <w:pPr>
                    <w:pStyle w:val="BodyText"/>
                    <w:spacing w:line="196" w:lineRule="exact" w:before="0"/>
                    <w:ind w:left="22" w:right="0"/>
                    <w:jc w:val="left"/>
                  </w:pPr>
                  <w:r>
                    <w:rPr/>
                    <w:t>补充流动资金情况</w:t>
                  </w:r>
                </w:p>
              </w:txbxContent>
            </v:textbox>
            <w10:wrap type="none"/>
          </v:shape>
        </w:pict>
      </w:r>
    </w:p>
    <w:p>
      <w:pPr>
        <w:spacing w:line="1298" w:lineRule="exact"/>
        <w:ind w:left="114"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45pt;height:64.95pt;mso-position-horizontal-relative:char;mso-position-vertical-relative:line" type="#_x0000_t202" filled="false" stroked="true" strokeweight=".48pt" strokecolor="#010101">
            <w10:anchorlock/>
            <v:textbox inset="0,0,0,0">
              <w:txbxContent>
                <w:p>
                  <w:pPr>
                    <w:pStyle w:val="BodyText"/>
                    <w:spacing w:line="240" w:lineRule="auto" w:before="10"/>
                    <w:ind w:left="22" w:right="0"/>
                    <w:jc w:val="left"/>
                  </w:pPr>
                  <w:r>
                    <w:rPr/>
                    <w:t>划部分资金</w:t>
                  </w:r>
                  <w:r>
                    <w:rPr>
                      <w:spacing w:val="-45"/>
                    </w:rPr>
                    <w:t> </w:t>
                  </w:r>
                  <w:r>
                    <w:rPr>
                      <w:rFonts w:ascii="Times New Roman" w:hAnsi="Times New Roman" w:cs="Times New Roman" w:eastAsia="Times New Roman" w:hint="default"/>
                    </w:rPr>
                    <w:t>3,500.00</w:t>
                  </w:r>
                  <w:r>
                    <w:rPr>
                      <w:rFonts w:ascii="Times New Roman" w:hAnsi="Times New Roman" w:cs="Times New Roman" w:eastAsia="Times New Roman" w:hint="default"/>
                      <w:spacing w:val="-1"/>
                    </w:rPr>
                    <w:t> </w:t>
                  </w:r>
                  <w:r>
                    <w:rPr/>
                    <w:t>万元永久性补充流动资金</w:t>
                  </w:r>
                  <w:r>
                    <w:rPr>
                      <w:spacing w:val="-104"/>
                    </w:rPr>
                    <w:t>；</w:t>
                  </w:r>
                  <w:r>
                    <w:rPr/>
                    <w:t>（</w:t>
                  </w:r>
                  <w:r>
                    <w:rPr>
                      <w:rFonts w:ascii="Times New Roman" w:hAnsi="Times New Roman" w:cs="Times New Roman" w:eastAsia="Times New Roman" w:hint="default"/>
                    </w:rPr>
                    <w:t>3</w:t>
                  </w:r>
                  <w:r>
                    <w:rPr>
                      <w:spacing w:val="-15"/>
                    </w:rPr>
                    <w:t>）</w:t>
                  </w:r>
                  <w:r>
                    <w:rPr/>
                    <w:t>使用超过募集资金项目投资计划部分资金</w:t>
                  </w:r>
                  <w:r>
                    <w:rPr>
                      <w:spacing w:val="-46"/>
                    </w:rPr>
                    <w:t> </w:t>
                  </w:r>
                  <w:r>
                    <w:rPr>
                      <w:rFonts w:ascii="Times New Roman" w:hAnsi="Times New Roman" w:cs="Times New Roman" w:eastAsia="Times New Roman" w:hint="default"/>
                    </w:rPr>
                    <w:t>2,000.00 </w:t>
                  </w:r>
                  <w:r>
                    <w:rPr/>
                    <w:t>万元设立全资子公</w:t>
                  </w:r>
                </w:p>
                <w:p>
                  <w:pPr>
                    <w:pStyle w:val="BodyText"/>
                    <w:spacing w:line="240" w:lineRule="auto" w:before="63"/>
                    <w:ind w:left="22" w:right="0"/>
                    <w:jc w:val="left"/>
                  </w:pPr>
                  <w:r>
                    <w:rPr/>
                    <w:t>司西安润和软件信息技术有限公司。截至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日，公司合计已使用募集资金</w:t>
                  </w:r>
                  <w:r>
                    <w:rPr>
                      <w:spacing w:val="-45"/>
                    </w:rPr>
                    <w:t> </w:t>
                  </w:r>
                  <w:r>
                    <w:rPr>
                      <w:rFonts w:ascii="Times New Roman" w:hAnsi="Times New Roman" w:cs="Times New Roman" w:eastAsia="Times New Roman" w:hint="default"/>
                    </w:rPr>
                    <w:t>6,986.71</w:t>
                  </w:r>
                  <w:r>
                    <w:rPr>
                      <w:rFonts w:ascii="Times New Roman" w:hAnsi="Times New Roman" w:cs="Times New Roman" w:eastAsia="Times New Roman" w:hint="default"/>
                      <w:spacing w:val="-1"/>
                    </w:rPr>
                    <w:t> </w:t>
                  </w:r>
                  <w:r>
                    <w:rPr/>
                    <w:t>万元，尚未使用的金额</w:t>
                  </w:r>
                </w:p>
                <w:p>
                  <w:pPr>
                    <w:pStyle w:val="BodyText"/>
                    <w:tabs>
                      <w:tab w:pos="1912" w:val="left" w:leader="none"/>
                    </w:tabs>
                    <w:spacing w:line="240" w:lineRule="auto" w:before="63"/>
                    <w:ind w:left="22" w:right="0"/>
                    <w:jc w:val="left"/>
                  </w:pPr>
                  <w:r>
                    <w:rPr/>
                    <w:t>为</w:t>
                  </w:r>
                  <w:r>
                    <w:rPr>
                      <w:spacing w:val="-45"/>
                    </w:rPr>
                    <w:t> </w:t>
                  </w:r>
                  <w:r>
                    <w:rPr>
                      <w:rFonts w:ascii="Times New Roman" w:hAnsi="Times New Roman" w:cs="Times New Roman" w:eastAsia="Times New Roman" w:hint="default"/>
                    </w:rPr>
                    <w:t>28,194.76</w:t>
                  </w:r>
                  <w:r>
                    <w:rPr>
                      <w:rFonts w:ascii="Times New Roman" w:hAnsi="Times New Roman" w:cs="Times New Roman" w:eastAsia="Times New Roman" w:hint="default"/>
                      <w:spacing w:val="-1"/>
                    </w:rPr>
                    <w:t> </w:t>
                  </w:r>
                  <w:r>
                    <w:rPr/>
                    <w:t>万元。</w:t>
                    <w:tab/>
                    <w:t>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日，公司募集资金专户余额为</w:t>
                  </w:r>
                  <w:r>
                    <w:rPr>
                      <w:spacing w:val="-45"/>
                    </w:rPr>
                    <w:t> </w:t>
                  </w:r>
                  <w:r>
                    <w:rPr>
                      <w:rFonts w:ascii="Times New Roman" w:hAnsi="Times New Roman" w:cs="Times New Roman" w:eastAsia="Times New Roman" w:hint="default"/>
                    </w:rPr>
                    <w:t>28,251.68</w:t>
                  </w:r>
                  <w:r>
                    <w:rPr>
                      <w:rFonts w:ascii="Times New Roman" w:hAnsi="Times New Roman" w:cs="Times New Roman" w:eastAsia="Times New Roman" w:hint="default"/>
                      <w:spacing w:val="-1"/>
                    </w:rPr>
                    <w:t> </w:t>
                  </w:r>
                  <w:r>
                    <w:rPr/>
                    <w:t>万元，与尚未使用的募集资金余额</w:t>
                  </w:r>
                </w:p>
                <w:p>
                  <w:pPr>
                    <w:pStyle w:val="BodyText"/>
                    <w:spacing w:line="240" w:lineRule="auto" w:before="63"/>
                    <w:ind w:left="22" w:right="0"/>
                    <w:jc w:val="left"/>
                  </w:pPr>
                  <w:r>
                    <w:rPr/>
                    <w:t>的差异为</w:t>
                  </w:r>
                  <w:r>
                    <w:rPr>
                      <w:spacing w:val="-45"/>
                    </w:rPr>
                    <w:t> </w:t>
                  </w:r>
                  <w:r>
                    <w:rPr>
                      <w:rFonts w:ascii="Times New Roman" w:hAnsi="Times New Roman" w:cs="Times New Roman" w:eastAsia="Times New Roman" w:hint="default"/>
                    </w:rPr>
                    <w:t>56.92</w:t>
                  </w:r>
                  <w:r>
                    <w:rPr>
                      <w:rFonts w:ascii="Times New Roman" w:hAnsi="Times New Roman" w:cs="Times New Roman" w:eastAsia="Times New Roman" w:hint="default"/>
                      <w:spacing w:val="-1"/>
                    </w:rPr>
                    <w:t> </w:t>
                  </w:r>
                  <w:r>
                    <w:rPr/>
                    <w:t>万元，系募集资金账户银行利息收入</w:t>
                  </w:r>
                  <w:r>
                    <w:rPr>
                      <w:spacing w:val="-46"/>
                    </w:rPr>
                    <w:t> </w:t>
                  </w:r>
                  <w:r>
                    <w:rPr>
                      <w:rFonts w:ascii="Times New Roman" w:hAnsi="Times New Roman" w:cs="Times New Roman" w:eastAsia="Times New Roman" w:hint="default"/>
                    </w:rPr>
                    <w:t>57.12</w:t>
                  </w:r>
                  <w:r>
                    <w:rPr>
                      <w:rFonts w:ascii="Times New Roman" w:hAnsi="Times New Roman" w:cs="Times New Roman" w:eastAsia="Times New Roman" w:hint="default"/>
                      <w:spacing w:val="-1"/>
                    </w:rPr>
                    <w:t> </w:t>
                  </w:r>
                  <w:r>
                    <w:rPr/>
                    <w:t>万元减去银行手续费支出</w:t>
                  </w:r>
                  <w:r>
                    <w:rPr>
                      <w:spacing w:val="-45"/>
                    </w:rPr>
                    <w:t> </w:t>
                  </w:r>
                  <w:r>
                    <w:rPr>
                      <w:rFonts w:ascii="Times New Roman" w:hAnsi="Times New Roman" w:cs="Times New Roman" w:eastAsia="Times New Roman" w:hint="default"/>
                    </w:rPr>
                    <w:t>0.20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25"/>
          <w:sz w:val="20"/>
          <w:szCs w:val="20"/>
        </w:rPr>
      </w:r>
    </w:p>
    <w:p>
      <w:pPr>
        <w:spacing w:line="240" w:lineRule="auto" w:before="8"/>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1338"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供应链管理软件外包 中心扩建项目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6,507.15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6,507.15</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11.1%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智能终端嵌入式软件 外包中心扩建项目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10,069.55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10,069.55</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764.71</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764.71</w:t>
            </w:r>
            <w:r>
              <w:rPr>
                <w:rFonts w:ascii="Times New Roman"/>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7.59%</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16,576.7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16,576.7</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1,486.71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1,486.71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-183.65</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3,500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3,500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3,500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设立西安全资子公司</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2,000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2,000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327"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5,500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5,500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5,500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5,500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22,076.7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22,076.7</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6,986.71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6,986.71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-183.65</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、供应链管理软件外包中心扩建项目本年度尚处于投入期。</w:t>
            </w:r>
            <w:r>
              <w:rPr>
                <w:rFonts w:ascii="Times New Roman" w:hAnsi="Times New Roman" w:cs="Times New Roman" w:eastAsia="Times New Roman" w:hint="default"/>
                <w:sz w:val="18"/>
                <w:szCs w:val="18"/>
              </w:rPr>
              <w:t>2</w:t>
            </w:r>
            <w:r>
              <w:rPr>
                <w:rFonts w:ascii="宋体" w:hAnsi="宋体" w:cs="宋体" w:eastAsia="宋体" w:hint="default"/>
                <w:sz w:val="18"/>
                <w:szCs w:val="18"/>
              </w:rPr>
              <w:t>、智能终端嵌入式软件外包中心扩建 项目本年度尚处于投入期。</w:t>
            </w:r>
          </w:p>
        </w:tc>
      </w:tr>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本期累计使用超募资金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pacing w:val="-3"/>
                <w:sz w:val="18"/>
                <w:szCs w:val="18"/>
              </w:rPr>
              <w:t>万元，其中用于永久性补充流动资金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pacing w:val="-4"/>
                <w:sz w:val="18"/>
                <w:szCs w:val="18"/>
              </w:rPr>
              <w:t>万元，用于设立西安全资子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公司西安润和软件信息技术有限公司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footerReference w:type="default" r:id="rId13"/>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尚未使用的募集资金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包括超募资金）全部存储在募集资金银行专户中，按募集资金管理制度严格管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理和使用。</w:t>
            </w: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6"/>
      </w:tblGrid>
      <w:tr>
        <w:trPr>
          <w:trHeight w:val="1338"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22" w:right="20"/>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362" w:lineRule="auto" w:before="58"/>
              <w:ind w:left="55" w:right="46"/>
              <w:jc w:val="center"/>
              <w:rPr>
                <w:rFonts w:ascii="Times New Roman" w:hAnsi="Times New Roman" w:cs="Times New Roman" w:eastAsia="Times New Roman" w:hint="default"/>
                <w:sz w:val="18"/>
                <w:szCs w:val="18"/>
              </w:rPr>
            </w:pPr>
            <w:r>
              <w:rPr>
                <w:rFonts w:ascii="Times New Roman"/>
                <w:sz w:val="18"/>
              </w:rPr>
              <w:t>(%)(3)=(2)/ (1)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gridSpan w:val="7"/>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ind w:left="0" w:right="135"/>
        <w:jc w:val="right"/>
      </w:pPr>
      <w:r>
        <w:rPr/>
        <w:pict>
          <v:shape style="position:absolute;margin-left:56.459999pt;margin-top:-143.588287pt;width:479.05pt;height:303.8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润和国际软件外包 研发总部基地项目</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49,144.1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535.55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535.55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49,144.1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535.55</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3834" w:hRule="exact"/>
                    </w:trPr>
                    <w:tc>
                      <w:tcPr>
                        <w:tcW w:w="9566"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88" w:right="0"/>
                          <w:jc w:val="center"/>
                          <w:rPr>
                            <w:rFonts w:ascii="宋体" w:hAnsi="宋体" w:cs="宋体" w:eastAsia="宋体" w:hint="default"/>
                            <w:sz w:val="18"/>
                            <w:szCs w:val="18"/>
                          </w:rPr>
                        </w:pPr>
                        <w:r>
                          <w:rPr>
                            <w:rFonts w:ascii="宋体" w:hAnsi="宋体" w:cs="宋体" w:eastAsia="宋体" w:hint="default"/>
                            <w:sz w:val="18"/>
                            <w:szCs w:val="18"/>
                          </w:rPr>
                          <w:t>公司全资子公司江苏润和南京软件外包园投资有限公司投资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润和国际软件外包研发总部基地项目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，该项目已于</w:t>
                        </w:r>
                      </w:p>
                      <w:p>
                        <w:pPr>
                          <w:pStyle w:val="TableParagraph"/>
                          <w:tabs>
                            <w:tab w:pos="7397" w:val="left" w:leader="none"/>
                          </w:tabs>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年第一次临时股东大会审议通过。该项目具体内容如下：</w:t>
                          <w:tab/>
                        </w:r>
                        <w:r>
                          <w:rPr>
                            <w:rFonts w:ascii="宋体" w:hAnsi="宋体" w:cs="宋体" w:eastAsia="宋体" w:hint="default"/>
                            <w:spacing w:val="-3"/>
                            <w:sz w:val="18"/>
                            <w:szCs w:val="18"/>
                          </w:rPr>
                          <w:t>项目投资内容：规划总占地</w:t>
                        </w:r>
                      </w:p>
                      <w:p>
                        <w:pPr>
                          <w:pStyle w:val="TableParagraph"/>
                          <w:tabs>
                            <w:tab w:pos="922" w:val="left" w:leader="none"/>
                            <w:tab w:pos="2980" w:val="left" w:leader="none"/>
                            <w:tab w:pos="4563" w:val="left" w:leader="none"/>
                            <w:tab w:pos="5758" w:val="left" w:leader="none"/>
                            <w:tab w:pos="6592" w:val="left" w:leader="none"/>
                          </w:tabs>
                          <w:spacing w:line="307"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面积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平方米，总建筑面积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124494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平方米，建设内容主要为园区办公、研发及配套设施等，总投资约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49144.1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项目建设地址：中国（南京）软件谷的核心区域，地处南京市雨花台区铁心桥街道，北临软件大道，东临阅宁路，南临规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划公交站与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玉兰变，西临规划道路（未建成）</w:t>
                          <w:tab/>
                        </w:r>
                        <w:r>
                          <w:rPr>
                            <w:rFonts w:ascii="宋体" w:hAnsi="宋体" w:cs="宋体" w:eastAsia="宋体" w:hint="default"/>
                            <w:spacing w:val="-5"/>
                            <w:sz w:val="18"/>
                            <w:szCs w:val="18"/>
                          </w:rPr>
                          <w:t>项目总投资：预计总投资为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49144.1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万元，其中建设投资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万元，建设期利息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tab/>
                          <w:t>项目建设期：预计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tab/>
                          <w:t>项目预计经济效益分析：项目的收益主要来源于 建成后房屋出租的租金，其中公司的使用率不低于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，且按市场原则结算租金。按项目投资开始后的未来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年作为计 </w:t>
                        </w:r>
                        <w:r>
                          <w:rPr>
                            <w:rFonts w:ascii="宋体" w:hAnsi="宋体" w:cs="宋体" w:eastAsia="宋体" w:hint="default"/>
                            <w:spacing w:val="-2"/>
                            <w:sz w:val="18"/>
                            <w:szCs w:val="18"/>
                          </w:rPr>
                          <w:t>算周期，预计年均营业收入</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8611.2</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万元（不含建设期），年均利润总额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4720.5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万元（不含建设期），项目投资回收期为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12.1 </w:t>
                        </w:r>
                        <w:r>
                          <w:rPr>
                            <w:rFonts w:ascii="宋体" w:hAnsi="宋体" w:cs="宋体" w:eastAsia="宋体" w:hint="default"/>
                            <w:sz w:val="18"/>
                            <w:szCs w:val="18"/>
                          </w:rPr>
                          <w:t>年。</w:t>
                          <w:tab/>
                          <w:t>项目资金来源：自有资金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19144.1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t>该项目的投资对公司未来发展是十分 </w:t>
                        </w:r>
                        <w:r>
                          <w:rPr>
                            <w:rFonts w:ascii="宋体" w:hAnsi="宋体" w:cs="宋体" w:eastAsia="宋体" w:hint="default"/>
                            <w:spacing w:val="-1"/>
                            <w:sz w:val="18"/>
                            <w:szCs w:val="18"/>
                          </w:rPr>
                          <w:t>必要且合理的。从长期看，该项目的投资将有利于公司降低营运成本，提升公司综合竞争力，提升公司的盈利能力，符合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公司的中长期发展战略。该项目工程较大，建设内容多，各工程的进度、质量等目标能否按期实现都会对项目的整体目标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实现有一定的影响。由于市场变化等不确定因素的影响，该项目投资预计的经济效益存在不确定性。</w:t>
                        </w:r>
                      </w:p>
                    </w:tc>
                  </w:tr>
                </w:tbl>
                <w:p>
                  <w:pPr/>
                </w:p>
              </w:txbxContent>
            </v:textbox>
            <w10:wrap type="none"/>
          </v:shape>
        </w:pict>
      </w:r>
      <w:r>
        <w:rPr/>
        <w:t>；</w:t>
      </w:r>
    </w:p>
    <w:p>
      <w:pPr>
        <w:spacing w:after="0" w:line="240" w:lineRule="auto"/>
        <w:jc w:val="right"/>
        <w:sectPr>
          <w:footerReference w:type="default" r:id="rId14"/>
          <w:pgSz w:w="11910" w:h="16840"/>
          <w:pgMar w:footer="980" w:header="747" w:top="1060" w:bottom="1160" w:left="1020" w:right="1020"/>
          <w:pgNumType w:start="21"/>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70"/>
        <w:gridCol w:w="1196"/>
        <w:gridCol w:w="1198"/>
        <w:gridCol w:w="1202"/>
        <w:gridCol w:w="1069"/>
        <w:gridCol w:w="1064"/>
        <w:gridCol w:w="1064"/>
        <w:gridCol w:w="1063"/>
        <w:gridCol w:w="1042"/>
      </w:tblGrid>
      <w:tr>
        <w:trPr>
          <w:trHeight w:val="1026" w:hRule="exact"/>
        </w:trPr>
        <w:tc>
          <w:tcPr>
            <w:tcW w:w="6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66" w:right="77" w:hanging="90"/>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66" w:right="77" w:hanging="90"/>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5" w:right="77"/>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402" w:hRule="exact"/>
        </w:trPr>
        <w:tc>
          <w:tcPr>
            <w:tcW w:w="6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2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100%</w:t>
            </w:r>
          </w:p>
        </w:tc>
        <w:tc>
          <w:tcPr>
            <w:tcW w:w="1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50"/>
        <w:ind w:right="0"/>
        <w:jc w:val="left"/>
      </w:pPr>
      <w:r>
        <w:rPr/>
        <w:t>证券投资情况的说明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pict>
          <v:shape style="position:absolute;margin-left:145.919998pt;margin-top:31.82399pt;width:85.4pt;height:35.3pt;mso-position-horizontal-relative:page;mso-position-vertical-relative:paragraph;z-index:-103194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成本（元）</w:t>
                  </w:r>
                </w:p>
              </w:txbxContent>
            </v:textbox>
            <w10:wrap type="none"/>
          </v:shape>
        </w:pict>
      </w:r>
      <w:r>
        <w:rPr/>
        <w:pict>
          <v:shape style="position:absolute;margin-left:189.419998pt;margin-top:31.82399pt;width:85.4pt;height:35.3pt;mso-position-horizontal-relative:page;mso-position-vertical-relative:paragraph;z-index:-10319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数量（股）</w:t>
                  </w:r>
                </w:p>
              </w:txbxContent>
            </v:textbox>
            <w10:wrap type="none"/>
          </v:shape>
        </w:pict>
      </w:r>
      <w:r>
        <w:rPr/>
        <w:pict>
          <v:shape style="position:absolute;margin-left:276.360291pt;margin-top:31.82399pt;width:85.35pt;height:35.3pt;mso-position-horizontal-relative:page;mso-position-vertical-relative:paragraph;z-index:-10318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数量（股）</w:t>
                  </w:r>
                </w:p>
              </w:txbxContent>
            </v:textbox>
            <w10:wrap type="none"/>
          </v:shape>
        </w:pict>
      </w: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76"/>
        <w:gridCol w:w="881"/>
        <w:gridCol w:w="870"/>
        <w:gridCol w:w="870"/>
        <w:gridCol w:w="869"/>
        <w:gridCol w:w="869"/>
        <w:gridCol w:w="869"/>
        <w:gridCol w:w="869"/>
        <w:gridCol w:w="870"/>
        <w:gridCol w:w="869"/>
        <w:gridCol w:w="854"/>
      </w:tblGrid>
      <w:tr>
        <w:trPr>
          <w:trHeight w:val="714" w:hRule="exact"/>
        </w:trPr>
        <w:tc>
          <w:tcPr>
            <w:tcW w:w="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最初投资</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2" w:hRule="exact"/>
        </w:trPr>
        <w:tc>
          <w:tcPr>
            <w:tcW w:w="175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持有其他上市公司股权情况的说明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968"/>
        <w:gridCol w:w="959"/>
        <w:gridCol w:w="959"/>
        <w:gridCol w:w="958"/>
        <w:gridCol w:w="956"/>
        <w:gridCol w:w="958"/>
        <w:gridCol w:w="956"/>
        <w:gridCol w:w="958"/>
        <w:gridCol w:w="956"/>
        <w:gridCol w:w="942"/>
      </w:tblGrid>
      <w:tr>
        <w:trPr>
          <w:trHeight w:val="714" w:hRule="exact"/>
        </w:trPr>
        <w:tc>
          <w:tcPr>
            <w:tcW w:w="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8" w:right="29"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4" w:right="23"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3" w:right="23" w:hanging="90"/>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29" w:right="23" w:hanging="107"/>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2" w:right="23" w:hanging="90"/>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29" w:right="23" w:hanging="107"/>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2" w:hRule="exact"/>
        </w:trPr>
        <w:tc>
          <w:tcPr>
            <w:tcW w:w="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持有非上市金融企业股权情况的说明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714"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37" w:right="48" w:hanging="90"/>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36" w:right="48" w:hanging="90"/>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360" w:lineRule="auto" w:before="49"/>
        <w:ind w:right="5410"/>
        <w:jc w:val="left"/>
      </w:pPr>
      <w:r>
        <w:rPr/>
        <w:t>报告期内卖出申购取得的新股产生的投资收益总额元。 买卖其他上市公司股份的情况的说明</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2"/>
        <w:gridCol w:w="1656"/>
        <w:gridCol w:w="1594"/>
        <w:gridCol w:w="1592"/>
        <w:gridCol w:w="1594"/>
        <w:gridCol w:w="1590"/>
      </w:tblGrid>
      <w:tr>
        <w:trPr>
          <w:trHeight w:val="714" w:hRule="exact"/>
        </w:trPr>
        <w:tc>
          <w:tcPr>
            <w:tcW w:w="15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10" w:right="7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0" w:right="7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9568"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5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9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left="834" w:right="90"/>
        <w:jc w:val="left"/>
      </w:pPr>
      <w:r>
        <w:rPr>
          <w:rFonts w:ascii="Times New Roman" w:hAnsi="Times New Roman" w:cs="Times New Roman" w:eastAsia="Times New Roman" w:hint="default"/>
        </w:rPr>
        <w:t>(1)</w:t>
      </w:r>
      <w:r>
        <w:rPr/>
        <w:t>外包园公司 外包园公司成立于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日，注册资本</w:t>
      </w:r>
      <w:r>
        <w:rPr>
          <w:rFonts w:ascii="Times New Roman" w:hAnsi="Times New Roman" w:cs="Times New Roman" w:eastAsia="Times New Roman" w:hint="default"/>
        </w:rPr>
        <w:t>6,000</w:t>
      </w:r>
      <w:r>
        <w:rPr/>
        <w:t>万元人民币，实收资本</w:t>
      </w:r>
      <w:r>
        <w:rPr>
          <w:rFonts w:ascii="Times New Roman" w:hAnsi="Times New Roman" w:cs="Times New Roman" w:eastAsia="Times New Roman" w:hint="default"/>
        </w:rPr>
        <w:t>6,000</w:t>
      </w:r>
      <w:r>
        <w:rPr/>
        <w:t>万元人民币，为公司的全资子公司，</w:t>
      </w:r>
    </w:p>
    <w:p>
      <w:pPr>
        <w:pStyle w:val="BodyText"/>
        <w:spacing w:line="312" w:lineRule="auto" w:before="13"/>
        <w:ind w:left="113" w:right="190"/>
        <w:jc w:val="both"/>
      </w:pPr>
      <w:r>
        <w:rPr/>
        <w:t>住所为南京市雨花台区阅城大道</w:t>
      </w:r>
      <w:r>
        <w:rPr>
          <w:rFonts w:ascii="Times New Roman" w:hAnsi="Times New Roman" w:cs="Times New Roman" w:eastAsia="Times New Roman" w:hint="default"/>
        </w:rPr>
        <w:t>26</w:t>
      </w:r>
      <w:r>
        <w:rPr/>
        <w:t>号丰盛科技园</w:t>
      </w:r>
      <w:r>
        <w:rPr>
          <w:rFonts w:ascii="Times New Roman" w:hAnsi="Times New Roman" w:cs="Times New Roman" w:eastAsia="Times New Roman" w:hint="default"/>
        </w:rPr>
        <w:t>F</w:t>
      </w:r>
      <w:r>
        <w:rPr/>
        <w:t>区</w:t>
      </w:r>
      <w:r>
        <w:rPr>
          <w:rFonts w:ascii="Times New Roman" w:hAnsi="Times New Roman" w:cs="Times New Roman" w:eastAsia="Times New Roman" w:hint="default"/>
        </w:rPr>
        <w:t>02</w:t>
      </w:r>
      <w:r>
        <w:rPr/>
        <w:t>栋</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509</w:t>
      </w:r>
      <w:r>
        <w:rPr/>
        <w:t>室，经营范围为：许可经营项目：无。一般经营项目：软件 </w:t>
      </w:r>
      <w:r>
        <w:rPr>
          <w:spacing w:val="-2"/>
        </w:rPr>
        <w:t>外包园区的投资和管理；实业投资；计算机软、硬件系统的开发、集成、咨询、销售和服务；物业管理；自建房屋出租；电</w:t>
      </w:r>
      <w:r>
        <w:rPr>
          <w:spacing w:val="-64"/>
        </w:rPr>
        <w:t> </w:t>
      </w:r>
      <w:r>
        <w:rPr>
          <w:spacing w:val="-64"/>
        </w:rPr>
      </w:r>
      <w:r>
        <w:rPr>
          <w:spacing w:val="-2"/>
        </w:rPr>
        <w:t>子、通讯产品的研制和销售；房地产项目的策划和咨询；自营和代理各类商品的技术和进出口（国家限定公司经营或禁止进</w:t>
      </w:r>
      <w:r>
        <w:rPr>
          <w:spacing w:val="-66"/>
        </w:rPr>
        <w:t> </w:t>
      </w:r>
      <w:r>
        <w:rPr>
          <w:spacing w:val="-66"/>
        </w:rPr>
      </w:r>
      <w:r>
        <w:rPr/>
        <w:t>出口的商品和技术除外）。</w:t>
      </w:r>
    </w:p>
    <w:p>
      <w:pPr>
        <w:pStyle w:val="BodyText"/>
        <w:spacing w:line="240" w:lineRule="auto" w:before="22"/>
        <w:ind w:left="833" w:right="9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日，外包园公司总资产和净资产分别为</w:t>
      </w:r>
      <w:r>
        <w:rPr>
          <w:rFonts w:ascii="Times New Roman" w:hAnsi="Times New Roman" w:cs="Times New Roman" w:eastAsia="Times New Roman" w:hint="default"/>
        </w:rPr>
        <w:t>153,338,121.65</w:t>
      </w:r>
      <w:r>
        <w:rPr/>
        <w:t>元和</w:t>
      </w:r>
      <w:r>
        <w:rPr>
          <w:rFonts w:ascii="Times New Roman" w:hAnsi="Times New Roman" w:cs="Times New Roman" w:eastAsia="Times New Roman" w:hint="default"/>
        </w:rPr>
        <w:t>88,469,931.82</w:t>
      </w:r>
      <w:r>
        <w:rPr/>
        <w:t>元；</w:t>
      </w:r>
      <w:r>
        <w:rPr>
          <w:rFonts w:ascii="Times New Roman" w:hAnsi="Times New Roman" w:cs="Times New Roman" w:eastAsia="Times New Roman" w:hint="default"/>
        </w:rPr>
        <w:t>2012</w:t>
      </w:r>
      <w:r>
        <w:rPr/>
        <w:t>年度净利润为</w:t>
      </w:r>
    </w:p>
    <w:p>
      <w:pPr>
        <w:pStyle w:val="BodyText"/>
        <w:spacing w:line="300" w:lineRule="auto" w:before="63"/>
        <w:ind w:left="833" w:right="6331" w:hanging="720"/>
        <w:jc w:val="left"/>
      </w:pPr>
      <w:r>
        <w:rPr>
          <w:rFonts w:ascii="Times New Roman" w:hAnsi="Times New Roman" w:cs="Times New Roman" w:eastAsia="Times New Roman" w:hint="default"/>
        </w:rPr>
        <w:t>-57,428.68</w:t>
      </w:r>
      <w:r>
        <w:rPr/>
        <w:t>元，以上数据已经华普天健审计。 </w:t>
      </w:r>
      <w:r>
        <w:rPr>
          <w:rFonts w:ascii="Times New Roman" w:hAnsi="Times New Roman" w:cs="Times New Roman" w:eastAsia="Times New Roman" w:hint="default"/>
        </w:rPr>
        <w:t>(2)</w:t>
      </w:r>
      <w:r>
        <w:rPr/>
        <w:t>东京润和</w:t>
      </w:r>
    </w:p>
    <w:p>
      <w:pPr>
        <w:pStyle w:val="BodyText"/>
        <w:spacing w:line="300" w:lineRule="auto" w:before="13"/>
        <w:ind w:left="113" w:right="190" w:firstLine="720"/>
        <w:jc w:val="both"/>
      </w:pPr>
      <w:r>
        <w:rPr>
          <w:spacing w:val="-1"/>
        </w:rPr>
        <w:t>东京润和成立于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日，股本总额为</w:t>
      </w:r>
      <w:r>
        <w:rPr>
          <w:rFonts w:ascii="Times New Roman" w:hAnsi="Times New Roman" w:cs="Times New Roman" w:eastAsia="Times New Roman" w:hint="default"/>
          <w:spacing w:val="-1"/>
        </w:rPr>
        <w:t>720</w:t>
      </w:r>
      <w:r>
        <w:rPr>
          <w:spacing w:val="-1"/>
        </w:rPr>
        <w:t>株，资本金为</w:t>
      </w:r>
      <w:r>
        <w:rPr>
          <w:rFonts w:ascii="Times New Roman" w:hAnsi="Times New Roman" w:cs="Times New Roman" w:eastAsia="Times New Roman" w:hint="default"/>
          <w:spacing w:val="-1"/>
        </w:rPr>
        <w:t>6,000</w:t>
      </w:r>
      <w:r>
        <w:rPr>
          <w:spacing w:val="-1"/>
        </w:rPr>
        <w:t>万日元，公司持有该公司</w:t>
      </w:r>
      <w:r>
        <w:rPr>
          <w:rFonts w:ascii="Times New Roman" w:hAnsi="Times New Roman" w:cs="Times New Roman" w:eastAsia="Times New Roman" w:hint="default"/>
          <w:spacing w:val="-1"/>
        </w:rPr>
        <w:t>660</w:t>
      </w:r>
      <w:r>
        <w:rPr>
          <w:spacing w:val="-1"/>
        </w:rPr>
        <w:t>株，东京润和持有</w:t>
      </w:r>
      <w:r>
        <w:rPr/>
        <w:t> 其库存股</w:t>
      </w:r>
      <w:r>
        <w:rPr>
          <w:rFonts w:ascii="Times New Roman" w:hAnsi="Times New Roman" w:cs="Times New Roman" w:eastAsia="Times New Roman" w:hint="default"/>
        </w:rPr>
        <w:t>60</w:t>
      </w:r>
      <w:r>
        <w:rPr/>
        <w:t>株，公司对该公司表决权、分红权、剩余财产分配权比例为</w:t>
      </w:r>
      <w:r>
        <w:rPr>
          <w:rFonts w:ascii="Times New Roman" w:hAnsi="Times New Roman" w:cs="Times New Roman" w:eastAsia="Times New Roman" w:hint="default"/>
        </w:rPr>
        <w:t>100%</w:t>
      </w:r>
      <w:r>
        <w:rPr/>
        <w:t>。东京润和目标市场为日本，专注于日本软件 外包市场的客户开拓、前期咨询、本地化服务、后期维护等。</w:t>
      </w:r>
    </w:p>
    <w:p>
      <w:pPr>
        <w:pStyle w:val="BodyText"/>
        <w:spacing w:line="300" w:lineRule="auto" w:before="31"/>
        <w:ind w:left="113" w:right="190" w:firstLine="720"/>
        <w:jc w:val="both"/>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日，东京润和（母公司）总资产和净资产分别为</w:t>
      </w:r>
      <w:r>
        <w:rPr>
          <w:rFonts w:ascii="Times New Roman" w:hAnsi="Times New Roman" w:cs="Times New Roman" w:eastAsia="Times New Roman" w:hint="default"/>
          <w:spacing w:val="-2"/>
        </w:rPr>
        <w:t>16,690,964.91</w:t>
      </w:r>
      <w:r>
        <w:rPr>
          <w:spacing w:val="-2"/>
        </w:rPr>
        <w:t>元和</w:t>
      </w:r>
      <w:r>
        <w:rPr>
          <w:rFonts w:ascii="Times New Roman" w:hAnsi="Times New Roman" w:cs="Times New Roman" w:eastAsia="Times New Roman" w:hint="default"/>
          <w:spacing w:val="-2"/>
        </w:rPr>
        <w:t>4,828,794.35</w:t>
      </w:r>
      <w:r>
        <w:rPr>
          <w:spacing w:val="-2"/>
        </w:rPr>
        <w:t>元，</w:t>
      </w:r>
      <w:r>
        <w:rPr>
          <w:rFonts w:ascii="Times New Roman" w:hAnsi="Times New Roman" w:cs="Times New Roman" w:eastAsia="Times New Roman" w:hint="default"/>
          <w:spacing w:val="-2"/>
        </w:rPr>
        <w:t>2012</w:t>
      </w:r>
      <w:r>
        <w:rPr>
          <w:spacing w:val="-2"/>
        </w:rPr>
        <w:t>年度净利</w:t>
      </w:r>
      <w:r>
        <w:rPr/>
        <w:t> 润为</w:t>
      </w:r>
      <w:r>
        <w:rPr>
          <w:rFonts w:ascii="Times New Roman" w:hAnsi="Times New Roman" w:cs="Times New Roman" w:eastAsia="Times New Roman" w:hint="default"/>
        </w:rPr>
        <w:t>266,322.24</w:t>
      </w:r>
      <w:r>
        <w:rPr/>
        <w:t>元，以上数据已经华普天健审计。</w:t>
      </w:r>
    </w:p>
    <w:p>
      <w:pPr>
        <w:pStyle w:val="BodyText"/>
        <w:spacing w:line="300" w:lineRule="auto" w:before="13"/>
        <w:ind w:left="833" w:right="186"/>
        <w:jc w:val="left"/>
      </w:pPr>
      <w:r>
        <w:rPr>
          <w:rFonts w:ascii="Times New Roman" w:hAnsi="Times New Roman" w:cs="Times New Roman" w:eastAsia="Times New Roman" w:hint="default"/>
        </w:rPr>
        <w:t>(3)</w:t>
      </w:r>
      <w:r>
        <w:rPr/>
        <w:t>新加坡润和 新加坡润和成立于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日，注册资本为</w:t>
      </w:r>
      <w:r>
        <w:rPr>
          <w:rFonts w:ascii="Times New Roman" w:hAnsi="Times New Roman" w:cs="Times New Roman" w:eastAsia="Times New Roman" w:hint="default"/>
        </w:rPr>
        <w:t>10.00</w:t>
      </w:r>
      <w:r>
        <w:rPr/>
        <w:t>万美元，注册号为</w:t>
      </w:r>
      <w:r>
        <w:rPr>
          <w:rFonts w:ascii="Times New Roman" w:hAnsi="Times New Roman" w:cs="Times New Roman" w:eastAsia="Times New Roman" w:hint="default"/>
        </w:rPr>
        <w:t>20100136K</w:t>
      </w:r>
      <w:r>
        <w:rPr/>
        <w:t>，公司类型为私人有限公司。东</w:t>
      </w:r>
    </w:p>
    <w:p>
      <w:pPr>
        <w:pStyle w:val="BodyText"/>
        <w:spacing w:line="309" w:lineRule="auto" w:before="13"/>
        <w:ind w:right="90" w:hanging="1"/>
        <w:jc w:val="left"/>
      </w:pPr>
      <w:r>
        <w:rPr/>
        <w:t>京润和和新加坡自然人</w:t>
      </w:r>
      <w:r>
        <w:rPr>
          <w:rFonts w:ascii="Times New Roman" w:hAnsi="Times New Roman" w:cs="Times New Roman" w:eastAsia="Times New Roman" w:hint="default"/>
        </w:rPr>
        <w:t>ZHAI JIANGANG</w:t>
      </w:r>
      <w:r>
        <w:rPr/>
        <w:t>分别持有新加坡润和</w:t>
      </w:r>
      <w:r>
        <w:rPr>
          <w:rFonts w:ascii="Times New Roman" w:hAnsi="Times New Roman" w:cs="Times New Roman" w:eastAsia="Times New Roman" w:hint="default"/>
        </w:rPr>
        <w:t>70%</w:t>
      </w:r>
      <w:r>
        <w:rPr/>
        <w:t>和</w:t>
      </w:r>
      <w:r>
        <w:rPr>
          <w:rFonts w:ascii="Times New Roman" w:hAnsi="Times New Roman" w:cs="Times New Roman" w:eastAsia="Times New Roman" w:hint="default"/>
        </w:rPr>
        <w:t>30%</w:t>
      </w:r>
      <w:r>
        <w:rPr/>
        <w:t>股权。</w:t>
      </w:r>
      <w:r>
        <w:rPr>
          <w:rFonts w:ascii="Times New Roman" w:hAnsi="Times New Roman" w:cs="Times New Roman" w:eastAsia="Times New Roman" w:hint="default"/>
        </w:rPr>
        <w:t>ZHAI</w:t>
      </w:r>
      <w:r>
        <w:rPr>
          <w:rFonts w:ascii="Times New Roman" w:hAnsi="Times New Roman" w:cs="Times New Roman" w:eastAsia="Times New Roman" w:hint="default"/>
          <w:spacing w:val="-8"/>
        </w:rPr>
        <w:t> </w:t>
      </w:r>
      <w:r>
        <w:rPr>
          <w:rFonts w:ascii="Times New Roman" w:hAnsi="Times New Roman" w:cs="Times New Roman" w:eastAsia="Times New Roman" w:hint="default"/>
        </w:rPr>
        <w:t>JIANGANG</w:t>
      </w:r>
      <w:r>
        <w:rPr/>
        <w:t>系新加坡籍公民。新加坡 </w:t>
      </w:r>
      <w:r>
        <w:rPr>
          <w:spacing w:val="-2"/>
        </w:rPr>
        <w:t>润和目标市场为以新加坡为中心，覆盖东南亚市场，业务目标为以新加坡为基地，主要为现有核心客户在东南亚地区的业务</w:t>
      </w:r>
      <w:r>
        <w:rPr>
          <w:spacing w:val="-66"/>
        </w:rPr>
        <w:t> </w:t>
      </w:r>
      <w:r>
        <w:rPr>
          <w:spacing w:val="-66"/>
        </w:rPr>
      </w:r>
      <w:r>
        <w:rPr/>
        <w:t>活动提供本地化软件外包服务。</w:t>
      </w:r>
    </w:p>
    <w:p>
      <w:pPr>
        <w:pStyle w:val="BodyText"/>
        <w:spacing w:line="240" w:lineRule="auto" w:before="24"/>
        <w:ind w:left="834" w:right="9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日，新加坡润和总资产和净资产分别为</w:t>
      </w:r>
      <w:r>
        <w:rPr>
          <w:rFonts w:ascii="Times New Roman" w:hAnsi="Times New Roman" w:cs="Times New Roman" w:eastAsia="Times New Roman" w:hint="default"/>
        </w:rPr>
        <w:t>7,481,727.11</w:t>
      </w:r>
      <w:r>
        <w:rPr/>
        <w:t>元和</w:t>
      </w:r>
      <w:r>
        <w:rPr>
          <w:rFonts w:ascii="Times New Roman" w:hAnsi="Times New Roman" w:cs="Times New Roman" w:eastAsia="Times New Roman" w:hint="default"/>
        </w:rPr>
        <w:t>681,446.69</w:t>
      </w:r>
      <w:r>
        <w:rPr/>
        <w:t>元；</w:t>
      </w:r>
      <w:r>
        <w:rPr>
          <w:rFonts w:ascii="Times New Roman" w:hAnsi="Times New Roman" w:cs="Times New Roman" w:eastAsia="Times New Roman" w:hint="default"/>
        </w:rPr>
        <w:t>2012</w:t>
      </w:r>
      <w:r>
        <w:rPr/>
        <w:t>年度净利润为</w:t>
      </w:r>
    </w:p>
    <w:p>
      <w:pPr>
        <w:pStyle w:val="BodyText"/>
        <w:spacing w:line="300" w:lineRule="auto" w:before="63"/>
        <w:ind w:left="833" w:right="6241" w:hanging="720"/>
        <w:jc w:val="left"/>
        <w:rPr>
          <w:rFonts w:ascii="Times New Roman" w:hAnsi="Times New Roman" w:cs="Times New Roman" w:eastAsia="Times New Roman" w:hint="default"/>
        </w:rPr>
      </w:pPr>
      <w:r>
        <w:rPr>
          <w:rFonts w:ascii="Times New Roman" w:hAnsi="Times New Roman" w:cs="Times New Roman" w:eastAsia="Times New Roman" w:hint="default"/>
        </w:rPr>
        <w:t>-101,139.01</w:t>
      </w:r>
      <w:r>
        <w:rPr/>
        <w:t>元，以上数据已经华普天健审计。 </w:t>
      </w:r>
      <w:r>
        <w:rPr>
          <w:rFonts w:ascii="Times New Roman" w:hAnsi="Times New Roman" w:cs="Times New Roman" w:eastAsia="Times New Roman" w:hint="default"/>
        </w:rPr>
        <w:t>(4)</w:t>
      </w:r>
      <w:r>
        <w:rPr/>
        <w:t>香港</w:t>
      </w:r>
      <w:r>
        <w:rPr>
          <w:rFonts w:ascii="Times New Roman" w:hAnsi="Times New Roman" w:cs="Times New Roman" w:eastAsia="Times New Roman" w:hint="default"/>
        </w:rPr>
        <w:t>SRS2</w:t>
      </w:r>
    </w:p>
    <w:p>
      <w:pPr>
        <w:pStyle w:val="BodyText"/>
        <w:spacing w:line="300" w:lineRule="auto" w:before="13"/>
        <w:ind w:left="113" w:right="90" w:firstLine="720"/>
        <w:jc w:val="left"/>
      </w:pPr>
      <w:r>
        <w:rPr/>
        <w:t>香港</w:t>
      </w:r>
      <w:r>
        <w:rPr>
          <w:rFonts w:ascii="Times New Roman" w:hAnsi="Times New Roman" w:cs="Times New Roman" w:eastAsia="Times New Roman" w:hint="default"/>
        </w:rPr>
        <w:t>SRS2</w:t>
      </w:r>
      <w:r>
        <w:rPr/>
        <w:t>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日，授权资本为</w:t>
      </w:r>
      <w:r>
        <w:rPr>
          <w:rFonts w:ascii="Times New Roman" w:hAnsi="Times New Roman" w:cs="Times New Roman" w:eastAsia="Times New Roman" w:hint="default"/>
        </w:rPr>
        <w:t>5,150,000</w:t>
      </w:r>
      <w:r>
        <w:rPr/>
        <w:t>元港币，公司编号为</w:t>
      </w:r>
      <w:r>
        <w:rPr>
          <w:rFonts w:ascii="Times New Roman" w:hAnsi="Times New Roman" w:cs="Times New Roman" w:eastAsia="Times New Roman" w:hint="default"/>
        </w:rPr>
        <w:t>1409568</w:t>
      </w:r>
      <w:r>
        <w:rPr/>
        <w:t>。公司持有该公司</w:t>
      </w:r>
      <w:r>
        <w:rPr>
          <w:rFonts w:ascii="Times New Roman" w:hAnsi="Times New Roman" w:cs="Times New Roman" w:eastAsia="Times New Roman" w:hint="default"/>
        </w:rPr>
        <w:t>51%</w:t>
      </w:r>
      <w:r>
        <w:rPr/>
        <w:t>股权， </w:t>
      </w:r>
      <w:r>
        <w:rPr>
          <w:rFonts w:ascii="Times New Roman" w:hAnsi="Times New Roman" w:cs="Times New Roman" w:eastAsia="Times New Roman" w:hint="default"/>
        </w:rPr>
        <w:t>SilkRoad Capital LLC</w:t>
      </w:r>
      <w:r>
        <w:rPr/>
        <w:t>持有该公司</w:t>
      </w:r>
      <w:r>
        <w:rPr>
          <w:rFonts w:ascii="Times New Roman" w:hAnsi="Times New Roman" w:cs="Times New Roman" w:eastAsia="Times New Roman" w:hint="default"/>
        </w:rPr>
        <w:t>49%</w:t>
      </w:r>
      <w:r>
        <w:rPr/>
        <w:t>股权。</w:t>
      </w:r>
      <w:r>
        <w:rPr>
          <w:rFonts w:ascii="Times New Roman" w:hAnsi="Times New Roman" w:cs="Times New Roman" w:eastAsia="Times New Roman" w:hint="default"/>
        </w:rPr>
        <w:t>SilkRoad Capital LLC</w:t>
      </w:r>
      <w:r>
        <w:rPr/>
        <w:t>是由</w:t>
      </w:r>
      <w:r>
        <w:rPr>
          <w:rFonts w:ascii="Times New Roman" w:hAnsi="Times New Roman" w:cs="Times New Roman" w:eastAsia="Times New Roman" w:hint="default"/>
        </w:rPr>
        <w:t>Daryl </w:t>
      </w:r>
      <w:r>
        <w:rPr>
          <w:rFonts w:ascii="Times New Roman" w:hAnsi="Times New Roman" w:cs="Times New Roman" w:eastAsia="Times New Roman" w:hint="default"/>
          <w:spacing w:val="-3"/>
        </w:rPr>
        <w:t>Magana</w:t>
      </w:r>
      <w:r>
        <w:rPr>
          <w:spacing w:val="-3"/>
        </w:rPr>
        <w:t>、</w:t>
      </w:r>
      <w:r>
        <w:rPr>
          <w:rFonts w:ascii="Times New Roman" w:hAnsi="Times New Roman" w:cs="Times New Roman" w:eastAsia="Times New Roman" w:hint="default"/>
          <w:spacing w:val="-3"/>
        </w:rPr>
        <w:t>Haobo </w:t>
      </w:r>
      <w:r>
        <w:rPr>
          <w:rFonts w:ascii="Times New Roman" w:hAnsi="Times New Roman" w:cs="Times New Roman" w:eastAsia="Times New Roman" w:hint="default"/>
        </w:rPr>
        <w:t>Lawrence </w:t>
      </w:r>
      <w:r>
        <w:rPr>
          <w:rFonts w:ascii="Times New Roman" w:hAnsi="Times New Roman" w:cs="Times New Roman" w:eastAsia="Times New Roman" w:hint="default"/>
          <w:spacing w:val="-4"/>
        </w:rPr>
        <w:t>Chen</w:t>
      </w:r>
      <w:r>
        <w:rPr>
          <w:spacing w:val="-4"/>
        </w:rPr>
        <w:t>、</w:t>
      </w:r>
      <w:r>
        <w:rPr>
          <w:rFonts w:ascii="Times New Roman" w:hAnsi="Times New Roman" w:cs="Times New Roman" w:eastAsia="Times New Roman" w:hint="default"/>
          <w:spacing w:val="-4"/>
        </w:rPr>
        <w:t>Wei</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
        </w:rPr>
        <w:t>Lu</w:t>
      </w:r>
      <w:r>
        <w:rPr>
          <w:spacing w:val="-3"/>
        </w:rPr>
        <w:t>、</w:t>
      </w:r>
      <w:r>
        <w:rPr>
          <w:rFonts w:ascii="Times New Roman" w:hAnsi="Times New Roman" w:cs="Times New Roman" w:eastAsia="Times New Roman" w:hint="default"/>
          <w:spacing w:val="-3"/>
        </w:rPr>
        <w:t>Zhaojun</w:t>
      </w:r>
      <w:r>
        <w:rPr>
          <w:rFonts w:ascii="Times New Roman" w:hAnsi="Times New Roman" w:cs="Times New Roman" w:eastAsia="Times New Roman" w:hint="default"/>
        </w:rPr>
        <w:t> Chen</w:t>
      </w:r>
      <w:r>
        <w:rPr/>
        <w:t>、</w:t>
      </w:r>
      <w:r>
        <w:rPr>
          <w:rFonts w:ascii="Times New Roman" w:hAnsi="Times New Roman" w:cs="Times New Roman" w:eastAsia="Times New Roman" w:hint="default"/>
        </w:rPr>
        <w:t>Jian Wang</w:t>
      </w:r>
      <w:r>
        <w:rPr/>
        <w:t>、</w:t>
      </w:r>
      <w:r>
        <w:rPr>
          <w:rFonts w:ascii="Times New Roman" w:hAnsi="Times New Roman" w:cs="Times New Roman" w:eastAsia="Times New Roman" w:hint="default"/>
        </w:rPr>
        <w:t>Min Zhu</w:t>
      </w:r>
      <w:r>
        <w:rPr/>
        <w:t>、</w:t>
      </w:r>
      <w:r>
        <w:rPr>
          <w:rFonts w:ascii="Times New Roman" w:hAnsi="Times New Roman" w:cs="Times New Roman" w:eastAsia="Times New Roman" w:hint="default"/>
        </w:rPr>
        <w:t>DougJett</w:t>
      </w:r>
      <w:r>
        <w:rPr/>
        <w:t>、</w:t>
      </w:r>
      <w:r>
        <w:rPr>
          <w:rFonts w:ascii="Times New Roman" w:hAnsi="Times New Roman" w:cs="Times New Roman" w:eastAsia="Times New Roman" w:hint="default"/>
        </w:rPr>
        <w:t>Neal Pinkowski</w:t>
      </w:r>
      <w:r>
        <w:rPr/>
        <w:t>、</w:t>
      </w:r>
      <w:r>
        <w:rPr>
          <w:rFonts w:ascii="Times New Roman" w:hAnsi="Times New Roman" w:cs="Times New Roman" w:eastAsia="Times New Roman" w:hint="default"/>
        </w:rPr>
        <w:t>Jin Qian</w:t>
      </w:r>
      <w:r>
        <w:rPr/>
        <w:t>、</w:t>
      </w:r>
      <w:r>
        <w:rPr>
          <w:rFonts w:ascii="Times New Roman" w:hAnsi="Times New Roman" w:cs="Times New Roman" w:eastAsia="Times New Roman" w:hint="default"/>
        </w:rPr>
        <w:t>Spherical Group</w:t>
      </w:r>
      <w:r>
        <w:rPr/>
        <w:t>（</w:t>
      </w:r>
      <w:r>
        <w:rPr>
          <w:rFonts w:ascii="Times New Roman" w:hAnsi="Times New Roman" w:cs="Times New Roman" w:eastAsia="Times New Roman" w:hint="default"/>
        </w:rPr>
        <w:t>Rohana Gunawardena</w:t>
      </w:r>
      <w:r>
        <w:rPr/>
        <w:t>）、</w:t>
      </w:r>
      <w:r>
        <w:rPr>
          <w:rFonts w:ascii="Times New Roman" w:hAnsi="Times New Roman" w:cs="Times New Roman" w:eastAsia="Times New Roman" w:hint="default"/>
        </w:rPr>
        <w:t>Weiguo</w:t>
      </w:r>
      <w:r>
        <w:rPr>
          <w:rFonts w:ascii="Times New Roman" w:hAnsi="Times New Roman" w:cs="Times New Roman" w:eastAsia="Times New Roman" w:hint="default"/>
          <w:spacing w:val="-28"/>
        </w:rPr>
        <w:t> </w:t>
      </w:r>
      <w:r>
        <w:rPr>
          <w:rFonts w:ascii="Times New Roman" w:hAnsi="Times New Roman" w:cs="Times New Roman" w:eastAsia="Times New Roman" w:hint="default"/>
        </w:rPr>
        <w:t>Mo</w:t>
      </w:r>
      <w:r>
        <w:rPr/>
        <w:t>、 </w:t>
      </w:r>
      <w:r>
        <w:rPr>
          <w:rFonts w:ascii="Times New Roman" w:hAnsi="Times New Roman" w:cs="Times New Roman" w:eastAsia="Times New Roman" w:hint="default"/>
        </w:rPr>
        <w:t>Nitin</w:t>
      </w:r>
      <w:r>
        <w:rPr>
          <w:rFonts w:ascii="Times New Roman" w:hAnsi="Times New Roman" w:cs="Times New Roman" w:eastAsia="Times New Roman" w:hint="default"/>
          <w:spacing w:val="-8"/>
        </w:rPr>
        <w:t> </w:t>
      </w:r>
      <w:r>
        <w:rPr>
          <w:rFonts w:ascii="Times New Roman" w:hAnsi="Times New Roman" w:cs="Times New Roman" w:eastAsia="Times New Roman" w:hint="default"/>
        </w:rPr>
        <w:t>Gaglani</w:t>
      </w:r>
      <w:r>
        <w:rPr/>
        <w:t>出资在美国成立的企业。香港</w:t>
      </w:r>
      <w:r>
        <w:rPr>
          <w:rFonts w:ascii="Times New Roman" w:hAnsi="Times New Roman" w:cs="Times New Roman" w:eastAsia="Times New Roman" w:hint="default"/>
        </w:rPr>
        <w:t>SRS2</w:t>
      </w:r>
      <w:r>
        <w:rPr/>
        <w:t>作为持股公司全资持有美国</w:t>
      </w:r>
      <w:r>
        <w:rPr>
          <w:rFonts w:ascii="Times New Roman" w:hAnsi="Times New Roman" w:cs="Times New Roman" w:eastAsia="Times New Roman" w:hint="default"/>
        </w:rPr>
        <w:t>SRS2</w:t>
      </w:r>
      <w:r>
        <w:rPr/>
        <w:t>和上海丝略。</w:t>
      </w:r>
    </w:p>
    <w:p>
      <w:pPr>
        <w:pStyle w:val="BodyText"/>
        <w:spacing w:line="300" w:lineRule="auto" w:before="13"/>
        <w:ind w:left="113" w:right="238" w:firstLine="72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日，香港</w:t>
      </w:r>
      <w:r>
        <w:rPr>
          <w:rFonts w:ascii="Times New Roman" w:hAnsi="Times New Roman" w:cs="Times New Roman" w:eastAsia="Times New Roman" w:hint="default"/>
        </w:rPr>
        <w:t>SRS2</w:t>
      </w:r>
      <w:r>
        <w:rPr/>
        <w:t>（母公司）总资产和净资产分别为</w:t>
      </w:r>
      <w:r>
        <w:rPr>
          <w:rFonts w:ascii="Times New Roman" w:hAnsi="Times New Roman" w:cs="Times New Roman" w:eastAsia="Times New Roman" w:hint="default"/>
        </w:rPr>
        <w:t>2,874,414.9</w:t>
      </w:r>
      <w:r>
        <w:rPr/>
        <w:t>元和</w:t>
      </w:r>
      <w:r>
        <w:rPr>
          <w:rFonts w:ascii="Times New Roman" w:hAnsi="Times New Roman" w:cs="Times New Roman" w:eastAsia="Times New Roman" w:hint="default"/>
        </w:rPr>
        <w:t>2,857,553.17</w:t>
      </w:r>
      <w:r>
        <w:rPr/>
        <w:t>元；</w:t>
      </w:r>
      <w:r>
        <w:rPr>
          <w:rFonts w:ascii="Times New Roman" w:hAnsi="Times New Roman" w:cs="Times New Roman" w:eastAsia="Times New Roman" w:hint="default"/>
        </w:rPr>
        <w:t>2012</w:t>
      </w:r>
      <w:r>
        <w:rPr/>
        <w:t>年度净利 润为</w:t>
      </w:r>
      <w:r>
        <w:rPr>
          <w:rFonts w:ascii="Times New Roman" w:hAnsi="Times New Roman" w:cs="Times New Roman" w:eastAsia="Times New Roman" w:hint="default"/>
        </w:rPr>
        <w:t>-662,793.35</w:t>
      </w:r>
      <w:r>
        <w:rPr/>
        <w:t>元，以上数据已经华普天健审计。</w:t>
      </w:r>
    </w:p>
    <w:p>
      <w:pPr>
        <w:pStyle w:val="BodyText"/>
        <w:spacing w:line="240" w:lineRule="auto" w:before="13"/>
        <w:ind w:left="833" w:right="9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美国</w:t>
      </w:r>
      <w:r>
        <w:rPr>
          <w:rFonts w:ascii="Times New Roman" w:hAnsi="Times New Roman" w:cs="Times New Roman" w:eastAsia="Times New Roman" w:hint="default"/>
        </w:rPr>
        <w:t>SRS2</w:t>
      </w:r>
    </w:p>
    <w:p>
      <w:pPr>
        <w:pStyle w:val="BodyText"/>
        <w:spacing w:line="300" w:lineRule="auto" w:before="63"/>
        <w:ind w:left="113" w:right="191" w:firstLine="720"/>
        <w:jc w:val="both"/>
      </w:pPr>
      <w:r>
        <w:rPr>
          <w:spacing w:val="-1"/>
        </w:rPr>
        <w:t>美国</w:t>
      </w:r>
      <w:r>
        <w:rPr>
          <w:rFonts w:ascii="Times New Roman" w:hAnsi="Times New Roman" w:cs="Times New Roman" w:eastAsia="Times New Roman" w:hint="default"/>
          <w:spacing w:val="-1"/>
        </w:rPr>
        <w:t>SRS2</w:t>
      </w:r>
      <w:r>
        <w:rPr>
          <w:spacing w:val="-1"/>
        </w:rPr>
        <w:t>成立于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日，香港</w:t>
      </w:r>
      <w:r>
        <w:rPr>
          <w:rFonts w:ascii="Times New Roman" w:hAnsi="Times New Roman" w:cs="Times New Roman" w:eastAsia="Times New Roman" w:hint="default"/>
          <w:spacing w:val="-1"/>
        </w:rPr>
        <w:t>SRS2</w:t>
      </w:r>
      <w:r>
        <w:rPr>
          <w:spacing w:val="-1"/>
        </w:rPr>
        <w:t>持有该公司已发行的</w:t>
      </w:r>
      <w:r>
        <w:rPr>
          <w:rFonts w:ascii="Times New Roman" w:hAnsi="Times New Roman" w:cs="Times New Roman" w:eastAsia="Times New Roman" w:hint="default"/>
          <w:spacing w:val="-1"/>
        </w:rPr>
        <w:t>12,889,405</w:t>
      </w:r>
      <w:r>
        <w:rPr>
          <w:spacing w:val="-1"/>
        </w:rPr>
        <w:t>股股份，公司登记号为</w:t>
      </w:r>
      <w:r>
        <w:rPr>
          <w:rFonts w:ascii="Times New Roman" w:hAnsi="Times New Roman" w:cs="Times New Roman" w:eastAsia="Times New Roman" w:hint="default"/>
          <w:spacing w:val="-1"/>
        </w:rPr>
        <w:t>C2273250</w:t>
      </w:r>
      <w:r>
        <w:rPr>
          <w:spacing w:val="-1"/>
        </w:rPr>
        <w:t>，系香</w:t>
      </w:r>
      <w:r>
        <w:rPr/>
        <w:t> </w:t>
      </w:r>
      <w:r>
        <w:rPr>
          <w:spacing w:val="-1"/>
        </w:rPr>
        <w:t>港</w:t>
      </w:r>
      <w:r>
        <w:rPr>
          <w:rFonts w:ascii="Times New Roman" w:hAnsi="Times New Roman" w:cs="Times New Roman" w:eastAsia="Times New Roman" w:hint="default"/>
          <w:spacing w:val="-1"/>
        </w:rPr>
        <w:t>SRS2</w:t>
      </w:r>
      <w:r>
        <w:rPr>
          <w:spacing w:val="-1"/>
        </w:rPr>
        <w:t>全资子公司。美国</w:t>
      </w:r>
      <w:r>
        <w:rPr>
          <w:rFonts w:ascii="Times New Roman" w:hAnsi="Times New Roman" w:cs="Times New Roman" w:eastAsia="Times New Roman" w:hint="default"/>
          <w:spacing w:val="-1"/>
        </w:rPr>
        <w:t>SRS2</w:t>
      </w:r>
      <w:r>
        <w:rPr>
          <w:spacing w:val="-1"/>
        </w:rPr>
        <w:t>的目标市场为以西海岸为主的美国本土市场，在北美地区重点针对</w:t>
      </w:r>
      <w:r>
        <w:rPr>
          <w:rFonts w:ascii="Times New Roman" w:hAnsi="Times New Roman" w:cs="Times New Roman" w:eastAsia="Times New Roman" w:hint="default"/>
          <w:spacing w:val="-1"/>
        </w:rPr>
        <w:t>ORACLE</w:t>
      </w:r>
      <w:r>
        <w:rPr>
          <w:spacing w:val="-1"/>
        </w:rPr>
        <w:t>及其全球客户进</w:t>
      </w:r>
      <w:r>
        <w:rPr>
          <w:spacing w:val="-44"/>
        </w:rPr>
        <w:t> </w:t>
      </w:r>
      <w:r>
        <w:rPr/>
        <w:t>行软件外包业务开拓及本地化服务。</w:t>
      </w:r>
    </w:p>
    <w:p>
      <w:pPr>
        <w:pStyle w:val="BodyText"/>
        <w:spacing w:line="300" w:lineRule="auto" w:before="31"/>
        <w:ind w:left="113" w:right="190" w:firstLine="720"/>
        <w:jc w:val="both"/>
      </w:pP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日，美国</w:t>
      </w:r>
      <w:r>
        <w:rPr>
          <w:rFonts w:ascii="Times New Roman" w:hAnsi="Times New Roman" w:cs="Times New Roman" w:eastAsia="Times New Roman" w:hint="default"/>
          <w:spacing w:val="-3"/>
        </w:rPr>
        <w:t>SRS2</w:t>
      </w:r>
      <w:r>
        <w:rPr>
          <w:spacing w:val="-3"/>
        </w:rPr>
        <w:t>总资产和净资产分别为</w:t>
      </w:r>
      <w:r>
        <w:rPr>
          <w:rFonts w:ascii="Times New Roman" w:hAnsi="Times New Roman" w:cs="Times New Roman" w:eastAsia="Times New Roman" w:hint="default"/>
          <w:spacing w:val="-3"/>
        </w:rPr>
        <w:t>4,304,149.59</w:t>
      </w:r>
      <w:r>
        <w:rPr>
          <w:spacing w:val="-3"/>
        </w:rPr>
        <w:t>元和</w:t>
      </w:r>
      <w:r>
        <w:rPr>
          <w:rFonts w:ascii="Times New Roman" w:hAnsi="Times New Roman" w:cs="Times New Roman" w:eastAsia="Times New Roman" w:hint="default"/>
          <w:spacing w:val="-3"/>
        </w:rPr>
        <w:t>873,973.35</w:t>
      </w:r>
      <w:r>
        <w:rPr>
          <w:spacing w:val="-3"/>
        </w:rPr>
        <w:t>元；</w:t>
      </w:r>
      <w:r>
        <w:rPr>
          <w:rFonts w:ascii="Times New Roman" w:hAnsi="Times New Roman" w:cs="Times New Roman" w:eastAsia="Times New Roman" w:hint="default"/>
          <w:spacing w:val="-3"/>
        </w:rPr>
        <w:t>2012</w:t>
      </w:r>
      <w:r>
        <w:rPr>
          <w:spacing w:val="-3"/>
        </w:rPr>
        <w:t>年度净利润为</w:t>
      </w:r>
      <w:r>
        <w:rPr>
          <w:rFonts w:ascii="Times New Roman" w:hAnsi="Times New Roman" w:cs="Times New Roman" w:eastAsia="Times New Roman" w:hint="default"/>
          <w:spacing w:val="-3"/>
        </w:rPr>
        <w:t>248,989.03</w:t>
      </w:r>
      <w:r>
        <w:rPr>
          <w:rFonts w:ascii="Times New Roman" w:hAnsi="Times New Roman" w:cs="Times New Roman" w:eastAsia="Times New Roman" w:hint="default"/>
        </w:rPr>
        <w:t> </w:t>
      </w:r>
      <w:r>
        <w:rPr/>
        <w:t>元，以上数据已经华普天健审计。。</w:t>
      </w:r>
    </w:p>
    <w:p>
      <w:pPr>
        <w:pStyle w:val="BodyText"/>
        <w:spacing w:line="300" w:lineRule="auto" w:before="31"/>
        <w:ind w:left="833" w:right="221"/>
        <w:jc w:val="left"/>
      </w:pPr>
      <w:r>
        <w:rPr>
          <w:rFonts w:ascii="Times New Roman" w:hAnsi="Times New Roman" w:cs="Times New Roman" w:eastAsia="Times New Roman" w:hint="default"/>
        </w:rPr>
        <w:t>(6)</w:t>
      </w:r>
      <w:r>
        <w:rPr/>
        <w:t>上海丝略 上海丝略成立于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日，注册资本</w:t>
      </w:r>
      <w:r>
        <w:rPr>
          <w:rFonts w:ascii="Times New Roman" w:hAnsi="Times New Roman" w:cs="Times New Roman" w:eastAsia="Times New Roman" w:hint="default"/>
        </w:rPr>
        <w:t>20</w:t>
      </w:r>
      <w:r>
        <w:rPr/>
        <w:t>万美元，实收资本</w:t>
      </w:r>
      <w:r>
        <w:rPr>
          <w:rFonts w:ascii="Times New Roman" w:hAnsi="Times New Roman" w:cs="Times New Roman" w:eastAsia="Times New Roman" w:hint="default"/>
        </w:rPr>
        <w:t>20</w:t>
      </w:r>
      <w:r>
        <w:rPr/>
        <w:t>万美元，系香港</w:t>
      </w:r>
      <w:r>
        <w:rPr>
          <w:rFonts w:ascii="Times New Roman" w:hAnsi="Times New Roman" w:cs="Times New Roman" w:eastAsia="Times New Roman" w:hint="default"/>
        </w:rPr>
        <w:t>SRS2</w:t>
      </w:r>
      <w:r>
        <w:rPr/>
        <w:t>全资子公司。上海丝略住</w:t>
      </w:r>
    </w:p>
    <w:p>
      <w:pPr>
        <w:pStyle w:val="BodyText"/>
        <w:spacing w:line="300" w:lineRule="auto" w:before="13"/>
        <w:ind w:left="113" w:right="181"/>
        <w:jc w:val="left"/>
      </w:pPr>
      <w:r>
        <w:rPr/>
        <w:t>所为上海市崇明县庙镇宏海公路</w:t>
      </w:r>
      <w:r>
        <w:rPr>
          <w:rFonts w:ascii="Times New Roman" w:hAnsi="Times New Roman" w:cs="Times New Roman" w:eastAsia="Times New Roman" w:hint="default"/>
        </w:rPr>
        <w:t>263</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340</w:t>
      </w:r>
      <w:r>
        <w:rPr/>
        <w:t>室，经营范围为计算机软件的开发、设计制作及维护服务，系统集成并提供相 关领域内的技术开发、技术咨询、技术转让、技术服务。</w:t>
      </w:r>
    </w:p>
    <w:p>
      <w:pPr>
        <w:pStyle w:val="BodyText"/>
        <w:spacing w:line="300" w:lineRule="auto" w:before="31"/>
        <w:ind w:left="113" w:right="190" w:firstLine="720"/>
        <w:jc w:val="both"/>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日，上海丝略总资产和净资产分别为</w:t>
      </w:r>
      <w:r>
        <w:rPr>
          <w:rFonts w:ascii="Times New Roman" w:hAnsi="Times New Roman" w:cs="Times New Roman" w:eastAsia="Times New Roman" w:hint="default"/>
          <w:spacing w:val="-1"/>
        </w:rPr>
        <w:t>1,565,370.95</w:t>
      </w:r>
      <w:r>
        <w:rPr>
          <w:spacing w:val="-1"/>
        </w:rPr>
        <w:t>元和</w:t>
      </w:r>
      <w:r>
        <w:rPr>
          <w:rFonts w:ascii="Times New Roman" w:hAnsi="Times New Roman" w:cs="Times New Roman" w:eastAsia="Times New Roman" w:hint="default"/>
          <w:spacing w:val="-1"/>
        </w:rPr>
        <w:t>594,204.16</w:t>
      </w:r>
      <w:r>
        <w:rPr>
          <w:spacing w:val="-1"/>
        </w:rPr>
        <w:t>元；</w:t>
      </w:r>
      <w:r>
        <w:rPr>
          <w:rFonts w:ascii="Times New Roman" w:hAnsi="Times New Roman" w:cs="Times New Roman" w:eastAsia="Times New Roman" w:hint="default"/>
          <w:spacing w:val="-1"/>
        </w:rPr>
        <w:t>2012</w:t>
      </w:r>
      <w:r>
        <w:rPr>
          <w:spacing w:val="-1"/>
        </w:rPr>
        <w:t>年度净利润为</w:t>
      </w:r>
      <w:r>
        <w:rPr>
          <w:rFonts w:ascii="Times New Roman" w:hAnsi="Times New Roman" w:cs="Times New Roman" w:eastAsia="Times New Roman" w:hint="default"/>
          <w:spacing w:val="-1"/>
        </w:rPr>
        <w:t>69,027.36</w:t>
      </w:r>
      <w:r>
        <w:rPr>
          <w:rFonts w:ascii="Times New Roman" w:hAnsi="Times New Roman" w:cs="Times New Roman" w:eastAsia="Times New Roman" w:hint="default"/>
        </w:rPr>
        <w:t> </w:t>
      </w:r>
      <w:r>
        <w:rPr/>
        <w:t>元，以上数据已经华普天健审计。</w:t>
      </w:r>
    </w:p>
    <w:p>
      <w:pPr>
        <w:pStyle w:val="BodyText"/>
        <w:spacing w:line="300" w:lineRule="auto" w:before="31"/>
        <w:ind w:left="833" w:right="181"/>
        <w:jc w:val="left"/>
      </w:pPr>
      <w:r>
        <w:rPr>
          <w:rFonts w:ascii="Times New Roman" w:hAnsi="Times New Roman" w:cs="Times New Roman" w:eastAsia="Times New Roman" w:hint="default"/>
        </w:rPr>
        <w:t>(7)</w:t>
      </w:r>
      <w:r>
        <w:rPr/>
        <w:t>波士顿润和 波士顿润和成立于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日，授权资本为</w:t>
      </w:r>
      <w:r>
        <w:rPr>
          <w:rFonts w:ascii="Times New Roman" w:hAnsi="Times New Roman" w:cs="Times New Roman" w:eastAsia="Times New Roman" w:hint="default"/>
        </w:rPr>
        <w:t>100</w:t>
      </w:r>
      <w:r>
        <w:rPr/>
        <w:t>万美元，实收资本为</w:t>
      </w:r>
      <w:r>
        <w:rPr>
          <w:rFonts w:ascii="Times New Roman" w:hAnsi="Times New Roman" w:cs="Times New Roman" w:eastAsia="Times New Roman" w:hint="default"/>
        </w:rPr>
        <w:t>100</w:t>
      </w:r>
      <w:r>
        <w:rPr/>
        <w:t>万美元，为公司全资子公司。该公司目</w:t>
      </w:r>
    </w:p>
    <w:p>
      <w:pPr>
        <w:spacing w:after="0" w:line="30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ind w:left="113" w:right="0"/>
        <w:jc w:val="left"/>
      </w:pPr>
      <w:r>
        <w:rPr>
          <w:spacing w:val="-2"/>
        </w:rPr>
        <w:t>标市场主要为以东海岸为主的美国本地市场，专注于北美地区供应链管理软件、智能终端嵌入式软件外包市场的客户开拓及</w:t>
      </w:r>
      <w:r>
        <w:rPr>
          <w:spacing w:val="-64"/>
        </w:rPr>
        <w:t> </w:t>
      </w:r>
      <w:r>
        <w:rPr>
          <w:spacing w:val="-64"/>
        </w:rPr>
      </w:r>
      <w:r>
        <w:rPr/>
        <w:t>本地化服务。</w:t>
      </w:r>
    </w:p>
    <w:p>
      <w:pPr>
        <w:pStyle w:val="BodyText"/>
        <w:spacing w:line="240" w:lineRule="auto" w:before="19"/>
        <w:ind w:left="833"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日，波士顿润和总资产和净资产分别为</w:t>
      </w:r>
      <w:r>
        <w:rPr>
          <w:rFonts w:ascii="Times New Roman" w:hAnsi="Times New Roman" w:cs="Times New Roman" w:eastAsia="Times New Roman" w:hint="default"/>
        </w:rPr>
        <w:t>6,663,350.12</w:t>
      </w:r>
      <w:r>
        <w:rPr/>
        <w:t>元和</w:t>
      </w:r>
      <w:r>
        <w:rPr>
          <w:rFonts w:ascii="Times New Roman" w:hAnsi="Times New Roman" w:cs="Times New Roman" w:eastAsia="Times New Roman" w:hint="default"/>
        </w:rPr>
        <w:t>6,594,809.19</w:t>
      </w:r>
      <w:r>
        <w:rPr/>
        <w:t>元；</w:t>
      </w:r>
      <w:r>
        <w:rPr>
          <w:rFonts w:ascii="Times New Roman" w:hAnsi="Times New Roman" w:cs="Times New Roman" w:eastAsia="Times New Roman" w:hint="default"/>
        </w:rPr>
        <w:t>2012</w:t>
      </w:r>
      <w:r>
        <w:rPr/>
        <w:t>年度净利润为</w:t>
      </w:r>
    </w:p>
    <w:p>
      <w:pPr>
        <w:pStyle w:val="BodyText"/>
        <w:spacing w:line="300" w:lineRule="auto" w:before="63"/>
        <w:ind w:left="833" w:right="6381" w:hanging="720"/>
        <w:jc w:val="left"/>
      </w:pPr>
      <w:r>
        <w:rPr>
          <w:rFonts w:ascii="Times New Roman" w:hAnsi="Times New Roman" w:cs="Times New Roman" w:eastAsia="Times New Roman" w:hint="default"/>
        </w:rPr>
        <w:t>160,876.03</w:t>
      </w:r>
      <w:r>
        <w:rPr/>
        <w:t>元，以上数据已经华普天健审计。 </w:t>
      </w:r>
      <w:r>
        <w:rPr>
          <w:rFonts w:ascii="Times New Roman" w:hAnsi="Times New Roman" w:cs="Times New Roman" w:eastAsia="Times New Roman" w:hint="default"/>
        </w:rPr>
        <w:t>(8)</w:t>
      </w:r>
      <w:r>
        <w:rPr/>
        <w:t>润和数码</w:t>
      </w:r>
    </w:p>
    <w:p>
      <w:pPr>
        <w:pStyle w:val="BodyText"/>
        <w:spacing w:line="307" w:lineRule="auto" w:before="13"/>
        <w:ind w:left="113" w:right="270" w:firstLine="720"/>
        <w:jc w:val="both"/>
      </w:pPr>
      <w:r>
        <w:rPr/>
        <w:t>润和数码成立于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150</w:t>
      </w:r>
      <w:r>
        <w:rPr/>
        <w:t>万美元，实收资本</w:t>
      </w:r>
      <w:r>
        <w:rPr>
          <w:rFonts w:ascii="Times New Roman" w:hAnsi="Times New Roman" w:cs="Times New Roman" w:eastAsia="Times New Roman" w:hint="default"/>
        </w:rPr>
        <w:t>150</w:t>
      </w:r>
      <w:r>
        <w:rPr/>
        <w:t>万美元，现公司和</w:t>
      </w:r>
      <w:r>
        <w:rPr>
          <w:rFonts w:ascii="Times New Roman" w:hAnsi="Times New Roman" w:cs="Times New Roman" w:eastAsia="Times New Roman" w:hint="default"/>
        </w:rPr>
        <w:t>mMAX Communications</w:t>
      </w:r>
      <w:r>
        <w:rPr>
          <w:rFonts w:ascii="Times New Roman" w:hAnsi="Times New Roman" w:cs="Times New Roman" w:eastAsia="Times New Roman" w:hint="default"/>
          <w:spacing w:val="-1"/>
        </w:rPr>
        <w:t> </w:t>
      </w:r>
      <w:r>
        <w:rPr>
          <w:rFonts w:ascii="Times New Roman" w:hAnsi="Times New Roman" w:cs="Times New Roman" w:eastAsia="Times New Roman" w:hint="default"/>
        </w:rPr>
        <w:t>Pte.</w:t>
      </w:r>
      <w:r>
        <w:rPr>
          <w:rFonts w:ascii="Times New Roman" w:hAnsi="Times New Roman" w:cs="Times New Roman" w:eastAsia="Times New Roman" w:hint="default"/>
        </w:rPr>
        <w:t> Ltd.</w:t>
      </w:r>
      <w:r>
        <w:rPr/>
        <w:t>分别持有其</w:t>
      </w:r>
      <w:r>
        <w:rPr>
          <w:rFonts w:ascii="Times New Roman" w:hAnsi="Times New Roman" w:cs="Times New Roman" w:eastAsia="Times New Roman" w:hint="default"/>
        </w:rPr>
        <w:t>55%</w:t>
      </w:r>
      <w:r>
        <w:rPr/>
        <w:t>和</w:t>
      </w:r>
      <w:r>
        <w:rPr>
          <w:rFonts w:ascii="Times New Roman" w:hAnsi="Times New Roman" w:cs="Times New Roman" w:eastAsia="Times New Roman" w:hint="default"/>
        </w:rPr>
        <w:t>45%</w:t>
      </w:r>
      <w:r>
        <w:rPr/>
        <w:t>股权。</w:t>
      </w:r>
      <w:r>
        <w:rPr>
          <w:rFonts w:ascii="Times New Roman" w:hAnsi="Times New Roman" w:cs="Times New Roman" w:eastAsia="Times New Roman" w:hint="default"/>
        </w:rPr>
        <w:t>mMAX Communications Pte.</w:t>
      </w:r>
      <w:r>
        <w:rPr>
          <w:rFonts w:ascii="Times New Roman" w:hAnsi="Times New Roman" w:cs="Times New Roman" w:eastAsia="Times New Roman" w:hint="default"/>
          <w:spacing w:val="-23"/>
        </w:rPr>
        <w:t> </w:t>
      </w:r>
      <w:r>
        <w:rPr>
          <w:rFonts w:ascii="Times New Roman" w:hAnsi="Times New Roman" w:cs="Times New Roman" w:eastAsia="Times New Roman" w:hint="default"/>
        </w:rPr>
        <w:t>Ltd.</w:t>
      </w:r>
      <w:r>
        <w:rPr/>
        <w:t>是</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日在新加坡注册成立的一家私人豁免有限公 司，注册资本：</w:t>
      </w:r>
      <w:r>
        <w:rPr>
          <w:rFonts w:ascii="Times New Roman" w:hAnsi="Times New Roman" w:cs="Times New Roman" w:eastAsia="Times New Roman" w:hint="default"/>
        </w:rPr>
        <w:t>100,000</w:t>
      </w:r>
      <w:r>
        <w:rPr/>
        <w:t>新加坡元，实收资本：</w:t>
      </w:r>
      <w:r>
        <w:rPr>
          <w:rFonts w:ascii="Times New Roman" w:hAnsi="Times New Roman" w:cs="Times New Roman" w:eastAsia="Times New Roman" w:hint="default"/>
        </w:rPr>
        <w:t>100,000</w:t>
      </w:r>
      <w:r>
        <w:rPr/>
        <w:t>新加坡元，其董事长</w:t>
      </w:r>
      <w:r>
        <w:rPr>
          <w:rFonts w:ascii="Times New Roman" w:hAnsi="Times New Roman" w:cs="Times New Roman" w:eastAsia="Times New Roman" w:hint="default"/>
        </w:rPr>
        <w:t>Ong Hong</w:t>
      </w:r>
      <w:r>
        <w:rPr>
          <w:rFonts w:ascii="Times New Roman" w:hAnsi="Times New Roman" w:cs="Times New Roman" w:eastAsia="Times New Roman" w:hint="default"/>
          <w:spacing w:val="-10"/>
        </w:rPr>
        <w:t> </w:t>
      </w:r>
      <w:r>
        <w:rPr>
          <w:rFonts w:ascii="Times New Roman" w:hAnsi="Times New Roman" w:cs="Times New Roman" w:eastAsia="Times New Roman" w:hint="default"/>
        </w:rPr>
        <w:t>Peow</w:t>
      </w:r>
      <w:r>
        <w:rPr/>
        <w:t>持有其</w:t>
      </w:r>
      <w:r>
        <w:rPr>
          <w:rFonts w:ascii="Times New Roman" w:hAnsi="Times New Roman" w:cs="Times New Roman" w:eastAsia="Times New Roman" w:hint="default"/>
        </w:rPr>
        <w:t>100%</w:t>
      </w:r>
      <w:r>
        <w:rPr/>
        <w:t>的股权，经营范围为 工程技术研究和实验性研发；医学技术研究和实验性研发。润和数码住所为南京市雨花台区软件大道</w:t>
      </w:r>
      <w:r>
        <w:rPr>
          <w:rFonts w:ascii="Times New Roman" w:hAnsi="Times New Roman" w:cs="Times New Roman" w:eastAsia="Times New Roman" w:hint="default"/>
        </w:rPr>
        <w:t>168</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502</w:t>
      </w:r>
      <w:r>
        <w:rPr/>
        <w:t>室，法定 </w:t>
      </w:r>
      <w:r>
        <w:rPr>
          <w:spacing w:val="-2"/>
        </w:rPr>
        <w:t>代表人为周红卫，经营范围为动漫设计制作，计算机软件的开发服务，通讯电子产品及相关软硬件产品的技术研发、销售并</w:t>
      </w:r>
      <w:r>
        <w:rPr>
          <w:spacing w:val="-67"/>
        </w:rPr>
        <w:t> </w:t>
      </w:r>
      <w:r>
        <w:rPr>
          <w:spacing w:val="-67"/>
        </w:rPr>
      </w:r>
      <w:r>
        <w:rPr>
          <w:spacing w:val="-2"/>
        </w:rPr>
        <w:t>提供相关配套的售后服务；系统应用管理和维护、信息技术支持管理；自营和代理上述商品及技术的进出口业务；计算机网</w:t>
      </w:r>
      <w:r>
        <w:rPr>
          <w:spacing w:val="-67"/>
        </w:rPr>
        <w:t> </w:t>
      </w:r>
      <w:r>
        <w:rPr>
          <w:spacing w:val="-67"/>
        </w:rPr>
      </w:r>
      <w:r>
        <w:rPr/>
        <w:t>络系统集成，楼宇智能化系统工程的设计、施工、安装（涉及许可经营的，凭许可证经营）。</w:t>
      </w:r>
    </w:p>
    <w:p>
      <w:pPr>
        <w:pStyle w:val="BodyText"/>
        <w:spacing w:line="240" w:lineRule="auto" w:before="26"/>
        <w:ind w:left="833"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日，润和数码总资产和净资产分别为</w:t>
      </w:r>
      <w:r>
        <w:rPr>
          <w:rFonts w:ascii="Times New Roman" w:hAnsi="Times New Roman" w:cs="Times New Roman" w:eastAsia="Times New Roman" w:hint="default"/>
        </w:rPr>
        <w:t>38,380,039.43</w:t>
      </w:r>
      <w:r>
        <w:rPr/>
        <w:t>元和</w:t>
      </w:r>
      <w:r>
        <w:rPr>
          <w:rFonts w:ascii="Times New Roman" w:hAnsi="Times New Roman" w:cs="Times New Roman" w:eastAsia="Times New Roman" w:hint="default"/>
        </w:rPr>
        <w:t>9,896,576.63</w:t>
      </w:r>
      <w:r>
        <w:rPr/>
        <w:t>元；</w:t>
      </w:r>
      <w:r>
        <w:rPr>
          <w:rFonts w:ascii="Times New Roman" w:hAnsi="Times New Roman" w:cs="Times New Roman" w:eastAsia="Times New Roman" w:hint="default"/>
        </w:rPr>
        <w:t>2012</w:t>
      </w:r>
      <w:r>
        <w:rPr/>
        <w:t>年度净利润为</w:t>
      </w:r>
    </w:p>
    <w:p>
      <w:pPr>
        <w:pStyle w:val="BodyText"/>
        <w:spacing w:line="300" w:lineRule="auto" w:before="63"/>
        <w:ind w:left="833" w:right="6381" w:hanging="720"/>
        <w:jc w:val="left"/>
      </w:pPr>
      <w:r>
        <w:rPr>
          <w:rFonts w:ascii="Times New Roman" w:hAnsi="Times New Roman" w:cs="Times New Roman" w:eastAsia="Times New Roman" w:hint="default"/>
        </w:rPr>
        <w:t>348,210.71</w:t>
      </w:r>
      <w:r>
        <w:rPr/>
        <w:t>元，以上数据已经华普天健审计。 </w:t>
      </w:r>
      <w:r>
        <w:rPr>
          <w:rFonts w:ascii="Times New Roman" w:hAnsi="Times New Roman" w:cs="Times New Roman" w:eastAsia="Times New Roman" w:hint="default"/>
        </w:rPr>
        <w:t>(9)</w:t>
      </w:r>
      <w:r>
        <w:rPr/>
        <w:t>西安润和</w:t>
      </w:r>
    </w:p>
    <w:p>
      <w:pPr>
        <w:pStyle w:val="BodyText"/>
        <w:spacing w:line="307" w:lineRule="auto" w:before="13"/>
        <w:ind w:left="113" w:right="0" w:firstLine="720"/>
        <w:jc w:val="left"/>
      </w:pPr>
      <w:r>
        <w:rPr/>
        <w:t>西安润和成立于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日，注册资本</w:t>
      </w:r>
      <w:r>
        <w:rPr>
          <w:rFonts w:ascii="Times New Roman" w:hAnsi="Times New Roman" w:cs="Times New Roman" w:eastAsia="Times New Roman" w:hint="default"/>
        </w:rPr>
        <w:t>2000</w:t>
      </w:r>
      <w:r>
        <w:rPr/>
        <w:t>万元人民币，实收资本</w:t>
      </w:r>
      <w:r>
        <w:rPr>
          <w:rFonts w:ascii="Times New Roman" w:hAnsi="Times New Roman" w:cs="Times New Roman" w:eastAsia="Times New Roman" w:hint="default"/>
        </w:rPr>
        <w:t>2000</w:t>
      </w:r>
      <w:r>
        <w:rPr/>
        <w:t>万元人民币，为公司使用募集资金在西 安设立的全资子公司。西安润和的注册地址为西安市高新区锦业一路</w:t>
      </w:r>
      <w:r>
        <w:rPr>
          <w:rFonts w:ascii="Times New Roman" w:hAnsi="Times New Roman" w:cs="Times New Roman" w:eastAsia="Times New Roman" w:hint="default"/>
        </w:rPr>
        <w:t>58</w:t>
      </w:r>
      <w:r>
        <w:rPr/>
        <w:t>号嘉昱大厦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9</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12</w:t>
      </w:r>
      <w:r>
        <w:rPr/>
        <w:t>层；经营范围为计算 </w:t>
      </w:r>
      <w:r>
        <w:rPr>
          <w:spacing w:val="-2"/>
        </w:rPr>
        <w:t>机软件研发；软件产品销售及售后综合技术服务；货物与技术的进出口经营（国家限制和禁止的货物与技术的进出口除外）；</w:t>
      </w:r>
      <w:r>
        <w:rPr>
          <w:spacing w:val="-72"/>
        </w:rPr>
        <w:t> </w:t>
      </w:r>
      <w:r>
        <w:rPr>
          <w:spacing w:val="-72"/>
        </w:rPr>
      </w:r>
      <w:r>
        <w:rPr/>
        <w:t>计算机网络系统集成；楼宇智能化系统工程的设计、施工、安装。（以上经营范围除国家专控及前置许可项目）</w:t>
      </w:r>
    </w:p>
    <w:p>
      <w:pPr>
        <w:pStyle w:val="BodyText"/>
        <w:spacing w:line="240" w:lineRule="auto" w:before="26"/>
        <w:ind w:left="834"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日，润和数码总资产和净资产分别为</w:t>
      </w:r>
      <w:r>
        <w:rPr>
          <w:rFonts w:ascii="Times New Roman" w:hAnsi="Times New Roman" w:cs="Times New Roman" w:eastAsia="Times New Roman" w:hint="default"/>
        </w:rPr>
        <w:t>20,979,734.28</w:t>
      </w:r>
      <w:r>
        <w:rPr/>
        <w:t>元和</w:t>
      </w:r>
      <w:r>
        <w:rPr>
          <w:rFonts w:ascii="Times New Roman" w:hAnsi="Times New Roman" w:cs="Times New Roman" w:eastAsia="Times New Roman" w:hint="default"/>
        </w:rPr>
        <w:t>19,998,534.28</w:t>
      </w:r>
      <w:r>
        <w:rPr/>
        <w:t>元；</w:t>
      </w:r>
      <w:r>
        <w:rPr>
          <w:rFonts w:ascii="Times New Roman" w:hAnsi="Times New Roman" w:cs="Times New Roman" w:eastAsia="Times New Roman" w:hint="default"/>
        </w:rPr>
        <w:t>2012</w:t>
      </w:r>
      <w:r>
        <w:rPr/>
        <w:t>年度净利润为</w:t>
      </w:r>
    </w:p>
    <w:p>
      <w:pPr>
        <w:pStyle w:val="BodyText"/>
        <w:spacing w:line="240" w:lineRule="auto" w:before="63"/>
        <w:ind w:left="113" w:right="0"/>
        <w:jc w:val="left"/>
      </w:pPr>
      <w:r>
        <w:rPr>
          <w:rFonts w:ascii="Times New Roman" w:hAnsi="Times New Roman" w:cs="Times New Roman" w:eastAsia="Times New Roman" w:hint="default"/>
        </w:rPr>
        <w:t>-1,465.72</w:t>
      </w:r>
      <w:r>
        <w:rPr/>
        <w:t>元，以上数据已经华普天健审计。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三、公司未来发展的展望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left="113" w:right="269" w:firstLine="360"/>
        <w:jc w:val="both"/>
      </w:pPr>
      <w:r>
        <w:rPr>
          <w:spacing w:val="-2"/>
        </w:rPr>
        <w:t>公司将继续坚持</w:t>
      </w:r>
      <w:r>
        <w:rPr>
          <w:rFonts w:ascii="Times New Roman" w:hAnsi="Times New Roman" w:cs="Times New Roman" w:eastAsia="Times New Roman" w:hint="default"/>
          <w:spacing w:val="-2"/>
        </w:rPr>
        <w:t>“</w:t>
      </w:r>
      <w:r>
        <w:rPr>
          <w:spacing w:val="-2"/>
        </w:rPr>
        <w:t>国际化、专业化、高端化</w:t>
      </w:r>
      <w:r>
        <w:rPr>
          <w:rFonts w:ascii="Times New Roman" w:hAnsi="Times New Roman" w:cs="Times New Roman" w:eastAsia="Times New Roman" w:hint="default"/>
          <w:spacing w:val="-2"/>
        </w:rPr>
        <w:t>”</w:t>
      </w:r>
      <w:r>
        <w:rPr>
          <w:spacing w:val="-2"/>
        </w:rPr>
        <w:t>的发展思路，立足于计算机软件开发与咨询业，继续并加速发展高端软件业</w:t>
      </w:r>
      <w:r>
        <w:rPr/>
        <w:t> </w:t>
      </w:r>
      <w:r>
        <w:rPr>
          <w:spacing w:val="-2"/>
        </w:rPr>
        <w:t>务，推动国际市场与国内市场同步、互动发展，深耕专业领域与细分市场，不断增加核心竞争力，持续提升行业地位。力求</w:t>
      </w:r>
      <w:r>
        <w:rPr>
          <w:spacing w:val="-68"/>
        </w:rPr>
        <w:t> </w:t>
      </w:r>
      <w:r>
        <w:rPr>
          <w:spacing w:val="-68"/>
        </w:rPr>
      </w:r>
      <w:r>
        <w:rPr/>
        <w:t>打造中国领先的国际化高端软件服务品牌。</w:t>
      </w:r>
    </w:p>
    <w:p>
      <w:pPr>
        <w:pStyle w:val="BodyText"/>
        <w:spacing w:line="240" w:lineRule="auto" w:before="24"/>
        <w:ind w:left="473" w:right="0"/>
        <w:jc w:val="left"/>
      </w:pPr>
      <w:r>
        <w:rPr>
          <w:rFonts w:ascii="Times New Roman" w:hAnsi="Times New Roman" w:cs="Times New Roman" w:eastAsia="Times New Roman" w:hint="default"/>
        </w:rPr>
        <w:t>2013</w:t>
      </w:r>
      <w:r>
        <w:rPr/>
        <w:t>年，公司主营业务将保持持续增长，具体措施如下：</w:t>
      </w:r>
    </w:p>
    <w:p>
      <w:pPr>
        <w:pStyle w:val="BodyText"/>
        <w:spacing w:line="300" w:lineRule="auto" w:before="63"/>
        <w:ind w:left="473" w:right="0"/>
        <w:jc w:val="left"/>
      </w:pPr>
      <w:r>
        <w:rPr>
          <w:rFonts w:ascii="Times New Roman" w:hAnsi="Times New Roman" w:cs="Times New Roman" w:eastAsia="Times New Roman" w:hint="default"/>
        </w:rPr>
        <w:t>1</w:t>
      </w:r>
      <w:r>
        <w:rPr/>
        <w:t>、市场开发计划 </w:t>
      </w:r>
      <w:r>
        <w:rPr>
          <w:spacing w:val="-2"/>
        </w:rPr>
        <w:t>公司将坚持国际、国内市场互动的发展原则，进一步完善国际、国内重点区域的市场布局，进一步提升公司的全球交付</w:t>
      </w:r>
    </w:p>
    <w:p>
      <w:pPr>
        <w:pStyle w:val="BodyText"/>
        <w:spacing w:line="316" w:lineRule="auto" w:before="31"/>
        <w:ind w:left="113" w:right="0"/>
        <w:jc w:val="left"/>
      </w:pPr>
      <w:r>
        <w:rPr>
          <w:spacing w:val="-2"/>
        </w:rPr>
        <w:t>能力，加大市场开拓力度，扩大公司高端客户的数量，提高公司专业领域的解决方案提供开发，力争公司现有的三个核心专</w:t>
      </w:r>
      <w:r>
        <w:rPr>
          <w:spacing w:val="-66"/>
        </w:rPr>
        <w:t> </w:t>
      </w:r>
      <w:r>
        <w:rPr>
          <w:spacing w:val="-66"/>
        </w:rPr>
      </w:r>
      <w:r>
        <w:rPr/>
        <w:t>业领域的销售收入均实现持续增长。</w:t>
      </w:r>
    </w:p>
    <w:p>
      <w:pPr>
        <w:pStyle w:val="BodyText"/>
        <w:spacing w:line="316" w:lineRule="auto" w:before="19"/>
        <w:ind w:left="113" w:right="181" w:firstLine="360"/>
        <w:jc w:val="both"/>
      </w:pPr>
      <w:r>
        <w:rPr>
          <w:spacing w:val="-4"/>
        </w:rPr>
        <w:t>在供应链管理软件业务的市场开拓中，公司将充分发挥现有行业龙头客户的作用，通过高端客户积累的业务和技术优势，</w:t>
      </w:r>
      <w:r>
        <w:rPr/>
        <w:t> 全面打造高端供应链管理软件解决方案，并向行业内高端客户推广，实现销售收入的持续增长；</w:t>
      </w:r>
    </w:p>
    <w:p>
      <w:pPr>
        <w:pStyle w:val="BodyText"/>
        <w:spacing w:line="316" w:lineRule="auto" w:before="19"/>
        <w:ind w:left="113" w:right="270" w:firstLine="360"/>
        <w:jc w:val="both"/>
      </w:pPr>
      <w:r>
        <w:rPr>
          <w:spacing w:val="-2"/>
        </w:rPr>
        <w:t>在智能终端嵌入式软件及产品业务的市场开拓中，公司将继续研究智能终端产业链的业务延伸和业务模式创新，通过已</w:t>
      </w:r>
      <w:r>
        <w:rPr/>
        <w:t> 有专业技术的积累和产业链的渗透，提升智能终端整体解决方案的提供能力，实现销售收入的持续增长；</w:t>
      </w:r>
    </w:p>
    <w:p>
      <w:pPr>
        <w:pStyle w:val="BodyText"/>
        <w:spacing w:line="316" w:lineRule="auto" w:before="19"/>
        <w:ind w:left="113" w:right="270" w:firstLine="360"/>
        <w:jc w:val="both"/>
      </w:pPr>
      <w:r>
        <w:rPr>
          <w:spacing w:val="-2"/>
        </w:rPr>
        <w:t>在智能电网信息化软件专业领域的市场开拓中，公司将继续提升现有客户的客户关系，并通过产品化的研发丰富该业务</w:t>
      </w:r>
      <w:r>
        <w:rPr/>
        <w:t> 领域的解决方案提供范围，并不断开拓新客户，实现销售收入的持续增长。</w:t>
      </w:r>
    </w:p>
    <w:p>
      <w:pPr>
        <w:pStyle w:val="BodyText"/>
        <w:spacing w:line="300" w:lineRule="auto" w:before="19"/>
        <w:ind w:right="271" w:firstLine="360"/>
        <w:jc w:val="both"/>
      </w:pPr>
      <w:r>
        <w:rPr>
          <w:spacing w:val="-1"/>
        </w:rPr>
        <w:t>公司将基于与</w:t>
      </w:r>
      <w:r>
        <w:rPr>
          <w:rFonts w:ascii="Times New Roman" w:hAnsi="Times New Roman" w:cs="Times New Roman" w:eastAsia="Times New Roman" w:hint="default"/>
          <w:spacing w:val="-1"/>
        </w:rPr>
        <w:t>IBM</w:t>
      </w:r>
      <w:r>
        <w:rPr>
          <w:spacing w:val="-1"/>
        </w:rPr>
        <w:t>联合创建的</w:t>
      </w:r>
      <w:r>
        <w:rPr>
          <w:rFonts w:ascii="Times New Roman" w:hAnsi="Times New Roman" w:cs="Times New Roman" w:eastAsia="Times New Roman" w:hint="default"/>
          <w:spacing w:val="-1"/>
        </w:rPr>
        <w:t>“</w:t>
      </w:r>
      <w:r>
        <w:rPr>
          <w:spacing w:val="-1"/>
        </w:rPr>
        <w:t>中国（南京）软件谷</w:t>
      </w:r>
      <w:r>
        <w:rPr>
          <w:rFonts w:ascii="Times New Roman" w:hAnsi="Times New Roman" w:cs="Times New Roman" w:eastAsia="Times New Roman" w:hint="default"/>
          <w:spacing w:val="-1"/>
        </w:rPr>
        <w:t>IBM</w:t>
      </w:r>
      <w:r>
        <w:rPr>
          <w:spacing w:val="-1"/>
        </w:rPr>
        <w:t>技术联合创新中心</w:t>
      </w:r>
      <w:r>
        <w:rPr>
          <w:rFonts w:ascii="Times New Roman" w:hAnsi="Times New Roman" w:cs="Times New Roman" w:eastAsia="Times New Roman" w:hint="default"/>
          <w:spacing w:val="-1"/>
        </w:rPr>
        <w:t>”</w:t>
      </w:r>
      <w:r>
        <w:rPr>
          <w:spacing w:val="-1"/>
        </w:rPr>
        <w:t>，依托多年来积累的行业和技术优势，进行</w:t>
      </w:r>
      <w:r>
        <w:rPr/>
        <w:t> 创新研发，推出面向</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的解决方案，力争实现新的业务增长。</w:t>
      </w:r>
    </w:p>
    <w:p>
      <w:pPr>
        <w:spacing w:after="0" w:line="300" w:lineRule="auto"/>
        <w:jc w:val="both"/>
        <w:sectPr>
          <w:pgSz w:w="11910" w:h="16840"/>
          <w:pgMar w:header="747" w:footer="980" w:top="1060" w:bottom="1160" w:left="1020" w:right="860"/>
        </w:sectPr>
      </w:pPr>
    </w:p>
    <w:p>
      <w:pPr>
        <w:spacing w:line="240" w:lineRule="auto" w:before="12"/>
        <w:rPr>
          <w:rFonts w:ascii="宋体" w:hAnsi="宋体" w:cs="宋体" w:eastAsia="宋体" w:hint="default"/>
          <w:sz w:val="25"/>
          <w:szCs w:val="25"/>
        </w:rPr>
      </w:pPr>
    </w:p>
    <w:p>
      <w:pPr>
        <w:pStyle w:val="BodyText"/>
        <w:spacing w:line="300" w:lineRule="auto"/>
        <w:ind w:left="473" w:right="90"/>
        <w:jc w:val="left"/>
      </w:pPr>
      <w:r>
        <w:rPr>
          <w:rFonts w:ascii="Times New Roman" w:hAnsi="Times New Roman" w:cs="Times New Roman" w:eastAsia="Times New Roman" w:hint="default"/>
        </w:rPr>
        <w:t>2</w:t>
      </w:r>
      <w:r>
        <w:rPr/>
        <w:t>、研发创新 </w:t>
      </w:r>
      <w:r>
        <w:rPr>
          <w:spacing w:val="-2"/>
        </w:rPr>
        <w:t>公司将加大研发创新的投入，将公司多年积累的专业知识与技术优势进行产品化、解决方案化，借助于产业升级背景下</w:t>
      </w:r>
    </w:p>
    <w:p>
      <w:pPr>
        <w:pStyle w:val="BodyText"/>
        <w:spacing w:line="316" w:lineRule="auto" w:before="31"/>
        <w:ind w:left="113" w:right="90"/>
        <w:jc w:val="left"/>
      </w:pPr>
      <w:r>
        <w:rPr>
          <w:spacing w:val="-4"/>
        </w:rPr>
        <w:t>信息化、智能化发展对软件服务的广阔市场需求，集中力量提升公司的核心竞争力。同时公司将完善研发和创新的管理体系，</w:t>
      </w:r>
      <w:r>
        <w:rPr>
          <w:spacing w:val="-43"/>
        </w:rPr>
        <w:t> </w:t>
      </w:r>
      <w:r>
        <w:rPr>
          <w:spacing w:val="-43"/>
        </w:rPr>
      </w:r>
      <w:r>
        <w:rPr/>
        <w:t>通过完善的管理体系和激励公司的创新能力。</w:t>
      </w:r>
    </w:p>
    <w:p>
      <w:pPr>
        <w:pStyle w:val="BodyText"/>
        <w:spacing w:line="300" w:lineRule="auto" w:before="19"/>
        <w:ind w:left="473" w:right="90"/>
        <w:jc w:val="left"/>
      </w:pPr>
      <w:r>
        <w:rPr>
          <w:rFonts w:ascii="Times New Roman" w:hAnsi="Times New Roman" w:cs="Times New Roman" w:eastAsia="Times New Roman" w:hint="default"/>
        </w:rPr>
        <w:t>3</w:t>
      </w:r>
      <w:r>
        <w:rPr/>
        <w:t>、人力资源规划 </w:t>
      </w:r>
      <w:r>
        <w:rPr>
          <w:spacing w:val="-2"/>
        </w:rPr>
        <w:t>公司的团队建设将以优化人才结构为发展目标。通过加强人才引入、培养、使用、激励等管理机制的实施和优化，全面</w:t>
      </w:r>
    </w:p>
    <w:p>
      <w:pPr>
        <w:pStyle w:val="BodyText"/>
        <w:spacing w:line="316" w:lineRule="auto" w:before="31"/>
        <w:ind w:left="473" w:right="90" w:hanging="360"/>
        <w:jc w:val="left"/>
      </w:pPr>
      <w:r>
        <w:rPr/>
        <w:t>提升公司人力资源的效率。 </w:t>
      </w:r>
      <w:r>
        <w:rPr>
          <w:spacing w:val="-2"/>
        </w:rPr>
        <w:t>在人才引进中，新进基础技术人才以应届毕业生招聘为主，通过完善的技术培训和岗位技能鉴等相关的规范制度，实现</w:t>
      </w:r>
    </w:p>
    <w:p>
      <w:pPr>
        <w:pStyle w:val="BodyText"/>
        <w:spacing w:line="316" w:lineRule="auto" w:before="19"/>
        <w:ind w:left="113" w:right="90"/>
        <w:jc w:val="left"/>
      </w:pPr>
      <w:r>
        <w:rPr>
          <w:spacing w:val="-2"/>
        </w:rPr>
        <w:t>公司技术人员能力的快速提升。同时，公司将加大核心专业技术团队建设，培育及引入高层次专业技术人才，着力提升公司</w:t>
      </w:r>
      <w:r>
        <w:rPr>
          <w:spacing w:val="-67"/>
        </w:rPr>
        <w:t> </w:t>
      </w:r>
      <w:r>
        <w:rPr>
          <w:spacing w:val="-67"/>
        </w:rPr>
      </w:r>
      <w:r>
        <w:rPr/>
        <w:t>核心业务领域的咨询设计能力。</w:t>
      </w:r>
    </w:p>
    <w:p>
      <w:pPr>
        <w:pStyle w:val="BodyText"/>
        <w:spacing w:line="300" w:lineRule="auto" w:before="19"/>
        <w:ind w:left="473" w:right="90"/>
        <w:jc w:val="left"/>
      </w:pPr>
      <w:r>
        <w:rPr>
          <w:rFonts w:ascii="Times New Roman" w:hAnsi="Times New Roman" w:cs="Times New Roman" w:eastAsia="Times New Roman" w:hint="default"/>
        </w:rPr>
        <w:t>4</w:t>
      </w:r>
      <w:r>
        <w:rPr/>
        <w:t>、收购兼并及对外扩充计划 </w:t>
      </w:r>
      <w:r>
        <w:rPr>
          <w:spacing w:val="-2"/>
        </w:rPr>
        <w:t>公司计划在适当的时候采取收购兼并等方式来拓展公司的业务渠道和技术能力，实现公司业务的扩张，提升软件服务的</w:t>
      </w:r>
    </w:p>
    <w:p>
      <w:pPr>
        <w:pStyle w:val="BodyText"/>
        <w:spacing w:line="240" w:lineRule="auto" w:before="31"/>
        <w:ind w:left="113" w:right="90"/>
        <w:jc w:val="left"/>
      </w:pPr>
      <w:r>
        <w:rPr/>
        <w:t>规模效益。目前，公司尚未锁定明确的收购对象，也未签署任何与并购有关的实质性协议。</w:t>
      </w:r>
    </w:p>
    <w:p>
      <w:pPr>
        <w:spacing w:line="240" w:lineRule="auto" w:before="2"/>
        <w:rPr>
          <w:rFonts w:ascii="宋体" w:hAnsi="宋体" w:cs="宋体" w:eastAsia="宋体" w:hint="default"/>
          <w:sz w:val="25"/>
          <w:szCs w:val="25"/>
        </w:rPr>
      </w:pPr>
    </w:p>
    <w:p>
      <w:pPr>
        <w:pStyle w:val="Heading2"/>
        <w:spacing w:line="240" w:lineRule="auto" w:before="0"/>
        <w:ind w:right="90"/>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90"/>
        <w:jc w:val="left"/>
      </w:pPr>
      <w:r>
        <w:rPr/>
        <w:t>无</w:t>
      </w:r>
    </w:p>
    <w:p>
      <w:pPr>
        <w:spacing w:line="240" w:lineRule="auto" w:before="2"/>
        <w:rPr>
          <w:rFonts w:ascii="宋体" w:hAnsi="宋体" w:cs="宋体" w:eastAsia="宋体" w:hint="default"/>
          <w:sz w:val="25"/>
          <w:szCs w:val="25"/>
        </w:rPr>
      </w:pPr>
    </w:p>
    <w:p>
      <w:pPr>
        <w:pStyle w:val="Heading2"/>
        <w:spacing w:line="240" w:lineRule="auto" w:before="0"/>
        <w:ind w:right="90"/>
        <w:jc w:val="left"/>
        <w:rPr>
          <w:b w:val="0"/>
          <w:bCs w:val="0"/>
        </w:rPr>
      </w:pPr>
      <w:r>
        <w:rPr/>
        <w:t>五、董事会关于报告期会计政策、会计估计变更或重要前期差错更正的说明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0"/>
        <w:jc w:val="left"/>
      </w:pPr>
      <w:r>
        <w:rPr/>
        <w:t>无</w:t>
      </w:r>
    </w:p>
    <w:p>
      <w:pPr>
        <w:spacing w:line="240" w:lineRule="auto" w:before="1"/>
        <w:rPr>
          <w:rFonts w:ascii="宋体" w:hAnsi="宋体" w:cs="宋体" w:eastAsia="宋体" w:hint="default"/>
          <w:sz w:val="25"/>
          <w:szCs w:val="25"/>
        </w:rPr>
      </w:pPr>
    </w:p>
    <w:p>
      <w:pPr>
        <w:pStyle w:val="Heading2"/>
        <w:spacing w:line="240" w:lineRule="auto" w:before="0"/>
        <w:ind w:right="90"/>
        <w:jc w:val="left"/>
        <w:rPr>
          <w:b w:val="0"/>
          <w:bCs w:val="0"/>
        </w:rPr>
      </w:pPr>
      <w:r>
        <w:rPr/>
        <w:t>六、公司利润分配及分红派息情况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0"/>
        <w:jc w:val="left"/>
      </w:pPr>
      <w:r>
        <w:rPr/>
        <w:t>报告期内利润分配政策特别是现金分红政策的制定、执行或调整情况</w:t>
      </w:r>
    </w:p>
    <w:p>
      <w:pPr>
        <w:pStyle w:val="BodyText"/>
        <w:spacing w:line="240" w:lineRule="auto" w:before="116"/>
        <w:ind w:left="474" w:right="90"/>
        <w:jc w:val="left"/>
      </w:pPr>
      <w:r>
        <w:rPr>
          <w:rFonts w:ascii="Times New Roman" w:hAnsi="Times New Roman" w:cs="Times New Roman" w:eastAsia="Times New Roman" w:hint="default"/>
        </w:rPr>
        <w:t>1</w:t>
      </w:r>
      <w:r>
        <w:rPr/>
        <w:t>、报告期内公司现金分红政策的制定情况</w:t>
      </w:r>
    </w:p>
    <w:p>
      <w:pPr>
        <w:pStyle w:val="BodyText"/>
        <w:spacing w:line="300" w:lineRule="auto" w:before="63"/>
        <w:ind w:left="113" w:right="218"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日，公司召开</w:t>
      </w:r>
      <w:r>
        <w:rPr>
          <w:rFonts w:ascii="Times New Roman" w:hAnsi="Times New Roman" w:cs="Times New Roman" w:eastAsia="Times New Roman" w:hint="default"/>
        </w:rPr>
        <w:t>2011</w:t>
      </w:r>
      <w:r>
        <w:rPr/>
        <w:t>年第二次临时股东大会，审议通过《关于修改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草案</w:t>
      </w:r>
      <w:r>
        <w:rPr>
          <w:rFonts w:ascii="Times New Roman" w:hAnsi="Times New Roman" w:cs="Times New Roman" w:eastAsia="Times New Roman" w:hint="default"/>
        </w:rPr>
        <w:t>)</w:t>
      </w:r>
      <w:r>
        <w:rPr/>
        <w:t>的议案，明确公司利润 分配政策内容如下：</w:t>
      </w:r>
    </w:p>
    <w:p>
      <w:pPr>
        <w:pStyle w:val="BodyText"/>
        <w:spacing w:line="316" w:lineRule="auto" w:before="31"/>
        <w:ind w:left="113" w:right="90" w:firstLine="360"/>
        <w:jc w:val="left"/>
      </w:pPr>
      <w:r>
        <w:rPr>
          <w:spacing w:val="-2"/>
        </w:rPr>
        <w:t>公司的利润分配政策应重视对投资者的合理投资回报，利润分配政策将保持连续性和稳定性。公司的利润分配不得超过</w:t>
      </w:r>
      <w:r>
        <w:rPr/>
        <w:t> 累计可分配利润的范围，不得损害公司持续经营能力。公司的利润分配政策为：</w:t>
      </w:r>
    </w:p>
    <w:p>
      <w:pPr>
        <w:pStyle w:val="BodyText"/>
        <w:spacing w:line="240" w:lineRule="auto" w:before="19"/>
        <w:ind w:left="473" w:right="90"/>
        <w:jc w:val="left"/>
      </w:pPr>
      <w:r>
        <w:rPr/>
        <w:t>（</w:t>
      </w:r>
      <w:r>
        <w:rPr>
          <w:rFonts w:ascii="Times New Roman" w:hAnsi="Times New Roman" w:cs="Times New Roman" w:eastAsia="Times New Roman" w:hint="default"/>
        </w:rPr>
        <w:t>1</w:t>
      </w:r>
      <w:r>
        <w:rPr/>
        <w:t>）公司可以采取现金或者股票方式分配股利，可以进行中期现金分红；</w:t>
      </w:r>
    </w:p>
    <w:p>
      <w:pPr>
        <w:pStyle w:val="BodyText"/>
        <w:spacing w:line="309" w:lineRule="auto" w:before="63"/>
        <w:ind w:left="113" w:right="191" w:firstLine="360"/>
        <w:jc w:val="both"/>
      </w:pPr>
      <w:r>
        <w:rPr/>
        <w:t>（</w:t>
      </w:r>
      <w:r>
        <w:rPr>
          <w:rFonts w:ascii="Times New Roman" w:hAnsi="Times New Roman" w:cs="Times New Roman" w:eastAsia="Times New Roman" w:hint="default"/>
        </w:rPr>
        <w:t>2</w:t>
      </w:r>
      <w:r>
        <w:rPr/>
        <w:t>）公司每年以现金方式分配的利润不少于当年实现的可分配利润的</w:t>
      </w:r>
      <w:r>
        <w:rPr>
          <w:rFonts w:ascii="Times New Roman" w:hAnsi="Times New Roman" w:cs="Times New Roman" w:eastAsia="Times New Roman" w:hint="default"/>
        </w:rPr>
        <w:t>20%</w:t>
      </w:r>
      <w:r>
        <w:rPr/>
        <w:t>；对于公司当年的利润分配计划，公司董事 </w:t>
      </w:r>
      <w:r>
        <w:rPr>
          <w:spacing w:val="-2"/>
        </w:rPr>
        <w:t>会应当在定期报告中披露当年未分配利润的使用计划、安排或原则。公司董事会未做出年度现金利润分配预案或年度现金利</w:t>
      </w:r>
      <w:r>
        <w:rPr>
          <w:spacing w:val="-64"/>
        </w:rPr>
        <w:t> </w:t>
      </w:r>
      <w:r>
        <w:rPr>
          <w:spacing w:val="-64"/>
        </w:rPr>
      </w:r>
      <w:r>
        <w:rPr>
          <w:spacing w:val="-1"/>
        </w:rPr>
        <w:t>润分配比例不足</w:t>
      </w:r>
      <w:r>
        <w:rPr>
          <w:rFonts w:ascii="Times New Roman" w:hAnsi="Times New Roman" w:cs="Times New Roman" w:eastAsia="Times New Roman" w:hint="default"/>
          <w:spacing w:val="-1"/>
        </w:rPr>
        <w:t>20%</w:t>
      </w:r>
      <w:r>
        <w:rPr>
          <w:spacing w:val="-1"/>
        </w:rPr>
        <w:t>的，应当在定期报告中披露原因、公司留存资金的使用计划和安排，该等年度现金利润分配方案须经董</w:t>
      </w:r>
      <w:r>
        <w:rPr>
          <w:spacing w:val="-88"/>
        </w:rPr>
        <w:t> </w:t>
      </w:r>
      <w:r>
        <w:rPr>
          <w:spacing w:val="-88"/>
        </w:rPr>
      </w:r>
      <w:r>
        <w:rPr>
          <w:spacing w:val="-2"/>
        </w:rPr>
        <w:t>事会审议、监事会审核后提交股东大会审议；股东大会审议该等年度现金利润分配方案时，公司应当提供网络投票表决方式</w:t>
      </w:r>
      <w:r>
        <w:rPr>
          <w:spacing w:val="-65"/>
        </w:rPr>
        <w:t> </w:t>
      </w:r>
      <w:r>
        <w:rPr>
          <w:spacing w:val="-65"/>
        </w:rPr>
      </w:r>
      <w:r>
        <w:rPr/>
        <w:t>为社会公众股东参加股东大会提供便利；对于该等年度现金利润分配方案，独立董事应当发表独立意见；</w:t>
      </w:r>
    </w:p>
    <w:p>
      <w:pPr>
        <w:pStyle w:val="BodyText"/>
        <w:spacing w:line="300" w:lineRule="auto" w:before="24"/>
        <w:ind w:left="113" w:right="181" w:firstLine="360"/>
        <w:jc w:val="left"/>
      </w:pPr>
      <w:r>
        <w:rPr/>
        <w:t>（</w:t>
      </w:r>
      <w:r>
        <w:rPr>
          <w:rFonts w:ascii="Times New Roman" w:hAnsi="Times New Roman" w:cs="Times New Roman" w:eastAsia="Times New Roman" w:hint="default"/>
        </w:rPr>
        <w:t>3</w:t>
      </w:r>
      <w:r>
        <w:rPr/>
        <w:t>）在保证公司股本规模和股权结构合理的前提下，基于回报投资者和分享企业价值考虑，公司可以发放股票股利， 具体方案需经公司董事会审议后提交公司股东大会批准。</w:t>
      </w:r>
    </w:p>
    <w:p>
      <w:pPr>
        <w:pStyle w:val="BodyText"/>
        <w:spacing w:line="316" w:lineRule="auto" w:before="31"/>
        <w:ind w:left="113" w:right="90" w:firstLine="450"/>
        <w:jc w:val="left"/>
      </w:pPr>
      <w:r>
        <w:rPr/>
        <w:t>公司的利润分配政策经董事会审议、监事会审核后，报股东大会表决通过。如需要调整利润分配政策的，应以股东权 </w:t>
      </w:r>
      <w:r>
        <w:rPr>
          <w:spacing w:val="-2"/>
        </w:rPr>
        <w:t>益保护为出发点，由公司董事会、监事会进行研究论证并在股东大会提案中详细论证和说明原因，经调整的利润分配政策应</w:t>
      </w:r>
      <w:r>
        <w:rPr>
          <w:spacing w:val="-65"/>
        </w:rPr>
        <w:t> </w:t>
      </w:r>
      <w:r>
        <w:rPr>
          <w:spacing w:val="-65"/>
        </w:rPr>
      </w:r>
      <w:r>
        <w:rPr>
          <w:spacing w:val="-2"/>
        </w:rPr>
        <w:t>当符合有关法律、行政法规、部门规章及本章程的规定并须经董事会审议、监事会审核后提交股东大会审议，股东大会审议</w:t>
      </w:r>
      <w:r>
        <w:rPr>
          <w:spacing w:val="-66"/>
        </w:rPr>
        <w:t> </w:t>
      </w:r>
      <w:r>
        <w:rPr>
          <w:spacing w:val="-66"/>
        </w:rPr>
      </w:r>
      <w:r>
        <w:rPr>
          <w:spacing w:val="-4"/>
        </w:rPr>
        <w:t>该等议案时，公司应当提供网络投票表决方式为公众股东参加股东大会提供便利。对于公司利润分配政策的制订或修改事项，</w:t>
      </w:r>
      <w:r>
        <w:rPr>
          <w:spacing w:val="-43"/>
        </w:rPr>
        <w:t> </w:t>
      </w:r>
      <w:r>
        <w:rPr>
          <w:spacing w:val="-43"/>
        </w:rPr>
      </w:r>
      <w:r>
        <w:rPr/>
        <w:t>独立董事应当发表独立意见。</w:t>
      </w:r>
    </w:p>
    <w:p>
      <w:pPr>
        <w:pStyle w:val="BodyText"/>
        <w:spacing w:line="240" w:lineRule="auto" w:before="19"/>
        <w:ind w:left="563" w:right="90"/>
        <w:jc w:val="left"/>
      </w:pPr>
      <w:r>
        <w:rPr/>
        <w:t>公司制定各期利润分配的具体规划和计划安排，以及调整规划或计划安排时，应按照有关法律、行政法规、部门规章</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ind w:left="113" w:right="110"/>
        <w:jc w:val="both"/>
      </w:pPr>
      <w:r>
        <w:rPr>
          <w:spacing w:val="-2"/>
        </w:rPr>
        <w:t>及本章程的规定，并充分听取独立董事、外部监事和公众投资者的意见；公司制定分红回报规划应当着眼于公司的长远和可</w:t>
      </w:r>
      <w:r>
        <w:rPr>
          <w:spacing w:val="-65"/>
        </w:rPr>
        <w:t> </w:t>
      </w:r>
      <w:r>
        <w:rPr>
          <w:spacing w:val="-65"/>
        </w:rPr>
      </w:r>
      <w:r>
        <w:rPr>
          <w:spacing w:val="-2"/>
        </w:rPr>
        <w:t>持续发展，在综合分析企业经营发展实际、股东要求和意愿、社会资金成本、外部融资环境等因素的基础上，建立对投资者</w:t>
      </w:r>
      <w:r>
        <w:rPr>
          <w:spacing w:val="-65"/>
        </w:rPr>
        <w:t> </w:t>
      </w:r>
      <w:r>
        <w:rPr>
          <w:spacing w:val="-65"/>
        </w:rPr>
      </w:r>
      <w:r>
        <w:rPr/>
        <w:t>持续、稳定、科学的回报机制。</w:t>
      </w:r>
    </w:p>
    <w:p>
      <w:pPr>
        <w:spacing w:line="240" w:lineRule="auto" w:before="4"/>
        <w:rPr>
          <w:rFonts w:ascii="宋体" w:hAnsi="宋体" w:cs="宋体" w:eastAsia="宋体" w:hint="default"/>
          <w:sz w:val="25"/>
          <w:szCs w:val="25"/>
        </w:rPr>
      </w:pPr>
    </w:p>
    <w:p>
      <w:pPr>
        <w:pStyle w:val="BodyText"/>
        <w:spacing w:line="300" w:lineRule="auto" w:before="0"/>
        <w:ind w:left="473" w:right="10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、报告期内公司现金分红政策的执行情况 为回报全体股东，让全体股东共同分享公司的经营成果，结合公司控股股东江苏润和科技投资有限公司于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p>
    <w:p>
      <w:pPr>
        <w:pStyle w:val="BodyText"/>
        <w:spacing w:line="300" w:lineRule="auto" w:before="13"/>
        <w:ind w:left="113" w:right="0"/>
        <w:jc w:val="left"/>
      </w:pPr>
      <w:r>
        <w:rPr/>
        <w:t>日的提议，公司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1-6</w:t>
      </w:r>
      <w:r>
        <w:rPr/>
        <w:t>月，实现净利润</w:t>
      </w:r>
      <w:r>
        <w:rPr>
          <w:rFonts w:ascii="Times New Roman" w:hAnsi="Times New Roman" w:cs="Times New Roman" w:eastAsia="Times New Roman" w:hint="default"/>
        </w:rPr>
        <w:t>23,705,670.21</w:t>
      </w:r>
      <w:r>
        <w:rPr/>
        <w:t>元，提取法定盈余公积金</w:t>
      </w:r>
      <w:r>
        <w:rPr>
          <w:rFonts w:ascii="Times New Roman" w:hAnsi="Times New Roman" w:cs="Times New Roman" w:eastAsia="Times New Roman" w:hint="default"/>
        </w:rPr>
        <w:t>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日可供分配利润为 </w:t>
      </w:r>
      <w:r>
        <w:rPr>
          <w:rFonts w:ascii="Times New Roman" w:hAnsi="Times New Roman" w:cs="Times New Roman" w:eastAsia="Times New Roman" w:hint="default"/>
          <w:spacing w:val="-1"/>
        </w:rPr>
        <w:t>119,846,289.76</w:t>
      </w:r>
      <w:r>
        <w:rPr>
          <w:spacing w:val="-1"/>
        </w:rPr>
        <w:t>元。公司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2012</w:t>
      </w:r>
      <w:r>
        <w:rPr>
          <w:spacing w:val="-1"/>
        </w:rPr>
        <w:t>年第一次临时股东大会审议批准，公司</w:t>
      </w:r>
      <w:r>
        <w:rPr>
          <w:rFonts w:ascii="Times New Roman" w:hAnsi="Times New Roman" w:cs="Times New Roman" w:eastAsia="Times New Roman" w:hint="default"/>
          <w:spacing w:val="-1"/>
        </w:rPr>
        <w:t>2012</w:t>
      </w:r>
      <w:r>
        <w:rPr>
          <w:spacing w:val="-1"/>
        </w:rPr>
        <w:t>年半年度利润分配方案为：以</w:t>
      </w:r>
      <w:r>
        <w:rPr>
          <w:spacing w:val="-62"/>
        </w:rPr>
        <w:t> </w:t>
      </w:r>
      <w:r>
        <w:rPr>
          <w:spacing w:val="-62"/>
        </w:rPr>
      </w:r>
      <w:r>
        <w:rPr/>
        <w:t>公司上市后总股本</w:t>
      </w:r>
      <w:r>
        <w:rPr>
          <w:rFonts w:ascii="Times New Roman" w:hAnsi="Times New Roman" w:cs="Times New Roman" w:eastAsia="Times New Roman" w:hint="default"/>
        </w:rPr>
        <w:t>76,740,000</w:t>
      </w:r>
      <w:r>
        <w:rPr/>
        <w:t>股为基数，向全体股东按每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1.50</w:t>
      </w:r>
      <w:r>
        <w:rPr/>
        <w:t>元（含税），共分配现金股利 </w:t>
      </w:r>
      <w:r>
        <w:rPr>
          <w:rFonts w:ascii="Times New Roman" w:hAnsi="Times New Roman" w:cs="Times New Roman" w:eastAsia="Times New Roman" w:hint="default"/>
        </w:rPr>
        <w:t>11,511,000.00</w:t>
      </w:r>
      <w:r>
        <w:rPr/>
        <w:t>元。上述利润分配方案已于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日实施完毕。</w:t>
      </w:r>
    </w:p>
    <w:p>
      <w:pPr>
        <w:spacing w:line="240" w:lineRule="auto" w:before="11"/>
        <w:rPr>
          <w:rFonts w:ascii="宋体" w:hAnsi="宋体" w:cs="宋体" w:eastAsia="宋体" w:hint="default"/>
          <w:sz w:val="24"/>
          <w:szCs w:val="24"/>
        </w:rPr>
      </w:pPr>
    </w:p>
    <w:p>
      <w:pPr>
        <w:pStyle w:val="BodyText"/>
        <w:spacing w:line="316" w:lineRule="auto" w:before="0"/>
        <w:ind w:right="0" w:firstLine="360"/>
        <w:jc w:val="left"/>
      </w:pPr>
      <w:r>
        <w:rPr>
          <w:spacing w:val="-2"/>
        </w:rPr>
        <w:t>综上，公司现金分红政策的制定及执行情况，符合公司章程的规定，分红标准和比例明确清晰，相关决策程序完备，独</w:t>
      </w:r>
      <w:r>
        <w:rPr/>
        <w:t> 立董事尽职履责并发挥了应有的作用，充分维护了中小股东的合法权益。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before="0"/>
        <w:ind w:right="0"/>
        <w:jc w:val="left"/>
      </w:pPr>
      <w:r>
        <w:rPr/>
        <w:t>公司报告期利润分配预案及资本公积金转增股本预案与公司章程和分红管理办法等的相关规定一致</w:t>
      </w:r>
    </w:p>
    <w:p>
      <w:pPr>
        <w:pStyle w:val="BodyText"/>
        <w:spacing w:line="348" w:lineRule="auto" w:before="116"/>
        <w:ind w:right="3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ind w:left="0" w:right="118"/>
        <w:jc w:val="right"/>
      </w:pPr>
      <w:r>
        <w:rPr/>
        <w:pict>
          <v:shape style="position:absolute;margin-left:56.459999pt;margin-top:-157.087982pt;width:479.2pt;height:348.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76,740,000.00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26,859,000.00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155,257,211.88</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4146"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tabs>
                            <w:tab w:pos="3923" w:val="left" w:leader="none"/>
                          </w:tabs>
                          <w:spacing w:line="300" w:lineRule="auto" w:before="50"/>
                          <w:ind w:left="22" w:right="22"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日，公司控股股东江苏润和科技投资有限公司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向公司董事会提交了公司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度利润分配预案的提议及承诺，具体内容为：</w:t>
                          <w:tab/>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、鉴于公司目前总股本规模较小，且公司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年经营及盈利状况良好 </w:t>
                        </w:r>
                        <w:r>
                          <w:rPr>
                            <w:rFonts w:ascii="宋体" w:hAnsi="宋体" w:cs="宋体" w:eastAsia="宋体" w:hint="default"/>
                            <w:spacing w:val="-2"/>
                            <w:sz w:val="18"/>
                            <w:szCs w:val="18"/>
                          </w:rPr>
                          <w:t>为回报股东，与所有股东分享公司快速发展的经营成果，并增加公司股票的流动性，公司控股股东润和投资提议公司</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年度利润分配预案为</w:t>
                        </w:r>
                        <w:r>
                          <w:rPr>
                            <w:rFonts w:ascii="宋体" w:hAnsi="宋体" w:cs="宋体" w:eastAsia="宋体" w:hint="default"/>
                            <w:spacing w:val="-6"/>
                            <w:sz w:val="18"/>
                            <w:szCs w:val="18"/>
                          </w:rPr>
                          <w:t>：</w:t>
                        </w: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76,740,000 </w:t>
                        </w:r>
                        <w:r>
                          <w:rPr>
                            <w:rFonts w:ascii="宋体" w:hAnsi="宋体" w:cs="宋体" w:eastAsia="宋体" w:hint="default"/>
                            <w:sz w:val="18"/>
                            <w:szCs w:val="18"/>
                          </w:rPr>
                          <w:t>股为基数</w:t>
                        </w:r>
                        <w:r>
                          <w:rPr>
                            <w:rFonts w:ascii="宋体" w:hAnsi="宋体" w:cs="宋体" w:eastAsia="宋体" w:hint="default"/>
                            <w:spacing w:val="-8"/>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元人民</w:t>
                        </w:r>
                        <w:r>
                          <w:rPr>
                            <w:rFonts w:ascii="宋体" w:hAnsi="宋体" w:cs="宋体" w:eastAsia="宋体" w:hint="default"/>
                            <w:spacing w:val="-8"/>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同时进</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行资本公积金转增股本，以公司总股本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76,740,000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股，共计转增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76,740,000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股，转增</w:t>
                        </w:r>
                      </w:p>
                      <w:p>
                        <w:pPr>
                          <w:pStyle w:val="TableParagraph"/>
                          <w:tabs>
                            <w:tab w:pos="2182" w:val="left" w:leader="none"/>
                            <w:tab w:pos="3532" w:val="left" w:leader="none"/>
                            <w:tab w:pos="9355" w:val="left" w:leader="none"/>
                          </w:tabs>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后公司总股本将增加至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153,480,000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tab/>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、公司控股股东润和投资承诺在公司股东大会开会审议上述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分配预案时投赞成票。</w:t>
                          <w:tab/>
                          <w:t>公司董事会接到控股股东润和投资提交的关于公司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年度利润分配预案的提议及承诺后， </w:t>
                        </w:r>
                        <w:r>
                          <w:rPr>
                            <w:rFonts w:ascii="宋体" w:hAnsi="宋体" w:cs="宋体" w:eastAsia="宋体" w:hint="default"/>
                            <w:spacing w:val="-3"/>
                            <w:sz w:val="18"/>
                            <w:szCs w:val="18"/>
                          </w:rPr>
                          <w:t>公司董事周红卫、姚宁、孙强、马玉峰和黄维江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名董事对上述预案进行了现场讨论，占公司董事会成员总数的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以上 经讨论研究，上述董事达成一致意见：公司控股股东润和投资提议的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年度利润分配预案与公司业绩成长性相匹配， </w:t>
                        </w:r>
                        <w:r>
                          <w:rPr>
                            <w:rFonts w:ascii="宋体" w:hAnsi="宋体" w:cs="宋体" w:eastAsia="宋体" w:hint="default"/>
                            <w:spacing w:val="-1"/>
                            <w:sz w:val="18"/>
                            <w:szCs w:val="18"/>
                          </w:rPr>
                          <w:t>并且上述利润分配预案不会造成公司流动资金短缺或其他不良影响，上述利润分配预案符合相关法律、法规以及公司章程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9"/>
                            <w:sz w:val="18"/>
                            <w:szCs w:val="18"/>
                          </w:rPr>
                          <w:t>的规定，具备合法性、合规性、合理性。以上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名董事均书面承诺在公司董事会审议上述利润分配预案时投赞成票。</w:t>
                          <w:tab/>
                          <w:t>上 述利润分配预案仅为公司控股股东润和投资做出的提议，本议案已经公司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日第四届董事会第二次会议审议</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通过，尚须经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年度股东大会审议批准后，方能确定最终的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0" w:right="11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spacing w:after="0" w:line="24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ind w:left="113" w:right="118" w:firstLine="7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w:t>
      </w:r>
      <w:r>
        <w:rPr>
          <w:rFonts w:ascii="Times New Roman" w:hAnsi="Times New Roman" w:cs="Times New Roman" w:eastAsia="Times New Roman" w:hint="default"/>
        </w:rPr>
        <w:t>2012</w:t>
      </w:r>
      <w:r>
        <w:rPr/>
        <w:t>年第一次临时股东大会，审议通过公司</w:t>
      </w:r>
      <w:r>
        <w:rPr>
          <w:rFonts w:ascii="Times New Roman" w:hAnsi="Times New Roman" w:cs="Times New Roman" w:eastAsia="Times New Roman" w:hint="default"/>
        </w:rPr>
        <w:t>2012</w:t>
      </w:r>
      <w:r>
        <w:rPr/>
        <w:t>年半年度利润分配方案：以公司上市后总 股本</w:t>
      </w:r>
      <w:r>
        <w:rPr>
          <w:rFonts w:ascii="Times New Roman" w:hAnsi="Times New Roman" w:cs="Times New Roman" w:eastAsia="Times New Roman" w:hint="default"/>
        </w:rPr>
        <w:t>76,740,000</w:t>
      </w:r>
      <w:r>
        <w:rPr/>
        <w:t>股为基数，向全体股东按每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1.50</w:t>
      </w:r>
      <w:r>
        <w:rPr/>
        <w:t>元（含税），共分配现金股利</w:t>
      </w:r>
      <w:r>
        <w:rPr>
          <w:rFonts w:ascii="Times New Roman" w:hAnsi="Times New Roman" w:cs="Times New Roman" w:eastAsia="Times New Roman" w:hint="default"/>
        </w:rPr>
        <w:t>11,511,000.00</w:t>
      </w:r>
      <w:r>
        <w:rPr/>
        <w:t>元。</w:t>
      </w:r>
      <w:r>
        <w:rPr>
          <w:spacing w:val="-3"/>
        </w:rPr>
        <w:t> </w:t>
      </w:r>
      <w:r>
        <w:rPr/>
        <w:t>上 述利润分配方案已于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日实施完毕。</w:t>
      </w:r>
    </w:p>
    <w:p>
      <w:pPr>
        <w:pStyle w:val="BodyText"/>
        <w:spacing w:line="240" w:lineRule="auto" w:before="53"/>
        <w:ind w:left="113" w:right="0"/>
        <w:jc w:val="left"/>
      </w:pPr>
      <w:r>
        <w:rPr/>
        <w:t>公司近三年现金分红情况表</w:t>
      </w:r>
    </w:p>
    <w:p>
      <w:pPr>
        <w:pStyle w:val="BodyText"/>
        <w:spacing w:line="240" w:lineRule="auto" w:before="116"/>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6" w:right="36" w:firstLine="7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323" w:right="0"/>
              <w:jc w:val="left"/>
              <w:rPr>
                <w:rFonts w:ascii="Times New Roman" w:hAnsi="Times New Roman" w:cs="Times New Roman" w:eastAsia="Times New Roman" w:hint="default"/>
                <w:sz w:val="18"/>
                <w:szCs w:val="18"/>
              </w:rPr>
            </w:pPr>
            <w:r>
              <w:rPr>
                <w:rFonts w:ascii="Times New Roman"/>
                <w:sz w:val="18"/>
              </w:rPr>
              <w:t>26,859,000.00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65,547,736.31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40.98%</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46,385,012.19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32,779,502.65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0"/>
        <w:jc w:val="both"/>
      </w:pPr>
      <w:r>
        <w:rPr/>
        <w:t>公司报告期内盈利且母公司未分配利润为正但未提出现金红利分配预案</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24"/>
          <w:szCs w:val="24"/>
        </w:rPr>
      </w:pPr>
    </w:p>
    <w:p>
      <w:pPr>
        <w:pStyle w:val="Heading2"/>
        <w:spacing w:line="240" w:lineRule="auto" w:before="0"/>
        <w:ind w:right="0"/>
        <w:jc w:val="both"/>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474" w:right="0" w:hanging="90"/>
        <w:jc w:val="left"/>
      </w:pPr>
      <w:r>
        <w:rPr/>
        <w:t>（一）内幕信息知情人管理制度的制定 </w:t>
      </w:r>
      <w:r>
        <w:rPr>
          <w:spacing w:val="-2"/>
        </w:rPr>
        <w:t>为规范公司内幕信息管理，加强内幕信息保密工作，维护信息披露公平原则，根据《中华人民共和国公司法》、《中华</w:t>
      </w:r>
    </w:p>
    <w:p>
      <w:pPr>
        <w:pStyle w:val="BodyText"/>
        <w:spacing w:line="314" w:lineRule="auto" w:before="19"/>
        <w:ind w:left="113" w:right="111"/>
        <w:jc w:val="both"/>
      </w:pPr>
      <w:r>
        <w:rPr>
          <w:spacing w:val="-2"/>
        </w:rPr>
        <w:t>人民共和国证券法》、《上市公司信息披露管理办法》、《深圳证券交易所创业板股票上市规则》等有关法律、法规、规范</w:t>
      </w:r>
      <w:r>
        <w:rPr>
          <w:spacing w:val="-67"/>
        </w:rPr>
        <w:t> </w:t>
      </w:r>
      <w:r>
        <w:rPr>
          <w:spacing w:val="-67"/>
        </w:rPr>
      </w:r>
      <w:r>
        <w:rPr>
          <w:spacing w:val="-2"/>
        </w:rPr>
        <w:t>性文件及《公司章程》的有关规定，公司制定了《信息披露管理制度》、《投资者关系管理制度》《内幕信息知情人登记和</w:t>
      </w:r>
      <w:r>
        <w:rPr>
          <w:spacing w:val="-68"/>
        </w:rPr>
        <w:t> </w:t>
      </w:r>
      <w:r>
        <w:rPr>
          <w:spacing w:val="-68"/>
        </w:rPr>
      </w:r>
      <w:r>
        <w:rPr/>
        <w:t>报备制度》、《外部信息使用人管理制度》，并分别于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日第三届董事会第九次会议、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日第三届董 </w:t>
      </w:r>
      <w:r>
        <w:rPr>
          <w:spacing w:val="-2"/>
        </w:rPr>
        <w:t>事会第二十一次会议审议通过。上述制度明确界定了内幕信息和内幕信息知情人的范围，完善了内幕信息事项的研究、决策</w:t>
      </w:r>
      <w:r>
        <w:rPr>
          <w:spacing w:val="-65"/>
        </w:rPr>
        <w:t> </w:t>
      </w:r>
      <w:r>
        <w:rPr>
          <w:spacing w:val="-65"/>
        </w:rPr>
      </w:r>
      <w:r>
        <w:rPr>
          <w:spacing w:val="-2"/>
        </w:rPr>
        <w:t>和审批程序，健全了内幕信息的保密措施，建立了内幕信息知情人登记管理措施等，并进一步规范了公司信息披露行为，强</w:t>
      </w:r>
      <w:r>
        <w:rPr>
          <w:spacing w:val="-64"/>
        </w:rPr>
        <w:t> </w:t>
      </w:r>
      <w:r>
        <w:rPr>
          <w:spacing w:val="-64"/>
        </w:rPr>
      </w:r>
      <w:r>
        <w:rPr/>
        <w:t>化了内幕信息的管理。</w:t>
      </w:r>
    </w:p>
    <w:p>
      <w:pPr>
        <w:spacing w:line="240" w:lineRule="auto" w:before="6"/>
        <w:rPr>
          <w:rFonts w:ascii="宋体" w:hAnsi="宋体" w:cs="宋体" w:eastAsia="宋体" w:hint="default"/>
          <w:sz w:val="25"/>
          <w:szCs w:val="25"/>
        </w:rPr>
      </w:pPr>
    </w:p>
    <w:p>
      <w:pPr>
        <w:pStyle w:val="BodyText"/>
        <w:spacing w:line="240" w:lineRule="auto" w:before="0"/>
        <w:ind w:left="384" w:right="0"/>
        <w:jc w:val="left"/>
      </w:pPr>
      <w:r>
        <w:rPr/>
        <w:t>（二）内幕信息知情人管理制度的执行情况</w:t>
      </w:r>
    </w:p>
    <w:p>
      <w:pPr>
        <w:pStyle w:val="BodyText"/>
        <w:spacing w:line="300" w:lineRule="auto" w:before="76"/>
        <w:ind w:left="474" w:right="0"/>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报告期内，公司严格执行内幕信息保密制度，严格规范信息传递流程。在定期报告披露期间，对于未公开信息，公司证</w:t>
      </w:r>
    </w:p>
    <w:p>
      <w:pPr>
        <w:pStyle w:val="BodyText"/>
        <w:spacing w:line="316" w:lineRule="auto" w:before="31"/>
        <w:ind w:right="0"/>
        <w:jc w:val="left"/>
      </w:pPr>
      <w:r>
        <w:rPr>
          <w:spacing w:val="-2"/>
        </w:rPr>
        <w:t>券事务部会严格控制知情人范围并组织相关内幕信息知情人填写《内幕信息知情人登记表》，如实完整记录上述信息在公开</w:t>
      </w:r>
      <w:r>
        <w:rPr>
          <w:spacing w:val="-66"/>
        </w:rPr>
        <w:t> </w:t>
      </w:r>
      <w:r>
        <w:rPr>
          <w:spacing w:val="-66"/>
        </w:rPr>
      </w:r>
      <w:r>
        <w:rPr/>
        <w:t>前的所有内幕信息知情人名单，以及知情人知悉内幕信息的时间。</w:t>
      </w:r>
    </w:p>
    <w:p>
      <w:pPr>
        <w:pStyle w:val="BodyText"/>
        <w:spacing w:line="316" w:lineRule="auto" w:before="19"/>
        <w:ind w:right="110" w:firstLine="360"/>
        <w:jc w:val="both"/>
      </w:pPr>
      <w:r>
        <w:rPr>
          <w:spacing w:val="-2"/>
        </w:rPr>
        <w:t>公司积极在内部开展内幕信息管理的培训，加强内幕信息的保密和报告意识，适时提醒内幕信息知情人注意做好内幕信</w:t>
      </w:r>
      <w:r>
        <w:rPr/>
        <w:t> </w:t>
      </w:r>
      <w:r>
        <w:rPr>
          <w:spacing w:val="-2"/>
        </w:rPr>
        <w:t>息的保密工作，不利用内幕信息获取非法利益。同时，严格控制对相关部门报送的未经披露的重要信息，并严格执行外部信</w:t>
      </w:r>
      <w:r>
        <w:rPr>
          <w:spacing w:val="-66"/>
        </w:rPr>
        <w:t> </w:t>
      </w:r>
      <w:r>
        <w:rPr>
          <w:spacing w:val="-66"/>
        </w:rPr>
      </w:r>
      <w:r>
        <w:rPr/>
        <w:t>息使用人登记制度，防止内幕信息的流出。</w:t>
      </w:r>
    </w:p>
    <w:p>
      <w:pPr>
        <w:pStyle w:val="BodyText"/>
        <w:spacing w:line="300" w:lineRule="auto" w:before="19"/>
        <w:ind w:left="474" w:right="0"/>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240" w:lineRule="auto" w:before="31"/>
        <w:ind w:right="0"/>
        <w:jc w:val="both"/>
      </w:pPr>
      <w:r>
        <w:rPr/>
        <w:t>工作。</w:t>
      </w:r>
    </w:p>
    <w:p>
      <w:pPr>
        <w:pStyle w:val="BodyText"/>
        <w:spacing w:line="316" w:lineRule="auto" w:before="76"/>
        <w:ind w:right="111" w:firstLine="360"/>
        <w:jc w:val="both"/>
      </w:pPr>
      <w:r>
        <w:rPr>
          <w:spacing w:val="-2"/>
        </w:rPr>
        <w:t>在日常接待投资者调研时，公司证券事务部负责履行相关的信息保密工作程序。在进行调研前，先对调研人员的个人信</w:t>
      </w:r>
      <w:r>
        <w:rPr/>
        <w:t> </w:t>
      </w:r>
      <w:r>
        <w:rPr>
          <w:spacing w:val="-2"/>
        </w:rPr>
        <w:t>息进行备案，同时要求签署《承诺书》，并要求投资者（机构）在调研会议纪要上签字确认，并承诺在对外出具报告前需经</w:t>
      </w:r>
      <w:r>
        <w:rPr>
          <w:spacing w:val="-66"/>
        </w:rPr>
        <w:t> </w:t>
      </w:r>
      <w:r>
        <w:rPr>
          <w:spacing w:val="-66"/>
        </w:rPr>
      </w:r>
      <w:r>
        <w:rPr>
          <w:spacing w:val="-2"/>
        </w:rPr>
        <w:t>公司认可，确保机构调研人员能遵守相关规定和公司相关信息按规定渠道披露。在调研过程中，证券事务部认真做好相关会</w:t>
      </w:r>
      <w:r>
        <w:rPr>
          <w:spacing w:val="-65"/>
        </w:rPr>
        <w:t> </w:t>
      </w:r>
      <w:r>
        <w:rPr>
          <w:spacing w:val="-65"/>
        </w:rPr>
      </w:r>
      <w:r>
        <w:rPr/>
        <w:t>议记录，并按照相关法律、法规规定向深圳证券交易所报备。</w:t>
      </w:r>
    </w:p>
    <w:p>
      <w:pPr>
        <w:pStyle w:val="BodyText"/>
        <w:spacing w:line="300" w:lineRule="auto" w:before="19"/>
        <w:ind w:left="474" w:right="0"/>
        <w:jc w:val="left"/>
      </w:pPr>
      <w:r>
        <w:rPr>
          <w:rFonts w:ascii="Times New Roman" w:hAnsi="Times New Roman" w:cs="Times New Roman" w:eastAsia="Times New Roman" w:hint="default"/>
        </w:rPr>
        <w:t>3</w:t>
      </w:r>
      <w:r>
        <w:rPr/>
        <w:t>、其他重大事件的信息保密工作 </w:t>
      </w:r>
      <w:r>
        <w:rPr>
          <w:spacing w:val="-2"/>
        </w:rPr>
        <w:t>在其他重大事项未披露前，公司及相关信息披露义务人采取保密措施，，对未披露信息知情者做登记备案，以保证内幕</w:t>
      </w:r>
    </w:p>
    <w:p>
      <w:pPr>
        <w:pStyle w:val="BodyText"/>
        <w:spacing w:line="240" w:lineRule="auto" w:before="31"/>
        <w:ind w:right="0"/>
        <w:jc w:val="both"/>
      </w:pPr>
      <w:r>
        <w:rPr/>
        <w:t>信息不泄露，维护信息披露的公开、公平、公正原则，保护广大投资者的合法权益。</w:t>
      </w:r>
    </w:p>
    <w:p>
      <w:pPr>
        <w:spacing w:after="0" w:line="240" w:lineRule="auto"/>
        <w:jc w:val="both"/>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ind w:left="473" w:right="0"/>
        <w:jc w:val="left"/>
      </w:pPr>
      <w:r>
        <w:rPr/>
        <w:t>（三）报告期内自查内幕信息知情人涉嫌内幕交易以及监管部门的查处和整改情况 </w:t>
      </w:r>
      <w:r>
        <w:rPr>
          <w:spacing w:val="-2"/>
        </w:rPr>
        <w:t>报告期内，公司董事、监事及高级管理人员和其他相关知情人均严格遵守内幕信息知情人管理制度，公司不存在内幕信</w:t>
      </w:r>
    </w:p>
    <w:p>
      <w:pPr>
        <w:pStyle w:val="BodyText"/>
        <w:spacing w:line="240" w:lineRule="auto" w:before="19"/>
        <w:ind w:left="113" w:right="0"/>
        <w:jc w:val="left"/>
      </w:pPr>
      <w:r>
        <w:rPr/>
        <w:t>息知情人涉嫌内幕交易的情况，也不存在受到监管部门查处和整改的情形。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before="0"/>
        <w:ind w:right="0"/>
        <w:jc w:val="left"/>
        <w:rPr>
          <w:b w:val="0"/>
          <w:bCs w:val="0"/>
        </w:rPr>
      </w:pPr>
      <w:r>
        <w:rPr/>
        <w:t>八、报告期内接待调研、沟通、采访等活动登记表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714" w:hRule="exact"/>
        </w:trPr>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57" w:right="48"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民生证券研究所</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46"/>
                <w:sz w:val="18"/>
                <w:szCs w:val="18"/>
              </w:rPr>
              <w:t> </w:t>
            </w:r>
            <w:r>
              <w:rPr>
                <w:rFonts w:ascii="宋体" w:hAnsi="宋体" w:cs="宋体" w:eastAsia="宋体" w:hint="default"/>
                <w:spacing w:val="-11"/>
                <w:sz w:val="18"/>
                <w:szCs w:val="18"/>
              </w:rPr>
              <w:t>、江苏瑞</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公司三大业务领域的发展</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华投资控股集团有 限公司、广发证券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前景、与华为的关系、与 大客户的关系、目前公司</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股份有限公司发展</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的运营与管理等</w:t>
            </w: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研究中心</w:t>
            </w:r>
          </w:p>
        </w:tc>
        <w:tc>
          <w:tcPr>
            <w:tcW w:w="2088"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信达澳银基金管理</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有限公司、湘财证</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券有限责任公司、</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华富基金管理有限</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公司主营业务情况、三大</w:t>
            </w:r>
          </w:p>
        </w:tc>
      </w:tr>
      <w:tr>
        <w:trPr>
          <w:trHeight w:val="316"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公司、华泰柏瑞基</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业务领域的发展前景、人</w:t>
            </w:r>
          </w:p>
        </w:tc>
      </w:tr>
      <w:tr>
        <w:trPr>
          <w:trHeight w:val="308"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才战略等。</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西部证券股份有限</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公司、万家基金管</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2088"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中国民族证券有限 责任公司、华夏基 金管理有限公司</w:t>
            </w:r>
          </w:p>
        </w:tc>
        <w:tc>
          <w:tcPr>
            <w:tcW w:w="20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公司的优势，客户情况， 现状及发展前景等。</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安信证券股份有限</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公司、新华基金管</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公司三大业务领域各自未</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理有限公司、银河 基金管理有限公</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来的发展前景及目前各领 域内的客户状况，经济危</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司、中欧基金管理</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机对公司的影响等。</w:t>
            </w: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88"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平安养老保险股份</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有限公司、长江证</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80"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公司在三大业务领域的发</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汇丰晋信基金管理</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展状况，未来业绩增长的</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有限公司、云南国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际信托有限公司、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0" w:lineRule="atLeast" w:before="4"/>
              <w:ind w:left="22" w:right="73"/>
              <w:jc w:val="left"/>
              <w:rPr>
                <w:rFonts w:ascii="宋体" w:hAnsi="宋体" w:cs="宋体" w:eastAsia="宋体" w:hint="default"/>
                <w:sz w:val="18"/>
                <w:szCs w:val="18"/>
              </w:rPr>
            </w:pPr>
            <w:r>
              <w:rPr>
                <w:rFonts w:ascii="宋体" w:hAnsi="宋体" w:cs="宋体" w:eastAsia="宋体" w:hint="default"/>
                <w:sz w:val="18"/>
                <w:szCs w:val="18"/>
              </w:rPr>
              <w:t>行业性因素、客户拓展情 况、公司的品控和管理状</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华宝证券有限责任</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况等</w:t>
            </w:r>
          </w:p>
        </w:tc>
      </w:tr>
      <w:tr>
        <w:trPr>
          <w:trHeight w:val="244"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公司、华宝兴业基</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远策投资管理有限</w:t>
            </w:r>
          </w:p>
        </w:tc>
        <w:tc>
          <w:tcPr>
            <w:tcW w:w="2088"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317" w:hRule="exact"/>
        </w:trPr>
        <w:tc>
          <w:tcPr>
            <w:tcW w:w="1494" w:type="dxa"/>
            <w:vMerge w:val="restart"/>
            <w:tcBorders>
              <w:top w:val="single" w:sz="4" w:space="0" w:color="010101"/>
              <w:left w:val="single" w:sz="4" w:space="0" w:color="010101"/>
              <w:right w:val="single" w:sz="4" w:space="0" w:color="010101"/>
            </w:tcBorders>
          </w:tcPr>
          <w:p>
            <w:pPr/>
          </w:p>
        </w:tc>
        <w:tc>
          <w:tcPr>
            <w:tcW w:w="1498" w:type="dxa"/>
            <w:vMerge w:val="restart"/>
            <w:tcBorders>
              <w:top w:val="single" w:sz="4" w:space="0" w:color="010101"/>
              <w:left w:val="single" w:sz="4" w:space="0" w:color="010101"/>
              <w:right w:val="single" w:sz="4" w:space="0" w:color="010101"/>
            </w:tcBorders>
          </w:tcPr>
          <w:p>
            <w:pPr/>
          </w:p>
        </w:tc>
        <w:tc>
          <w:tcPr>
            <w:tcW w:w="1496" w:type="dxa"/>
            <w:vMerge w:val="restart"/>
            <w:tcBorders>
              <w:top w:val="single" w:sz="4" w:space="0" w:color="010101"/>
              <w:left w:val="single" w:sz="4" w:space="0" w:color="010101"/>
              <w:right w:val="single" w:sz="4" w:space="0" w:color="010101"/>
            </w:tcBorders>
          </w:tcPr>
          <w:p>
            <w:pPr/>
          </w:p>
        </w:tc>
        <w:tc>
          <w:tcPr>
            <w:tcW w:w="1498" w:type="dxa"/>
            <w:vMerge w:val="restart"/>
            <w:tcBorders>
              <w:top w:val="single" w:sz="4" w:space="0" w:color="010101"/>
              <w:left w:val="single" w:sz="4" w:space="0" w:color="010101"/>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公司、常州投资集</w:t>
            </w:r>
          </w:p>
        </w:tc>
        <w:tc>
          <w:tcPr>
            <w:tcW w:w="2088" w:type="dxa"/>
            <w:vMerge w:val="restart"/>
            <w:tcBorders>
              <w:top w:val="single" w:sz="4" w:space="0" w:color="010101"/>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团、国泰君安证券</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股份有限公司、兴</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业证券股份有限公</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司、华泰证券股份</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有限公司、上海泽</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熙投资管理有限公</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司、华夏基金管理</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有限公司、银河基</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华商基金管理有限</w:t>
            </w:r>
          </w:p>
        </w:tc>
        <w:tc>
          <w:tcPr>
            <w:tcW w:w="2088" w:type="dxa"/>
            <w:vMerge/>
            <w:tcBorders>
              <w:left w:val="single" w:sz="4" w:space="0" w:color="010101"/>
              <w:right w:val="single" w:sz="4" w:space="0" w:color="010101"/>
            </w:tcBorders>
          </w:tcPr>
          <w:p>
            <w:pPr/>
          </w:p>
        </w:tc>
      </w:tr>
      <w:tr>
        <w:trPr>
          <w:trHeight w:val="358" w:hRule="exact"/>
        </w:trPr>
        <w:tc>
          <w:tcPr>
            <w:tcW w:w="1494" w:type="dxa"/>
            <w:vMerge/>
            <w:tcBorders>
              <w:left w:val="single" w:sz="4" w:space="0" w:color="010101"/>
              <w:bottom w:val="single" w:sz="4" w:space="0" w:color="010101"/>
              <w:right w:val="single" w:sz="4" w:space="0" w:color="010101"/>
            </w:tcBorders>
          </w:tcPr>
          <w:p>
            <w:pPr/>
          </w:p>
        </w:tc>
        <w:tc>
          <w:tcPr>
            <w:tcW w:w="1498" w:type="dxa"/>
            <w:vMerge/>
            <w:tcBorders>
              <w:left w:val="single" w:sz="4" w:space="0" w:color="010101"/>
              <w:bottom w:val="single" w:sz="4" w:space="0" w:color="010101"/>
              <w:right w:val="single" w:sz="4" w:space="0" w:color="010101"/>
            </w:tcBorders>
          </w:tcPr>
          <w:p>
            <w:pPr/>
          </w:p>
        </w:tc>
        <w:tc>
          <w:tcPr>
            <w:tcW w:w="1496" w:type="dxa"/>
            <w:vMerge/>
            <w:tcBorders>
              <w:left w:val="single" w:sz="4" w:space="0" w:color="010101"/>
              <w:bottom w:val="single" w:sz="4" w:space="0" w:color="010101"/>
              <w:right w:val="single" w:sz="4" w:space="0" w:color="010101"/>
            </w:tcBorders>
          </w:tcPr>
          <w:p>
            <w:pPr/>
          </w:p>
        </w:tc>
        <w:tc>
          <w:tcPr>
            <w:tcW w:w="1498" w:type="dxa"/>
            <w:vMerge/>
            <w:tcBorders>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公司刘宏</w:t>
            </w:r>
          </w:p>
        </w:tc>
        <w:tc>
          <w:tcPr>
            <w:tcW w:w="2088" w:type="dxa"/>
            <w:vMerge/>
            <w:tcBorders>
              <w:left w:val="single" w:sz="4" w:space="0" w:color="010101"/>
              <w:bottom w:val="single" w:sz="4" w:space="0" w:color="010101"/>
              <w:right w:val="single" w:sz="4" w:space="0" w:color="010101"/>
            </w:tcBorders>
          </w:tcPr>
          <w:p>
            <w:pP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208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公司三大业务领域各自未</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广发证券股份有限 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来的发展前景、目前各领 域内的客户状况，未来的</w:t>
            </w: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208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拓展情况等。</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公司、财通证券有</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限责任公司、华夏</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基金管理有限公司</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顾、中国民族证券</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有限责任公司、长</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城证券有限责任公</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公司外包业务情况、自身</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司、国海富兰克林 基金管理有限公</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优势、客户维护及保持业 绩增长的动力来源，人才</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司、中银基金管理</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战略等。</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有限公司、国投瑞</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银基金管理有限公</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司、信诚基金管理</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有限公司、中银国</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际证券有限责任公</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088"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208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公司的团队和技术人员架</w:t>
            </w:r>
          </w:p>
        </w:tc>
      </w:tr>
      <w:tr>
        <w:trPr>
          <w:trHeight w:val="316"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国泰基金</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构，战略定位和持续性发</w:t>
            </w:r>
          </w:p>
        </w:tc>
      </w:tr>
      <w:tr>
        <w:trPr>
          <w:trHeight w:val="353"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208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展的潜力等。</w:t>
            </w:r>
          </w:p>
        </w:tc>
      </w:tr>
      <w:tr>
        <w:trPr>
          <w:trHeight w:val="346"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湘财证券有限责任</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公司、华宝兴业基</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润和数码与海信电器的合</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作、</w:t>
            </w:r>
            <w:r>
              <w:rPr>
                <w:rFonts w:ascii="Times New Roman" w:hAnsi="Times New Roman" w:cs="Times New Roman" w:eastAsia="Times New Roman" w:hint="default"/>
                <w:sz w:val="18"/>
                <w:szCs w:val="18"/>
              </w:rPr>
              <w:t>IBM </w:t>
            </w:r>
            <w:r>
              <w:rPr>
                <w:rFonts w:ascii="宋体" w:hAnsi="宋体" w:cs="宋体" w:eastAsia="宋体" w:hint="default"/>
                <w:sz w:val="18"/>
                <w:szCs w:val="18"/>
              </w:rPr>
              <w:t>与公司的合作、</w:t>
            </w:r>
          </w:p>
        </w:tc>
      </w:tr>
      <w:tr>
        <w:trPr>
          <w:trHeight w:val="624"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海通证券股份有限 公司、富国基金管</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智能终端领域的发展前 景，西安子公司的情况及</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理有限公司、华宝</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中日关系对公司的影响</w:t>
            </w:r>
          </w:p>
        </w:tc>
      </w:tr>
      <w:tr>
        <w:trPr>
          <w:trHeight w:val="32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证券有限责任公</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31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司、华泰证券股份</w:t>
            </w:r>
          </w:p>
        </w:tc>
        <w:tc>
          <w:tcPr>
            <w:tcW w:w="2088"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317" w:hRule="exact"/>
        </w:trPr>
        <w:tc>
          <w:tcPr>
            <w:tcW w:w="1494" w:type="dxa"/>
            <w:vMerge w:val="restart"/>
            <w:tcBorders>
              <w:top w:val="single" w:sz="4" w:space="0" w:color="010101"/>
              <w:left w:val="single" w:sz="4" w:space="0" w:color="010101"/>
              <w:right w:val="single" w:sz="4" w:space="0" w:color="010101"/>
            </w:tcBorders>
          </w:tcPr>
          <w:p>
            <w:pPr/>
          </w:p>
        </w:tc>
        <w:tc>
          <w:tcPr>
            <w:tcW w:w="1498" w:type="dxa"/>
            <w:vMerge w:val="restart"/>
            <w:tcBorders>
              <w:top w:val="single" w:sz="4" w:space="0" w:color="010101"/>
              <w:left w:val="single" w:sz="4" w:space="0" w:color="010101"/>
              <w:right w:val="single" w:sz="4" w:space="0" w:color="010101"/>
            </w:tcBorders>
          </w:tcPr>
          <w:p>
            <w:pPr/>
          </w:p>
        </w:tc>
        <w:tc>
          <w:tcPr>
            <w:tcW w:w="1496" w:type="dxa"/>
            <w:vMerge w:val="restart"/>
            <w:tcBorders>
              <w:top w:val="single" w:sz="4" w:space="0" w:color="010101"/>
              <w:left w:val="single" w:sz="4" w:space="0" w:color="010101"/>
              <w:right w:val="single" w:sz="4" w:space="0" w:color="010101"/>
            </w:tcBorders>
          </w:tcPr>
          <w:p>
            <w:pPr/>
          </w:p>
        </w:tc>
        <w:tc>
          <w:tcPr>
            <w:tcW w:w="1498" w:type="dxa"/>
            <w:vMerge w:val="restart"/>
            <w:tcBorders>
              <w:top w:val="single" w:sz="4" w:space="0" w:color="010101"/>
              <w:left w:val="single" w:sz="4" w:space="0" w:color="010101"/>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有限公司、银河基</w:t>
            </w:r>
          </w:p>
        </w:tc>
        <w:tc>
          <w:tcPr>
            <w:tcW w:w="2088" w:type="dxa"/>
            <w:vMerge w:val="restart"/>
            <w:tcBorders>
              <w:top w:val="single" w:sz="4" w:space="0" w:color="010101"/>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金管理有限公司、</w:t>
            </w:r>
          </w:p>
        </w:tc>
        <w:tc>
          <w:tcPr>
            <w:tcW w:w="2088" w:type="dxa"/>
            <w:vMerge/>
            <w:tcBorders>
              <w:left w:val="single" w:sz="4" w:space="0" w:color="010101"/>
              <w:right w:val="single" w:sz="4" w:space="0" w:color="010101"/>
            </w:tcBorders>
          </w:tcPr>
          <w:p>
            <w:pPr/>
          </w:p>
        </w:tc>
      </w:tr>
      <w:tr>
        <w:trPr>
          <w:trHeight w:val="312" w:hRule="exact"/>
        </w:trPr>
        <w:tc>
          <w:tcPr>
            <w:tcW w:w="1494"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vMerge/>
            <w:tcBorders>
              <w:left w:val="single" w:sz="4" w:space="0" w:color="010101"/>
              <w:right w:val="single" w:sz="4" w:space="0" w:color="010101"/>
            </w:tcBorders>
          </w:tcPr>
          <w:p>
            <w:pPr/>
          </w:p>
        </w:tc>
        <w:tc>
          <w:tcPr>
            <w:tcW w:w="1498" w:type="dxa"/>
            <w:vMerge/>
            <w:tcBorders>
              <w:left w:val="single" w:sz="4" w:space="0" w:color="010101"/>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w:t>
            </w:r>
          </w:p>
        </w:tc>
        <w:tc>
          <w:tcPr>
            <w:tcW w:w="2088" w:type="dxa"/>
            <w:vMerge/>
            <w:tcBorders>
              <w:left w:val="single" w:sz="4" w:space="0" w:color="010101"/>
              <w:right w:val="single" w:sz="4" w:space="0" w:color="010101"/>
            </w:tcBorders>
          </w:tcPr>
          <w:p>
            <w:pPr/>
          </w:p>
        </w:tc>
      </w:tr>
      <w:tr>
        <w:trPr>
          <w:trHeight w:val="358" w:hRule="exact"/>
        </w:trPr>
        <w:tc>
          <w:tcPr>
            <w:tcW w:w="1494" w:type="dxa"/>
            <w:vMerge/>
            <w:tcBorders>
              <w:left w:val="single" w:sz="4" w:space="0" w:color="010101"/>
              <w:bottom w:val="single" w:sz="4" w:space="0" w:color="010101"/>
              <w:right w:val="single" w:sz="4" w:space="0" w:color="010101"/>
            </w:tcBorders>
          </w:tcPr>
          <w:p>
            <w:pPr/>
          </w:p>
        </w:tc>
        <w:tc>
          <w:tcPr>
            <w:tcW w:w="1498" w:type="dxa"/>
            <w:vMerge/>
            <w:tcBorders>
              <w:left w:val="single" w:sz="4" w:space="0" w:color="010101"/>
              <w:bottom w:val="single" w:sz="4" w:space="0" w:color="010101"/>
              <w:right w:val="single" w:sz="4" w:space="0" w:color="010101"/>
            </w:tcBorders>
          </w:tcPr>
          <w:p>
            <w:pPr/>
          </w:p>
        </w:tc>
        <w:tc>
          <w:tcPr>
            <w:tcW w:w="1496" w:type="dxa"/>
            <w:vMerge/>
            <w:tcBorders>
              <w:left w:val="single" w:sz="4" w:space="0" w:color="010101"/>
              <w:bottom w:val="single" w:sz="4" w:space="0" w:color="010101"/>
              <w:right w:val="single" w:sz="4" w:space="0" w:color="010101"/>
            </w:tcBorders>
          </w:tcPr>
          <w:p>
            <w:pPr/>
          </w:p>
        </w:tc>
        <w:tc>
          <w:tcPr>
            <w:tcW w:w="1498" w:type="dxa"/>
            <w:vMerge/>
            <w:tcBorders>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88" w:type="dxa"/>
            <w:vMerge/>
            <w:tcBorders>
              <w:left w:val="single" w:sz="4" w:space="0" w:color="010101"/>
              <w:bottom w:val="single" w:sz="4" w:space="0" w:color="010101"/>
              <w:right w:val="single" w:sz="4" w:space="0" w:color="010101"/>
            </w:tcBorders>
          </w:tcPr>
          <w:p>
            <w:pPr/>
          </w:p>
        </w:tc>
      </w:tr>
      <w:tr>
        <w:trPr>
          <w:trHeight w:val="1338"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博时基金管理有限 公司、中信证券股 份有限公司</w:t>
            </w:r>
          </w:p>
        </w:tc>
        <w:tc>
          <w:tcPr>
            <w:tcW w:w="208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3"/>
              <w:jc w:val="both"/>
              <w:rPr>
                <w:rFonts w:ascii="宋体" w:hAnsi="宋体" w:cs="宋体" w:eastAsia="宋体" w:hint="default"/>
                <w:sz w:val="18"/>
                <w:szCs w:val="18"/>
              </w:rPr>
            </w:pPr>
            <w:r>
              <w:rPr>
                <w:rFonts w:ascii="宋体" w:hAnsi="宋体" w:cs="宋体" w:eastAsia="宋体" w:hint="default"/>
                <w:sz w:val="18"/>
                <w:szCs w:val="18"/>
              </w:rPr>
              <w:t>公司在三大业务领域的发 展，与其他软件外包公司 的差异和大客户拓展情况 等</w:t>
            </w:r>
          </w:p>
        </w:tc>
      </w:tr>
      <w:tr>
        <w:trPr>
          <w:trHeight w:val="357" w:hRule="exact"/>
        </w:trPr>
        <w:tc>
          <w:tcPr>
            <w:tcW w:w="149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single" w:sz="4" w:space="0" w:color="010101"/>
            </w:tcBorders>
          </w:tcPr>
          <w:p>
            <w:pPr/>
          </w:p>
        </w:tc>
        <w:tc>
          <w:tcPr>
            <w:tcW w:w="149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w:t>
            </w:r>
          </w:p>
        </w:tc>
        <w:tc>
          <w:tcPr>
            <w:tcW w:w="2088"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公司、海富通基金</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管理有限公司、东</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公司供应链和智能终端方</w:t>
            </w:r>
          </w:p>
        </w:tc>
      </w:tr>
      <w:tr>
        <w:trPr>
          <w:trHeight w:val="312"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方证券股份有限公</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面的发展和现状，经济形</w:t>
            </w:r>
          </w:p>
        </w:tc>
      </w:tr>
      <w:tr>
        <w:trPr>
          <w:trHeight w:val="316" w:hRule="exact"/>
        </w:trPr>
        <w:tc>
          <w:tcPr>
            <w:tcW w:w="149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司、宝盈基金管理</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势和中日关系对公司的影</w:t>
            </w:r>
          </w:p>
        </w:tc>
      </w:tr>
      <w:tr>
        <w:trPr>
          <w:trHeight w:val="308"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有限公司、长江证</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响，海外市场的拓展，与</w:t>
            </w:r>
          </w:p>
        </w:tc>
      </w:tr>
      <w:tr>
        <w:trPr>
          <w:trHeight w:val="316"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w:t>
            </w:r>
          </w:p>
        </w:tc>
        <w:tc>
          <w:tcPr>
            <w:tcW w:w="20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的合作情况等。</w:t>
            </w:r>
          </w:p>
        </w:tc>
      </w:tr>
      <w:tr>
        <w:trPr>
          <w:trHeight w:val="308" w:hRule="exact"/>
        </w:trPr>
        <w:tc>
          <w:tcPr>
            <w:tcW w:w="149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single" w:sz="4" w:space="0" w:color="010101"/>
            </w:tcBorders>
          </w:tcPr>
          <w:p>
            <w:pPr/>
          </w:p>
        </w:tc>
        <w:tc>
          <w:tcPr>
            <w:tcW w:w="149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上投摩根基金管理</w:t>
            </w:r>
          </w:p>
        </w:tc>
        <w:tc>
          <w:tcPr>
            <w:tcW w:w="2088"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1494"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single" w:sz="4" w:space="0" w:color="010101"/>
            </w:tcBorders>
          </w:tcPr>
          <w:p>
            <w:pPr/>
          </w:p>
        </w:tc>
        <w:tc>
          <w:tcPr>
            <w:tcW w:w="149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88" w:type="dxa"/>
            <w:tcBorders>
              <w:top w:val="nil" w:sz="6" w:space="0" w:color="auto"/>
              <w:left w:val="single" w:sz="4" w:space="0" w:color="010101"/>
              <w:bottom w:val="single" w:sz="4" w:space="0" w:color="010101"/>
              <w:right w:val="single" w:sz="4" w:space="0" w:color="010101"/>
            </w:tcBorders>
          </w:tcPr>
          <w:p>
            <w:pPr/>
          </w:p>
        </w:tc>
      </w:tr>
    </w:tbl>
    <w:p>
      <w:pPr>
        <w:spacing w:after="0"/>
        <w:sectPr>
          <w:footerReference w:type="default" r:id="rId15"/>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741"/>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6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7"/>
        <w:rPr>
          <w:rFonts w:ascii="宋体" w:hAnsi="宋体" w:cs="宋体" w:eastAsia="宋体" w:hint="default"/>
          <w:sz w:val="19"/>
          <w:szCs w:val="19"/>
        </w:rPr>
      </w:pPr>
    </w:p>
    <w:p>
      <w:pPr>
        <w:pStyle w:val="Heading2"/>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会计师事务所对资金占用的专项审核意见</w:t>
      </w:r>
    </w:p>
    <w:p>
      <w:pPr>
        <w:pStyle w:val="Heading5"/>
        <w:spacing w:line="261" w:lineRule="auto"/>
        <w:ind w:right="0"/>
        <w:jc w:val="left"/>
      </w:pPr>
      <w:r>
        <w:rPr>
          <w:spacing w:val="-1"/>
        </w:rPr>
        <w:t>根据中国证券监督管理委员会、国务院国有资产监督管理委员会《关于规范上市公司与关联方资金往</w:t>
      </w:r>
      <w:r>
        <w:rPr/>
        <w:t> 来及上市公司对外担保若干问题的通知》（证监发</w:t>
      </w:r>
      <w:r>
        <w:rPr>
          <w:rFonts w:ascii="Times New Roman" w:hAnsi="Times New Roman" w:cs="Times New Roman" w:eastAsia="Times New Roman" w:hint="default"/>
        </w:rPr>
        <w:t>[2003]56</w:t>
      </w:r>
      <w:r>
        <w:rPr/>
        <w:t>号文）的要求，江苏润和软件股份有限公司编 制了《</w:t>
      </w:r>
      <w:r>
        <w:rPr>
          <w:rFonts w:ascii="Times New Roman" w:hAnsi="Times New Roman" w:cs="Times New Roman" w:eastAsia="Times New Roman" w:hint="default"/>
        </w:rPr>
        <w:t>2012</w:t>
      </w:r>
      <w:r>
        <w:rPr/>
        <w:t>年度控股股东及其他关联方资金占用情况汇总表》</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汇总表</w:t>
      </w:r>
      <w:r>
        <w:rPr>
          <w:rFonts w:ascii="Times New Roman" w:hAnsi="Times New Roman" w:cs="Times New Roman" w:eastAsia="Times New Roman" w:hint="default"/>
        </w:rPr>
        <w:t>”)</w:t>
      </w:r>
      <w:r>
        <w:rPr/>
        <w:t>。我们对汇总表所载资 料与本所审计江苏润和软件股份有限公司</w:t>
      </w:r>
      <w:r>
        <w:rPr>
          <w:rFonts w:ascii="Times New Roman" w:hAnsi="Times New Roman" w:cs="Times New Roman" w:eastAsia="Times New Roman" w:hint="default"/>
        </w:rPr>
        <w:t>2012</w:t>
      </w:r>
      <w:r>
        <w:rPr/>
        <w:t>年度财务报表时所复核的会计资料和经审计的财务报表的 </w:t>
      </w:r>
      <w:r>
        <w:rPr>
          <w:spacing w:val="-1"/>
        </w:rPr>
        <w:t>相关内容进行了核对，在所有重大方面没有发现不一致。除了对公司实施</w:t>
      </w:r>
      <w:r>
        <w:rPr>
          <w:rFonts w:ascii="Times New Roman" w:hAnsi="Times New Roman" w:cs="Times New Roman" w:eastAsia="Times New Roman" w:hint="default"/>
          <w:spacing w:val="-1"/>
        </w:rPr>
        <w:t>2012</w:t>
      </w:r>
      <w:r>
        <w:rPr>
          <w:spacing w:val="-1"/>
        </w:rPr>
        <w:t>年度财务报表审计中所执行</w:t>
      </w:r>
      <w:r>
        <w:rPr>
          <w:spacing w:val="-82"/>
        </w:rPr>
        <w:t> </w:t>
      </w:r>
      <w:r>
        <w:rPr>
          <w:spacing w:val="-1"/>
        </w:rPr>
        <w:t>的对关联方交易有关的审计程序外，我们并未对汇总表所载资料执行额外的审计程序。为了更好地理解贵</w:t>
      </w:r>
      <w:r>
        <w:rPr>
          <w:spacing w:val="-81"/>
        </w:rPr>
        <w:t> </w:t>
      </w:r>
      <w:r>
        <w:rPr>
          <w:spacing w:val="-81"/>
        </w:rPr>
      </w:r>
      <w:r>
        <w:rPr/>
        <w:t>公司的控股股东及其他关联方占用资金情况，后附汇总表应当与已审计的财务报表一并阅读。</w:t>
      </w:r>
    </w:p>
    <w:p>
      <w:pPr>
        <w:pStyle w:val="Heading5"/>
        <w:spacing w:line="273" w:lineRule="auto"/>
        <w:ind w:right="0"/>
        <w:jc w:val="left"/>
      </w:pPr>
      <w:r>
        <w:rPr>
          <w:spacing w:val="-1"/>
        </w:rPr>
        <w:t>详见公司在中国证监会指定的创业板信息披露网站上披露的《控股股东及其他关联方资金占用情况专</w:t>
      </w:r>
      <w:r>
        <w:rPr/>
        <w:t> 项审核报告》会审字</w:t>
      </w:r>
      <w:r>
        <w:rPr>
          <w:rFonts w:ascii="Times New Roman" w:hAnsi="Times New Roman" w:cs="Times New Roman" w:eastAsia="Times New Roman" w:hint="default"/>
        </w:rPr>
        <w:t>[2013]0229</w:t>
      </w:r>
      <w:r>
        <w:rPr/>
        <w:t>号。</w:t>
      </w:r>
    </w:p>
    <w:p>
      <w:pPr>
        <w:spacing w:line="240" w:lineRule="auto" w:before="4"/>
        <w:rPr>
          <w:rFonts w:ascii="宋体" w:hAnsi="宋体" w:cs="宋体" w:eastAsia="宋体" w:hint="default"/>
          <w:sz w:val="20"/>
          <w:szCs w:val="20"/>
        </w:rPr>
      </w:pPr>
    </w:p>
    <w:p>
      <w:pPr>
        <w:pStyle w:val="Heading2"/>
        <w:spacing w:line="240" w:lineRule="auto" w:before="0"/>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490"/>
        <w:jc w:val="left"/>
      </w:pPr>
      <w:r>
        <w:rPr/>
        <w:t>无。 破产重整相关事项临时报告披露网站查询</w:t>
      </w:r>
    </w:p>
    <w:tbl>
      <w:tblPr>
        <w:tblW w:w="0" w:type="auto"/>
        <w:jc w:val="left"/>
        <w:tblInd w:w="10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7"/>
        <w:gridCol w:w="737"/>
        <w:gridCol w:w="736"/>
        <w:gridCol w:w="736"/>
        <w:gridCol w:w="736"/>
        <w:gridCol w:w="734"/>
        <w:gridCol w:w="737"/>
        <w:gridCol w:w="734"/>
        <w:gridCol w:w="737"/>
        <w:gridCol w:w="734"/>
        <w:gridCol w:w="736"/>
      </w:tblGrid>
      <w:tr>
        <w:trPr>
          <w:trHeight w:val="346" w:hRule="exact"/>
        </w:trPr>
        <w:tc>
          <w:tcPr>
            <w:tcW w:w="736" w:type="dxa"/>
            <w:tcBorders>
              <w:top w:val="single" w:sz="4" w:space="0" w:color="010101"/>
              <w:left w:val="single" w:sz="4" w:space="0" w:color="010101"/>
              <w:bottom w:val="nil" w:sz="6" w:space="0" w:color="auto"/>
              <w:right w:val="single" w:sz="4" w:space="0" w:color="010101"/>
            </w:tcBorders>
            <w:shd w:val="clear" w:color="auto" w:fill="D3D3D3"/>
          </w:tcPr>
          <w:p>
            <w:pPr/>
          </w:p>
        </w:tc>
        <w:tc>
          <w:tcPr>
            <w:tcW w:w="736" w:type="dxa"/>
            <w:tcBorders>
              <w:top w:val="single" w:sz="4" w:space="0" w:color="010101"/>
              <w:left w:val="single" w:sz="4" w:space="0" w:color="010101"/>
              <w:bottom w:val="nil" w:sz="6" w:space="0" w:color="auto"/>
              <w:right w:val="single" w:sz="4" w:space="0" w:color="010101"/>
            </w:tcBorders>
            <w:shd w:val="clear" w:color="auto" w:fill="D3D3D3"/>
          </w:tcPr>
          <w:p>
            <w:pPr/>
          </w:p>
        </w:tc>
        <w:tc>
          <w:tcPr>
            <w:tcW w:w="737" w:type="dxa"/>
            <w:tcBorders>
              <w:top w:val="single" w:sz="4" w:space="0" w:color="010101"/>
              <w:left w:val="single" w:sz="4" w:space="0" w:color="010101"/>
              <w:bottom w:val="nil" w:sz="6" w:space="0" w:color="auto"/>
              <w:right w:val="single" w:sz="4" w:space="0" w:color="010101"/>
            </w:tcBorders>
            <w:shd w:val="clear" w:color="auto" w:fill="D3D3D3"/>
          </w:tcPr>
          <w:p>
            <w:pPr/>
          </w:p>
        </w:tc>
        <w:tc>
          <w:tcPr>
            <w:tcW w:w="737" w:type="dxa"/>
            <w:tcBorders>
              <w:top w:val="single" w:sz="4" w:space="0" w:color="010101"/>
              <w:left w:val="single" w:sz="4" w:space="0" w:color="010101"/>
              <w:bottom w:val="nil" w:sz="6" w:space="0" w:color="auto"/>
              <w:right w:val="single" w:sz="4" w:space="0" w:color="010101"/>
            </w:tcBorders>
            <w:shd w:val="clear" w:color="auto" w:fill="D3D3D3"/>
          </w:tcPr>
          <w:p>
            <w:pPr/>
          </w:p>
        </w:tc>
        <w:tc>
          <w:tcPr>
            <w:tcW w:w="736"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自购买</w:t>
            </w:r>
          </w:p>
        </w:tc>
        <w:tc>
          <w:tcPr>
            <w:tcW w:w="736"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自本期</w:t>
            </w:r>
          </w:p>
        </w:tc>
        <w:tc>
          <w:tcPr>
            <w:tcW w:w="736" w:type="dxa"/>
            <w:tcBorders>
              <w:top w:val="single" w:sz="4" w:space="0" w:color="010101"/>
              <w:left w:val="single" w:sz="4" w:space="0" w:color="010101"/>
              <w:bottom w:val="nil" w:sz="6" w:space="0" w:color="auto"/>
              <w:right w:val="single" w:sz="4" w:space="0" w:color="010101"/>
            </w:tcBorders>
            <w:shd w:val="clear" w:color="auto" w:fill="D3D3D3"/>
          </w:tcPr>
          <w:p>
            <w:pPr/>
          </w:p>
        </w:tc>
        <w:tc>
          <w:tcPr>
            <w:tcW w:w="734" w:type="dxa"/>
            <w:tcBorders>
              <w:top w:val="single" w:sz="4" w:space="0" w:color="010101"/>
              <w:left w:val="single" w:sz="4" w:space="0" w:color="010101"/>
              <w:bottom w:val="nil" w:sz="6" w:space="0" w:color="auto"/>
              <w:right w:val="single" w:sz="4" w:space="0" w:color="010101"/>
            </w:tcBorders>
            <w:shd w:val="clear" w:color="auto" w:fill="D3D3D3"/>
          </w:tcPr>
          <w:p>
            <w:pPr/>
          </w:p>
        </w:tc>
        <w:tc>
          <w:tcPr>
            <w:tcW w:w="737" w:type="dxa"/>
            <w:tcBorders>
              <w:top w:val="single" w:sz="4" w:space="0" w:color="010101"/>
              <w:left w:val="single" w:sz="4" w:space="0" w:color="010101"/>
              <w:bottom w:val="nil" w:sz="6" w:space="0" w:color="auto"/>
              <w:right w:val="single" w:sz="4" w:space="0" w:color="010101"/>
            </w:tcBorders>
            <w:shd w:val="clear" w:color="auto" w:fill="D3D3D3"/>
          </w:tcPr>
          <w:p>
            <w:pPr/>
          </w:p>
        </w:tc>
        <w:tc>
          <w:tcPr>
            <w:tcW w:w="734" w:type="dxa"/>
            <w:tcBorders>
              <w:top w:val="single" w:sz="4" w:space="0" w:color="010101"/>
              <w:left w:val="single" w:sz="4" w:space="0" w:color="010101"/>
              <w:bottom w:val="nil" w:sz="6" w:space="0" w:color="auto"/>
              <w:right w:val="single" w:sz="4" w:space="0" w:color="010101"/>
            </w:tcBorders>
            <w:shd w:val="clear" w:color="auto" w:fill="D3D3D3"/>
          </w:tcPr>
          <w:p>
            <w:pPr/>
          </w:p>
        </w:tc>
        <w:tc>
          <w:tcPr>
            <w:tcW w:w="737" w:type="dxa"/>
            <w:tcBorders>
              <w:top w:val="single" w:sz="4" w:space="0" w:color="010101"/>
              <w:left w:val="single" w:sz="4" w:space="0" w:color="010101"/>
              <w:bottom w:val="nil" w:sz="6" w:space="0" w:color="auto"/>
              <w:right w:val="single" w:sz="4" w:space="0" w:color="010101"/>
            </w:tcBorders>
            <w:shd w:val="clear" w:color="auto" w:fill="D3D3D3"/>
          </w:tcPr>
          <w:p>
            <w:pPr/>
          </w:p>
        </w:tc>
        <w:tc>
          <w:tcPr>
            <w:tcW w:w="734" w:type="dxa"/>
            <w:tcBorders>
              <w:top w:val="single" w:sz="4" w:space="0" w:color="010101"/>
              <w:left w:val="single" w:sz="4" w:space="0" w:color="010101"/>
              <w:bottom w:val="nil" w:sz="6" w:space="0" w:color="auto"/>
              <w:right w:val="single" w:sz="4" w:space="0" w:color="010101"/>
            </w:tcBorders>
            <w:shd w:val="clear" w:color="auto" w:fill="D3D3D3"/>
          </w:tcPr>
          <w:p>
            <w:pPr/>
          </w:p>
        </w:tc>
        <w:tc>
          <w:tcPr>
            <w:tcW w:w="736"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312" w:hRule="exact"/>
        </w:trPr>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日起至</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初至报</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该资产</w:t>
            </w: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1872" w:hRule="exact"/>
        </w:trPr>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20"/>
              <w:ind w:left="92" w:right="91"/>
              <w:jc w:val="both"/>
              <w:rPr>
                <w:rFonts w:ascii="宋体" w:hAnsi="宋体" w:cs="宋体" w:eastAsia="宋体" w:hint="default"/>
                <w:sz w:val="18"/>
                <w:szCs w:val="18"/>
              </w:rPr>
            </w:pPr>
            <w:r>
              <w:rPr>
                <w:rFonts w:ascii="宋体" w:hAnsi="宋体" w:cs="宋体" w:eastAsia="宋体" w:hint="default"/>
                <w:sz w:val="18"/>
                <w:szCs w:val="18"/>
              </w:rPr>
              <w:t>报告期 末为上 市公司 贡献的 净利润</w:t>
            </w:r>
          </w:p>
          <w:p>
            <w:pPr>
              <w:pStyle w:val="TableParagraph"/>
              <w:spacing w:line="240" w:lineRule="auto" w:before="19"/>
              <w:ind w:left="4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20"/>
              <w:ind w:left="22" w:right="22" w:firstLine="68"/>
              <w:jc w:val="both"/>
              <w:rPr>
                <w:rFonts w:ascii="宋体" w:hAnsi="宋体" w:cs="宋体" w:eastAsia="宋体" w:hint="default"/>
                <w:sz w:val="18"/>
                <w:szCs w:val="18"/>
              </w:rPr>
            </w:pPr>
            <w:r>
              <w:rPr>
                <w:rFonts w:ascii="宋体" w:hAnsi="宋体" w:cs="宋体" w:eastAsia="宋体" w:hint="default"/>
                <w:sz w:val="18"/>
                <w:szCs w:val="18"/>
              </w:rPr>
              <w:t>告期末 为上市 公司贡 献的净 </w:t>
            </w:r>
            <w:r>
              <w:rPr>
                <w:rFonts w:ascii="宋体" w:hAnsi="宋体" w:cs="宋体" w:eastAsia="宋体" w:hint="default"/>
                <w:spacing w:val="-11"/>
                <w:sz w:val="18"/>
                <w:szCs w:val="18"/>
              </w:rPr>
              <w:t>利润（万</w:t>
            </w:r>
          </w:p>
          <w:p>
            <w:pPr>
              <w:pStyle w:val="TableParagraph"/>
              <w:spacing w:line="240" w:lineRule="auto" w:before="19"/>
              <w:ind w:left="-14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（适</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6"/>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56"/>
              <w:ind w:left="91"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为上市 公司贡 献的净 利润占 利润总 额的比</w:t>
            </w:r>
          </w:p>
        </w:tc>
        <w:tc>
          <w:tcPr>
            <w:tcW w:w="73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ind w:left="21" w:right="-17"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322" w:hRule="exact"/>
        </w:trPr>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（适用</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用于同</w:t>
            </w: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34" w:type="dxa"/>
            <w:tcBorders>
              <w:top w:val="nil" w:sz="6" w:space="0" w:color="auto"/>
              <w:left w:val="single" w:sz="4" w:space="0" w:color="010101"/>
              <w:bottom w:val="nil" w:sz="6" w:space="0" w:color="auto"/>
              <w:right w:val="single" w:sz="4" w:space="0" w:color="010101"/>
            </w:tcBorders>
            <w:shd w:val="clear" w:color="auto" w:fill="D3D3D3"/>
          </w:tcPr>
          <w:p>
            <w:pPr/>
          </w:p>
        </w:tc>
        <w:tc>
          <w:tcPr>
            <w:tcW w:w="736" w:type="dxa"/>
            <w:tcBorders>
              <w:top w:val="nil" w:sz="6" w:space="0" w:color="auto"/>
              <w:left w:val="single" w:sz="4" w:space="0" w:color="010101"/>
              <w:bottom w:val="nil" w:sz="6" w:space="0" w:color="auto"/>
              <w:right w:val="single" w:sz="4" w:space="0" w:color="010101"/>
            </w:tcBorders>
            <w:shd w:val="clear" w:color="auto" w:fill="D3D3D3"/>
          </w:tcPr>
          <w:p>
            <w:pPr/>
          </w:p>
        </w:tc>
      </w:tr>
      <w:tr>
        <w:trPr>
          <w:trHeight w:val="323" w:hRule="exact"/>
        </w:trPr>
        <w:tc>
          <w:tcPr>
            <w:tcW w:w="736" w:type="dxa"/>
            <w:tcBorders>
              <w:top w:val="nil" w:sz="6" w:space="0" w:color="auto"/>
              <w:left w:val="single" w:sz="4" w:space="0" w:color="010101"/>
              <w:bottom w:val="single" w:sz="4" w:space="0" w:color="010101"/>
              <w:right w:val="single" w:sz="4" w:space="0" w:color="010101"/>
            </w:tcBorders>
            <w:shd w:val="clear" w:color="auto" w:fill="D3D3D3"/>
          </w:tcPr>
          <w:p>
            <w:pPr/>
          </w:p>
        </w:tc>
        <w:tc>
          <w:tcPr>
            <w:tcW w:w="736" w:type="dxa"/>
            <w:tcBorders>
              <w:top w:val="nil" w:sz="6" w:space="0" w:color="auto"/>
              <w:left w:val="single" w:sz="4" w:space="0" w:color="010101"/>
              <w:bottom w:val="single" w:sz="4" w:space="0" w:color="010101"/>
              <w:right w:val="single" w:sz="4" w:space="0" w:color="010101"/>
            </w:tcBorders>
            <w:shd w:val="clear" w:color="auto" w:fill="D3D3D3"/>
          </w:tcPr>
          <w:p>
            <w:pPr/>
          </w:p>
        </w:tc>
        <w:tc>
          <w:tcPr>
            <w:tcW w:w="737" w:type="dxa"/>
            <w:tcBorders>
              <w:top w:val="nil" w:sz="6" w:space="0" w:color="auto"/>
              <w:left w:val="single" w:sz="4" w:space="0" w:color="010101"/>
              <w:bottom w:val="single" w:sz="4" w:space="0" w:color="010101"/>
              <w:right w:val="single" w:sz="4" w:space="0" w:color="010101"/>
            </w:tcBorders>
            <w:shd w:val="clear" w:color="auto" w:fill="D3D3D3"/>
          </w:tcPr>
          <w:p>
            <w:pPr/>
          </w:p>
        </w:tc>
        <w:tc>
          <w:tcPr>
            <w:tcW w:w="737" w:type="dxa"/>
            <w:tcBorders>
              <w:top w:val="nil" w:sz="6" w:space="0" w:color="auto"/>
              <w:left w:val="single" w:sz="4" w:space="0" w:color="010101"/>
              <w:bottom w:val="single" w:sz="4" w:space="0" w:color="010101"/>
              <w:right w:val="single" w:sz="4" w:space="0" w:color="010101"/>
            </w:tcBorders>
            <w:shd w:val="clear" w:color="auto" w:fill="D3D3D3"/>
          </w:tcPr>
          <w:p>
            <w:pPr/>
          </w:p>
        </w:tc>
        <w:tc>
          <w:tcPr>
            <w:tcW w:w="736"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于非同</w:t>
            </w:r>
          </w:p>
        </w:tc>
        <w:tc>
          <w:tcPr>
            <w:tcW w:w="736"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一控制</w:t>
            </w:r>
          </w:p>
        </w:tc>
        <w:tc>
          <w:tcPr>
            <w:tcW w:w="736" w:type="dxa"/>
            <w:tcBorders>
              <w:top w:val="nil" w:sz="6" w:space="0" w:color="auto"/>
              <w:left w:val="single" w:sz="4" w:space="0" w:color="010101"/>
              <w:bottom w:val="single" w:sz="4" w:space="0" w:color="010101"/>
              <w:right w:val="single" w:sz="4" w:space="0" w:color="010101"/>
            </w:tcBorders>
            <w:shd w:val="clear" w:color="auto" w:fill="D3D3D3"/>
          </w:tcPr>
          <w:p>
            <w:pPr/>
          </w:p>
        </w:tc>
        <w:tc>
          <w:tcPr>
            <w:tcW w:w="734" w:type="dxa"/>
            <w:tcBorders>
              <w:top w:val="nil" w:sz="6" w:space="0" w:color="auto"/>
              <w:left w:val="single" w:sz="4" w:space="0" w:color="010101"/>
              <w:bottom w:val="single" w:sz="4" w:space="0" w:color="010101"/>
              <w:right w:val="single" w:sz="4" w:space="0" w:color="010101"/>
            </w:tcBorders>
            <w:shd w:val="clear" w:color="auto" w:fill="D3D3D3"/>
          </w:tcPr>
          <w:p>
            <w:pPr/>
          </w:p>
        </w:tc>
        <w:tc>
          <w:tcPr>
            <w:tcW w:w="737" w:type="dxa"/>
            <w:tcBorders>
              <w:top w:val="nil" w:sz="6" w:space="0" w:color="auto"/>
              <w:left w:val="single" w:sz="4" w:space="0" w:color="010101"/>
              <w:bottom w:val="single" w:sz="4" w:space="0" w:color="010101"/>
              <w:right w:val="single" w:sz="4" w:space="0" w:color="010101"/>
            </w:tcBorders>
            <w:shd w:val="clear" w:color="auto" w:fill="D3D3D3"/>
          </w:tcPr>
          <w:p>
            <w:pPr/>
          </w:p>
        </w:tc>
        <w:tc>
          <w:tcPr>
            <w:tcW w:w="734" w:type="dxa"/>
            <w:tcBorders>
              <w:top w:val="nil" w:sz="6" w:space="0" w:color="auto"/>
              <w:left w:val="single" w:sz="4" w:space="0" w:color="010101"/>
              <w:bottom w:val="single" w:sz="4" w:space="0" w:color="010101"/>
              <w:right w:val="single" w:sz="4" w:space="0" w:color="010101"/>
            </w:tcBorders>
            <w:shd w:val="clear" w:color="auto" w:fill="D3D3D3"/>
          </w:tcPr>
          <w:p>
            <w:pPr/>
          </w:p>
        </w:tc>
        <w:tc>
          <w:tcPr>
            <w:tcW w:w="737" w:type="dxa"/>
            <w:tcBorders>
              <w:top w:val="nil" w:sz="6" w:space="0" w:color="auto"/>
              <w:left w:val="single" w:sz="4" w:space="0" w:color="010101"/>
              <w:bottom w:val="single" w:sz="4" w:space="0" w:color="010101"/>
              <w:right w:val="single" w:sz="4" w:space="0" w:color="010101"/>
            </w:tcBorders>
            <w:shd w:val="clear" w:color="auto" w:fill="D3D3D3"/>
          </w:tcPr>
          <w:p>
            <w:pPr/>
          </w:p>
        </w:tc>
        <w:tc>
          <w:tcPr>
            <w:tcW w:w="734" w:type="dxa"/>
            <w:tcBorders>
              <w:top w:val="nil" w:sz="6" w:space="0" w:color="auto"/>
              <w:left w:val="single" w:sz="4" w:space="0" w:color="010101"/>
              <w:bottom w:val="single" w:sz="4" w:space="0" w:color="010101"/>
              <w:right w:val="single" w:sz="4" w:space="0" w:color="010101"/>
            </w:tcBorders>
            <w:shd w:val="clear" w:color="auto" w:fill="D3D3D3"/>
          </w:tcPr>
          <w:p>
            <w:pPr/>
          </w:p>
        </w:tc>
        <w:tc>
          <w:tcPr>
            <w:tcW w:w="736" w:type="dxa"/>
            <w:tcBorders>
              <w:top w:val="nil" w:sz="6" w:space="0" w:color="auto"/>
              <w:left w:val="single" w:sz="4" w:space="0" w:color="010101"/>
              <w:bottom w:val="single" w:sz="4" w:space="0" w:color="010101"/>
              <w:right w:val="single" w:sz="4" w:space="0" w:color="010101"/>
            </w:tcBorders>
            <w:shd w:val="clear" w:color="auto" w:fill="D3D3D3"/>
          </w:tcPr>
          <w:p>
            <w:pPr/>
          </w:p>
        </w:tc>
      </w:tr>
    </w:tbl>
    <w:p>
      <w:pPr>
        <w:spacing w:after="0"/>
        <w:sectPr>
          <w:footerReference w:type="default" r:id="rId16"/>
          <w:pgSz w:w="11910" w:h="16840"/>
          <w:pgMar w:footer="980" w:header="747" w:top="1060" w:bottom="1160" w:left="1020" w:right="1020"/>
          <w:pgNumType w:start="31"/>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7"/>
        <w:gridCol w:w="737"/>
        <w:gridCol w:w="736"/>
        <w:gridCol w:w="736"/>
        <w:gridCol w:w="736"/>
        <w:gridCol w:w="734"/>
        <w:gridCol w:w="737"/>
        <w:gridCol w:w="734"/>
        <w:gridCol w:w="737"/>
        <w:gridCol w:w="734"/>
        <w:gridCol w:w="736"/>
      </w:tblGrid>
      <w:tr>
        <w:trPr>
          <w:trHeight w:val="986"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10"/>
              <w:ind w:left="22" w:right="-17" w:firstLine="69"/>
              <w:jc w:val="both"/>
              <w:rPr>
                <w:rFonts w:ascii="宋体" w:hAnsi="宋体" w:cs="宋体" w:eastAsia="宋体" w:hint="default"/>
                <w:sz w:val="18"/>
                <w:szCs w:val="18"/>
              </w:rPr>
            </w:pPr>
            <w:r>
              <w:rPr>
                <w:rFonts w:ascii="宋体" w:hAnsi="宋体" w:cs="宋体" w:eastAsia="宋体" w:hint="default"/>
                <w:sz w:val="18"/>
                <w:szCs w:val="18"/>
              </w:rPr>
              <w:t>一控制 下的企 业合并）</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10"/>
              <w:ind w:left="22" w:right="-17" w:firstLine="68"/>
              <w:jc w:val="left"/>
              <w:rPr>
                <w:rFonts w:ascii="宋体" w:hAnsi="宋体" w:cs="宋体" w:eastAsia="宋体" w:hint="default"/>
                <w:sz w:val="18"/>
                <w:szCs w:val="18"/>
              </w:rPr>
            </w:pPr>
            <w:r>
              <w:rPr>
                <w:rFonts w:ascii="宋体" w:hAnsi="宋体" w:cs="宋体" w:eastAsia="宋体" w:hint="default"/>
                <w:sz w:val="18"/>
                <w:szCs w:val="18"/>
              </w:rPr>
              <w:t>下的企 业合并）</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
        </w:tc>
      </w:tr>
    </w:tbl>
    <w:p>
      <w:pPr>
        <w:pStyle w:val="BodyText"/>
        <w:spacing w:line="240" w:lineRule="auto" w:before="50"/>
        <w:ind w:right="112"/>
        <w:jc w:val="left"/>
      </w:pPr>
      <w:r>
        <w:rPr/>
        <w:t>收购资产情况说明</w:t>
      </w:r>
    </w:p>
    <w:p>
      <w:pPr>
        <w:spacing w:line="240" w:lineRule="auto" w:before="12"/>
        <w:rPr>
          <w:rFonts w:ascii="宋体" w:hAnsi="宋体" w:cs="宋体" w:eastAsia="宋体" w:hint="default"/>
          <w:sz w:val="26"/>
          <w:szCs w:val="26"/>
        </w:rPr>
      </w:pPr>
    </w:p>
    <w:p>
      <w:pPr>
        <w:pStyle w:val="Heading4"/>
        <w:spacing w:line="240" w:lineRule="auto"/>
        <w:ind w:right="11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3"/>
        <w:gridCol w:w="734"/>
        <w:gridCol w:w="737"/>
        <w:gridCol w:w="736"/>
        <w:gridCol w:w="737"/>
        <w:gridCol w:w="734"/>
        <w:gridCol w:w="737"/>
        <w:gridCol w:w="736"/>
        <w:gridCol w:w="737"/>
        <w:gridCol w:w="736"/>
        <w:gridCol w:w="737"/>
        <w:gridCol w:w="734"/>
        <w:gridCol w:w="737"/>
      </w:tblGrid>
      <w:tr>
        <w:trPr>
          <w:trHeight w:val="2898" w:hRule="exact"/>
        </w:trPr>
        <w:tc>
          <w:tcPr>
            <w:tcW w:w="7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71" w:right="90"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82" w:right="90"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9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92" w:right="92"/>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1" w:right="91"/>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9"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19" w:hanging="44"/>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pStyle w:val="BodyText"/>
        <w:spacing w:line="240" w:lineRule="auto" w:before="49"/>
        <w:ind w:right="112"/>
        <w:jc w:val="left"/>
      </w:pPr>
      <w:r>
        <w:rPr/>
        <w:t>出售资产情况说明</w:t>
      </w:r>
    </w:p>
    <w:p>
      <w:pPr>
        <w:spacing w:line="240" w:lineRule="auto" w:before="12"/>
        <w:rPr>
          <w:rFonts w:ascii="宋体" w:hAnsi="宋体" w:cs="宋体" w:eastAsia="宋体" w:hint="default"/>
          <w:sz w:val="26"/>
          <w:szCs w:val="26"/>
        </w:rPr>
      </w:pPr>
    </w:p>
    <w:p>
      <w:pPr>
        <w:pStyle w:val="Heading4"/>
        <w:spacing w:line="240" w:lineRule="auto"/>
        <w:ind w:right="11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2"/>
        <w:jc w:val="left"/>
      </w:pPr>
      <w:r>
        <w:rPr/>
        <w:t>公司本报告期无企业合并情况。</w:t>
      </w:r>
    </w:p>
    <w:p>
      <w:pPr>
        <w:spacing w:line="240" w:lineRule="auto" w:before="12"/>
        <w:rPr>
          <w:rFonts w:ascii="宋体" w:hAnsi="宋体" w:cs="宋体" w:eastAsia="宋体" w:hint="default"/>
          <w:sz w:val="26"/>
          <w:szCs w:val="26"/>
        </w:rPr>
      </w:pPr>
    </w:p>
    <w:p>
      <w:pPr>
        <w:pStyle w:val="Heading4"/>
        <w:spacing w:line="259" w:lineRule="auto"/>
        <w:ind w:right="112"/>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54"/>
        </w:rPr>
        <w:t> </w:t>
      </w:r>
      <w:r>
        <w:rPr/>
        <w:t>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
        <w:jc w:val="left"/>
      </w:pPr>
      <w:r>
        <w:rPr/>
        <w:t>公司本报告期无资产重组和收购出售资产情况。</w:t>
      </w:r>
    </w:p>
    <w:p>
      <w:pPr>
        <w:spacing w:line="240" w:lineRule="auto" w:before="2"/>
        <w:rPr>
          <w:rFonts w:ascii="宋体" w:hAnsi="宋体" w:cs="宋体" w:eastAsia="宋体" w:hint="default"/>
          <w:sz w:val="25"/>
          <w:szCs w:val="25"/>
        </w:rPr>
      </w:pPr>
    </w:p>
    <w:p>
      <w:pPr>
        <w:pStyle w:val="Heading2"/>
        <w:spacing w:line="240" w:lineRule="auto" w:before="0"/>
        <w:ind w:right="112"/>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870"/>
        <w:jc w:val="left"/>
      </w:pPr>
      <w:r>
        <w:rPr/>
        <w:t>无。 股权激励事项临时报告披露网站查询</w:t>
      </w:r>
    </w:p>
    <w:tbl>
      <w:tblPr>
        <w:tblW w:w="0" w:type="auto"/>
        <w:jc w:val="left"/>
        <w:tblInd w:w="10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4"/>
        <w:rPr>
          <w:rFonts w:ascii="宋体" w:hAnsi="宋体" w:cs="宋体" w:eastAsia="宋体" w:hint="default"/>
          <w:sz w:val="19"/>
          <w:szCs w:val="19"/>
        </w:rPr>
      </w:pPr>
    </w:p>
    <w:p>
      <w:pPr>
        <w:pStyle w:val="Heading2"/>
        <w:spacing w:line="240" w:lineRule="auto"/>
        <w:ind w:right="112"/>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2"/>
        <w:gridCol w:w="798"/>
        <w:gridCol w:w="797"/>
        <w:gridCol w:w="816"/>
        <w:gridCol w:w="797"/>
        <w:gridCol w:w="799"/>
        <w:gridCol w:w="797"/>
        <w:gridCol w:w="799"/>
        <w:gridCol w:w="797"/>
        <w:gridCol w:w="799"/>
        <w:gridCol w:w="797"/>
        <w:gridCol w:w="784"/>
      </w:tblGrid>
      <w:tr>
        <w:trPr>
          <w:trHeight w:val="357" w:hRule="exact"/>
        </w:trPr>
        <w:tc>
          <w:tcPr>
            <w:tcW w:w="792"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
        </w:tc>
        <w:tc>
          <w:tcPr>
            <w:tcW w:w="816"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
        </w:tc>
        <w:tc>
          <w:tcPr>
            <w:tcW w:w="799"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
        </w:tc>
        <w:tc>
          <w:tcPr>
            <w:tcW w:w="799"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
        </w:tc>
        <w:tc>
          <w:tcPr>
            <w:tcW w:w="799" w:type="dxa"/>
            <w:tcBorders>
              <w:top w:val="single" w:sz="4" w:space="0" w:color="010101"/>
              <w:left w:val="single" w:sz="4" w:space="0" w:color="010101"/>
              <w:bottom w:val="nil" w:sz="6" w:space="0" w:color="auto"/>
              <w:right w:val="single" w:sz="4" w:space="0" w:color="010101"/>
            </w:tcBorders>
            <w:shd w:val="clear" w:color="auto" w:fill="D3D3D3"/>
          </w:tcPr>
          <w:p>
            <w:pP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
        </w:tc>
        <w:tc>
          <w:tcPr>
            <w:tcW w:w="78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交易价格</w:t>
            </w:r>
          </w:p>
        </w:tc>
      </w:tr>
      <w:tr>
        <w:trPr>
          <w:trHeight w:val="940" w:hRule="exact"/>
        </w:trPr>
        <w:tc>
          <w:tcPr>
            <w:tcW w:w="79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32"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2"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32"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6" w:right="25"/>
              <w:jc w:val="both"/>
              <w:rPr>
                <w:rFonts w:ascii="宋体" w:hAnsi="宋体" w:cs="宋体" w:eastAsia="宋体" w:hint="default"/>
                <w:sz w:val="18"/>
                <w:szCs w:val="18"/>
              </w:rPr>
            </w:pPr>
            <w:r>
              <w:rPr>
                <w:rFonts w:ascii="宋体" w:hAnsi="宋体" w:cs="宋体" w:eastAsia="宋体" w:hint="default"/>
                <w:sz w:val="18"/>
                <w:szCs w:val="18"/>
              </w:rPr>
              <w:t>与市场参 考价格差 异较大的</w:t>
            </w:r>
          </w:p>
        </w:tc>
      </w:tr>
      <w:tr>
        <w:trPr>
          <w:trHeight w:val="354" w:hRule="exact"/>
        </w:trPr>
        <w:tc>
          <w:tcPr>
            <w:tcW w:w="792"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
        </w:tc>
        <w:tc>
          <w:tcPr>
            <w:tcW w:w="816"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
        </w:tc>
        <w:tc>
          <w:tcPr>
            <w:tcW w:w="799"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
        </w:tc>
        <w:tc>
          <w:tcPr>
            <w:tcW w:w="799"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
        </w:tc>
        <w:tc>
          <w:tcPr>
            <w:tcW w:w="799"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
        </w:tc>
        <w:tc>
          <w:tcPr>
            <w:tcW w:w="784"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华为软件</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1,530.12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1,530.12</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合同进度</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00"/>
        </w:sectPr>
      </w:pPr>
    </w:p>
    <w:p>
      <w:pPr>
        <w:spacing w:line="240" w:lineRule="auto" w:before="0"/>
        <w:rPr>
          <w:rFonts w:ascii="宋体" w:hAnsi="宋体" w:cs="宋体" w:eastAsia="宋体" w:hint="default"/>
          <w:b/>
          <w:bCs/>
          <w:sz w:val="20"/>
          <w:szCs w:val="20"/>
        </w:rPr>
      </w:pPr>
      <w:r>
        <w:rPr/>
        <w:pict>
          <v:shape style="position:absolute;margin-left:56.459999pt;margin-top:72pt;width:479.3pt;height:672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2"/>
                    <w:gridCol w:w="798"/>
                    <w:gridCol w:w="797"/>
                    <w:gridCol w:w="809"/>
                    <w:gridCol w:w="804"/>
                    <w:gridCol w:w="799"/>
                    <w:gridCol w:w="797"/>
                    <w:gridCol w:w="799"/>
                    <w:gridCol w:w="797"/>
                    <w:gridCol w:w="799"/>
                    <w:gridCol w:w="797"/>
                    <w:gridCol w:w="784"/>
                  </w:tblGrid>
                  <w:tr>
                    <w:trPr>
                      <w:trHeight w:val="1298"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29"/>
                          <w:ind w:left="22" w:right="37"/>
                          <w:jc w:val="left"/>
                          <w:rPr>
                            <w:rFonts w:ascii="宋体" w:hAnsi="宋体" w:cs="宋体" w:eastAsia="宋体" w:hint="default"/>
                            <w:sz w:val="18"/>
                            <w:szCs w:val="18"/>
                          </w:rPr>
                        </w:pPr>
                        <w:r>
                          <w:rPr>
                            <w:rFonts w:ascii="宋体" w:hAnsi="宋体" w:cs="宋体" w:eastAsia="宋体" w:hint="default"/>
                            <w:sz w:val="18"/>
                            <w:szCs w:val="18"/>
                          </w:rPr>
                          <w:t>技术有限 公司</w:t>
                        </w:r>
                      </w:p>
                    </w:tc>
                    <w:tc>
                      <w:tcPr>
                        <w:tcW w:w="798"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809" w:type="dxa"/>
                        <w:tcBorders>
                          <w:top w:val="single" w:sz="4" w:space="0" w:color="010101"/>
                          <w:left w:val="single" w:sz="4" w:space="0" w:color="010101"/>
                          <w:bottom w:val="single" w:sz="4" w:space="0" w:color="010101"/>
                          <w:right w:val="single" w:sz="4" w:space="0" w:color="010101"/>
                        </w:tcBorders>
                      </w:tcPr>
                      <w:p>
                        <w:pPr/>
                      </w:p>
                    </w:tc>
                    <w:tc>
                      <w:tcPr>
                        <w:tcW w:w="8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9" w:right="0"/>
                          <w:jc w:val="both"/>
                          <w:rPr>
                            <w:rFonts w:ascii="宋体" w:hAnsi="宋体" w:cs="宋体" w:eastAsia="宋体" w:hint="default"/>
                            <w:sz w:val="18"/>
                            <w:szCs w:val="18"/>
                          </w:rPr>
                        </w:pPr>
                        <w:r>
                          <w:rPr>
                            <w:rFonts w:ascii="宋体" w:hAnsi="宋体" w:cs="宋体" w:eastAsia="宋体" w:hint="default"/>
                            <w:sz w:val="18"/>
                            <w:szCs w:val="18"/>
                          </w:rPr>
                          <w:t>价，执行</w:t>
                        </w:r>
                      </w:p>
                      <w:p>
                        <w:pPr>
                          <w:pStyle w:val="TableParagraph"/>
                          <w:spacing w:line="316" w:lineRule="auto" w:before="76"/>
                          <w:ind w:left="29" w:right="42"/>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华为技术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0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9" w:right="42"/>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6" w:lineRule="auto" w:before="19"/>
                          <w:ind w:left="29" w:right="42"/>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642.9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642.9</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华为终端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0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9" w:right="42"/>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6" w:lineRule="auto" w:before="19"/>
                          <w:ind w:left="29" w:right="42"/>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613.17</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613.17</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37"/>
                          <w:jc w:val="both"/>
                          <w:rPr>
                            <w:rFonts w:ascii="宋体" w:hAnsi="宋体" w:cs="宋体" w:eastAsia="宋体" w:hint="default"/>
                            <w:sz w:val="18"/>
                            <w:szCs w:val="18"/>
                          </w:rPr>
                        </w:pPr>
                        <w:r>
                          <w:rPr>
                            <w:rFonts w:ascii="宋体" w:hAnsi="宋体" w:cs="宋体" w:eastAsia="宋体" w:hint="default"/>
                            <w:sz w:val="18"/>
                            <w:szCs w:val="18"/>
                          </w:rPr>
                          <w:t>深圳市海 思半导体 有限公司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0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9" w:right="42"/>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6" w:lineRule="auto" w:before="19"/>
                          <w:ind w:left="29" w:right="42"/>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72.5</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r>
                    <w:trPr>
                      <w:trHeight w:val="1650" w:hRule="exact"/>
                    </w:trPr>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37"/>
                          <w:jc w:val="both"/>
                          <w:rPr>
                            <w:rFonts w:ascii="宋体" w:hAnsi="宋体" w:cs="宋体" w:eastAsia="宋体" w:hint="default"/>
                            <w:sz w:val="18"/>
                            <w:szCs w:val="18"/>
                          </w:rPr>
                        </w:pPr>
                        <w:r>
                          <w:rPr>
                            <w:rFonts w:ascii="宋体" w:hAnsi="宋体" w:cs="宋体" w:eastAsia="宋体" w:hint="default"/>
                            <w:sz w:val="18"/>
                            <w:szCs w:val="18"/>
                          </w:rPr>
                          <w:t>深圳市华 为技术软 件有限公 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0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9" w:right="42"/>
                          <w:jc w:val="both"/>
                          <w:rPr>
                            <w:rFonts w:ascii="宋体" w:hAnsi="宋体" w:cs="宋体" w:eastAsia="宋体" w:hint="default"/>
                            <w:sz w:val="18"/>
                            <w:szCs w:val="18"/>
                          </w:rPr>
                        </w:pPr>
                        <w:r>
                          <w:rPr>
                            <w:rFonts w:ascii="宋体" w:hAnsi="宋体" w:cs="宋体" w:eastAsia="宋体" w:hint="default"/>
                            <w:sz w:val="18"/>
                            <w:szCs w:val="18"/>
                          </w:rPr>
                          <w:t>市场定 价，执行</w:t>
                        </w:r>
                      </w:p>
                      <w:p>
                        <w:pPr>
                          <w:pStyle w:val="TableParagraph"/>
                          <w:spacing w:line="316" w:lineRule="auto" w:before="19"/>
                          <w:ind w:left="29" w:right="42"/>
                          <w:jc w:val="both"/>
                          <w:rPr>
                            <w:rFonts w:ascii="宋体" w:hAnsi="宋体" w:cs="宋体" w:eastAsia="宋体" w:hint="default"/>
                            <w:sz w:val="18"/>
                            <w:szCs w:val="18"/>
                          </w:rPr>
                        </w:pPr>
                        <w:r>
                          <w:rPr>
                            <w:rFonts w:ascii="宋体" w:hAnsi="宋体" w:cs="宋体" w:eastAsia="宋体" w:hint="default"/>
                            <w:sz w:val="18"/>
                            <w:szCs w:val="18"/>
                          </w:rPr>
                          <w:t>《关联交 易决策制 度》</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71.98</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71.98</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合同进度 法</w:t>
                        </w:r>
                      </w:p>
                    </w:tc>
                    <w:tc>
                      <w:tcPr>
                        <w:tcW w:w="799"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78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2,930.67</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1"/>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 w:right="113"/>
                          <w:jc w:val="left"/>
                          <w:rPr>
                            <w:rFonts w:ascii="宋体" w:hAnsi="宋体" w:cs="宋体" w:eastAsia="宋体" w:hint="default"/>
                            <w:sz w:val="18"/>
                            <w:szCs w:val="18"/>
                          </w:rPr>
                        </w:pPr>
                        <w:r>
                          <w:rPr>
                            <w:rFonts w:ascii="宋体" w:hAnsi="宋体" w:cs="宋体" w:eastAsia="宋体" w:hint="default"/>
                            <w:spacing w:val="-2"/>
                            <w:sz w:val="18"/>
                            <w:szCs w:val="18"/>
                          </w:rPr>
                          <w:t>上述关联交易均是公司日常经营性交易，是公司业务发展及生产经营的正常所需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此部分交易有利于公司持续稳定经营，促进公司发展，是合理的、必要的。</w:t>
                        </w:r>
                      </w:p>
                    </w:tc>
                  </w:tr>
                  <w:tr>
                    <w:trPr>
                      <w:trHeight w:val="714"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6" w:type="dxa"/>
                        <w:gridSpan w:val="8"/>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15" w:right="48"/>
                          <w:jc w:val="left"/>
                          <w:rPr>
                            <w:rFonts w:ascii="宋体" w:hAnsi="宋体" w:cs="宋体" w:eastAsia="宋体" w:hint="default"/>
                            <w:sz w:val="18"/>
                            <w:szCs w:val="18"/>
                          </w:rPr>
                        </w:pPr>
                        <w:r>
                          <w:rPr>
                            <w:rFonts w:ascii="宋体" w:hAnsi="宋体" w:cs="宋体" w:eastAsia="宋体" w:hint="default"/>
                            <w:sz w:val="18"/>
                            <w:szCs w:val="18"/>
                          </w:rPr>
                          <w:t>上述日常关联交易均以市场公允价格为依据，遵循公开、公平、公正的原则，不 存在损害上市公司利益的情形，不存在影响上市公司独立性的情形。</w:t>
                        </w:r>
                      </w:p>
                    </w:tc>
                  </w:tr>
                  <w:tr>
                    <w:trPr>
                      <w:trHeight w:val="714"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上述日常关联交易不会导致公司对关联方形成依赖。</w:t>
                        </w:r>
                      </w:p>
                    </w:tc>
                  </w:tr>
                  <w:tr>
                    <w:trPr>
                      <w:trHeight w:val="1962"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w:t>
                        </w:r>
                      </w:p>
                    </w:tc>
                    <w:tc>
                      <w:tcPr>
                        <w:tcW w:w="6376" w:type="dxa"/>
                        <w:gridSpan w:val="8"/>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5"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月份向华为投资及其关联公司实现软件开发业务收入合计</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1,925.55 </w:t>
                        </w:r>
                        <w:r>
                          <w:rPr>
                            <w:rFonts w:ascii="宋体" w:hAnsi="宋体" w:cs="宋体" w:eastAsia="宋体" w:hint="default"/>
                            <w:sz w:val="18"/>
                            <w:szCs w:val="18"/>
                          </w:rPr>
                          <w:t>万元</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w:t>
                        </w:r>
                        <w:r>
                          <w:rPr>
                            <w:rFonts w:ascii="宋体" w:hAnsi="宋体" w:cs="宋体" w:eastAsia="宋体" w:hint="default"/>
                            <w:spacing w:val="-76"/>
                            <w:sz w:val="18"/>
                            <w:szCs w:val="18"/>
                          </w:rPr>
                          <w:t>了</w:t>
                        </w:r>
                        <w:r>
                          <w:rPr>
                            <w:rFonts w:ascii="宋体" w:hAnsi="宋体" w:cs="宋体" w:eastAsia="宋体" w:hint="default"/>
                            <w:sz w:val="18"/>
                            <w:szCs w:val="18"/>
                          </w:rPr>
                          <w:t>《关</w:t>
                        </w:r>
                      </w:p>
                      <w:p>
                        <w:pPr>
                          <w:pStyle w:val="TableParagraph"/>
                          <w:spacing w:line="240" w:lineRule="auto" w:before="63"/>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于公司与华为投资控股有限公司的关联公司日常关联交易的议案</w:t>
                        </w:r>
                        <w:r>
                          <w:rPr>
                            <w:rFonts w:ascii="宋体" w:hAnsi="宋体" w:cs="宋体" w:eastAsia="宋体" w:hint="default"/>
                            <w:spacing w:val="-90"/>
                            <w:sz w:val="18"/>
                            <w:szCs w:val="18"/>
                          </w:rPr>
                          <w:t>》</w:t>
                        </w:r>
                        <w:r>
                          <w:rPr>
                            <w:rFonts w:ascii="宋体" w:hAnsi="宋体" w:cs="宋体" w:eastAsia="宋体" w:hint="default"/>
                            <w:sz w:val="18"/>
                            <w:szCs w:val="18"/>
                          </w:rPr>
                          <w:t>，预计从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9" w:lineRule="auto" w:before="63"/>
                          <w:ind w:left="15"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月，公司向华为投资及其关联公司销售不超过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 币的软件开发业务。报告期内，公司与华为投资及其关联公司发生的日常关联交 易总额为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2,930.67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r>
                  <w:tr>
                    <w:trPr>
                      <w:trHeight w:val="714" w:hRule="exact"/>
                    </w:trPr>
                    <w:tc>
                      <w:tcPr>
                        <w:tcW w:w="319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6376" w:type="dxa"/>
                        <w:gridSpan w:val="8"/>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15" w:right="48"/>
                          <w:jc w:val="left"/>
                          <w:rPr>
                            <w:rFonts w:ascii="宋体" w:hAnsi="宋体" w:cs="宋体" w:eastAsia="宋体" w:hint="default"/>
                            <w:sz w:val="18"/>
                            <w:szCs w:val="18"/>
                          </w:rPr>
                        </w:pPr>
                        <w:r>
                          <w:rPr>
                            <w:rFonts w:ascii="宋体" w:hAnsi="宋体" w:cs="宋体" w:eastAsia="宋体" w:hint="default"/>
                            <w:sz w:val="18"/>
                            <w:szCs w:val="18"/>
                          </w:rPr>
                          <w:t>上述日常关联交易不构成《上市公司重大资产重组管理办法》规定的重大资产重 组，无需经过有关部门批准。</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40" w:lineRule="auto"/>
        <w:ind w:left="0" w:right="1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0"/>
        <w:jc w:val="left"/>
      </w:pPr>
      <w:r>
        <w:rPr/>
        <w:t>报告期内公司向关联方销售（采购）产品和提供（接受）劳务的情况</w:t>
      </w:r>
    </w:p>
    <w:p>
      <w:pPr>
        <w:spacing w:after="0" w:line="240" w:lineRule="auto"/>
        <w:jc w:val="lef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0"/>
        <w:gridCol w:w="1856"/>
        <w:gridCol w:w="1855"/>
        <w:gridCol w:w="1828"/>
        <w:gridCol w:w="1829"/>
      </w:tblGrid>
      <w:tr>
        <w:trPr>
          <w:trHeight w:val="402" w:hRule="exact"/>
        </w:trPr>
        <w:tc>
          <w:tcPr>
            <w:tcW w:w="22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10101"/>
              <w:bottom w:val="single" w:sz="4" w:space="0" w:color="010101"/>
              <w:right w:val="single" w:sz="4" w:space="0" w:color="010101"/>
            </w:tcBorders>
            <w:shd w:val="clear" w:color="auto" w:fill="D3D3D3"/>
          </w:tcPr>
          <w:p>
            <w:pPr/>
          </w:p>
        </w:tc>
        <w:tc>
          <w:tcPr>
            <w:tcW w:w="1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8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5" w:right="98"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402" w:hRule="exact"/>
        </w:trPr>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1,530.12</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613.17</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深圳市海思半导体有限公 司</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深圳市华为技术软件有限 公司</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71.98</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2,930.67</w:t>
            </w:r>
          </w:p>
        </w:tc>
        <w:tc>
          <w:tcPr>
            <w:tcW w:w="18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0"/>
        <w:jc w:val="left"/>
      </w:pPr>
      <w:r>
        <w:rPr/>
        <w:t>其中：报告期内公司向控股股东及其子公司销售产品或提供劳务的关联交易金额</w:t>
      </w:r>
      <w:r>
        <w:rPr>
          <w:spacing w:val="-46"/>
        </w:rPr>
        <w:t> </w:t>
      </w:r>
      <w:r>
        <w:rPr>
          <w:rFonts w:ascii="Times New Roman" w:hAnsi="Times New Roman" w:cs="Times New Roman" w:eastAsia="Times New Roman" w:hint="default"/>
        </w:rPr>
        <w:t>0 </w:t>
      </w:r>
      <w:r>
        <w:rPr/>
        <w:t>万元。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33"/>
        <w:gridCol w:w="738"/>
        <w:gridCol w:w="737"/>
        <w:gridCol w:w="738"/>
        <w:gridCol w:w="737"/>
        <w:gridCol w:w="734"/>
        <w:gridCol w:w="737"/>
        <w:gridCol w:w="738"/>
        <w:gridCol w:w="737"/>
        <w:gridCol w:w="737"/>
        <w:gridCol w:w="737"/>
        <w:gridCol w:w="731"/>
        <w:gridCol w:w="731"/>
      </w:tblGrid>
      <w:tr>
        <w:trPr>
          <w:trHeight w:val="2274" w:hRule="exact"/>
        </w:trPr>
        <w:tc>
          <w:tcPr>
            <w:tcW w:w="7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73" w:right="9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2" w:right="-15"/>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89" w:right="89"/>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89" w:right="89"/>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73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4"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1" w:type="dxa"/>
            <w:tcBorders>
              <w:top w:val="single" w:sz="4" w:space="0" w:color="010101"/>
              <w:left w:val="single" w:sz="4" w:space="0" w:color="010101"/>
              <w:bottom w:val="single" w:sz="4" w:space="0" w:color="010101"/>
              <w:right w:val="single" w:sz="4" w:space="0" w:color="010101"/>
            </w:tcBorders>
          </w:tcPr>
          <w:p>
            <w:pPr/>
          </w:p>
        </w:tc>
        <w:tc>
          <w:tcPr>
            <w:tcW w:w="731"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60" w:lineRule="auto" w:before="49"/>
        <w:ind w:right="1630"/>
        <w:jc w:val="left"/>
      </w:pPr>
      <w:r>
        <w:rPr/>
        <w:t>资产收购、出售发生的关联交易价格与账面价值或评估价值、市场公允价值差异较大的，应当说明原因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067"/>
        <w:gridCol w:w="1063"/>
        <w:gridCol w:w="1067"/>
        <w:gridCol w:w="1066"/>
        <w:gridCol w:w="1064"/>
        <w:gridCol w:w="1062"/>
        <w:gridCol w:w="1062"/>
        <w:gridCol w:w="1062"/>
        <w:gridCol w:w="1057"/>
      </w:tblGrid>
      <w:tr>
        <w:trPr>
          <w:trHeight w:val="1338" w:hRule="exact"/>
        </w:trPr>
        <w:tc>
          <w:tcPr>
            <w:tcW w:w="10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58"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6"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 w:right="73"/>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r>
        <w:trPr>
          <w:trHeight w:val="402" w:hRule="exact"/>
        </w:trPr>
        <w:tc>
          <w:tcPr>
            <w:tcW w:w="10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10101"/>
              <w:left w:val="single" w:sz="4" w:space="0" w:color="010101"/>
              <w:bottom w:val="single" w:sz="4" w:space="0" w:color="010101"/>
              <w:right w:val="single" w:sz="4" w:space="0" w:color="010101"/>
            </w:tcBorders>
          </w:tcPr>
          <w:p>
            <w:pPr/>
          </w:p>
        </w:tc>
        <w:tc>
          <w:tcPr>
            <w:tcW w:w="1067" w:type="dxa"/>
            <w:tcBorders>
              <w:top w:val="single" w:sz="4" w:space="0" w:color="010101"/>
              <w:left w:val="single" w:sz="4" w:space="0" w:color="010101"/>
              <w:bottom w:val="single" w:sz="4" w:space="0" w:color="010101"/>
              <w:right w:val="single" w:sz="4" w:space="0" w:color="010101"/>
            </w:tcBorders>
          </w:tcPr>
          <w:p>
            <w:pPr/>
          </w:p>
        </w:tc>
        <w:tc>
          <w:tcPr>
            <w:tcW w:w="1066"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c>
          <w:tcPr>
            <w:tcW w:w="1057" w:type="dxa"/>
            <w:tcBorders>
              <w:top w:val="single" w:sz="4" w:space="0" w:color="010101"/>
              <w:left w:val="single" w:sz="4" w:space="0" w:color="010101"/>
              <w:bottom w:val="single" w:sz="4" w:space="0" w:color="010101"/>
              <w:right w:val="single" w:sz="4" w:space="0" w:color="010101"/>
            </w:tcBorders>
          </w:tcPr>
          <w:p>
            <w:pPr/>
          </w:p>
        </w:tc>
      </w:tr>
    </w:tbl>
    <w:p>
      <w:pPr>
        <w:pStyle w:val="BodyText"/>
        <w:spacing w:line="360" w:lineRule="auto" w:before="49"/>
        <w:ind w:right="6670"/>
        <w:jc w:val="left"/>
      </w:pPr>
      <w:r>
        <w:rPr/>
        <w:t>共同对外投资的重大关联交易情况说明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是否存在非经营性关联债权债务往来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1"/>
        <w:gridCol w:w="1112"/>
        <w:gridCol w:w="647"/>
        <w:gridCol w:w="508"/>
        <w:gridCol w:w="444"/>
        <w:gridCol w:w="564"/>
        <w:gridCol w:w="508"/>
        <w:gridCol w:w="538"/>
        <w:gridCol w:w="646"/>
        <w:gridCol w:w="508"/>
        <w:gridCol w:w="449"/>
        <w:gridCol w:w="563"/>
        <w:gridCol w:w="509"/>
        <w:gridCol w:w="446"/>
      </w:tblGrid>
      <w:tr>
        <w:trPr>
          <w:trHeight w:val="402" w:hRule="exact"/>
        </w:trPr>
        <w:tc>
          <w:tcPr>
            <w:tcW w:w="213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08"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20"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4" w:hRule="exact"/>
        </w:trPr>
        <w:tc>
          <w:tcPr>
            <w:tcW w:w="2131" w:type="dxa"/>
            <w:vMerge/>
            <w:tcBorders>
              <w:left w:val="single" w:sz="4" w:space="0" w:color="010101"/>
              <w:bottom w:val="single" w:sz="4" w:space="0" w:color="010101"/>
              <w:right w:val="single" w:sz="4" w:space="0" w:color="010101"/>
            </w:tcBorders>
            <w:shd w:val="clear" w:color="auto" w:fill="D3D3D3"/>
          </w:tcPr>
          <w:p>
            <w:pPr/>
          </w:p>
        </w:tc>
        <w:tc>
          <w:tcPr>
            <w:tcW w:w="1112" w:type="dxa"/>
            <w:vMerge/>
            <w:tcBorders>
              <w:left w:val="single" w:sz="4" w:space="0" w:color="010101"/>
              <w:bottom w:val="single" w:sz="4" w:space="0" w:color="010101"/>
              <w:right w:val="single" w:sz="4" w:space="0" w:color="010101"/>
            </w:tcBorders>
            <w:shd w:val="clear" w:color="auto" w:fill="D3D3D3"/>
          </w:tcPr>
          <w:p>
            <w:pPr/>
          </w:p>
        </w:tc>
        <w:tc>
          <w:tcPr>
            <w:tcW w:w="64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8" w:right="67" w:hanging="90"/>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27" w:right="35"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5" w:right="9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8"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3" w:right="83"/>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6"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8" w:right="67" w:hanging="90"/>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28"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6"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7" w:right="37"/>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2" w:hRule="exact"/>
        </w:trPr>
        <w:tc>
          <w:tcPr>
            <w:tcW w:w="9571" w:type="dxa"/>
            <w:gridSpan w:val="1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2" w:hRule="exact"/>
        </w:trPr>
        <w:tc>
          <w:tcPr>
            <w:tcW w:w="9571" w:type="dxa"/>
            <w:gridSpan w:val="1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2" w:hRule="exact"/>
        </w:trPr>
        <w:tc>
          <w:tcPr>
            <w:tcW w:w="32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6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650"/>
        <w:jc w:val="left"/>
      </w:pPr>
      <w:r>
        <w:rPr/>
        <w:t>托管情况说明 无</w:t>
      </w:r>
    </w:p>
    <w:p>
      <w:pPr>
        <w:pStyle w:val="BodyText"/>
        <w:spacing w:line="240" w:lineRule="auto" w:before="28"/>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8650"/>
        <w:jc w:val="left"/>
      </w:pPr>
      <w:r>
        <w:rPr/>
        <w:t>承包情况说明 无</w:t>
      </w:r>
    </w:p>
    <w:p>
      <w:pPr>
        <w:pStyle w:val="BodyText"/>
        <w:spacing w:line="240" w:lineRule="auto" w:before="28"/>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8650"/>
        <w:jc w:val="left"/>
      </w:pPr>
      <w:r>
        <w:rPr/>
        <w:t>租赁情况说明 无</w:t>
      </w:r>
    </w:p>
    <w:p>
      <w:pPr>
        <w:pStyle w:val="BodyText"/>
        <w:spacing w:line="240" w:lineRule="auto" w:before="28"/>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7"/>
        <w:gridCol w:w="943"/>
        <w:gridCol w:w="931"/>
        <w:gridCol w:w="1212"/>
        <w:gridCol w:w="1178"/>
        <w:gridCol w:w="1094"/>
        <w:gridCol w:w="1019"/>
        <w:gridCol w:w="799"/>
        <w:gridCol w:w="788"/>
      </w:tblGrid>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02" w:hRule="exact"/>
        </w:trPr>
        <w:tc>
          <w:tcPr>
            <w:tcW w:w="160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34"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8"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07"/>
        <w:gridCol w:w="940"/>
        <w:gridCol w:w="935"/>
        <w:gridCol w:w="1212"/>
        <w:gridCol w:w="1178"/>
        <w:gridCol w:w="1094"/>
        <w:gridCol w:w="1015"/>
        <w:gridCol w:w="803"/>
        <w:gridCol w:w="788"/>
      </w:tblGrid>
      <w:tr>
        <w:trPr>
          <w:trHeight w:val="986" w:hRule="exact"/>
        </w:trPr>
        <w:tc>
          <w:tcPr>
            <w:tcW w:w="1607"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9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105" w:right="102"/>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2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09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01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18"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316" w:lineRule="auto" w:before="76"/>
              <w:ind w:left="208" w:right="119" w:hanging="90"/>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9572"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2"/>
        <w:gridCol w:w="798"/>
        <w:gridCol w:w="797"/>
        <w:gridCol w:w="806"/>
        <w:gridCol w:w="797"/>
        <w:gridCol w:w="799"/>
        <w:gridCol w:w="797"/>
        <w:gridCol w:w="799"/>
        <w:gridCol w:w="797"/>
        <w:gridCol w:w="799"/>
        <w:gridCol w:w="797"/>
        <w:gridCol w:w="792"/>
      </w:tblGrid>
      <w:tr>
        <w:trPr>
          <w:trHeight w:val="714"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01" w:right="29"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7" w:right="37"/>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2"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 w:right="32"/>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4" w:right="32"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12" w:right="32"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2" w:hRule="exact"/>
        </w:trPr>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报告期末衍生品投资的持仓情况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3"/>
        <w:gridCol w:w="1092"/>
        <w:gridCol w:w="1349"/>
        <w:gridCol w:w="1349"/>
        <w:gridCol w:w="1349"/>
        <w:gridCol w:w="1349"/>
        <w:gridCol w:w="1350"/>
      </w:tblGrid>
      <w:tr>
        <w:trPr>
          <w:trHeight w:val="402" w:hRule="exact"/>
        </w:trPr>
        <w:tc>
          <w:tcPr>
            <w:tcW w:w="17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0"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是否逾期</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834" w:right="0"/>
        <w:jc w:val="left"/>
      </w:pPr>
      <w:r>
        <w:rPr/>
        <w:t>本年度签订的远期外汇结汇合同及交割情况如下：</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pict>
          <v:shape style="position:absolute;margin-left:56.700001pt;margin-top:-365.74408pt;width:538.320pt;height:302.280pt;mso-position-horizontal-relative:page;mso-position-vertical-relative:paragraph;z-index:1432" type="#_x0000_t75" stroked="false">
            <v:imagedata r:id="rId17" o:title=""/>
          </v:shape>
        </w:pict>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7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3170"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让或者委托他 人管理其直接 或间接持有的 公司首次公开 发行股票前已 </w:t>
            </w:r>
            <w:r>
              <w:rPr>
                <w:rFonts w:ascii="宋体" w:hAnsi="宋体" w:cs="宋体" w:eastAsia="宋体" w:hint="default"/>
                <w:spacing w:val="-6"/>
                <w:sz w:val="18"/>
                <w:szCs w:val="18"/>
              </w:rPr>
              <w:t>持有的股份，也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不由公司回购</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六个月内</w:t>
            </w:r>
          </w:p>
        </w:tc>
        <w:tc>
          <w:tcPr>
            <w:tcW w:w="12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报告期内，上述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人员均严格信 </w:t>
            </w:r>
            <w:r>
              <w:rPr>
                <w:rFonts w:ascii="宋体" w:hAnsi="宋体" w:cs="宋体" w:eastAsia="宋体" w:hint="default"/>
                <w:spacing w:val="-7"/>
                <w:sz w:val="18"/>
                <w:szCs w:val="18"/>
              </w:rPr>
              <w:t>守承诺，未出现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 的情况。</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62" w:hRule="exact"/>
        </w:trPr>
        <w:tc>
          <w:tcPr>
            <w:tcW w:w="3194" w:type="dxa"/>
            <w:tcBorders>
              <w:top w:val="single" w:sz="4" w:space="0" w:color="010101"/>
              <w:left w:val="single" w:sz="4" w:space="0" w:color="010101"/>
              <w:bottom w:val="single" w:sz="4" w:space="0" w:color="010101"/>
              <w:right w:val="single" w:sz="4" w:space="0" w:color="010101"/>
            </w:tcBorders>
          </w:tcPr>
          <w:p>
            <w:pP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357" w:hRule="exact"/>
        </w:trPr>
        <w:tc>
          <w:tcPr>
            <w:tcW w:w="3194" w:type="dxa"/>
            <w:vMerge w:val="restart"/>
            <w:tcBorders>
              <w:top w:val="single" w:sz="4" w:space="0" w:color="010101"/>
              <w:left w:val="single" w:sz="4" w:space="0" w:color="010101"/>
              <w:right w:val="single" w:sz="4" w:space="0" w:color="010101"/>
            </w:tcBorders>
          </w:tcPr>
          <w:p>
            <w:pPr/>
          </w:p>
        </w:tc>
        <w:tc>
          <w:tcPr>
            <w:tcW w:w="1274" w:type="dxa"/>
            <w:tcBorders>
              <w:top w:val="single" w:sz="4" w:space="0" w:color="010101"/>
              <w:left w:val="single" w:sz="4" w:space="0" w:color="010101"/>
              <w:bottom w:val="nil" w:sz="6" w:space="0" w:color="auto"/>
              <w:right w:val="single" w:sz="4" w:space="0" w:color="010101"/>
            </w:tcBorders>
          </w:tcPr>
          <w:p>
            <w:pPr/>
          </w:p>
        </w:tc>
        <w:tc>
          <w:tcPr>
            <w:tcW w:w="127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自公司股票上</w:t>
            </w:r>
          </w:p>
        </w:tc>
        <w:tc>
          <w:tcPr>
            <w:tcW w:w="1277" w:type="dxa"/>
            <w:tcBorders>
              <w:top w:val="single" w:sz="4" w:space="0" w:color="010101"/>
              <w:left w:val="single" w:sz="4" w:space="0" w:color="010101"/>
              <w:bottom w:val="nil" w:sz="6" w:space="0" w:color="auto"/>
              <w:right w:val="single" w:sz="4" w:space="0" w:color="010101"/>
            </w:tcBorders>
          </w:tcPr>
          <w:p>
            <w:pPr/>
          </w:p>
        </w:tc>
        <w:tc>
          <w:tcPr>
            <w:tcW w:w="1277" w:type="dxa"/>
            <w:tcBorders>
              <w:top w:val="single" w:sz="4" w:space="0" w:color="010101"/>
              <w:left w:val="single" w:sz="4" w:space="0" w:color="010101"/>
              <w:bottom w:val="nil" w:sz="6" w:space="0" w:color="auto"/>
              <w:right w:val="single" w:sz="4" w:space="0" w:color="010101"/>
            </w:tcBorders>
          </w:tcPr>
          <w:p>
            <w:pPr/>
          </w:p>
        </w:tc>
        <w:tc>
          <w:tcPr>
            <w:tcW w:w="1270"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市之日起三十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六个月内，不转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让或者委托他</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人管理其直接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或间接持有的</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公司首次公开</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发行股票前已</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持有的股份，也</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不由公司回购</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该部分股份。在</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担任公司的董</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事、监事或高级</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管理人员期间，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份不超过其直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接或间接持有</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公司股份总数</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的百分之二十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报告期内，上述</w:t>
            </w:r>
          </w:p>
        </w:tc>
      </w:tr>
      <w:tr>
        <w:trPr>
          <w:trHeight w:val="936"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6"/>
                <w:sz w:val="18"/>
                <w:szCs w:val="18"/>
              </w:rPr>
              <w:t>五；在离职后半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年内，不转让其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直接或间接其</w:t>
            </w: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62"/>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六个月内</w:t>
            </w:r>
          </w:p>
        </w:tc>
        <w:tc>
          <w:tcPr>
            <w:tcW w:w="127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人员均严格信 </w:t>
            </w:r>
            <w:r>
              <w:rPr>
                <w:rFonts w:ascii="宋体" w:hAnsi="宋体" w:cs="宋体" w:eastAsia="宋体" w:hint="default"/>
                <w:spacing w:val="-7"/>
                <w:sz w:val="18"/>
                <w:szCs w:val="18"/>
              </w:rPr>
              <w:t>守承诺，未出现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w:t>
            </w: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份；如在公司股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离职的，自申报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八个月内不转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让其直接或间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接持有的公司</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股份，如在股票</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七个月至第十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二个月之间申</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报离职的，自申</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报离职之日起</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十二个月内不</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转让其直接或</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single" w:sz="4" w:space="0" w:color="010101"/>
              <w:right w:val="single" w:sz="4" w:space="0" w:color="010101"/>
            </w:tcBorders>
          </w:tcPr>
          <w:p>
            <w:pPr/>
          </w:p>
        </w:tc>
        <w:tc>
          <w:tcPr>
            <w:tcW w:w="127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w:t>
            </w:r>
          </w:p>
        </w:tc>
        <w:tc>
          <w:tcPr>
            <w:tcW w:w="1277" w:type="dxa"/>
            <w:tcBorders>
              <w:top w:val="nil" w:sz="6" w:space="0" w:color="auto"/>
              <w:left w:val="single" w:sz="4" w:space="0" w:color="010101"/>
              <w:bottom w:val="single" w:sz="4" w:space="0" w:color="010101"/>
              <w:right w:val="single" w:sz="4" w:space="0" w:color="010101"/>
            </w:tcBorders>
          </w:tcPr>
          <w:p>
            <w:pPr/>
          </w:p>
        </w:tc>
        <w:tc>
          <w:tcPr>
            <w:tcW w:w="1277" w:type="dxa"/>
            <w:tcBorders>
              <w:top w:val="nil" w:sz="6" w:space="0" w:color="auto"/>
              <w:left w:val="single" w:sz="4" w:space="0" w:color="010101"/>
              <w:bottom w:val="single" w:sz="4" w:space="0" w:color="010101"/>
              <w:right w:val="single" w:sz="4" w:space="0" w:color="010101"/>
            </w:tcBorders>
          </w:tcPr>
          <w:p>
            <w:pPr/>
          </w:p>
        </w:tc>
        <w:tc>
          <w:tcPr>
            <w:tcW w:w="1270" w:type="dxa"/>
            <w:tcBorders>
              <w:top w:val="nil" w:sz="6" w:space="0" w:color="auto"/>
              <w:left w:val="single" w:sz="4" w:space="0" w:color="010101"/>
              <w:bottom w:val="single" w:sz="4" w:space="0" w:color="010101"/>
              <w:right w:val="single" w:sz="4" w:space="0" w:color="010101"/>
            </w:tcBorders>
          </w:tcPr>
          <w:p>
            <w:pPr/>
          </w:p>
        </w:tc>
      </w:tr>
      <w:tr>
        <w:trPr>
          <w:trHeight w:val="674" w:hRule="exact"/>
        </w:trPr>
        <w:tc>
          <w:tcPr>
            <w:tcW w:w="3194" w:type="dxa"/>
            <w:vMerge/>
            <w:tcBorders>
              <w:left w:val="single" w:sz="4" w:space="0" w:color="010101"/>
              <w:bottom w:val="single" w:sz="4" w:space="0" w:color="010101"/>
              <w:right w:val="single" w:sz="4" w:space="0" w:color="010101"/>
            </w:tcBorders>
          </w:tcPr>
          <w:p>
            <w:pP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19"/>
              <w:jc w:val="left"/>
              <w:rPr>
                <w:rFonts w:ascii="宋体" w:hAnsi="宋体" w:cs="宋体" w:eastAsia="宋体" w:hint="default"/>
                <w:sz w:val="18"/>
                <w:szCs w:val="18"/>
              </w:rPr>
            </w:pPr>
            <w:r>
              <w:rPr>
                <w:rFonts w:ascii="宋体" w:hAnsi="宋体" w:cs="宋体" w:eastAsia="宋体" w:hint="default"/>
                <w:sz w:val="18"/>
                <w:szCs w:val="18"/>
              </w:rPr>
              <w:t>孙强、马玉峰、</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自公司股票上 市之日起十二</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p>
        </w:tc>
        <w:tc>
          <w:tcPr>
            <w:tcW w:w="127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2"/>
              <w:jc w:val="left"/>
              <w:rPr>
                <w:rFonts w:ascii="宋体" w:hAnsi="宋体" w:cs="宋体" w:eastAsia="宋体" w:hint="default"/>
                <w:sz w:val="18"/>
                <w:szCs w:val="18"/>
              </w:rPr>
            </w:pPr>
            <w:r>
              <w:rPr>
                <w:rFonts w:ascii="宋体" w:hAnsi="宋体" w:cs="宋体" w:eastAsia="宋体" w:hint="default"/>
                <w:sz w:val="18"/>
                <w:szCs w:val="18"/>
              </w:rPr>
              <w:t>自公司股票上 市之日起十二</w:t>
            </w:r>
          </w:p>
        </w:tc>
        <w:tc>
          <w:tcPr>
            <w:tcW w:w="12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7"/>
                <w:sz w:val="18"/>
                <w:szCs w:val="18"/>
              </w:rPr>
              <w:t>报告期内，上述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人员均严格信</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629" w:hRule="exact"/>
        </w:trPr>
        <w:tc>
          <w:tcPr>
            <w:tcW w:w="3194" w:type="dxa"/>
            <w:vMerge w:val="restart"/>
            <w:tcBorders>
              <w:top w:val="single" w:sz="4" w:space="0" w:color="010101"/>
              <w:left w:val="single" w:sz="4" w:space="0" w:color="010101"/>
              <w:right w:val="single" w:sz="4" w:space="0" w:color="010101"/>
            </w:tcBorders>
          </w:tcPr>
          <w:p>
            <w:pPr/>
          </w:p>
        </w:tc>
        <w:tc>
          <w:tcPr>
            <w:tcW w:w="12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277"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或者委托他人</w:t>
            </w:r>
          </w:p>
        </w:tc>
        <w:tc>
          <w:tcPr>
            <w:tcW w:w="127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270"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7"/>
                <w:sz w:val="18"/>
                <w:szCs w:val="18"/>
              </w:rPr>
              <w:t>守承诺，未出现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w:t>
            </w: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管理其直接或</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司首次公开发</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有的股份，也不</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由公司回购该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部分股份。自在</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担任公司的董</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事、监事或高级</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管理人员期间，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份不超过其直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接或间接持有</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公司股份总数</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的百分之二十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五；在离职后半</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年内，不转让其</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直接或间接其</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份；如在公司股</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离职的，自申报</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八个月内不转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让其直接或间</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接持有的公司</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股份，如在股票</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七个月至第十</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二个月之间申</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报离职的，自申</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报离职之日起</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十二个月内不</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转让其直接或</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3194" w:type="dxa"/>
            <w:vMerge/>
            <w:tcBorders>
              <w:left w:val="single" w:sz="4" w:space="0" w:color="010101"/>
              <w:right w:val="single" w:sz="4" w:space="0" w:color="010101"/>
            </w:tcBorders>
          </w:tcPr>
          <w:p>
            <w:pPr/>
          </w:p>
        </w:tc>
        <w:tc>
          <w:tcPr>
            <w:tcW w:w="1274"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间接持有的公</w:t>
            </w:r>
          </w:p>
        </w:tc>
        <w:tc>
          <w:tcPr>
            <w:tcW w:w="1277" w:type="dxa"/>
            <w:tcBorders>
              <w:top w:val="nil" w:sz="6" w:space="0" w:color="auto"/>
              <w:left w:val="single" w:sz="4" w:space="0" w:color="010101"/>
              <w:bottom w:val="nil" w:sz="6" w:space="0" w:color="auto"/>
              <w:right w:val="single" w:sz="4" w:space="0" w:color="010101"/>
            </w:tcBorders>
          </w:tcPr>
          <w:p>
            <w:pPr/>
          </w:p>
        </w:tc>
        <w:tc>
          <w:tcPr>
            <w:tcW w:w="1277" w:type="dxa"/>
            <w:tcBorders>
              <w:top w:val="nil" w:sz="6" w:space="0" w:color="auto"/>
              <w:left w:val="single" w:sz="4" w:space="0" w:color="010101"/>
              <w:bottom w:val="nil" w:sz="6" w:space="0" w:color="auto"/>
              <w:right w:val="single" w:sz="4" w:space="0" w:color="010101"/>
            </w:tcBorders>
          </w:tcPr>
          <w:p>
            <w:pPr/>
          </w:p>
        </w:tc>
        <w:tc>
          <w:tcPr>
            <w:tcW w:w="1270" w:type="dxa"/>
            <w:tcBorders>
              <w:top w:val="nil" w:sz="6" w:space="0" w:color="auto"/>
              <w:left w:val="single" w:sz="4" w:space="0" w:color="010101"/>
              <w:bottom w:val="nil" w:sz="6" w:space="0" w:color="auto"/>
              <w:right w:val="single" w:sz="4" w:space="0" w:color="010101"/>
            </w:tcBorders>
          </w:tcPr>
          <w:p>
            <w:pPr/>
          </w:p>
        </w:tc>
      </w:tr>
      <w:tr>
        <w:trPr>
          <w:trHeight w:val="358" w:hRule="exact"/>
        </w:trPr>
        <w:tc>
          <w:tcPr>
            <w:tcW w:w="3194" w:type="dxa"/>
            <w:vMerge/>
            <w:tcBorders>
              <w:left w:val="single" w:sz="4" w:space="0" w:color="010101"/>
              <w:bottom w:val="single" w:sz="4" w:space="0" w:color="010101"/>
              <w:right w:val="single" w:sz="4" w:space="0" w:color="010101"/>
            </w:tcBorders>
          </w:tcPr>
          <w:p>
            <w:pPr/>
          </w:p>
        </w:tc>
        <w:tc>
          <w:tcPr>
            <w:tcW w:w="1274" w:type="dxa"/>
            <w:tcBorders>
              <w:top w:val="nil" w:sz="6" w:space="0" w:color="auto"/>
              <w:left w:val="single" w:sz="4" w:space="0" w:color="010101"/>
              <w:bottom w:val="single" w:sz="4" w:space="0" w:color="010101"/>
              <w:right w:val="single" w:sz="4" w:space="0" w:color="010101"/>
            </w:tcBorders>
          </w:tcPr>
          <w:p>
            <w:pPr/>
          </w:p>
        </w:tc>
        <w:tc>
          <w:tcPr>
            <w:tcW w:w="127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w:t>
            </w:r>
          </w:p>
        </w:tc>
        <w:tc>
          <w:tcPr>
            <w:tcW w:w="1277" w:type="dxa"/>
            <w:tcBorders>
              <w:top w:val="nil" w:sz="6" w:space="0" w:color="auto"/>
              <w:left w:val="single" w:sz="4" w:space="0" w:color="010101"/>
              <w:bottom w:val="single" w:sz="4" w:space="0" w:color="010101"/>
              <w:right w:val="single" w:sz="4" w:space="0" w:color="010101"/>
            </w:tcBorders>
          </w:tcPr>
          <w:p>
            <w:pPr/>
          </w:p>
        </w:tc>
        <w:tc>
          <w:tcPr>
            <w:tcW w:w="1277" w:type="dxa"/>
            <w:tcBorders>
              <w:top w:val="nil" w:sz="6" w:space="0" w:color="auto"/>
              <w:left w:val="single" w:sz="4" w:space="0" w:color="010101"/>
              <w:bottom w:val="single" w:sz="4" w:space="0" w:color="010101"/>
              <w:right w:val="single" w:sz="4" w:space="0" w:color="010101"/>
            </w:tcBorders>
          </w:tcPr>
          <w:p>
            <w:pPr/>
          </w:p>
        </w:tc>
        <w:tc>
          <w:tcPr>
            <w:tcW w:w="1270"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7" w:type="dxa"/>
            <w:tcBorders>
              <w:top w:val="single" w:sz="4" w:space="0" w:color="010101"/>
              <w:left w:val="single" w:sz="4" w:space="0" w:color="010101"/>
              <w:bottom w:val="single" w:sz="4" w:space="0" w:color="010101"/>
              <w:right w:val="single" w:sz="4" w:space="0" w:color="010101"/>
            </w:tcBorders>
          </w:tcPr>
          <w:p>
            <w:pPr/>
          </w:p>
        </w:tc>
        <w:tc>
          <w:tcPr>
            <w:tcW w:w="127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w:t>
            </w:r>
          </w:p>
        </w:tc>
        <w:tc>
          <w:tcPr>
            <w:tcW w:w="6374"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pStyle w:val="BodyText"/>
        <w:spacing w:line="240" w:lineRule="auto" w:before="0"/>
        <w:ind w:left="0" w:right="118"/>
        <w:jc w:val="right"/>
      </w:pPr>
      <w:r>
        <w:rPr/>
        <w:pict>
          <v:shape style="position:absolute;margin-left:56.459999pt;margin-top:-150.405884pt;width:479.2pt;height:624.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6374"/>
                  </w:tblGrid>
                  <w:tr>
                    <w:trPr>
                      <w:trHeight w:val="36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作出承诺</w:t>
                        </w:r>
                      </w:p>
                    </w:tc>
                    <w:tc>
                      <w:tcPr>
                        <w:tcW w:w="637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长期承诺</w:t>
                        </w:r>
                      </w:p>
                    </w:tc>
                  </w:tr>
                  <w:tr>
                    <w:trPr>
                      <w:trHeight w:val="361" w:hRule="exact"/>
                    </w:trPr>
                    <w:tc>
                      <w:tcPr>
                        <w:tcW w:w="3194" w:type="dxa"/>
                        <w:tcBorders>
                          <w:top w:val="single" w:sz="4" w:space="0" w:color="010101"/>
                          <w:left w:val="single" w:sz="4" w:space="0" w:color="010101"/>
                          <w:bottom w:val="nil" w:sz="6" w:space="0" w:color="auto"/>
                          <w:right w:val="single" w:sz="4" w:space="0" w:color="010101"/>
                        </w:tcBorders>
                        <w:shd w:val="clear" w:color="auto" w:fill="D3D3D3"/>
                      </w:tcPr>
                      <w:p>
                        <w:pPr/>
                      </w:p>
                    </w:tc>
                    <w:tc>
                      <w:tcPr>
                        <w:tcW w:w="63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公司控股股东润和投资已于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日与公司签订《避免同业竞争协</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约定为避免同业竞争减少关联交易</w:t>
                        </w:r>
                        <w:r>
                          <w:rPr>
                            <w:rFonts w:ascii="宋体" w:hAnsi="宋体" w:cs="宋体" w:eastAsia="宋体" w:hint="default"/>
                            <w:spacing w:val="-36"/>
                            <w:sz w:val="18"/>
                            <w:szCs w:val="18"/>
                          </w:rPr>
                          <w:t>，</w:t>
                        </w:r>
                        <w:r>
                          <w:rPr>
                            <w:rFonts w:ascii="宋体" w:hAnsi="宋体" w:cs="宋体" w:eastAsia="宋体" w:hint="default"/>
                            <w:sz w:val="18"/>
                            <w:szCs w:val="18"/>
                          </w:rPr>
                          <w:t>润和投资不得从事任何与公司目前业务</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相同或类似的业务，润和投资承诺如下：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、作为公司的控股股东，润和投资及润</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和投资控股和实际控制下的其他企业目前未从事与公司相竞争的业务。润和投资</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将对其他控股、实际控制的企业按本协议进行监督，并行使必要的权力，促使其</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遵守本协议。润和投资保证润和投资及其控股和实际控制的其他企业不会以任何</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形式直接或间接地从事与公司相同或相似的业务。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、在公司审议是否与润和投资</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存在同业竞争的董事会或股东大会上，润和投资将按规定进行回避，不参与表决</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如公司认定润和投资或其控股、实际控制的其他企业正在或将要从事的业务与公</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司存在同业竞争，则润和投资将在公司提出异议后自行或要求相关企业及时转让</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或终止上述业务或以获得润和投资及证券监管部门共同认可的其他方式对上述业</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务进行处理；如公司进一步提出受让请求，则润和投资应无条件按有证券从业资</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格的中介机构审计或评估后的公允价格将上述业务和资产优先转让给公司。</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、润</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和投资保证严格遵守中国证监会、证券交易所有关规章及公司《公司章程》的规</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定，与其他股东一样平等的行使股东权利、履行股东义务，不利用大股东的地位</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tabs>
                            <w:tab w:pos="452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谋取不当利益，不损害公司和其他股东的合法权益。</w:t>
                          <w:tab/>
                          <w:t>公司实际控制人周红卫</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和姚宁于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日分别与公司签</w:t>
                        </w:r>
                        <w:r>
                          <w:rPr>
                            <w:rFonts w:ascii="宋体" w:hAnsi="宋体" w:cs="宋体" w:eastAsia="宋体" w:hint="default"/>
                            <w:spacing w:val="-36"/>
                            <w:sz w:val="18"/>
                            <w:szCs w:val="18"/>
                          </w:rPr>
                          <w:t>订</w:t>
                        </w:r>
                        <w:r>
                          <w:rPr>
                            <w:rFonts w:ascii="宋体" w:hAnsi="宋体" w:cs="宋体" w:eastAsia="宋体" w:hint="default"/>
                            <w:sz w:val="18"/>
                            <w:szCs w:val="18"/>
                          </w:rPr>
                          <w:t>《避免同业竞争协议</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约定为避免同</w:t>
                        </w:r>
                      </w:p>
                    </w:tc>
                  </w:tr>
                  <w:tr>
                    <w:trPr>
                      <w:trHeight w:val="624"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业竞争减少关联交易，周红卫与姚宁不得从事任何与公司目前业务相同或类似的 </w:t>
                        </w:r>
                        <w:r>
                          <w:rPr>
                            <w:rFonts w:ascii="宋体" w:hAnsi="宋体" w:cs="宋体" w:eastAsia="宋体" w:hint="default"/>
                            <w:spacing w:val="-2"/>
                            <w:sz w:val="18"/>
                            <w:szCs w:val="18"/>
                          </w:rPr>
                          <w:t>业务。周红卫与姚宁承诺如下：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、作为公司的实际控制人，周红卫和姚宁及周红</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卫和姚宁控股和实际控制下的其他企业目前未从事与公司相竞争的业务。周红卫</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和姚宁将对其他控股、实际控制的企业按本协议进行监督，并行使必要的权力，</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促使其遵守本协议。周红卫和姚宁保证周红卫和姚宁及其控股和实际控制的其他</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企业不会以任何形式直接或间接地从事与公司相同或相似的业务。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、在公司审议</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是否与周红卫和姚宁存在同业竞争的董事会或股东大会上，周红卫和姚宁将按规</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定进行回避，不参与表决。如公司认定周红卫和姚宁或其控股、实际控制的其他</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企业正在或将要从事的业务与公司存在同业竞争，则周红卫和姚宁将在公司提出</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异议后自行或要求相关企业及时转让或终止上述业务或以获得周红卫和姚宁及证</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券监管部门共同认可的其他方式对上述业务进行处理；如公司进一步提出受让请</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求，则周红卫和姚宁应无条件按有证券从业资格的中介机构审计或评估后的公允</w:t>
                        </w:r>
                      </w:p>
                    </w:tc>
                  </w:tr>
                  <w:tr>
                    <w:trPr>
                      <w:trHeight w:val="316"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价格将上述业务和资产优先转让给公司。</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、周红卫和姚宁保证严格遵守中国证监</w:t>
                        </w:r>
                      </w:p>
                    </w:tc>
                  </w:tr>
                  <w:tr>
                    <w:trPr>
                      <w:trHeight w:val="308"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会、证券交易所有关规章及公司《公司章程》的规定，与其他股东一样平等的行</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使股东权利、履行股东义务，不利用大股东的地位谋取不当利益，不损害公司和</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其他股东的合法权益。公司控股股东润和投资、实际控制人周红卫和姚宁均出具</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6"/>
                            <w:sz w:val="18"/>
                            <w:szCs w:val="18"/>
                          </w:rPr>
                          <w:t>了</w:t>
                        </w:r>
                        <w:r>
                          <w:rPr>
                            <w:rFonts w:ascii="宋体" w:hAnsi="宋体" w:cs="宋体" w:eastAsia="宋体" w:hint="default"/>
                            <w:sz w:val="18"/>
                            <w:szCs w:val="18"/>
                          </w:rPr>
                          <w:t>《关于避免和减少关联交易的承诺书</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承诺将尽可能避免和减少与公司之间的</w:t>
                        </w:r>
                      </w:p>
                    </w:tc>
                  </w:tr>
                  <w:tr>
                    <w:trPr>
                      <w:trHeight w:val="312" w:hRule="exact"/>
                    </w:trPr>
                    <w:tc>
                      <w:tcPr>
                        <w:tcW w:w="3194" w:type="dxa"/>
                        <w:tcBorders>
                          <w:top w:val="nil" w:sz="6" w:space="0" w:color="auto"/>
                          <w:left w:val="single" w:sz="4" w:space="0" w:color="010101"/>
                          <w:bottom w:val="nil" w:sz="6" w:space="0" w:color="auto"/>
                          <w:right w:val="single" w:sz="4" w:space="0" w:color="010101"/>
                        </w:tcBorders>
                        <w:shd w:val="clear" w:color="auto" w:fill="D3D3D3"/>
                      </w:tcPr>
                      <w:p>
                        <w:pPr/>
                      </w:p>
                    </w:tc>
                    <w:tc>
                      <w:tcPr>
                        <w:tcW w:w="637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关联交易。若有关的关联交易为公司日常经营所必须或者无法避免，承诺方保证</w:t>
                        </w:r>
                      </w:p>
                    </w:tc>
                  </w:tr>
                  <w:tr>
                    <w:trPr>
                      <w:trHeight w:val="358" w:hRule="exact"/>
                    </w:trPr>
                    <w:tc>
                      <w:tcPr>
                        <w:tcW w:w="3194" w:type="dxa"/>
                        <w:tcBorders>
                          <w:top w:val="nil" w:sz="6" w:space="0" w:color="auto"/>
                          <w:left w:val="single" w:sz="4" w:space="0" w:color="010101"/>
                          <w:bottom w:val="single" w:sz="4" w:space="0" w:color="010101"/>
                          <w:right w:val="single" w:sz="4" w:space="0" w:color="010101"/>
                        </w:tcBorders>
                        <w:shd w:val="clear" w:color="auto" w:fill="D3D3D3"/>
                      </w:tcPr>
                      <w:p>
                        <w:pPr/>
                      </w:p>
                    </w:tc>
                    <w:tc>
                      <w:tcPr>
                        <w:tcW w:w="63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该等关联交易所列之交易条件公允，不损害公司及股东利益。</w:t>
                        </w:r>
                      </w:p>
                    </w:tc>
                  </w:tr>
                  <w:tr>
                    <w:trPr>
                      <w:trHeight w:val="402" w:hRule="exact"/>
                    </w:trPr>
                    <w:tc>
                      <w:tcPr>
                        <w:tcW w:w="3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报告期内，上述人员均严格信守承诺，未出现违反上述承诺的情况。</w:t>
                        </w:r>
                      </w:p>
                    </w:tc>
                  </w:tr>
                </w:tbl>
                <w:p>
                  <w:pPr/>
                </w:p>
              </w:txbxContent>
            </v:textbox>
            <w10:wrap type="none"/>
          </v:shape>
        </w:pict>
      </w:r>
      <w:r>
        <w:rPr/>
        <w:t>。</w:t>
      </w:r>
    </w:p>
    <w:p>
      <w:pPr>
        <w:spacing w:after="0" w:line="240" w:lineRule="auto"/>
        <w:jc w:val="right"/>
        <w:sectPr>
          <w:footerReference w:type="default" r:id="rId18"/>
          <w:pgSz w:w="11910" w:h="16840"/>
          <w:pgMar w:footer="980" w:header="747" w:top="1060" w:bottom="1160" w:left="1020" w:right="1020"/>
        </w:sectPr>
      </w:pPr>
    </w:p>
    <w:p>
      <w:pPr>
        <w:spacing w:line="240" w:lineRule="auto" w:before="11"/>
        <w:rPr>
          <w:rFonts w:ascii="宋体" w:hAnsi="宋体" w:cs="宋体" w:eastAsia="宋体" w:hint="default"/>
          <w:sz w:val="24"/>
          <w:szCs w:val="24"/>
        </w:rPr>
      </w:pPr>
    </w:p>
    <w:p>
      <w:pPr>
        <w:pStyle w:val="Heading4"/>
        <w:spacing w:line="256" w:lineRule="auto" w:before="35"/>
        <w:ind w:right="11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4"/>
        </w:rPr>
        <w:t> </w:t>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950"/>
        <w:jc w:val="left"/>
      </w:pPr>
      <w:r>
        <w:rPr/>
        <w:t>无 盈利预测相关披露索引</w:t>
      </w: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6"/>
        <w:rPr>
          <w:rFonts w:ascii="宋体" w:hAnsi="宋体" w:cs="宋体" w:eastAsia="宋体" w:hint="default"/>
          <w:sz w:val="19"/>
          <w:szCs w:val="19"/>
        </w:rPr>
      </w:pPr>
    </w:p>
    <w:p>
      <w:pPr>
        <w:pStyle w:val="Heading2"/>
        <w:spacing w:line="240" w:lineRule="auto"/>
        <w:ind w:right="112"/>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2"/>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7"/>
        <w:gridCol w:w="5682"/>
      </w:tblGrid>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华普天健会计师事务所（北京）有限公司</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张全心、朱祖龙、程飞龙</w:t>
            </w:r>
          </w:p>
        </w:tc>
      </w:tr>
    </w:tbl>
    <w:p>
      <w:pPr>
        <w:pStyle w:val="BodyText"/>
        <w:spacing w:line="240" w:lineRule="auto" w:before="50"/>
        <w:ind w:right="112"/>
        <w:jc w:val="left"/>
      </w:pPr>
      <w:r>
        <w:rPr/>
        <w:t>是否改聘会计师事务所</w:t>
      </w:r>
    </w:p>
    <w:p>
      <w:pPr>
        <w:pStyle w:val="BodyText"/>
        <w:spacing w:line="240" w:lineRule="auto" w:before="116"/>
        <w:ind w:right="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before="0"/>
        <w:ind w:right="112"/>
        <w:jc w:val="left"/>
        <w:rPr>
          <w:b w:val="0"/>
          <w:bCs w:val="0"/>
        </w:rPr>
      </w:pPr>
      <w:r>
        <w:rPr/>
        <w:t>十、上市公司及其董事、监事、高级管理人员、公司股东、实际控制人和收购人处罚及整改</w:t>
      </w:r>
      <w:r>
        <w:rPr>
          <w:spacing w:val="-11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上市公司及其子公司是否被列入环保部门公布的污染严重企业名单</w:t>
      </w:r>
    </w:p>
    <w:p>
      <w:pPr>
        <w:pStyle w:val="BodyText"/>
        <w:spacing w:line="340" w:lineRule="auto" w:before="42"/>
        <w:ind w:right="5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上市公司及其子公司是否存在其他重大社会安全问题</w:t>
      </w:r>
    </w:p>
    <w:p>
      <w:pPr>
        <w:pStyle w:val="BodyText"/>
        <w:spacing w:line="338" w:lineRule="auto" w:before="40"/>
        <w:ind w:right="77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报告期内是否被行政处罚</w:t>
      </w:r>
    </w:p>
    <w:p>
      <w:pPr>
        <w:pStyle w:val="BodyText"/>
        <w:spacing w:line="240" w:lineRule="auto" w:before="43"/>
        <w:ind w:right="1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before="0"/>
        <w:ind w:right="112"/>
        <w:jc w:val="left"/>
        <w:rPr>
          <w:b w:val="0"/>
          <w:bCs w:val="0"/>
        </w:rPr>
      </w:pP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360" w:hRule="exact"/>
        </w:trPr>
        <w:tc>
          <w:tcPr>
            <w:tcW w:w="1369"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4" w:hRule="exact"/>
        </w:trPr>
        <w:tc>
          <w:tcPr>
            <w:tcW w:w="1369"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left="47"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pStyle w:val="BodyText"/>
        <w:spacing w:line="240" w:lineRule="auto" w:before="49"/>
        <w:ind w:right="112"/>
        <w:jc w:val="left"/>
      </w:pPr>
      <w:r>
        <w:rPr/>
        <w:t>其他情况说明</w:t>
      </w:r>
    </w:p>
    <w:p>
      <w:pPr>
        <w:spacing w:line="240" w:lineRule="auto" w:before="2"/>
        <w:rPr>
          <w:rFonts w:ascii="宋体" w:hAnsi="宋体" w:cs="宋体" w:eastAsia="宋体" w:hint="default"/>
          <w:sz w:val="25"/>
          <w:szCs w:val="25"/>
        </w:rPr>
      </w:pPr>
    </w:p>
    <w:p>
      <w:pPr>
        <w:pStyle w:val="Heading2"/>
        <w:spacing w:line="240" w:lineRule="auto" w:before="0"/>
        <w:ind w:right="112"/>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79"/>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9" w:lineRule="auto" w:before="50"/>
              <w:ind w:left="22" w:right="20" w:hanging="2"/>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1" w:right="49"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82" w:right="49" w:hanging="630"/>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12" w:right="49"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51"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9"/>
          <w:pgSz w:w="11910" w:h="16840"/>
          <w:pgMar w:footer="980" w:header="747" w:top="1060" w:bottom="1160" w:left="1020" w:right="1000"/>
          <w:pgNumType w:start="41"/>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十三、违规对外担保情况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8"/>
        <w:gridCol w:w="1984"/>
        <w:gridCol w:w="1982"/>
        <w:gridCol w:w="1981"/>
        <w:gridCol w:w="1982"/>
      </w:tblGrid>
      <w:tr>
        <w:trPr>
          <w:trHeight w:val="402"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4" w:type="dxa"/>
            <w:tcBorders>
              <w:top w:val="single" w:sz="4" w:space="0" w:color="010101"/>
              <w:left w:val="single" w:sz="4" w:space="0" w:color="010101"/>
              <w:bottom w:val="single" w:sz="4" w:space="0" w:color="010101"/>
              <w:right w:val="single" w:sz="4" w:space="0" w:color="010101"/>
            </w:tcBorders>
          </w:tcPr>
          <w:p>
            <w:pPr/>
          </w:p>
        </w:tc>
        <w:tc>
          <w:tcPr>
            <w:tcW w:w="1982" w:type="dxa"/>
            <w:tcBorders>
              <w:top w:val="single" w:sz="4" w:space="0" w:color="010101"/>
              <w:left w:val="single" w:sz="4" w:space="0" w:color="010101"/>
              <w:bottom w:val="single" w:sz="4" w:space="0" w:color="010101"/>
              <w:right w:val="single" w:sz="4" w:space="0" w:color="010101"/>
            </w:tcBorders>
          </w:tcPr>
          <w:p>
            <w:pPr/>
          </w:p>
        </w:tc>
        <w:tc>
          <w:tcPr>
            <w:tcW w:w="1981" w:type="dxa"/>
            <w:tcBorders>
              <w:top w:val="single" w:sz="4" w:space="0" w:color="010101"/>
              <w:left w:val="single" w:sz="4" w:space="0" w:color="010101"/>
              <w:bottom w:val="single" w:sz="4" w:space="0" w:color="010101"/>
              <w:right w:val="single" w:sz="4" w:space="0" w:color="010101"/>
            </w:tcBorders>
          </w:tcPr>
          <w:p>
            <w:pPr/>
          </w:p>
        </w:tc>
        <w:tc>
          <w:tcPr>
            <w:tcW w:w="198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16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30"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r>
        <w:rPr/>
        <w:t>十四、年度报告披露后面临暂停上市和终止上市情况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无</w:t>
      </w:r>
    </w:p>
    <w:p>
      <w:pPr>
        <w:spacing w:line="610" w:lineRule="atLeast" w:before="32"/>
        <w:ind w:left="594" w:right="0" w:hanging="480"/>
        <w:jc w:val="left"/>
        <w:rPr>
          <w:rFonts w:ascii="宋体" w:hAnsi="宋体" w:cs="宋体" w:eastAsia="宋体" w:hint="default"/>
          <w:sz w:val="24"/>
          <w:szCs w:val="24"/>
        </w:rPr>
      </w:pPr>
      <w:r>
        <w:rPr>
          <w:rFonts w:ascii="宋体" w:hAnsi="宋体" w:cs="宋体" w:eastAsia="宋体" w:hint="default"/>
          <w:b/>
          <w:bCs/>
          <w:sz w:val="24"/>
          <w:szCs w:val="24"/>
        </w:rPr>
        <w:t>十五、其他重大事项的说明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为强化专业化发展原则，继续巩固和深化核心领域的专业化能力，加大研发投入和技术</w:t>
      </w:r>
    </w:p>
    <w:p>
      <w:pPr>
        <w:pStyle w:val="Heading3"/>
        <w:spacing w:line="312" w:lineRule="exact" w:before="28"/>
        <w:ind w:left="113" w:right="108"/>
        <w:jc w:val="both"/>
      </w:pPr>
      <w:r>
        <w:rPr/>
        <w:t>储备，扩大核心领域的业务规模，提升市场占有率，进一步凝聚高层次人才，拓展软件外包 综合服务能力，通过产业链上下游企业的全面合作，构造产业聚集效应，更好的实现公司发 </w:t>
      </w:r>
      <w:r>
        <w:rPr>
          <w:spacing w:val="-3"/>
        </w:rPr>
        <w:t>展战略，公司于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日召开的</w:t>
      </w:r>
      <w:r>
        <w:rPr>
          <w:rFonts w:ascii="Times New Roman" w:hAnsi="Times New Roman" w:cs="Times New Roman" w:eastAsia="Times New Roman" w:hint="default"/>
          <w:spacing w:val="-3"/>
        </w:rPr>
        <w:t>2013</w:t>
      </w:r>
      <w:r>
        <w:rPr>
          <w:spacing w:val="-3"/>
        </w:rPr>
        <w:t>年第一次临时股东大会，审议通过了《关于公司子</w:t>
      </w:r>
      <w:r>
        <w:rPr>
          <w:spacing w:val="-85"/>
        </w:rPr>
        <w:t> </w:t>
      </w:r>
      <w:r>
        <w:rPr>
          <w:spacing w:val="-85"/>
        </w:rPr>
      </w:r>
      <w:r>
        <w:rPr/>
        <w:t>公司江苏润和南京软件外包园投资有限公司建设</w:t>
      </w:r>
      <w:r>
        <w:rPr>
          <w:rFonts w:ascii="Times New Roman" w:hAnsi="Times New Roman" w:cs="Times New Roman" w:eastAsia="Times New Roman" w:hint="default"/>
        </w:rPr>
        <w:t>“</w:t>
      </w:r>
      <w:r>
        <w:rPr/>
        <w:t>润和国际软件外包研发总部基地</w:t>
      </w:r>
      <w:r>
        <w:rPr>
          <w:rFonts w:ascii="Times New Roman" w:hAnsi="Times New Roman" w:cs="Times New Roman" w:eastAsia="Times New Roman" w:hint="default"/>
        </w:rPr>
        <w:t>”</w:t>
      </w:r>
      <w:r>
        <w:rPr/>
        <w:t>项目可行</w:t>
      </w:r>
      <w:r>
        <w:rPr>
          <w:spacing w:val="-65"/>
        </w:rPr>
        <w:t> </w:t>
      </w:r>
      <w:r>
        <w:rPr>
          <w:spacing w:val="-2"/>
        </w:rPr>
        <w:t>性研究报告的议案》，批准公司全资子公司江苏润和南京软件外包园投资有限公司建设</w:t>
      </w:r>
      <w:r>
        <w:rPr>
          <w:rFonts w:ascii="Times New Roman" w:hAnsi="Times New Roman" w:cs="Times New Roman" w:eastAsia="Times New Roman" w:hint="default"/>
          <w:spacing w:val="-2"/>
        </w:rPr>
        <w:t>“</w:t>
      </w:r>
      <w:r>
        <w:rPr>
          <w:spacing w:val="-2"/>
        </w:rPr>
        <w:t>润和</w:t>
      </w:r>
      <w:r>
        <w:rPr>
          <w:spacing w:val="-106"/>
        </w:rPr>
        <w:t> </w:t>
      </w:r>
      <w:r>
        <w:rPr/>
        <w:t>国际软件外包研发总部基地项目</w:t>
      </w:r>
      <w:r>
        <w:rPr>
          <w:rFonts w:ascii="Times New Roman" w:hAnsi="Times New Roman" w:cs="Times New Roman" w:eastAsia="Times New Roman" w:hint="default"/>
        </w:rPr>
        <w:t>”</w:t>
      </w:r>
      <w:r>
        <w:rPr/>
        <w:t>。</w:t>
      </w:r>
    </w:p>
    <w:p>
      <w:pPr>
        <w:pStyle w:val="Heading3"/>
        <w:spacing w:line="312" w:lineRule="exact"/>
        <w:ind w:left="113" w:right="108" w:firstLine="480"/>
        <w:jc w:val="both"/>
      </w:pPr>
      <w:r>
        <w:rPr>
          <w:spacing w:val="-2"/>
        </w:rPr>
        <w:t>本项目规划总占地面积</w:t>
      </w:r>
      <w:r>
        <w:rPr>
          <w:rFonts w:ascii="Times New Roman" w:hAnsi="Times New Roman" w:cs="Times New Roman" w:eastAsia="Times New Roman" w:hint="default"/>
          <w:spacing w:val="-2"/>
        </w:rPr>
        <w:t>37261</w:t>
      </w:r>
      <w:r>
        <w:rPr>
          <w:spacing w:val="-2"/>
        </w:rPr>
        <w:t>平方米，总建筑面积</w:t>
      </w:r>
      <w:r>
        <w:rPr>
          <w:rFonts w:ascii="Times New Roman" w:hAnsi="Times New Roman" w:cs="Times New Roman" w:eastAsia="Times New Roman" w:hint="default"/>
          <w:spacing w:val="-2"/>
        </w:rPr>
        <w:t>124494</w:t>
      </w:r>
      <w:r>
        <w:rPr>
          <w:spacing w:val="-2"/>
        </w:rPr>
        <w:t>平方米，建设内容主要为园区办</w:t>
      </w:r>
      <w:r>
        <w:rPr/>
        <w:t> </w:t>
      </w:r>
      <w:r>
        <w:rPr>
          <w:spacing w:val="-2"/>
        </w:rPr>
        <w:t>公、研发及配套设施等。本项目预计总投资为</w:t>
      </w:r>
      <w:r>
        <w:rPr>
          <w:rFonts w:ascii="Times New Roman" w:hAnsi="Times New Roman" w:cs="Times New Roman" w:eastAsia="Times New Roman" w:hint="default"/>
          <w:spacing w:val="-2"/>
        </w:rPr>
        <w:t>49144.1</w:t>
      </w:r>
      <w:r>
        <w:rPr>
          <w:spacing w:val="-2"/>
        </w:rPr>
        <w:t>万元，其中建设投资</w:t>
      </w:r>
      <w:r>
        <w:rPr>
          <w:rFonts w:ascii="Times New Roman" w:hAnsi="Times New Roman" w:cs="Times New Roman" w:eastAsia="Times New Roman" w:hint="default"/>
          <w:spacing w:val="-2"/>
        </w:rPr>
        <w:t>47179.1</w:t>
      </w:r>
      <w:r>
        <w:rPr>
          <w:spacing w:val="-2"/>
        </w:rPr>
        <w:t>万元，建设</w:t>
      </w:r>
      <w:r>
        <w:rPr>
          <w:spacing w:val="-107"/>
        </w:rPr>
        <w:t> </w:t>
      </w:r>
      <w:r>
        <w:rPr>
          <w:spacing w:val="-107"/>
        </w:rPr>
      </w:r>
      <w:r>
        <w:rPr>
          <w:spacing w:val="-1"/>
        </w:rPr>
        <w:t>期利息</w:t>
      </w:r>
      <w:r>
        <w:rPr>
          <w:rFonts w:ascii="Times New Roman" w:hAnsi="Times New Roman" w:cs="Times New Roman" w:eastAsia="Times New Roman" w:hint="default"/>
          <w:spacing w:val="-1"/>
        </w:rPr>
        <w:t>1965</w:t>
      </w:r>
      <w:r>
        <w:rPr>
          <w:spacing w:val="-1"/>
        </w:rPr>
        <w:t>万元。本项目建设期预计</w:t>
      </w:r>
      <w:r>
        <w:rPr>
          <w:rFonts w:ascii="Times New Roman" w:hAnsi="Times New Roman" w:cs="Times New Roman" w:eastAsia="Times New Roman" w:hint="default"/>
          <w:spacing w:val="-1"/>
        </w:rPr>
        <w:t>33</w:t>
      </w:r>
      <w:r>
        <w:rPr>
          <w:spacing w:val="-1"/>
        </w:rPr>
        <w:t>个月，项目资金来源为自有资金</w:t>
      </w:r>
      <w:r>
        <w:rPr>
          <w:rFonts w:ascii="Times New Roman" w:hAnsi="Times New Roman" w:cs="Times New Roman" w:eastAsia="Times New Roman" w:hint="default"/>
          <w:spacing w:val="-1"/>
        </w:rPr>
        <w:t>19144.1</w:t>
      </w:r>
      <w:r>
        <w:rPr>
          <w:spacing w:val="-1"/>
        </w:rPr>
        <w:t>万元，银行贷</w:t>
      </w:r>
      <w:r>
        <w:rPr>
          <w:spacing w:val="-96"/>
        </w:rPr>
        <w:t> </w:t>
      </w:r>
      <w:r>
        <w:rPr>
          <w:spacing w:val="-96"/>
        </w:rPr>
      </w:r>
      <w:r>
        <w:rPr/>
        <w:t>款</w:t>
      </w:r>
      <w:r>
        <w:rPr>
          <w:rFonts w:ascii="Times New Roman" w:hAnsi="Times New Roman" w:cs="Times New Roman" w:eastAsia="Times New Roman" w:hint="default"/>
        </w:rPr>
        <w:t>30000.0</w:t>
      </w:r>
      <w:r>
        <w:rPr/>
        <w:t>万元。</w:t>
      </w:r>
    </w:p>
    <w:p>
      <w:pPr>
        <w:pStyle w:val="Heading3"/>
        <w:spacing w:line="312" w:lineRule="exact"/>
        <w:ind w:left="113" w:right="106" w:firstLine="480"/>
        <w:jc w:val="both"/>
      </w:pPr>
      <w:r>
        <w:rPr/>
        <w:t>本项目收益主要来源于建成后房屋出租的租金，其中公司的使用率不低于</w:t>
      </w:r>
      <w:r>
        <w:rPr>
          <w:rFonts w:ascii="Times New Roman" w:hAnsi="Times New Roman" w:cs="Times New Roman" w:eastAsia="Times New Roman" w:hint="default"/>
        </w:rPr>
        <w:t>50%</w:t>
      </w:r>
      <w:r>
        <w:rPr/>
        <w:t>，且按市</w:t>
      </w:r>
      <w:r>
        <w:rPr>
          <w:spacing w:val="2"/>
        </w:rPr>
        <w:t> </w:t>
      </w:r>
      <w:r>
        <w:rPr/>
        <w:t>场原则结算租金。按项目投资开始后的未来</w:t>
      </w:r>
      <w:r>
        <w:rPr>
          <w:rFonts w:ascii="Times New Roman" w:hAnsi="Times New Roman" w:cs="Times New Roman" w:eastAsia="Times New Roman" w:hint="default"/>
        </w:rPr>
        <w:t>16</w:t>
      </w:r>
      <w:r>
        <w:rPr/>
        <w:t>年作为计算周期，预计年均营业收入</w:t>
      </w:r>
      <w:r>
        <w:rPr>
          <w:rFonts w:ascii="Times New Roman" w:hAnsi="Times New Roman" w:cs="Times New Roman" w:eastAsia="Times New Roman" w:hint="default"/>
        </w:rPr>
        <w:t>8611.2</w:t>
      </w:r>
      <w:r>
        <w:rPr/>
        <w:t>万</w:t>
      </w:r>
      <w:r>
        <w:rPr>
          <w:spacing w:val="-38"/>
        </w:rPr>
        <w:t> </w:t>
      </w:r>
      <w:r>
        <w:rPr/>
        <w:t>元（不含建设期），年均利润总额</w:t>
      </w:r>
      <w:r>
        <w:rPr>
          <w:rFonts w:ascii="Times New Roman" w:hAnsi="Times New Roman" w:cs="Times New Roman" w:eastAsia="Times New Roman" w:hint="default"/>
        </w:rPr>
        <w:t>4720.5</w:t>
      </w:r>
      <w:r>
        <w:rPr/>
        <w:t>万元（不含建设期），项目投资回收期为</w:t>
      </w:r>
      <w:r>
        <w:rPr>
          <w:rFonts w:ascii="Times New Roman" w:hAnsi="Times New Roman" w:cs="Times New Roman" w:eastAsia="Times New Roman" w:hint="default"/>
        </w:rPr>
        <w:t>12.1</w:t>
      </w:r>
      <w:r>
        <w:rPr/>
        <w:t>年。</w:t>
      </w:r>
    </w:p>
    <w:p>
      <w:pPr>
        <w:spacing w:after="0" w:line="312" w:lineRule="exact"/>
        <w:jc w:val="both"/>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6" w:right="0"/>
        <w:jc w:val="left"/>
        <w:rPr>
          <w:b w:val="0"/>
          <w:bCs w:val="0"/>
        </w:rPr>
      </w:pPr>
      <w:bookmarkStart w:name="_TOC_250004" w:id="6"/>
      <w:r>
        <w:rPr/>
        <w:t>第六节</w:t>
      </w:r>
      <w:r>
        <w:rPr>
          <w:spacing w:val="-2"/>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33"/>
        <w:gridCol w:w="844"/>
        <w:gridCol w:w="844"/>
        <w:gridCol w:w="845"/>
        <w:gridCol w:w="842"/>
        <w:gridCol w:w="844"/>
        <w:gridCol w:w="842"/>
        <w:gridCol w:w="844"/>
        <w:gridCol w:w="814"/>
        <w:gridCol w:w="814"/>
      </w:tblGrid>
      <w:tr>
        <w:trPr>
          <w:trHeight w:val="402" w:hRule="exact"/>
        </w:trPr>
        <w:tc>
          <w:tcPr>
            <w:tcW w:w="2033" w:type="dxa"/>
            <w:vMerge w:val="restart"/>
            <w:tcBorders>
              <w:top w:val="single" w:sz="4" w:space="0" w:color="010101"/>
              <w:left w:val="single" w:sz="4" w:space="0" w:color="010101"/>
              <w:right w:val="single" w:sz="4" w:space="0" w:color="010101"/>
            </w:tcBorders>
            <w:shd w:val="clear" w:color="auto" w:fill="D3D3D3"/>
          </w:tcPr>
          <w:p>
            <w:pPr/>
          </w:p>
        </w:tc>
        <w:tc>
          <w:tcPr>
            <w:tcW w:w="16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10101"/>
              <w:bottom w:val="single" w:sz="4" w:space="0" w:color="010101"/>
              <w:right w:val="single" w:sz="4" w:space="0" w:color="010101"/>
            </w:tcBorders>
            <w:shd w:val="clear" w:color="auto" w:fill="D3D3D3"/>
          </w:tcPr>
          <w:p>
            <w:pP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74.99%</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46,130,00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80.16%</w:t>
            </w:r>
          </w:p>
        </w:tc>
        <w:tc>
          <w:tcPr>
            <w:tcW w:w="845" w:type="dxa"/>
            <w:tcBorders>
              <w:top w:val="single" w:sz="4" w:space="0" w:color="010101"/>
              <w:left w:val="single" w:sz="4" w:space="0" w:color="010101"/>
              <w:bottom w:val="single" w:sz="4" w:space="0" w:color="010101"/>
              <w:right w:val="single" w:sz="4" w:space="0" w:color="010101"/>
            </w:tcBorders>
          </w:tcPr>
          <w:p>
            <w:pP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46,130,00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60.11%</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54.22%</w:t>
            </w:r>
          </w:p>
        </w:tc>
        <w:tc>
          <w:tcPr>
            <w:tcW w:w="845" w:type="dxa"/>
            <w:tcBorders>
              <w:top w:val="single" w:sz="4" w:space="0" w:color="010101"/>
              <w:left w:val="single" w:sz="4" w:space="0" w:color="010101"/>
              <w:bottom w:val="single" w:sz="4" w:space="0" w:color="010101"/>
              <w:right w:val="single" w:sz="4" w:space="0" w:color="010101"/>
            </w:tcBorders>
          </w:tcPr>
          <w:p>
            <w:pP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40.66%</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25.94%</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19.45%</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19.84%</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14.88%</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25.01%</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25.01%</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842"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76,740,00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0"/>
        <w:ind w:right="0"/>
        <w:jc w:val="left"/>
      </w:pPr>
      <w:r>
        <w:rPr/>
        <w:t>股份变动的原因</w:t>
      </w:r>
    </w:p>
    <w:p>
      <w:pPr>
        <w:pStyle w:val="BodyText"/>
        <w:spacing w:line="240" w:lineRule="auto" w:before="116"/>
        <w:ind w:left="834" w:right="0"/>
        <w:jc w:val="left"/>
      </w:pPr>
      <w:r>
        <w:rPr/>
        <w:t>报告期内，经中国证券监督管理委员会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[2012]812</w:t>
      </w:r>
      <w:r>
        <w:rPr/>
        <w:t>号</w:t>
      </w:r>
      <w:r>
        <w:rPr>
          <w:rFonts w:ascii="Times New Roman" w:hAnsi="Times New Roman" w:cs="Times New Roman" w:eastAsia="Times New Roman" w:hint="default"/>
        </w:rPr>
        <w:t>”</w:t>
      </w:r>
      <w:r>
        <w:rPr/>
        <w:t>文核准，公司公开发行人民币普通股（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1919</w:t>
      </w:r>
      <w:r>
        <w:rPr/>
        <w:t>万</w:t>
      </w:r>
    </w:p>
    <w:p>
      <w:pPr>
        <w:pStyle w:val="BodyText"/>
        <w:spacing w:line="240" w:lineRule="auto" w:before="63"/>
        <w:ind w:right="0"/>
        <w:jc w:val="left"/>
      </w:pPr>
      <w:r>
        <w:rPr/>
        <w:t>股。</w:t>
      </w:r>
    </w:p>
    <w:p>
      <w:pPr>
        <w:spacing w:after="0" w:line="24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股份变动的批准情况</w:t>
      </w:r>
    </w:p>
    <w:p>
      <w:pPr>
        <w:pStyle w:val="BodyText"/>
        <w:spacing w:line="240" w:lineRule="auto" w:before="117"/>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185" w:firstLine="720"/>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[2012]812</w:t>
      </w:r>
      <w:r>
        <w:rPr/>
        <w:t>号</w:t>
      </w:r>
      <w:r>
        <w:rPr>
          <w:rFonts w:ascii="Times New Roman" w:hAnsi="Times New Roman" w:cs="Times New Roman" w:eastAsia="Times New Roman" w:hint="default"/>
        </w:rPr>
        <w:t>”</w:t>
      </w:r>
      <w:r>
        <w:rPr/>
        <w:t>文核准，公司首次向社会公开发行人民币普通股（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1,919 </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日在深圳证券交易所创业板上市。</w:t>
      </w:r>
    </w:p>
    <w:p>
      <w:pPr>
        <w:pStyle w:val="BodyText"/>
        <w:spacing w:line="240" w:lineRule="auto" w:before="52"/>
        <w:ind w:right="0"/>
        <w:jc w:val="left"/>
      </w:pPr>
      <w:r>
        <w:rPr/>
        <w:t>股份变动的过户情况</w:t>
      </w:r>
    </w:p>
    <w:p>
      <w:pPr>
        <w:pStyle w:val="BodyText"/>
        <w:spacing w:line="300" w:lineRule="auto" w:before="117"/>
        <w:ind w:right="0" w:firstLine="720"/>
        <w:jc w:val="left"/>
      </w:pPr>
      <w:r>
        <w:rPr>
          <w:spacing w:val="-2"/>
        </w:rPr>
        <w:t>报告期内，公司发首次公开发行的人民币普通股（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1,919</w:t>
      </w:r>
      <w:r>
        <w:rPr>
          <w:spacing w:val="-2"/>
        </w:rPr>
        <w:t>万股，已全部在中国证券登记结算有限责任公司深圳</w:t>
      </w:r>
      <w:r>
        <w:rPr/>
        <w:t> 公司办理了证券登记手续。</w:t>
      </w:r>
    </w:p>
    <w:p>
      <w:pPr>
        <w:pStyle w:val="BodyText"/>
        <w:spacing w:line="240" w:lineRule="auto" w:before="71"/>
        <w:ind w:right="0"/>
        <w:jc w:val="left"/>
      </w:pPr>
      <w:r>
        <w:rPr/>
        <w:t>股份变动对最近一年和最近一期基本每股收益和稀释每股收益、归属于公司普通股股东的每股净资产等财务指标的影响</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7" w:lineRule="auto" w:before="103"/>
        <w:ind w:right="110" w:firstLine="450"/>
        <w:jc w:val="both"/>
      </w:pPr>
      <w:r>
        <w:rPr>
          <w:spacing w:val="-2"/>
        </w:rPr>
        <w:t>报告期内，公司于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日公开发行新股，总股本由</w:t>
      </w:r>
      <w:r>
        <w:rPr>
          <w:rFonts w:ascii="Times New Roman" w:hAnsi="Times New Roman" w:cs="Times New Roman" w:eastAsia="Times New Roman" w:hint="default"/>
          <w:spacing w:val="-2"/>
        </w:rPr>
        <w:t>5755</w:t>
      </w:r>
      <w:r>
        <w:rPr>
          <w:spacing w:val="-2"/>
        </w:rPr>
        <w:t>万股增加至</w:t>
      </w:r>
      <w:r>
        <w:rPr>
          <w:rFonts w:ascii="Times New Roman" w:hAnsi="Times New Roman" w:cs="Times New Roman" w:eastAsia="Times New Roman" w:hint="default"/>
          <w:spacing w:val="-2"/>
        </w:rPr>
        <w:t>7674</w:t>
      </w:r>
      <w:r>
        <w:rPr>
          <w:spacing w:val="-2"/>
        </w:rPr>
        <w:t>万股。本次股份变动，对公司最近一年</w:t>
      </w:r>
      <w:r>
        <w:rPr/>
        <w:t> </w:t>
      </w:r>
      <w:r>
        <w:rPr>
          <w:spacing w:val="-2"/>
        </w:rPr>
        <w:t>和最近一期基本收益和稀释每股收益、归属于公司普通股股东的每股净资产等财务指标的影响如下：报告期公司基本每股收</w:t>
      </w:r>
      <w:r>
        <w:rPr>
          <w:spacing w:val="-64"/>
        </w:rPr>
        <w:t> </w:t>
      </w:r>
      <w:r>
        <w:rPr>
          <w:spacing w:val="-64"/>
        </w:rPr>
      </w:r>
      <w:r>
        <w:rPr/>
        <w:t>益为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股，同比增长</w:t>
      </w:r>
      <w:r>
        <w:rPr>
          <w:rFonts w:ascii="Times New Roman" w:hAnsi="Times New Roman" w:cs="Times New Roman" w:eastAsia="Times New Roman" w:hint="default"/>
        </w:rPr>
        <w:t>23.46%</w:t>
      </w:r>
      <w:r>
        <w:rPr/>
        <w:t>。报告期归属于上市公司股东的每股净资产为</w:t>
      </w:r>
      <w:r>
        <w:rPr>
          <w:rFonts w:ascii="Times New Roman" w:hAnsi="Times New Roman" w:cs="Times New Roman" w:eastAsia="Times New Roman" w:hint="default"/>
        </w:rPr>
        <w:t>8.53</w:t>
      </w:r>
      <w:r>
        <w:rPr/>
        <w:t>元</w:t>
      </w:r>
      <w:r>
        <w:rPr>
          <w:rFonts w:ascii="Times New Roman" w:hAnsi="Times New Roman" w:cs="Times New Roman" w:eastAsia="Times New Roman" w:hint="default"/>
        </w:rPr>
        <w:t>/</w:t>
      </w:r>
      <w:r>
        <w:rPr/>
        <w:t>股，同比增长</w:t>
      </w:r>
      <w:r>
        <w:rPr>
          <w:rFonts w:ascii="Times New Roman" w:hAnsi="Times New Roman" w:cs="Times New Roman" w:eastAsia="Times New Roman" w:hint="default"/>
        </w:rPr>
        <w:t>96.67%</w:t>
      </w:r>
      <w:r>
        <w:rPr/>
        <w:t>，主要系报告期 内公司发行新股，净资产大幅增加所致。</w:t>
      </w:r>
    </w:p>
    <w:p>
      <w:pPr>
        <w:pStyle w:val="BodyText"/>
        <w:spacing w:line="240" w:lineRule="auto" w:before="65"/>
        <w:ind w:right="0"/>
        <w:jc w:val="left"/>
      </w:pPr>
      <w:r>
        <w:rPr/>
        <w:t>公司认为必要或证券监管机构要求披露的其他内容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714"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6"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江苏润和科技投 资有限公司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20,851,000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20,851,000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姚  宁</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  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金石投资有限公 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2014/1/18</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焦点科技股份有 限公司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华为投资控股有 限公司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2014/2/28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  荣</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1026"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上海善翔股权投 资基金管理有限 公司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  佳</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齐  觉</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常秀亮</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隋宏旭</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  庆</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殷则堂</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714"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上海楚洲实业有 限公司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钟天雪</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  武</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吴咏鸽</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束  岚</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林一萍</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徐鑫淼</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张晓洲</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  辉</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辛晓兵</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田  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包国君</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陆伟东</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陆伟峰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朱玉钧</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汪士英</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张彤翔</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孙煜华</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  澍</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黄素英</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周文宏</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和  龙</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  昊</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钟  晓</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  剑</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戚  华</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杜  彬</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  琪</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  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李巧娣</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赵宝才</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  训</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申长波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  永</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吴远凡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  波</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  琴</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  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  婷</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苏  南</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陈正祥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唐卫兵</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冯爱民</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吴乃冈</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崔  青</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施  川</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田  洪</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马燕秦</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臧  琴</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董必华</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黄艺青</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侍相飞</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王高原</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查维强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沈  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张海军</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  栩</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陈伟荣</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魏明辉</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奚  庆</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蒋  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汪  贇</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2013/7/18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王维驰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  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11,000</w:t>
            </w:r>
            <w:r>
              <w:rPr>
                <w:rFonts w:ascii="Times New Roman"/>
                <w:sz w:val="18"/>
              </w:rPr>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11,000</w:t>
            </w:r>
            <w:r>
              <w:rPr>
                <w:rFonts w:ascii="Times New Roman"/>
                <w:sz w:val="18"/>
              </w:rPr>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李发军</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  峰</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邹莹莹</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袁志军</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何明强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杨国忠</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顾  笑</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  骏</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吴东海</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张传位</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乔  磊</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  兵</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芦晋义</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  江</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韦  宁</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陈文珠</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戴强华</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胡卫国</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z w:val="18"/>
              </w:rPr>
              <w:t>2013/7/18</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57,550,000</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61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9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8"/>
        <w:gridCol w:w="1367"/>
        <w:gridCol w:w="1368"/>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96" w:right="48"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8"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1"/>
              <w:jc w:val="left"/>
              <w:rPr>
                <w:rFonts w:ascii="宋体" w:hAnsi="宋体" w:cs="宋体" w:eastAsia="宋体" w:hint="default"/>
                <w:sz w:val="18"/>
                <w:szCs w:val="18"/>
              </w:rPr>
            </w:pPr>
            <w:r>
              <w:rPr>
                <w:rFonts w:ascii="宋体" w:hAnsi="宋体" w:cs="宋体" w:eastAsia="宋体" w:hint="default"/>
                <w:spacing w:val="-10"/>
                <w:sz w:val="18"/>
                <w:szCs w:val="18"/>
              </w:rPr>
              <w:t>人民币普通股（</w:t>
            </w:r>
            <w:r>
              <w:rPr>
                <w:rFonts w:ascii="Times New Roman" w:hAnsi="Times New Roman" w:cs="Times New Roman" w:eastAsia="Times New Roman" w:hint="default"/>
                <w:spacing w:val="-10"/>
                <w:sz w:val="18"/>
                <w:szCs w:val="18"/>
              </w:rPr>
              <w:t>A</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19,190,000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19,190,000</w:t>
            </w: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0"/>
        <w:ind w:left="474" w:right="90" w:hanging="360"/>
        <w:jc w:val="left"/>
      </w:pPr>
      <w:r>
        <w:rPr/>
        <w:t>证券发行情况的说明 </w:t>
      </w:r>
      <w:r>
        <w:rPr>
          <w:spacing w:val="-1"/>
        </w:rPr>
        <w:t>经中国证券监督管理委员会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[2012]812</w:t>
      </w:r>
      <w:r>
        <w:rPr>
          <w:spacing w:val="-1"/>
        </w:rPr>
        <w:t>号</w:t>
      </w:r>
      <w:r>
        <w:rPr>
          <w:rFonts w:ascii="Times New Roman" w:hAnsi="Times New Roman" w:cs="Times New Roman" w:eastAsia="Times New Roman" w:hint="default"/>
          <w:spacing w:val="-1"/>
        </w:rPr>
        <w:t>”</w:t>
      </w:r>
      <w:r>
        <w:rPr>
          <w:spacing w:val="-1"/>
        </w:rPr>
        <w:t>文核准，公司于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月首次向社会公开发行人民币普通股（</w:t>
      </w:r>
      <w:r>
        <w:rPr>
          <w:rFonts w:ascii="Times New Roman" w:hAnsi="Times New Roman" w:cs="Times New Roman" w:eastAsia="Times New Roman" w:hint="default"/>
          <w:spacing w:val="-1"/>
        </w:rPr>
        <w:t>A</w:t>
      </w:r>
      <w:r>
        <w:rPr>
          <w:spacing w:val="-1"/>
        </w:rPr>
        <w:t>股）</w:t>
      </w:r>
    </w:p>
    <w:p>
      <w:pPr>
        <w:pStyle w:val="BodyText"/>
        <w:spacing w:line="214" w:lineRule="exact" w:before="0"/>
        <w:ind w:right="0"/>
        <w:jc w:val="left"/>
        <w:rPr>
          <w:rFonts w:ascii="Times New Roman" w:hAnsi="Times New Roman" w:cs="Times New Roman" w:eastAsia="Times New Roman" w:hint="default"/>
        </w:rPr>
      </w:pPr>
      <w:r>
        <w:rPr>
          <w:rFonts w:ascii="Times New Roman" w:hAnsi="Times New Roman" w:cs="Times New Roman" w:eastAsia="Times New Roman" w:hint="default"/>
        </w:rPr>
        <w:t>1,919</w:t>
      </w:r>
      <w:r>
        <w:rPr/>
        <w:t>万股，本次发行采用网下向配售对象询价配售和网上向社会公众投资者定价发行相结合的方式。其中，网下配售</w:t>
      </w:r>
      <w:r>
        <w:rPr>
          <w:rFonts w:ascii="Times New Roman" w:hAnsi="Times New Roman" w:cs="Times New Roman" w:eastAsia="Times New Roman" w:hint="default"/>
        </w:rPr>
        <w:t>567.20</w:t>
      </w:r>
    </w:p>
    <w:p>
      <w:pPr>
        <w:pStyle w:val="BodyText"/>
        <w:spacing w:line="240" w:lineRule="auto" w:before="63"/>
        <w:ind w:right="90"/>
        <w:jc w:val="left"/>
      </w:pPr>
      <w:r>
        <w:rPr/>
        <w:t>万股，网上发行</w:t>
      </w:r>
      <w:r>
        <w:rPr>
          <w:rFonts w:ascii="Times New Roman" w:hAnsi="Times New Roman" w:cs="Times New Roman" w:eastAsia="Times New Roman" w:hint="default"/>
        </w:rPr>
        <w:t>1342.80</w:t>
      </w:r>
      <w:r>
        <w:rPr/>
        <w:t>万股，每股发行价格为人民币</w:t>
      </w:r>
      <w:r>
        <w:rPr>
          <w:rFonts w:ascii="Times New Roman" w:hAnsi="Times New Roman" w:cs="Times New Roman" w:eastAsia="Times New Roman" w:hint="default"/>
        </w:rPr>
        <w:t>20.39</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[2012]234</w:t>
      </w:r>
      <w:r>
        <w:rPr/>
        <w:t>号</w:t>
      </w:r>
      <w:r>
        <w:rPr>
          <w:rFonts w:ascii="Times New Roman" w:hAnsi="Times New Roman" w:cs="Times New Roman" w:eastAsia="Times New Roman" w:hint="default"/>
        </w:rPr>
        <w:t>”</w:t>
      </w:r>
      <w:r>
        <w:rPr/>
        <w:t>文同意，公司发行的</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日在深圳证券交易所创业板上市。股票简称</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“300339”</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1" w:firstLine="360"/>
        <w:jc w:val="both"/>
      </w:pPr>
      <w:r>
        <w:rPr>
          <w:spacing w:val="-1"/>
        </w:rPr>
        <w:t>报告期内，公司首次公开发行人民币普通股</w:t>
      </w:r>
      <w:r>
        <w:rPr>
          <w:rFonts w:ascii="Times New Roman" w:hAnsi="Times New Roman" w:cs="Times New Roman" w:eastAsia="Times New Roman" w:hint="default"/>
          <w:spacing w:val="-1"/>
        </w:rPr>
        <w:t>1919</w:t>
      </w:r>
      <w:r>
        <w:rPr>
          <w:spacing w:val="-1"/>
        </w:rPr>
        <w:t>万股，每股面值</w:t>
      </w:r>
      <w:r>
        <w:rPr>
          <w:rFonts w:ascii="Times New Roman" w:hAnsi="Times New Roman" w:cs="Times New Roman" w:eastAsia="Times New Roman" w:hint="default"/>
          <w:spacing w:val="-1"/>
        </w:rPr>
        <w:t>1.00</w:t>
      </w:r>
      <w:r>
        <w:rPr>
          <w:spacing w:val="-1"/>
        </w:rPr>
        <w:t>元，发行完成后，公司注册资本增加至</w:t>
      </w:r>
      <w:r>
        <w:rPr>
          <w:rFonts w:ascii="Times New Roman" w:hAnsi="Times New Roman" w:cs="Times New Roman" w:eastAsia="Times New Roman" w:hint="default"/>
          <w:spacing w:val="-1"/>
        </w:rPr>
        <w:t>7674</w:t>
      </w:r>
      <w:r>
        <w:rPr>
          <w:spacing w:val="-1"/>
        </w:rPr>
        <w:t>万元人</w:t>
      </w:r>
      <w:r>
        <w:rPr/>
        <w:t> </w:t>
      </w:r>
      <w:r>
        <w:rPr>
          <w:spacing w:val="-2"/>
        </w:rPr>
        <w:t>民币，新增社会公众股东</w:t>
      </w:r>
      <w:r>
        <w:rPr>
          <w:rFonts w:ascii="Times New Roman" w:hAnsi="Times New Roman" w:cs="Times New Roman" w:eastAsia="Times New Roman" w:hint="default"/>
          <w:spacing w:val="-2"/>
        </w:rPr>
        <w:t>1919</w:t>
      </w:r>
      <w:r>
        <w:rPr>
          <w:spacing w:val="-2"/>
        </w:rPr>
        <w:t>万股。募集资金到位后，扣除中介机构费用、信息披露费用以及上市登记费用之后，募集资金</w:t>
      </w:r>
      <w:r>
        <w:rPr>
          <w:spacing w:val="-61"/>
        </w:rPr>
        <w:t> </w:t>
      </w:r>
      <w:r>
        <w:rPr>
          <w:spacing w:val="-61"/>
        </w:rPr>
      </w:r>
      <w:r>
        <w:rPr/>
        <w:t>净额为人民币</w:t>
      </w:r>
      <w:r>
        <w:rPr>
          <w:rFonts w:ascii="Times New Roman" w:hAnsi="Times New Roman" w:cs="Times New Roman" w:eastAsia="Times New Roman" w:hint="default"/>
        </w:rPr>
        <w:t>35,181.47</w:t>
      </w:r>
      <w:r>
        <w:rPr/>
        <w:t>万元，其中注册资本增加人民币</w:t>
      </w:r>
      <w:r>
        <w:rPr>
          <w:rFonts w:ascii="Times New Roman" w:hAnsi="Times New Roman" w:cs="Times New Roman" w:eastAsia="Times New Roman" w:hint="default"/>
        </w:rPr>
        <w:t>1919</w:t>
      </w:r>
      <w:r>
        <w:rPr/>
        <w:t>万元，资本溢价人民币</w:t>
      </w:r>
      <w:r>
        <w:rPr>
          <w:rFonts w:ascii="Times New Roman" w:hAnsi="Times New Roman" w:cs="Times New Roman" w:eastAsia="Times New Roman" w:hint="default"/>
        </w:rPr>
        <w:t>33,262.47</w:t>
      </w:r>
      <w:r>
        <w:rPr/>
        <w:t>万元。</w:t>
      </w:r>
    </w:p>
    <w:p>
      <w:pPr>
        <w:pStyle w:val="BodyText"/>
        <w:spacing w:line="316" w:lineRule="auto" w:before="13"/>
        <w:ind w:right="110" w:firstLine="360"/>
        <w:jc w:val="both"/>
      </w:pPr>
      <w:r>
        <w:rPr>
          <w:spacing w:val="-2"/>
        </w:rPr>
        <w:t>除上述披露外，报告期内未发生其他因送股、转增股本、配股、增发新股、非公开发行股票、权证行权、实施股权激励</w:t>
      </w:r>
      <w:r>
        <w:rPr/>
        <w:t> </w:t>
      </w:r>
      <w:r>
        <w:rPr>
          <w:spacing w:val="-2"/>
        </w:rPr>
        <w:t>计划、企业合并、可转换债券转股、减资、债券发行或其他原因引起公司股份总数及股东结构的变动、公司资产和负债结构</w:t>
      </w:r>
      <w:r>
        <w:rPr>
          <w:spacing w:val="-66"/>
        </w:rPr>
        <w:t> </w:t>
      </w:r>
      <w:r>
        <w:rPr>
          <w:spacing w:val="-66"/>
        </w:rPr>
      </w:r>
      <w:r>
        <w:rPr/>
        <w:t>的变动情况。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before="0"/>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3,632</w:t>
            </w:r>
          </w:p>
        </w:tc>
        <w:tc>
          <w:tcPr>
            <w:tcW w:w="410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6,755</w:t>
            </w: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4"/>
              <w:ind w:left="229"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362"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江苏润和科技投 资有限公司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20,851,000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20,851,000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焦点科技股份有 限公司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金石投资有限公 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华为投资控股有 限公司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海通证券股份有 限公司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上海善翔股权投 资基金管理有限 公司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730"/>
        <w:gridCol w:w="4104"/>
        <w:gridCol w:w="1368"/>
        <w:gridCol w:w="1368"/>
      </w:tblGrid>
      <w:tr>
        <w:trPr>
          <w:trHeight w:val="402" w:hRule="exact"/>
        </w:trPr>
        <w:tc>
          <w:tcPr>
            <w:tcW w:w="273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410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1,170,000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 型证券投资基金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中国银行－华宝兴业动力组合股 票型证券投资基金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w:t>
            </w:r>
          </w:p>
        </w:tc>
      </w:tr>
      <w:tr>
        <w:trPr>
          <w:trHeight w:val="402"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吴学琴</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中国工商银行－富国天惠精选成 长混合型证券投资基金（ＬＯＦ</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734,786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734,786</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641,648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641,648</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中国建设银行－华宝兴业新兴产 业股票型证券投资基金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601,414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601,414</w:t>
            </w:r>
          </w:p>
        </w:tc>
      </w:tr>
      <w:tr>
        <w:trPr>
          <w:trHeight w:val="1026"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both"/>
              <w:rPr>
                <w:rFonts w:ascii="宋体" w:hAnsi="宋体" w:cs="宋体" w:eastAsia="宋体" w:hint="default"/>
                <w:sz w:val="18"/>
                <w:szCs w:val="18"/>
              </w:rPr>
            </w:pPr>
            <w:r>
              <w:rPr>
                <w:rFonts w:ascii="宋体" w:hAnsi="宋体" w:cs="宋体" w:eastAsia="宋体" w:hint="default"/>
                <w:sz w:val="18"/>
                <w:szCs w:val="18"/>
              </w:rPr>
              <w:t>中国农业银行－富国天瑞强势地 区精选混合型开放式证券投资基 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566,458</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566,458</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中国农业银行－银河稳健证券投 资基金</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476,406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476,406</w:t>
            </w:r>
          </w:p>
        </w:tc>
      </w:tr>
      <w:tr>
        <w:trPr>
          <w:trHeight w:val="402" w:hRule="exact"/>
        </w:trPr>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1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467,655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467,655</w:t>
            </w:r>
          </w:p>
        </w:tc>
      </w:tr>
      <w:tr>
        <w:trPr>
          <w:trHeight w:val="714" w:hRule="exact"/>
        </w:trPr>
        <w:tc>
          <w:tcPr>
            <w:tcW w:w="2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日，公司实际控制人周红卫和姚宁签订了《一致行动人协议》，共同表</w:t>
            </w:r>
            <w:r>
              <w:rPr>
                <w:rFonts w:ascii="宋体" w:hAnsi="宋体" w:cs="宋体" w:eastAsia="宋体" w:hint="default"/>
                <w:sz w:val="18"/>
                <w:szCs w:val="18"/>
              </w:rPr>
              <w:t> 示在公司重大事项决策前均事先沟通，达成一致意见后进行表决。</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13" w:right="101"/>
        <w:jc w:val="left"/>
      </w:pPr>
      <w:r>
        <w:rPr>
          <w:spacing w:val="-1"/>
        </w:rPr>
        <w:t>公司控股股东为江苏润和科技投资有限公司，截至报告期，润和投资共持有公司股份</w:t>
      </w:r>
      <w:r>
        <w:rPr>
          <w:rFonts w:ascii="Times New Roman" w:hAnsi="Times New Roman" w:cs="Times New Roman" w:eastAsia="Times New Roman" w:hint="default"/>
          <w:spacing w:val="-1"/>
        </w:rPr>
        <w:t>2085.1</w:t>
      </w:r>
      <w:r>
        <w:rPr>
          <w:spacing w:val="-1"/>
        </w:rPr>
        <w:t>万股，持股比例为</w:t>
      </w:r>
      <w:r>
        <w:rPr>
          <w:rFonts w:ascii="Times New Roman" w:hAnsi="Times New Roman" w:cs="Times New Roman" w:eastAsia="Times New Roman" w:hint="default"/>
          <w:spacing w:val="-1"/>
        </w:rPr>
        <w:t>27.17%</w:t>
      </w:r>
      <w:r>
        <w:rPr>
          <w:spacing w:val="-1"/>
        </w:rPr>
        <w:t>。其基</w:t>
      </w:r>
      <w:r>
        <w:rPr>
          <w:spacing w:val="-87"/>
        </w:rPr>
        <w:t> </w:t>
      </w:r>
      <w:r>
        <w:rPr>
          <w:spacing w:val="-87"/>
        </w:rPr>
      </w:r>
      <w:r>
        <w:rPr/>
        <w:t>本情况如下：</w:t>
      </w:r>
    </w:p>
    <w:tbl>
      <w:tblPr>
        <w:tblW w:w="0" w:type="auto"/>
        <w:jc w:val="left"/>
        <w:tblInd w:w="106" w:type="dxa"/>
        <w:tblLayout w:type="fixed"/>
        <w:tblCellMar>
          <w:top w:w="0" w:type="dxa"/>
          <w:left w:w="0" w:type="dxa"/>
          <w:bottom w:w="0" w:type="dxa"/>
          <w:right w:w="0" w:type="dxa"/>
        </w:tblCellMar>
        <w:tblLook w:val="01E0"/>
      </w:tblPr>
      <w:tblGrid>
        <w:gridCol w:w="1669"/>
        <w:gridCol w:w="6853"/>
      </w:tblGrid>
      <w:tr>
        <w:trPr>
          <w:trHeight w:val="354" w:hRule="exact"/>
        </w:trPr>
        <w:tc>
          <w:tcPr>
            <w:tcW w:w="1669" w:type="dxa"/>
            <w:tcBorders>
              <w:top w:val="single" w:sz="6" w:space="0" w:color="010101"/>
              <w:left w:val="single" w:sz="6" w:space="0" w:color="010101"/>
              <w:bottom w:val="single" w:sz="12" w:space="0" w:color="010101"/>
              <w:right w:val="single" w:sz="12" w:space="0" w:color="010101"/>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853"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r>
      <w:tr>
        <w:trPr>
          <w:trHeight w:val="362"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成立时间</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8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r>
      <w:tr>
        <w:trPr>
          <w:trHeight w:val="362"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8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7,000</w:t>
            </w:r>
            <w:r>
              <w:rPr>
                <w:rFonts w:ascii="宋体" w:hAnsi="宋体" w:cs="宋体" w:eastAsia="宋体" w:hint="default"/>
                <w:sz w:val="21"/>
                <w:szCs w:val="21"/>
              </w:rPr>
              <w:t>万元</w:t>
            </w:r>
          </w:p>
        </w:tc>
      </w:tr>
      <w:tr>
        <w:trPr>
          <w:trHeight w:val="361"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8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7,000</w:t>
            </w:r>
            <w:r>
              <w:rPr>
                <w:rFonts w:ascii="宋体" w:hAnsi="宋体" w:cs="宋体" w:eastAsia="宋体" w:hint="default"/>
                <w:sz w:val="21"/>
                <w:szCs w:val="21"/>
              </w:rPr>
              <w:t>万元</w:t>
            </w:r>
          </w:p>
        </w:tc>
      </w:tr>
      <w:tr>
        <w:trPr>
          <w:trHeight w:val="362"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周红卫</w:t>
            </w:r>
          </w:p>
        </w:tc>
      </w:tr>
      <w:tr>
        <w:trPr>
          <w:trHeight w:val="362"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85" w:lineRule="exact"/>
              <w:ind w:left="-1" w:right="0"/>
              <w:jc w:val="left"/>
              <w:rPr>
                <w:rFonts w:ascii="宋体" w:hAnsi="宋体" w:cs="宋体" w:eastAsia="宋体" w:hint="default"/>
                <w:sz w:val="21"/>
                <w:szCs w:val="21"/>
              </w:rPr>
            </w:pPr>
            <w:r>
              <w:rPr>
                <w:rFonts w:ascii="宋体" w:hAnsi="宋体" w:cs="宋体" w:eastAsia="宋体" w:hint="default"/>
                <w:sz w:val="21"/>
                <w:szCs w:val="21"/>
              </w:rPr>
              <w:t>南京市雨花台区阅城大道</w:t>
            </w:r>
            <w:r>
              <w:rPr>
                <w:rFonts w:ascii="Times New Roman" w:hAnsi="Times New Roman" w:cs="Times New Roman" w:eastAsia="Times New Roman" w:hint="default"/>
                <w:sz w:val="21"/>
                <w:szCs w:val="21"/>
              </w:rPr>
              <w:t>26</w:t>
            </w:r>
            <w:r>
              <w:rPr>
                <w:rFonts w:ascii="宋体" w:hAnsi="宋体" w:cs="宋体" w:eastAsia="宋体" w:hint="default"/>
                <w:sz w:val="21"/>
                <w:szCs w:val="21"/>
              </w:rPr>
              <w:t>号丰盛科技园</w:t>
            </w:r>
            <w:r>
              <w:rPr>
                <w:rFonts w:ascii="Times New Roman" w:hAnsi="Times New Roman" w:cs="Times New Roman" w:eastAsia="Times New Roman" w:hint="default"/>
                <w:sz w:val="21"/>
                <w:szCs w:val="21"/>
              </w:rPr>
              <w:t>F</w:t>
            </w:r>
            <w:r>
              <w:rPr>
                <w:rFonts w:ascii="宋体" w:hAnsi="宋体" w:cs="宋体" w:eastAsia="宋体" w:hint="default"/>
                <w:sz w:val="21"/>
                <w:szCs w:val="21"/>
              </w:rPr>
              <w:t>区</w:t>
            </w:r>
            <w:r>
              <w:rPr>
                <w:rFonts w:ascii="Times New Roman" w:hAnsi="Times New Roman" w:cs="Times New Roman" w:eastAsia="Times New Roman" w:hint="default"/>
                <w:sz w:val="21"/>
                <w:szCs w:val="21"/>
              </w:rPr>
              <w:t>02</w:t>
            </w:r>
            <w:r>
              <w:rPr>
                <w:rFonts w:ascii="宋体" w:hAnsi="宋体" w:cs="宋体" w:eastAsia="宋体" w:hint="default"/>
                <w:sz w:val="21"/>
                <w:szCs w:val="21"/>
              </w:rPr>
              <w:t>栋</w:t>
            </w:r>
            <w:r>
              <w:rPr>
                <w:rFonts w:ascii="Times New Roman" w:hAnsi="Times New Roman" w:cs="Times New Roman" w:eastAsia="Times New Roman" w:hint="default"/>
                <w:sz w:val="21"/>
                <w:szCs w:val="21"/>
              </w:rPr>
              <w:t>5</w:t>
            </w:r>
            <w:r>
              <w:rPr>
                <w:rFonts w:ascii="宋体" w:hAnsi="宋体" w:cs="宋体" w:eastAsia="宋体" w:hint="default"/>
                <w:sz w:val="21"/>
                <w:szCs w:val="21"/>
              </w:rPr>
              <w:t>层</w:t>
            </w:r>
            <w:r>
              <w:rPr>
                <w:rFonts w:ascii="Times New Roman" w:hAnsi="Times New Roman" w:cs="Times New Roman" w:eastAsia="Times New Roman" w:hint="default"/>
                <w:sz w:val="21"/>
                <w:szCs w:val="21"/>
              </w:rPr>
              <w:t>513</w:t>
            </w:r>
            <w:r>
              <w:rPr>
                <w:rFonts w:ascii="宋体" w:hAnsi="宋体" w:cs="宋体" w:eastAsia="宋体" w:hint="default"/>
                <w:sz w:val="21"/>
                <w:szCs w:val="21"/>
              </w:rPr>
              <w:t>室</w:t>
            </w:r>
          </w:p>
        </w:tc>
      </w:tr>
      <w:tr>
        <w:trPr>
          <w:trHeight w:val="361"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生产经营地</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85" w:lineRule="exact"/>
              <w:ind w:left="-1" w:right="0"/>
              <w:jc w:val="left"/>
              <w:rPr>
                <w:rFonts w:ascii="宋体" w:hAnsi="宋体" w:cs="宋体" w:eastAsia="宋体" w:hint="default"/>
                <w:sz w:val="21"/>
                <w:szCs w:val="21"/>
              </w:rPr>
            </w:pPr>
            <w:r>
              <w:rPr>
                <w:rFonts w:ascii="宋体" w:hAnsi="宋体" w:cs="宋体" w:eastAsia="宋体" w:hint="default"/>
                <w:sz w:val="21"/>
                <w:szCs w:val="21"/>
              </w:rPr>
              <w:t>南京市雨花台区阅城大道</w:t>
            </w:r>
            <w:r>
              <w:rPr>
                <w:rFonts w:ascii="Times New Roman" w:hAnsi="Times New Roman" w:cs="Times New Roman" w:eastAsia="Times New Roman" w:hint="default"/>
                <w:sz w:val="21"/>
                <w:szCs w:val="21"/>
              </w:rPr>
              <w:t>26</w:t>
            </w:r>
            <w:r>
              <w:rPr>
                <w:rFonts w:ascii="宋体" w:hAnsi="宋体" w:cs="宋体" w:eastAsia="宋体" w:hint="default"/>
                <w:sz w:val="21"/>
                <w:szCs w:val="21"/>
              </w:rPr>
              <w:t>号丰盛科技园</w:t>
            </w:r>
            <w:r>
              <w:rPr>
                <w:rFonts w:ascii="Times New Roman" w:hAnsi="Times New Roman" w:cs="Times New Roman" w:eastAsia="Times New Roman" w:hint="default"/>
                <w:sz w:val="21"/>
                <w:szCs w:val="21"/>
              </w:rPr>
              <w:t>F</w:t>
            </w:r>
            <w:r>
              <w:rPr>
                <w:rFonts w:ascii="宋体" w:hAnsi="宋体" w:cs="宋体" w:eastAsia="宋体" w:hint="default"/>
                <w:sz w:val="21"/>
                <w:szCs w:val="21"/>
              </w:rPr>
              <w:t>区</w:t>
            </w:r>
            <w:r>
              <w:rPr>
                <w:rFonts w:ascii="Times New Roman" w:hAnsi="Times New Roman" w:cs="Times New Roman" w:eastAsia="Times New Roman" w:hint="default"/>
                <w:sz w:val="21"/>
                <w:szCs w:val="21"/>
              </w:rPr>
              <w:t>02</w:t>
            </w:r>
            <w:r>
              <w:rPr>
                <w:rFonts w:ascii="宋体" w:hAnsi="宋体" w:cs="宋体" w:eastAsia="宋体" w:hint="default"/>
                <w:sz w:val="21"/>
                <w:szCs w:val="21"/>
              </w:rPr>
              <w:t>栋</w:t>
            </w:r>
            <w:r>
              <w:rPr>
                <w:rFonts w:ascii="Times New Roman" w:hAnsi="Times New Roman" w:cs="Times New Roman" w:eastAsia="Times New Roman" w:hint="default"/>
                <w:sz w:val="21"/>
                <w:szCs w:val="21"/>
              </w:rPr>
              <w:t>5</w:t>
            </w:r>
            <w:r>
              <w:rPr>
                <w:rFonts w:ascii="宋体" w:hAnsi="宋体" w:cs="宋体" w:eastAsia="宋体" w:hint="default"/>
                <w:sz w:val="21"/>
                <w:szCs w:val="21"/>
              </w:rPr>
              <w:t>层</w:t>
            </w:r>
            <w:r>
              <w:rPr>
                <w:rFonts w:ascii="Times New Roman" w:hAnsi="Times New Roman" w:cs="Times New Roman" w:eastAsia="Times New Roman" w:hint="default"/>
                <w:sz w:val="21"/>
                <w:szCs w:val="21"/>
              </w:rPr>
              <w:t>513</w:t>
            </w:r>
            <w:r>
              <w:rPr>
                <w:rFonts w:ascii="宋体" w:hAnsi="宋体" w:cs="宋体" w:eastAsia="宋体" w:hint="default"/>
                <w:sz w:val="21"/>
                <w:szCs w:val="21"/>
              </w:rPr>
              <w:t>室</w:t>
            </w:r>
          </w:p>
        </w:tc>
      </w:tr>
      <w:tr>
        <w:trPr>
          <w:trHeight w:val="362" w:hRule="exact"/>
        </w:trPr>
        <w:tc>
          <w:tcPr>
            <w:tcW w:w="1669"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6853" w:type="dxa"/>
            <w:tcBorders>
              <w:top w:val="single" w:sz="12" w:space="0" w:color="010101"/>
              <w:left w:val="single" w:sz="12" w:space="0" w:color="010101"/>
              <w:bottom w:val="single" w:sz="12" w:space="0" w:color="010101"/>
              <w:right w:val="single" w:sz="12" w:space="0" w:color="010101"/>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实业投资；投资管理；电子产品、建材销售。</w:t>
            </w:r>
          </w:p>
        </w:tc>
      </w:tr>
    </w:tbl>
    <w:p>
      <w:pPr>
        <w:pStyle w:val="BodyText"/>
        <w:spacing w:line="240" w:lineRule="auto" w:before="31"/>
        <w:ind w:right="0"/>
        <w:jc w:val="left"/>
      </w:pPr>
      <w:r>
        <w:rPr/>
        <w:t>除持有公司</w:t>
      </w:r>
      <w:r>
        <w:rPr>
          <w:rFonts w:ascii="Times New Roman" w:hAnsi="Times New Roman" w:cs="Times New Roman" w:eastAsia="Times New Roman" w:hint="default"/>
        </w:rPr>
        <w:t>27.17%</w:t>
      </w:r>
      <w:r>
        <w:rPr/>
        <w:t>股权外，江苏润和科技投资有限公司未持有或控制其他企业股权。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160" w:firstLine="360"/>
        <w:jc w:val="left"/>
      </w:pPr>
      <w:r>
        <w:rPr/>
        <w:t>公司实际控制人为自然人周红卫、姚宁。截至报告期，两人分别直接持有公司</w:t>
      </w:r>
      <w:r>
        <w:rPr>
          <w:rFonts w:ascii="Times New Roman" w:hAnsi="Times New Roman" w:cs="Times New Roman" w:eastAsia="Times New Roman" w:hint="default"/>
        </w:rPr>
        <w:t>7.050%</w:t>
      </w:r>
      <w:r>
        <w:rPr/>
        <w:t>和</w:t>
      </w:r>
      <w:r>
        <w:rPr>
          <w:rFonts w:ascii="Times New Roman" w:hAnsi="Times New Roman" w:cs="Times New Roman" w:eastAsia="Times New Roman" w:hint="default"/>
        </w:rPr>
        <w:t>5.994%</w:t>
      </w:r>
      <w:r>
        <w:rPr/>
        <w:t>的股权，并通过共同控 制润和投资合计控制公司</w:t>
      </w:r>
      <w:r>
        <w:rPr>
          <w:rFonts w:ascii="Times New Roman" w:hAnsi="Times New Roman" w:cs="Times New Roman" w:eastAsia="Times New Roman" w:hint="default"/>
        </w:rPr>
        <w:t>40.215%</w:t>
      </w:r>
      <w:r>
        <w:rPr/>
        <w:t>表决权的股份。基本情况如下：</w:t>
      </w:r>
    </w:p>
    <w:p>
      <w:pPr>
        <w:spacing w:after="0" w:line="30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ind w:left="113" w:right="110" w:firstLine="360"/>
        <w:jc w:val="both"/>
      </w:pPr>
      <w:r>
        <w:rPr>
          <w:spacing w:val="-2"/>
        </w:rPr>
        <w:t>周红卫先生，</w:t>
      </w:r>
      <w:r>
        <w:rPr>
          <w:rFonts w:ascii="Times New Roman" w:hAnsi="Times New Roman" w:cs="Times New Roman" w:eastAsia="Times New Roman" w:hint="default"/>
          <w:spacing w:val="-2"/>
        </w:rPr>
        <w:t>1967</w:t>
      </w:r>
      <w:r>
        <w:rPr>
          <w:spacing w:val="-2"/>
        </w:rPr>
        <w:t>年出生，本科学历，中国国籍，无永久境外居留权，曾担任日本恒星（南京）电脑系统有限公司项目</w:t>
      </w:r>
      <w:r>
        <w:rPr/>
        <w:t> 经理及部门总经理、宏图东方信息系统有限公司副总经理等。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月至今任公司董事长兼总裁。周红卫先生担任政协南 京市第十三届委员江苏省软件行业协会外包分会副会长、南京市软件行业协会副秘书长、</w:t>
      </w:r>
      <w:r>
        <w:rPr>
          <w:rFonts w:ascii="Times New Roman" w:hAnsi="Times New Roman" w:cs="Times New Roman" w:eastAsia="Times New Roman" w:hint="default"/>
        </w:rPr>
        <w:t>2012</w:t>
      </w:r>
      <w:r>
        <w:rPr/>
        <w:t>年任南京市工商联副主席。</w:t>
      </w:r>
    </w:p>
    <w:p>
      <w:pPr>
        <w:pStyle w:val="BodyText"/>
        <w:spacing w:line="307" w:lineRule="auto" w:before="53"/>
        <w:ind w:left="113" w:right="110" w:firstLine="360"/>
        <w:jc w:val="both"/>
      </w:pPr>
      <w:r>
        <w:rPr>
          <w:spacing w:val="-2"/>
        </w:rPr>
        <w:t>姚宁先生，</w:t>
      </w:r>
      <w:r>
        <w:rPr>
          <w:rFonts w:ascii="Times New Roman" w:hAnsi="Times New Roman" w:cs="Times New Roman" w:eastAsia="Times New Roman" w:hint="default"/>
          <w:spacing w:val="-2"/>
        </w:rPr>
        <w:t>1968</w:t>
      </w:r>
      <w:r>
        <w:rPr>
          <w:spacing w:val="-2"/>
        </w:rPr>
        <w:t>年出生，本科学历，中国国籍，无永久境外居留权，曾担任日本恒星（南京）电脑系统有限公司项目经</w:t>
      </w:r>
      <w:r>
        <w:rPr/>
        <w:t> 理、开发部部长，宏图东方信息系统有限公司副总经理等。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月至今任公司董事、常务副总裁兼技术总监，负责公司 </w:t>
      </w:r>
      <w:r>
        <w:rPr>
          <w:spacing w:val="-2"/>
        </w:rPr>
        <w:t>主营技术和项目实施工作。姚宁先生曾参与领导苏州市委市政府园区骨干网系统集成项目、江苏省委办公厅办公自动化系统</w:t>
      </w:r>
      <w:r>
        <w:rPr>
          <w:spacing w:val="-64"/>
        </w:rPr>
        <w:t> </w:t>
      </w:r>
      <w:r>
        <w:rPr>
          <w:spacing w:val="-64"/>
        </w:rPr>
      </w:r>
      <w:r>
        <w:rPr/>
        <w:t>集成项目、日本</w:t>
      </w:r>
      <w:r>
        <w:rPr>
          <w:rFonts w:ascii="Times New Roman" w:hAnsi="Times New Roman" w:cs="Times New Roman" w:eastAsia="Times New Roman" w:hint="default"/>
        </w:rPr>
        <w:t>DOCOMO</w:t>
      </w:r>
      <w:r>
        <w:rPr/>
        <w:t>公司的核心无线电运营管理系统开发项目等多个项目。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113" w:right="0"/>
        <w:jc w:val="left"/>
      </w:pPr>
      <w:r>
        <w:rPr/>
        <w:t>公司与实际控制人之间的产权及控制关系的方框图</w:t>
      </w:r>
    </w:p>
    <w:p>
      <w:pPr>
        <w:spacing w:line="240" w:lineRule="auto" w:before="10"/>
        <w:rPr>
          <w:rFonts w:ascii="宋体" w:hAnsi="宋体" w:cs="宋体" w:eastAsia="宋体" w:hint="default"/>
          <w:sz w:val="22"/>
          <w:szCs w:val="22"/>
        </w:rPr>
      </w:pPr>
    </w:p>
    <w:p>
      <w:pPr>
        <w:spacing w:line="4305" w:lineRule="exact"/>
        <w:ind w:left="131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1416" cy="27336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1" cstate="print"/>
                    <a:stretch>
                      <a:fillRect/>
                    </a:stretch>
                  </pic:blipFill>
                  <pic:spPr>
                    <a:xfrm>
                      <a:off x="0" y="0"/>
                      <a:ext cx="4591416"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1"/>
        <w:rPr>
          <w:rFonts w:ascii="宋体" w:hAnsi="宋体" w:cs="宋体" w:eastAsia="宋体" w:hint="default"/>
          <w:sz w:val="14"/>
          <w:szCs w:val="14"/>
        </w:rPr>
      </w:pPr>
    </w:p>
    <w:p>
      <w:pPr>
        <w:pStyle w:val="Heading3"/>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83"/>
        <w:gridCol w:w="1093"/>
        <w:gridCol w:w="888"/>
        <w:gridCol w:w="1800"/>
        <w:gridCol w:w="1801"/>
        <w:gridCol w:w="1802"/>
      </w:tblGrid>
      <w:tr>
        <w:trPr>
          <w:trHeight w:val="714" w:hRule="exact"/>
        </w:trPr>
        <w:tc>
          <w:tcPr>
            <w:tcW w:w="2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89" w:right="6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16" w:right="84"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2" w:hRule="exact"/>
        </w:trPr>
        <w:tc>
          <w:tcPr>
            <w:tcW w:w="21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93" w:type="dxa"/>
            <w:tcBorders>
              <w:top w:val="single" w:sz="4" w:space="0" w:color="010101"/>
              <w:left w:val="single" w:sz="4" w:space="0" w:color="010101"/>
              <w:bottom w:val="single" w:sz="4" w:space="0" w:color="010101"/>
              <w:right w:val="single" w:sz="4" w:space="0" w:color="010101"/>
            </w:tcBorders>
          </w:tcPr>
          <w:p>
            <w:pPr/>
          </w:p>
        </w:tc>
        <w:tc>
          <w:tcPr>
            <w:tcW w:w="888" w:type="dxa"/>
            <w:tcBorders>
              <w:top w:val="single" w:sz="4" w:space="0" w:color="010101"/>
              <w:left w:val="single" w:sz="4" w:space="0" w:color="010101"/>
              <w:bottom w:val="single" w:sz="4" w:space="0" w:color="010101"/>
              <w:right w:val="single" w:sz="4" w:space="0" w:color="010101"/>
            </w:tcBorders>
          </w:tcPr>
          <w:p>
            <w:pPr/>
          </w:p>
        </w:tc>
        <w:tc>
          <w:tcPr>
            <w:tcW w:w="1800" w:type="dxa"/>
            <w:tcBorders>
              <w:top w:val="single" w:sz="4" w:space="0" w:color="010101"/>
              <w:left w:val="single" w:sz="4" w:space="0" w:color="010101"/>
              <w:bottom w:val="single" w:sz="4" w:space="0" w:color="010101"/>
              <w:right w:val="single" w:sz="4" w:space="0" w:color="010101"/>
            </w:tcBorders>
          </w:tcPr>
          <w:p>
            <w:pPr/>
          </w:p>
        </w:tc>
        <w:tc>
          <w:tcPr>
            <w:tcW w:w="1801" w:type="dxa"/>
            <w:tcBorders>
              <w:top w:val="single" w:sz="4" w:space="0" w:color="010101"/>
              <w:left w:val="single" w:sz="4" w:space="0" w:color="010101"/>
              <w:bottom w:val="single" w:sz="4" w:space="0" w:color="010101"/>
              <w:right w:val="single" w:sz="4" w:space="0" w:color="010101"/>
            </w:tcBorders>
          </w:tcPr>
          <w:p>
            <w:pPr/>
          </w:p>
        </w:tc>
        <w:tc>
          <w:tcPr>
            <w:tcW w:w="180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01" w:right="50"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91" w:right="49" w:hanging="539"/>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9" w:firstLine="90"/>
              <w:jc w:val="left"/>
              <w:rPr>
                <w:rFonts w:ascii="宋体" w:hAnsi="宋体" w:cs="宋体" w:eastAsia="宋体" w:hint="default"/>
                <w:sz w:val="18"/>
                <w:szCs w:val="18"/>
              </w:rPr>
            </w:pPr>
            <w:r>
              <w:rPr>
                <w:rFonts w:ascii="宋体" w:hAnsi="宋体" w:cs="宋体" w:eastAsia="宋体" w:hint="default"/>
                <w:sz w:val="18"/>
                <w:szCs w:val="18"/>
              </w:rPr>
              <w:t>江苏润和科技投资有 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20,851,000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bl>
    <w:p>
      <w:pPr>
        <w:spacing w:after="0" w:line="240" w:lineRule="auto"/>
        <w:jc w:val="left"/>
        <w:rPr>
          <w:rFonts w:ascii="宋体" w:hAnsi="宋体" w:cs="宋体" w:eastAsia="宋体" w:hint="default"/>
          <w:sz w:val="18"/>
          <w:szCs w:val="18"/>
        </w:rPr>
        <w:sectPr>
          <w:footerReference w:type="default" r:id="rId20"/>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  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金石投资有限公司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上海善翔股权投资基金 管理有限公司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r>
    </w:tbl>
    <w:p>
      <w:pPr>
        <w:spacing w:after="0" w:line="240" w:lineRule="auto"/>
        <w:jc w:val="left"/>
        <w:rPr>
          <w:rFonts w:ascii="宋体" w:hAnsi="宋体" w:cs="宋体" w:eastAsia="宋体" w:hint="default"/>
          <w:sz w:val="18"/>
          <w:szCs w:val="18"/>
        </w:rPr>
        <w:sectPr>
          <w:footerReference w:type="default" r:id="rId22"/>
          <w:pgSz w:w="11910" w:h="16840"/>
          <w:pgMar w:footer="980" w:header="747" w:top="1060" w:bottom="1160" w:left="1020" w:right="10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42" w:right="0"/>
        <w:jc w:val="left"/>
        <w:rPr>
          <w:b w:val="0"/>
          <w:bCs w:val="0"/>
        </w:rPr>
      </w:pPr>
      <w:bookmarkStart w:name="_TOC_250003" w:id="7"/>
      <w:r>
        <w:rPr/>
        <w:t>第七节</w:t>
      </w:r>
      <w:r>
        <w:rPr>
          <w:spacing w:val="-1"/>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pict>
          <v:shape style="position:absolute;margin-left:408.480011pt;margin-top:33.035938pt;width:57.9pt;height:97.7pt;mso-position-horizontal-relative:page;mso-position-vertical-relative:paragraph;z-index:-103177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（股）</w:t>
                  </w:r>
                </w:p>
              </w:txbxContent>
            </v:textbox>
            <w10:wrap type="none"/>
          </v:shape>
        </w:pict>
      </w:r>
      <w:r>
        <w:rPr/>
        <w:pict>
          <v:shape style="position:absolute;margin-left:494.88031pt;margin-top:33.035938pt;width:39.85pt;height:97.7pt;mso-position-horizontal-relative:page;mso-position-vertical-relative:paragraph;z-index:-10317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1962" w:hRule="exact"/>
        </w:trPr>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56" w:right="66"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4"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6" w:right="6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54" w:right="65"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65" w:firstLine="44"/>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董事长 兼总裁</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08"/>
              <w:jc w:val="both"/>
              <w:rPr>
                <w:rFonts w:ascii="宋体" w:hAnsi="宋体" w:cs="宋体" w:eastAsia="宋体" w:hint="default"/>
                <w:sz w:val="18"/>
                <w:szCs w:val="18"/>
              </w:rPr>
            </w:pPr>
            <w:r>
              <w:rPr>
                <w:rFonts w:ascii="宋体" w:hAnsi="宋体" w:cs="宋体" w:eastAsia="宋体" w:hint="default"/>
                <w:sz w:val="18"/>
                <w:szCs w:val="18"/>
              </w:rPr>
              <w:t>董事、 副总裁 兼技术 总监</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08"/>
              <w:jc w:val="both"/>
              <w:rPr>
                <w:rFonts w:ascii="宋体" w:hAnsi="宋体" w:cs="宋体" w:eastAsia="宋体" w:hint="default"/>
                <w:sz w:val="18"/>
                <w:szCs w:val="18"/>
              </w:rPr>
            </w:pPr>
            <w:r>
              <w:rPr>
                <w:rFonts w:ascii="宋体" w:hAnsi="宋体" w:cs="宋体" w:eastAsia="宋体" w:hint="default"/>
                <w:sz w:val="18"/>
                <w:szCs w:val="18"/>
              </w:rPr>
              <w:t>董事、 财务总 监兼董 事会秘 书</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362" w:hRule="exact"/>
        </w:trPr>
        <w:tc>
          <w:tcPr>
            <w:tcW w:w="684" w:type="dxa"/>
            <w:tcBorders>
              <w:top w:val="single" w:sz="4" w:space="0" w:color="010101"/>
              <w:left w:val="single" w:sz="4" w:space="0" w:color="010101"/>
              <w:bottom w:val="single" w:sz="4" w:space="0" w:color="010101"/>
              <w:right w:val="single" w:sz="4" w:space="0" w:color="010101"/>
            </w:tcBorders>
          </w:tcPr>
          <w:p>
            <w:pPr/>
          </w:p>
        </w:tc>
        <w:tc>
          <w:tcPr>
            <w:tcW w:w="682"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261,000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56,000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28,000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14,775,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14,775,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9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left="473" w:right="4952" w:hanging="360"/>
        <w:jc w:val="left"/>
      </w:pPr>
      <w:r>
        <w:rPr/>
        <w:t>公司现任董事、监事、高级管理人员最近</w:t>
      </w:r>
      <w:r>
        <w:rPr>
          <w:spacing w:val="-46"/>
        </w:rPr>
        <w:t> </w:t>
      </w:r>
      <w:r>
        <w:rPr>
          <w:rFonts w:ascii="Times New Roman" w:hAnsi="Times New Roman" w:cs="Times New Roman" w:eastAsia="Times New Roman" w:hint="default"/>
        </w:rPr>
        <w:t>5 </w:t>
      </w:r>
      <w:r>
        <w:rPr/>
        <w:t>年的主要工作经历 一、公司现任董事工作经历：</w:t>
      </w:r>
    </w:p>
    <w:p>
      <w:pPr>
        <w:pStyle w:val="BodyText"/>
        <w:spacing w:line="300" w:lineRule="auto" w:before="0"/>
        <w:ind w:left="113" w:right="101" w:firstLine="360"/>
        <w:jc w:val="both"/>
      </w:pPr>
      <w:r>
        <w:rPr>
          <w:rFonts w:ascii="Times New Roman" w:hAnsi="Times New Roman" w:cs="Times New Roman" w:eastAsia="Times New Roman" w:hint="default"/>
        </w:rPr>
        <w:t>1</w:t>
      </w:r>
      <w:r>
        <w:rPr/>
        <w:t>、周红卫先生，</w:t>
      </w:r>
      <w:r>
        <w:rPr>
          <w:rFonts w:ascii="Times New Roman" w:hAnsi="Times New Roman" w:cs="Times New Roman" w:eastAsia="Times New Roman" w:hint="default"/>
        </w:rPr>
        <w:t>1967</w:t>
      </w:r>
      <w:r>
        <w:rPr/>
        <w:t>年出生，本科学历，中国国籍，无永久境外居留权，曾担任日本恒星（南京）电脑系统有限公司 项目经理及部门总经理、宏图东方信息系统有限公司副总经理等。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月至今任公司董事长兼总裁。周红卫先生担任政 </w:t>
      </w:r>
      <w:r>
        <w:rPr>
          <w:spacing w:val="-4"/>
        </w:rPr>
        <w:t>协南京市第十三届委员江苏省软件行业协会外包分会副会长、南京市软件行业协会副秘书长、</w:t>
      </w:r>
      <w:r>
        <w:rPr>
          <w:rFonts w:ascii="Times New Roman" w:hAnsi="Times New Roman" w:cs="Times New Roman" w:eastAsia="Times New Roman" w:hint="default"/>
          <w:spacing w:val="-4"/>
        </w:rPr>
        <w:t>2012</w:t>
      </w:r>
      <w:r>
        <w:rPr>
          <w:spacing w:val="-4"/>
        </w:rPr>
        <w:t>年任南京市工商联副主席。</w:t>
      </w:r>
    </w:p>
    <w:p>
      <w:pPr>
        <w:pStyle w:val="BodyText"/>
        <w:spacing w:line="307" w:lineRule="auto" w:before="13"/>
        <w:ind w:left="113" w:right="190" w:firstLine="360"/>
        <w:jc w:val="both"/>
      </w:pPr>
      <w:r>
        <w:rPr>
          <w:rFonts w:ascii="Times New Roman" w:hAnsi="Times New Roman" w:cs="Times New Roman" w:eastAsia="Times New Roman" w:hint="default"/>
        </w:rPr>
        <w:t>2</w:t>
      </w:r>
      <w:r>
        <w:rPr/>
        <w:t>、姚宁先生，</w:t>
      </w:r>
      <w:r>
        <w:rPr>
          <w:rFonts w:ascii="Times New Roman" w:hAnsi="Times New Roman" w:cs="Times New Roman" w:eastAsia="Times New Roman" w:hint="default"/>
        </w:rPr>
        <w:t>1968</w:t>
      </w:r>
      <w:r>
        <w:rPr/>
        <w:t>年出生，本科学历，中国国籍，无永久境外居留权，曾担任日本恒星（南京）电脑系统有限公司项 目经理、开发部部长，宏图东方信息系统有限公司副总经理等。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月至今任公司董事、常务副总裁兼技术总监，负责 </w:t>
      </w:r>
      <w:r>
        <w:rPr>
          <w:spacing w:val="-2"/>
        </w:rPr>
        <w:t>公司主营技术和项目实施工作。姚宁先生曾参与领导苏州市委市政府园区骨干网系统集成项目、江苏省委办公厅办公自动化</w:t>
      </w:r>
      <w:r>
        <w:rPr>
          <w:spacing w:val="-64"/>
        </w:rPr>
        <w:t> </w:t>
      </w:r>
      <w:r>
        <w:rPr>
          <w:spacing w:val="-64"/>
        </w:rPr>
      </w:r>
      <w:r>
        <w:rPr/>
        <w:t>系统集成项目、日本</w:t>
      </w:r>
      <w:r>
        <w:rPr>
          <w:rFonts w:ascii="Times New Roman" w:hAnsi="Times New Roman" w:cs="Times New Roman" w:eastAsia="Times New Roman" w:hint="default"/>
        </w:rPr>
        <w:t>DOCOMO</w:t>
      </w:r>
      <w:r>
        <w:rPr/>
        <w:t>公司的核心无线电运营管理系统开发项目等多个项目。</w:t>
      </w:r>
    </w:p>
    <w:p>
      <w:pPr>
        <w:pStyle w:val="BodyText"/>
        <w:spacing w:line="302" w:lineRule="auto" w:before="7"/>
        <w:ind w:left="113" w:right="198" w:firstLine="360"/>
        <w:jc w:val="both"/>
      </w:pPr>
      <w:r>
        <w:rPr>
          <w:rFonts w:ascii="Times New Roman" w:hAnsi="Times New Roman" w:cs="Times New Roman" w:eastAsia="Times New Roman" w:hint="default"/>
        </w:rPr>
        <w:t>3</w:t>
      </w:r>
      <w:r>
        <w:rPr/>
        <w:t>、孙强先生，</w:t>
      </w:r>
      <w:r>
        <w:rPr>
          <w:rFonts w:ascii="Times New Roman" w:hAnsi="Times New Roman" w:cs="Times New Roman" w:eastAsia="Times New Roman" w:hint="default"/>
        </w:rPr>
        <w:t>1970</w:t>
      </w:r>
      <w:r>
        <w:rPr/>
        <w:t>年出生，本科学历，中国国籍，无永久境外居留权，曾担任日本恒星（南京）电脑系统有限公司软 件工程师，本公司副总裁等职。现任本公司董事、江苏润和科技投资有限公司总裁、政协南京市雨花台区第八届常委。</w:t>
      </w:r>
    </w:p>
    <w:p>
      <w:pPr>
        <w:pStyle w:val="BodyText"/>
        <w:spacing w:line="300" w:lineRule="auto" w:before="29"/>
        <w:ind w:left="113" w:right="198" w:firstLine="360"/>
        <w:jc w:val="both"/>
      </w:pPr>
      <w:r>
        <w:rPr>
          <w:rFonts w:ascii="Times New Roman" w:hAnsi="Times New Roman" w:cs="Times New Roman" w:eastAsia="Times New Roman" w:hint="default"/>
        </w:rPr>
        <w:t>4</w:t>
      </w:r>
      <w:r>
        <w:rPr/>
        <w:t>、马玉峰先生，</w:t>
      </w:r>
      <w:r>
        <w:rPr>
          <w:rFonts w:ascii="Times New Roman" w:hAnsi="Times New Roman" w:cs="Times New Roman" w:eastAsia="Times New Roman" w:hint="default"/>
        </w:rPr>
        <w:t>1971</w:t>
      </w:r>
      <w:r>
        <w:rPr/>
        <w:t>年出生，本科学历，中国国籍，无永久境外居留权，曾担任日本恒星（南京）电脑系统有限公司 工程师及开发经理、宏图东方信息系统有限公司软件部经理和副总经理。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月至今任公司董事、副总裁。</w:t>
      </w:r>
    </w:p>
    <w:p>
      <w:pPr>
        <w:pStyle w:val="BodyText"/>
        <w:spacing w:line="307" w:lineRule="auto" w:before="13"/>
        <w:ind w:left="113" w:right="191" w:firstLine="360"/>
        <w:jc w:val="both"/>
      </w:pPr>
      <w:r>
        <w:rPr>
          <w:rFonts w:ascii="Times New Roman" w:hAnsi="Times New Roman" w:cs="Times New Roman" w:eastAsia="Times New Roman" w:hint="default"/>
        </w:rPr>
        <w:t>5</w:t>
      </w:r>
      <w:r>
        <w:rPr/>
        <w:t>、黄维江先生，</w:t>
      </w:r>
      <w:r>
        <w:rPr>
          <w:rFonts w:ascii="Times New Roman" w:hAnsi="Times New Roman" w:cs="Times New Roman" w:eastAsia="Times New Roman" w:hint="default"/>
        </w:rPr>
        <w:t>1966</w:t>
      </w:r>
      <w:r>
        <w:rPr/>
        <w:t>年出生，本科学历，中国国籍，无永久境外居留权，高级审计师，曾担任审计署驻南京特派员办 </w:t>
      </w:r>
      <w:r>
        <w:rPr>
          <w:spacing w:val="-2"/>
        </w:rPr>
        <w:t>事处副主任科员、主任科员、外资运用审计处副处长、审计署信息化建设办公室应用组组长、审计署驻南京特派员办事处外</w:t>
      </w:r>
      <w:r>
        <w:rPr>
          <w:spacing w:val="-66"/>
        </w:rPr>
        <w:t> </w:t>
      </w:r>
      <w:r>
        <w:rPr>
          <w:spacing w:val="-66"/>
        </w:rPr>
      </w:r>
      <w:r>
        <w:rPr/>
        <w:t>资运用审计处处长，江苏宏图高科技股份有限公司董事、副总裁兼财务总监、监事会主席。</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11</w:t>
      </w:r>
      <w:r>
        <w:rPr/>
        <w:t>月任公司财务主 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月至今任公司董事、财务总监兼董事会秘书。</w:t>
      </w:r>
    </w:p>
    <w:p>
      <w:pPr>
        <w:pStyle w:val="BodyText"/>
        <w:spacing w:line="307" w:lineRule="auto" w:before="7"/>
        <w:ind w:left="113" w:right="90" w:firstLine="360"/>
        <w:jc w:val="left"/>
      </w:pPr>
      <w:r>
        <w:rPr>
          <w:rFonts w:ascii="Times New Roman" w:hAnsi="Times New Roman" w:cs="Times New Roman" w:eastAsia="Times New Roman" w:hint="default"/>
        </w:rPr>
        <w:t>6</w:t>
      </w:r>
      <w:r>
        <w:rPr/>
        <w:t>、沈锦华先生，</w:t>
      </w:r>
      <w:r>
        <w:rPr>
          <w:rFonts w:ascii="Times New Roman" w:hAnsi="Times New Roman" w:cs="Times New Roman" w:eastAsia="Times New Roman" w:hint="default"/>
        </w:rPr>
        <w:t>1967</w:t>
      </w:r>
      <w:r>
        <w:rPr/>
        <w:t>年出生，硕士学历，中国国籍，无永久境外居留权，历任南化集团化工机械厂技术员、南京方正 </w:t>
      </w:r>
      <w:r>
        <w:rPr>
          <w:spacing w:val="-5"/>
        </w:rPr>
        <w:t>新技术有限公司经营部副主任。现任焦点科技股份有限公司董事长兼总经理、南京艾普太阳能设备有限公司董事、</w:t>
      </w:r>
      <w:r>
        <w:rPr>
          <w:rFonts w:ascii="Times New Roman" w:hAnsi="Times New Roman" w:cs="Times New Roman" w:eastAsia="Times New Roman" w:hint="default"/>
          <w:spacing w:val="-5"/>
        </w:rPr>
        <w:t>Apricus</w:t>
      </w:r>
      <w:r>
        <w:rPr>
          <w:rFonts w:ascii="Times New Roman" w:hAnsi="Times New Roman" w:cs="Times New Roman" w:eastAsia="Times New Roman" w:hint="default"/>
        </w:rPr>
        <w:t> Inc.</w:t>
      </w:r>
      <w:r>
        <w:rPr>
          <w:rFonts w:ascii="Times New Roman" w:hAnsi="Times New Roman" w:cs="Times New Roman" w:eastAsia="Times New Roman" w:hint="default"/>
          <w:spacing w:val="-12"/>
        </w:rPr>
        <w:t> </w:t>
      </w:r>
      <w:r>
        <w:rPr>
          <w:spacing w:val="-4"/>
        </w:rPr>
        <w:t>董事、新一站保险代理有限公司董事长、江苏赛联信息产业研究院股份有限公司董事、文笔网路科技有限公司（台湾）董事、</w:t>
      </w:r>
      <w:r>
        <w:rPr>
          <w:spacing w:val="-44"/>
        </w:rPr>
        <w:t> </w:t>
      </w:r>
      <w:r>
        <w:rPr>
          <w:spacing w:val="-44"/>
        </w:rPr>
      </w:r>
      <w:r>
        <w:rPr/>
        <w:t>焦点进出口服务有限公司执行董事。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月至今任本公司董事。</w:t>
      </w:r>
    </w:p>
    <w:p>
      <w:pPr>
        <w:pStyle w:val="BodyText"/>
        <w:spacing w:line="309" w:lineRule="auto" w:before="7"/>
        <w:ind w:left="113" w:right="190" w:firstLine="360"/>
        <w:jc w:val="both"/>
      </w:pPr>
      <w:r>
        <w:rPr>
          <w:rFonts w:ascii="Times New Roman" w:hAnsi="Times New Roman" w:cs="Times New Roman" w:eastAsia="Times New Roman" w:hint="default"/>
        </w:rPr>
        <w:t>7</w:t>
      </w:r>
      <w:r>
        <w:rPr/>
        <w:t>、董化礼先生，</w:t>
      </w:r>
      <w:r>
        <w:rPr>
          <w:rFonts w:ascii="Times New Roman" w:hAnsi="Times New Roman" w:cs="Times New Roman" w:eastAsia="Times New Roman" w:hint="default"/>
        </w:rPr>
        <w:t>1946</w:t>
      </w:r>
      <w:r>
        <w:rPr/>
        <w:t>年出生，本科学历，中国国籍，无永久境外居留权，曾担任南京军区空军司令部政治部干事、安 </w:t>
      </w:r>
      <w:r>
        <w:rPr>
          <w:spacing w:val="-2"/>
        </w:rPr>
        <w:t>徽省蚌埠市委办公室秘书、安徽省政府办公厅秘书、安徽省经济委员会干部处副处长、安徽省经济委员会调研室主任、安徽</w:t>
      </w:r>
      <w:r>
        <w:rPr>
          <w:spacing w:val="-66"/>
        </w:rPr>
        <w:t> </w:t>
      </w:r>
      <w:r>
        <w:rPr>
          <w:spacing w:val="-66"/>
        </w:rPr>
      </w:r>
      <w:r>
        <w:rPr>
          <w:spacing w:val="-2"/>
        </w:rPr>
        <w:t>省直工委工商分委会书记、安徽省经济贸易委员会副主任、党组副书记、安徽省政府副秘书长、办公厅党组成员、审计署驻</w:t>
      </w:r>
      <w:r>
        <w:rPr>
          <w:spacing w:val="-65"/>
        </w:rPr>
        <w:t> </w:t>
      </w:r>
      <w:r>
        <w:rPr>
          <w:spacing w:val="-65"/>
        </w:rPr>
      </w:r>
      <w:r>
        <w:rPr>
          <w:spacing w:val="-2"/>
        </w:rPr>
        <w:t>南京特派员办事处特派员、党组书记、江苏省政协委员。</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月至今任公司独立董事，同时兼任江苏省广电有线信息网</w:t>
      </w:r>
      <w:r>
        <w:rPr>
          <w:spacing w:val="-61"/>
        </w:rPr>
        <w:t> </w:t>
      </w:r>
      <w:r>
        <w:rPr>
          <w:spacing w:val="-61"/>
        </w:rPr>
      </w:r>
      <w:r>
        <w:rPr/>
        <w:t>络股份有限公司独立董事、上海大屯能源股份有限公司独立董事。</w:t>
      </w:r>
    </w:p>
    <w:p>
      <w:pPr>
        <w:pStyle w:val="BodyText"/>
        <w:spacing w:line="300" w:lineRule="auto" w:before="23"/>
        <w:ind w:left="113" w:right="190" w:firstLine="360"/>
        <w:jc w:val="both"/>
      </w:pPr>
      <w:r>
        <w:rPr>
          <w:rFonts w:ascii="Times New Roman" w:hAnsi="Times New Roman" w:cs="Times New Roman" w:eastAsia="Times New Roman" w:hint="default"/>
        </w:rPr>
        <w:t>8</w:t>
      </w:r>
      <w:r>
        <w:rPr/>
        <w:t>、张顺颐先生，</w:t>
      </w:r>
      <w:r>
        <w:rPr>
          <w:rFonts w:ascii="Times New Roman" w:hAnsi="Times New Roman" w:cs="Times New Roman" w:eastAsia="Times New Roman" w:hint="default"/>
        </w:rPr>
        <w:t>1944</w:t>
      </w:r>
      <w:r>
        <w:rPr/>
        <w:t>年出生，本科学历，中国国籍，无永久境外居留权，南京邮电大学教授、博士生导师。</w:t>
      </w:r>
      <w:r>
        <w:rPr>
          <w:rFonts w:ascii="Times New Roman" w:hAnsi="Times New Roman" w:cs="Times New Roman" w:eastAsia="Times New Roman" w:hint="default"/>
        </w:rPr>
        <w:t>1968</w:t>
      </w:r>
      <w:r>
        <w:rPr/>
        <w:t>年毕 </w:t>
      </w:r>
      <w:r>
        <w:rPr>
          <w:spacing w:val="-2"/>
        </w:rPr>
        <w:t>业于天津大学无线电系，曾任南京邮电大学副校长。</w:t>
      </w:r>
      <w:r>
        <w:rPr>
          <w:rFonts w:ascii="Times New Roman" w:hAnsi="Times New Roman" w:cs="Times New Roman" w:eastAsia="Times New Roman" w:hint="default"/>
          <w:spacing w:val="-2"/>
        </w:rPr>
        <w:t>1992</w:t>
      </w:r>
      <w:r>
        <w:rPr>
          <w:spacing w:val="-2"/>
        </w:rPr>
        <w:t>年起享受国务院政府特殊津贴，曾获邮电部教育先进工作者，教育</w:t>
      </w:r>
    </w:p>
    <w:p>
      <w:pPr>
        <w:spacing w:after="0" w:line="300"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4" w:lineRule="auto"/>
        <w:ind w:left="113" w:right="101"/>
        <w:jc w:val="left"/>
      </w:pPr>
      <w:r>
        <w:rPr/>
        <w:t>部九五期间全国普通高校科研管理先进个人等称号，先后</w:t>
      </w:r>
      <w:r>
        <w:rPr>
          <w:rFonts w:ascii="Times New Roman" w:hAnsi="Times New Roman" w:cs="Times New Roman" w:eastAsia="Times New Roman" w:hint="default"/>
        </w:rPr>
        <w:t>11</w:t>
      </w:r>
      <w:r>
        <w:rPr/>
        <w:t>次获省部级以上科技进步奖。</w:t>
      </w:r>
      <w:r>
        <w:rPr>
          <w:rFonts w:ascii="Times New Roman" w:hAnsi="Times New Roman" w:cs="Times New Roman" w:eastAsia="Times New Roman" w:hint="default"/>
        </w:rPr>
        <w:t>2006</w:t>
      </w:r>
      <w:r>
        <w:rPr/>
        <w:t>年评为江苏省优秀科技工作 者</w:t>
      </w:r>
      <w:r>
        <w:rPr>
          <w:rFonts w:ascii="Times New Roman" w:hAnsi="Times New Roman" w:cs="Times New Roman" w:eastAsia="Times New Roman" w:hint="default"/>
        </w:rPr>
        <w:t>,2008</w:t>
      </w:r>
      <w:r>
        <w:rPr/>
        <w:t>年获江苏省五一劳动奖章</w:t>
      </w:r>
      <w:r>
        <w:rPr>
          <w:rFonts w:ascii="Times New Roman" w:hAnsi="Times New Roman" w:cs="Times New Roman" w:eastAsia="Times New Roman" w:hint="default"/>
        </w:rPr>
        <w:t>,2012</w:t>
      </w:r>
      <w:r>
        <w:rPr/>
        <w:t>年评为中国电子学会优秀科技工作者。</w:t>
      </w:r>
      <w:r>
        <w:rPr>
          <w:rFonts w:ascii="Times New Roman" w:hAnsi="Times New Roman" w:cs="Times New Roman" w:eastAsia="Times New Roman" w:hint="default"/>
        </w:rPr>
        <w:t>2010</w:t>
      </w:r>
      <w:r>
        <w:rPr/>
        <w:t>年被工信部聘为无锡国家传感网创新示范 </w:t>
      </w:r>
      <w:r>
        <w:rPr>
          <w:spacing w:val="-2"/>
        </w:rPr>
        <w:t>区专家咨询委员会专家，被无锡市政府聘为发展物联网技术专家。现任江苏省通信与网络技术工程研究中心主任，中国通信</w:t>
      </w:r>
      <w:r>
        <w:rPr>
          <w:spacing w:val="-65"/>
        </w:rPr>
        <w:t> </w:t>
      </w:r>
      <w:r>
        <w:rPr>
          <w:spacing w:val="-65"/>
        </w:rPr>
      </w:r>
      <w:r>
        <w:rPr>
          <w:spacing w:val="-2"/>
        </w:rPr>
        <w:t>学会理事、会士，</w:t>
      </w:r>
      <w:r>
        <w:rPr>
          <w:rFonts w:ascii="Times New Roman" w:hAnsi="Times New Roman" w:cs="Times New Roman" w:eastAsia="Times New Roman" w:hint="default"/>
          <w:spacing w:val="-2"/>
        </w:rPr>
        <w:t>IP</w:t>
      </w:r>
      <w:r>
        <w:rPr>
          <w:spacing w:val="-2"/>
        </w:rPr>
        <w:t>应用与增值电信技术专委会主任、通信软件技术委员会委员，中国电子学会通信学分会副主任，南京普</w:t>
      </w:r>
      <w:r>
        <w:rPr>
          <w:spacing w:val="-44"/>
        </w:rPr>
        <w:t> </w:t>
      </w:r>
      <w:r>
        <w:rPr>
          <w:spacing w:val="-44"/>
        </w:rPr>
      </w:r>
      <w:r>
        <w:rPr/>
        <w:t>天通信股份有限公司独立董事，无锡邮信通物联网技术有限公司董事长等。</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月至今任本公司独立董事。</w:t>
      </w:r>
    </w:p>
    <w:p>
      <w:pPr>
        <w:pStyle w:val="BodyText"/>
        <w:spacing w:line="312" w:lineRule="auto" w:before="9"/>
        <w:ind w:left="113" w:right="110" w:firstLine="360"/>
        <w:jc w:val="both"/>
      </w:pPr>
      <w:r>
        <w:rPr>
          <w:rFonts w:ascii="Times New Roman" w:hAnsi="Times New Roman" w:cs="Times New Roman" w:eastAsia="Times New Roman" w:hint="default"/>
        </w:rPr>
        <w:t>9</w:t>
      </w:r>
      <w:r>
        <w:rPr/>
        <w:t>、张洪发先生，</w:t>
      </w:r>
      <w:r>
        <w:rPr>
          <w:rFonts w:ascii="Times New Roman" w:hAnsi="Times New Roman" w:cs="Times New Roman" w:eastAsia="Times New Roman" w:hint="default"/>
        </w:rPr>
        <w:t>1964</w:t>
      </w:r>
      <w:r>
        <w:rPr/>
        <w:t>年出生，本科学历，中国国籍，无永久境外居留权，正高级会计师，中国注册会计师，曾任江苏 </w:t>
      </w:r>
      <w:r>
        <w:rPr>
          <w:spacing w:val="-2"/>
        </w:rPr>
        <w:t>省广播电视大学教师，江苏省会计师事务所项目经理、主审、部门经理。现任江苏省注册会计师协会副秘书长，江苏宏宝五</w:t>
      </w:r>
      <w:r>
        <w:rPr>
          <w:spacing w:val="-65"/>
        </w:rPr>
        <w:t> </w:t>
      </w:r>
      <w:r>
        <w:rPr>
          <w:spacing w:val="-65"/>
        </w:rPr>
      </w:r>
      <w:r>
        <w:rPr>
          <w:spacing w:val="-2"/>
        </w:rPr>
        <w:t>金股份有限公司独立董事，江苏金智科技股份有限公司独立董事、南京吉隆光纤通信股份有限公司独立董事、无锡威孚高科</w:t>
      </w:r>
      <w:r>
        <w:rPr>
          <w:spacing w:val="-65"/>
        </w:rPr>
        <w:t> </w:t>
      </w:r>
      <w:r>
        <w:rPr>
          <w:spacing w:val="-65"/>
        </w:rPr>
      </w:r>
      <w:r>
        <w:rPr/>
        <w:t>技集团股份有限公司独立董事。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月至今担任本公司独立董事。</w:t>
      </w:r>
    </w:p>
    <w:p>
      <w:pPr>
        <w:pStyle w:val="BodyText"/>
        <w:spacing w:line="240" w:lineRule="auto" w:before="3"/>
        <w:ind w:left="473" w:right="0"/>
        <w:jc w:val="left"/>
      </w:pPr>
      <w:r>
        <w:rPr/>
        <w:t>二、公司现任监事工作经历</w:t>
      </w:r>
    </w:p>
    <w:p>
      <w:pPr>
        <w:pStyle w:val="BodyText"/>
        <w:spacing w:line="300" w:lineRule="auto" w:before="76"/>
        <w:ind w:left="113" w:right="101" w:firstLine="360"/>
        <w:jc w:val="left"/>
      </w:pPr>
      <w:r>
        <w:rPr>
          <w:rFonts w:ascii="Times New Roman" w:hAnsi="Times New Roman" w:cs="Times New Roman" w:eastAsia="Times New Roman" w:hint="default"/>
        </w:rPr>
        <w:t>1</w:t>
      </w:r>
      <w:r>
        <w:rPr/>
        <w:t>、吴昊先生，</w:t>
      </w:r>
      <w:r>
        <w:rPr>
          <w:rFonts w:ascii="Times New Roman" w:hAnsi="Times New Roman" w:cs="Times New Roman" w:eastAsia="Times New Roman" w:hint="default"/>
        </w:rPr>
        <w:t>1975</w:t>
      </w:r>
      <w:r>
        <w:rPr/>
        <w:t>年出生，硕士学历，中国国籍，无永久境外居留权，曾担任腾龙软件（上海）有限公司高级软件工 程师。</w:t>
      </w:r>
      <w:r>
        <w:rPr>
          <w:rFonts w:ascii="Times New Roman" w:hAnsi="Times New Roman" w:cs="Times New Roman" w:eastAsia="Times New Roman" w:hint="default"/>
        </w:rPr>
        <w:t>2007</w:t>
      </w:r>
      <w:r>
        <w:rPr/>
        <w:t>年至今任公司供应链管理软件外包中心副部长。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月至今任公司监事。</w:t>
      </w:r>
    </w:p>
    <w:p>
      <w:pPr>
        <w:pStyle w:val="BodyText"/>
        <w:spacing w:line="300" w:lineRule="auto" w:before="13"/>
        <w:ind w:left="113" w:right="96" w:firstLine="360"/>
        <w:jc w:val="left"/>
      </w:pPr>
      <w:r>
        <w:rPr>
          <w:rFonts w:ascii="Times New Roman" w:hAnsi="Times New Roman" w:cs="Times New Roman" w:eastAsia="Times New Roman" w:hint="default"/>
          <w:spacing w:val="-2"/>
        </w:rPr>
        <w:t>2</w:t>
      </w:r>
      <w:r>
        <w:rPr>
          <w:spacing w:val="-2"/>
        </w:rPr>
        <w:t>、廉智慧女士，</w:t>
      </w:r>
      <w:r>
        <w:rPr>
          <w:rFonts w:ascii="Times New Roman" w:hAnsi="Times New Roman" w:cs="Times New Roman" w:eastAsia="Times New Roman" w:hint="default"/>
          <w:spacing w:val="-2"/>
        </w:rPr>
        <w:t>1978</w:t>
      </w:r>
      <w:r>
        <w:rPr>
          <w:spacing w:val="-2"/>
        </w:rPr>
        <w:t>年出生，大专学历，中国国籍，无永久境外居留权，</w:t>
      </w:r>
      <w:r>
        <w:rPr>
          <w:spacing w:val="9"/>
        </w:rPr>
        <w:t> </w:t>
      </w:r>
      <w:r>
        <w:rPr>
          <w:rFonts w:ascii="Times New Roman" w:hAnsi="Times New Roman" w:cs="Times New Roman" w:eastAsia="Times New Roman" w:hint="default"/>
          <w:spacing w:val="-1"/>
        </w:rPr>
        <w:t>2006</w:t>
      </w:r>
      <w:r>
        <w:rPr>
          <w:spacing w:val="-1"/>
        </w:rPr>
        <w:t>年至今任公司财务人员。</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月至</w:t>
      </w:r>
      <w:r>
        <w:rPr/>
        <w:t> 今任公司监事。</w:t>
      </w:r>
    </w:p>
    <w:p>
      <w:pPr>
        <w:pStyle w:val="BodyText"/>
        <w:spacing w:line="300" w:lineRule="auto" w:before="31"/>
        <w:ind w:left="113" w:right="101" w:firstLine="360"/>
        <w:jc w:val="left"/>
      </w:pPr>
      <w:r>
        <w:rPr>
          <w:rFonts w:ascii="Times New Roman" w:hAnsi="Times New Roman" w:cs="Times New Roman" w:eastAsia="Times New Roman" w:hint="default"/>
        </w:rPr>
        <w:t>3</w:t>
      </w:r>
      <w:r>
        <w:rPr/>
        <w:t>、王辉先生，</w:t>
      </w:r>
      <w:r>
        <w:rPr>
          <w:rFonts w:ascii="Times New Roman" w:hAnsi="Times New Roman" w:cs="Times New Roman" w:eastAsia="Times New Roman" w:hint="default"/>
        </w:rPr>
        <w:t>1978</w:t>
      </w:r>
      <w:r>
        <w:rPr/>
        <w:t>年出生，本科学历，中国国籍，无永久境外居留权，曾担任江苏南大苏富特科技股份有限公司程序 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月至今任公司供应链管理软件外包中心开发主管。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月至今任公司职工监事、监事会主席。</w:t>
      </w:r>
    </w:p>
    <w:p>
      <w:pPr>
        <w:pStyle w:val="BodyText"/>
        <w:spacing w:line="240" w:lineRule="auto" w:before="13"/>
        <w:ind w:left="473" w:right="0"/>
        <w:jc w:val="left"/>
      </w:pPr>
      <w:r>
        <w:rPr/>
        <w:t>三、公司现任高级管理人员工作经历</w:t>
      </w:r>
    </w:p>
    <w:p>
      <w:pPr>
        <w:pStyle w:val="BodyText"/>
        <w:spacing w:line="240" w:lineRule="auto" w:before="76"/>
        <w:ind w:left="473" w:right="0"/>
        <w:jc w:val="left"/>
      </w:pPr>
      <w:r>
        <w:rPr>
          <w:rFonts w:ascii="Times New Roman" w:hAnsi="Times New Roman" w:cs="Times New Roman" w:eastAsia="Times New Roman" w:hint="default"/>
        </w:rPr>
        <w:t>1</w:t>
      </w:r>
      <w:r>
        <w:rPr/>
        <w:t>、周红卫先生，现任公司总裁，请参见本节</w:t>
      </w:r>
      <w:r>
        <w:rPr>
          <w:rFonts w:ascii="Times New Roman" w:hAnsi="Times New Roman" w:cs="Times New Roman" w:eastAsia="Times New Roman" w:hint="default"/>
        </w:rPr>
        <w:t>“</w:t>
      </w:r>
      <w:r>
        <w:rPr/>
        <w:t>公司现任董事工作经历</w:t>
      </w:r>
      <w:r>
        <w:rPr>
          <w:rFonts w:ascii="Times New Roman" w:hAnsi="Times New Roman" w:cs="Times New Roman" w:eastAsia="Times New Roman" w:hint="default"/>
        </w:rPr>
        <w:t>”</w:t>
      </w:r>
      <w:r>
        <w:rPr/>
        <w:t>。</w:t>
      </w:r>
    </w:p>
    <w:p>
      <w:pPr>
        <w:pStyle w:val="BodyText"/>
        <w:spacing w:line="240" w:lineRule="auto" w:before="63"/>
        <w:ind w:left="473" w:right="0"/>
        <w:jc w:val="left"/>
      </w:pPr>
      <w:r>
        <w:rPr>
          <w:rFonts w:ascii="Times New Roman" w:hAnsi="Times New Roman" w:cs="Times New Roman" w:eastAsia="Times New Roman" w:hint="default"/>
        </w:rPr>
        <w:t>2</w:t>
      </w:r>
      <w:r>
        <w:rPr/>
        <w:t>、姚宁先生，现任公司常务副总裁兼技术总监，请参见本节</w:t>
      </w:r>
      <w:r>
        <w:rPr>
          <w:rFonts w:ascii="Times New Roman" w:hAnsi="Times New Roman" w:cs="Times New Roman" w:eastAsia="Times New Roman" w:hint="default"/>
        </w:rPr>
        <w:t>“</w:t>
      </w:r>
      <w:r>
        <w:rPr/>
        <w:t>公司现任董事工作经历</w:t>
      </w:r>
      <w:r>
        <w:rPr>
          <w:rFonts w:ascii="Times New Roman" w:hAnsi="Times New Roman" w:cs="Times New Roman" w:eastAsia="Times New Roman" w:hint="default"/>
        </w:rPr>
        <w:t>”</w:t>
      </w:r>
      <w:r>
        <w:rPr/>
        <w:t>。</w:t>
      </w:r>
    </w:p>
    <w:p>
      <w:pPr>
        <w:pStyle w:val="BodyText"/>
        <w:spacing w:line="240" w:lineRule="auto" w:before="63"/>
        <w:ind w:left="473" w:right="0"/>
        <w:jc w:val="left"/>
      </w:pPr>
      <w:r>
        <w:rPr>
          <w:rFonts w:ascii="Times New Roman" w:hAnsi="Times New Roman" w:cs="Times New Roman" w:eastAsia="Times New Roman" w:hint="default"/>
        </w:rPr>
        <w:t>3</w:t>
      </w:r>
      <w:r>
        <w:rPr/>
        <w:t>、马玉峰先生，现任公司副总裁，请参见本节</w:t>
      </w:r>
      <w:r>
        <w:rPr>
          <w:rFonts w:ascii="Times New Roman" w:hAnsi="Times New Roman" w:cs="Times New Roman" w:eastAsia="Times New Roman" w:hint="default"/>
        </w:rPr>
        <w:t>“</w:t>
      </w:r>
      <w:r>
        <w:rPr/>
        <w:t>公司现任董事工作经历</w:t>
      </w:r>
      <w:r>
        <w:rPr>
          <w:rFonts w:ascii="Times New Roman" w:hAnsi="Times New Roman" w:cs="Times New Roman" w:eastAsia="Times New Roman" w:hint="default"/>
        </w:rPr>
        <w:t>”</w:t>
      </w:r>
      <w:r>
        <w:rPr/>
        <w:t>。</w:t>
      </w:r>
    </w:p>
    <w:p>
      <w:pPr>
        <w:pStyle w:val="BodyText"/>
        <w:spacing w:line="340" w:lineRule="auto" w:before="63"/>
        <w:ind w:left="113" w:right="2281" w:firstLine="360"/>
        <w:jc w:val="left"/>
      </w:pPr>
      <w:r>
        <w:rPr>
          <w:rFonts w:ascii="Times New Roman" w:hAnsi="Times New Roman" w:cs="Times New Roman" w:eastAsia="Times New Roman" w:hint="default"/>
        </w:rPr>
        <w:t>4</w:t>
      </w:r>
      <w:r>
        <w:rPr/>
        <w:t>、黄维江先生，现任公司财务总监兼董事会秘书，请参见本节</w:t>
      </w:r>
      <w:r>
        <w:rPr>
          <w:rFonts w:ascii="Times New Roman" w:hAnsi="Times New Roman" w:cs="Times New Roman" w:eastAsia="Times New Roman" w:hint="default"/>
        </w:rPr>
        <w:t>“</w:t>
      </w:r>
      <w:r>
        <w:rPr/>
        <w:t>公司现任董事工作经历</w:t>
      </w:r>
      <w:r>
        <w:rPr>
          <w:rFonts w:ascii="Times New Roman" w:hAnsi="Times New Roman" w:cs="Times New Roman" w:eastAsia="Times New Roman" w:hint="default"/>
        </w:rPr>
        <w:t>”</w:t>
      </w:r>
      <w:r>
        <w:rPr/>
        <w:t>。 在股东单位任职情况</w:t>
      </w:r>
    </w:p>
    <w:p>
      <w:pPr>
        <w:pStyle w:val="BodyText"/>
        <w:spacing w:line="240" w:lineRule="auto" w:before="40"/>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30"/>
        <w:gridCol w:w="1589"/>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39"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江苏润和科技投资有限公司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0"/>
        <w:ind w:right="0"/>
        <w:jc w:val="left"/>
      </w:pPr>
      <w:r>
        <w:rPr/>
        <w:t>在其他单位任职情况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329.640015pt;margin-top:72.480003pt;width:59.4pt;height:35.25pt;mso-position-horizontal-relative:page;mso-position-vertical-relative:page;z-index:-1031728" coordorigin="6593,1450" coordsize="1188,705">
            <v:shape style="position:absolute;left:6593;top:1450;width:1188;height:705" coordorigin="6593,1450" coordsize="1188,705" path="m6593,2154l7781,2154,7781,1450,6593,1450,6593,2154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株式会社潤和ソフトウェア東京</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代表取缔役 社长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22"/>
                <w:sz w:val="18"/>
              </w:rPr>
              <w:t> </w:t>
            </w:r>
            <w:r>
              <w:rPr>
                <w:rFonts w:ascii="Times New Roman"/>
                <w:sz w:val="18"/>
              </w:rPr>
              <w:t>Technology</w:t>
            </w:r>
            <w:r>
              <w:rPr>
                <w:rFonts w:ascii="Times New Roman"/>
                <w:spacing w:val="-19"/>
                <w:sz w:val="18"/>
              </w:rPr>
              <w:t> </w:t>
            </w:r>
            <w:r>
              <w:rPr>
                <w:rFonts w:ascii="Times New Roman"/>
                <w:sz w:val="18"/>
              </w:rPr>
              <w:t>Corporation</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 Software Singapore</w:t>
            </w:r>
            <w:r>
              <w:rPr>
                <w:rFonts w:ascii="Times New Roman"/>
                <w:spacing w:val="-6"/>
                <w:sz w:val="18"/>
              </w:rPr>
              <w:t> </w:t>
            </w:r>
            <w:r>
              <w:rPr>
                <w:rFonts w:ascii="Times New Roman"/>
                <w:sz w:val="18"/>
              </w:rPr>
              <w:t>Pte.Ltd.</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株式会社潤和ソフトウェア東京</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22"/>
                <w:sz w:val="18"/>
              </w:rPr>
              <w:t> </w:t>
            </w:r>
            <w:r>
              <w:rPr>
                <w:rFonts w:ascii="Times New Roman"/>
                <w:sz w:val="18"/>
              </w:rPr>
              <w:t>Technology</w:t>
            </w:r>
            <w:r>
              <w:rPr>
                <w:rFonts w:ascii="Times New Roman"/>
                <w:spacing w:val="-19"/>
                <w:sz w:val="18"/>
              </w:rPr>
              <w:t> </w:t>
            </w:r>
            <w:r>
              <w:rPr>
                <w:rFonts w:ascii="Times New Roman"/>
                <w:sz w:val="18"/>
              </w:rPr>
              <w:t>Corporation</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新一站保险代理有限公司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南京艾普太阳能设备有限公司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江苏赛联信息产业研究院股份有限公司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Apricus</w:t>
            </w:r>
            <w:r>
              <w:rPr>
                <w:rFonts w:ascii="Times New Roman"/>
                <w:spacing w:val="-1"/>
                <w:sz w:val="18"/>
              </w:rPr>
              <w:t> </w:t>
            </w:r>
            <w:r>
              <w:rPr>
                <w:rFonts w:ascii="Times New Roman"/>
                <w:sz w:val="18"/>
              </w:rPr>
              <w:t>Inc</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文笔网路科技有限公司（台湾）</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焦点进出口服务有限公司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江苏省广电有线信息网络股份有限公司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上海大屯能源股份有限公司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江苏宏宝五金股份有限公司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江苏金智科技股份有限公司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南京吉隆光纤通信股份有限公司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无锡威孚高科技集团股份有限公司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无锡邮信通物联网技术有限公司</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5"/>
        <w:gridCol w:w="5974"/>
      </w:tblGrid>
      <w:tr>
        <w:trPr>
          <w:trHeight w:val="355" w:hRule="exact"/>
        </w:trPr>
        <w:tc>
          <w:tcPr>
            <w:tcW w:w="3595" w:type="dxa"/>
            <w:tcBorders>
              <w:top w:val="single" w:sz="4" w:space="0" w:color="010101"/>
              <w:left w:val="single" w:sz="4" w:space="0" w:color="010101"/>
              <w:bottom w:val="nil" w:sz="6" w:space="0" w:color="auto"/>
              <w:right w:val="single" w:sz="4" w:space="0" w:color="010101"/>
            </w:tcBorders>
            <w:shd w:val="clear" w:color="auto" w:fill="D3D3D3"/>
          </w:tcPr>
          <w:p>
            <w:pPr/>
          </w:p>
        </w:tc>
        <w:tc>
          <w:tcPr>
            <w:tcW w:w="59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公司董事、监事报酬由股东大会决定，高级管理人员报酬由董事会决定；公</w:t>
            </w:r>
          </w:p>
        </w:tc>
      </w:tr>
      <w:tr>
        <w:trPr>
          <w:trHeight w:val="624" w:hRule="exact"/>
        </w:trPr>
        <w:tc>
          <w:tcPr>
            <w:tcW w:w="359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司承担职务的董事、监事、高级管理人员报酬由公司支付，董事、监事不另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外支付津贴。独立董事津贴依据股东大会决议支付，独立董事会务费据实报</w:t>
            </w:r>
          </w:p>
        </w:tc>
      </w:tr>
      <w:tr>
        <w:trPr>
          <w:trHeight w:val="359" w:hRule="exact"/>
        </w:trPr>
        <w:tc>
          <w:tcPr>
            <w:tcW w:w="3595" w:type="dxa"/>
            <w:tcBorders>
              <w:top w:val="nil" w:sz="6" w:space="0" w:color="auto"/>
              <w:left w:val="single" w:sz="4" w:space="0" w:color="010101"/>
              <w:bottom w:val="single" w:sz="4" w:space="0" w:color="010101"/>
              <w:right w:val="single" w:sz="4" w:space="0" w:color="010101"/>
            </w:tcBorders>
            <w:shd w:val="clear" w:color="auto" w:fill="D3D3D3"/>
          </w:tcPr>
          <w:p>
            <w:pPr/>
          </w:p>
        </w:tc>
        <w:tc>
          <w:tcPr>
            <w:tcW w:w="59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p>
        </w:tc>
      </w:tr>
      <w:tr>
        <w:trPr>
          <w:trHeight w:val="402"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依据公司盈利水平及各董事、监事、高级管理人员的分工及履行情况确定。</w:t>
            </w:r>
          </w:p>
        </w:tc>
      </w:tr>
      <w:tr>
        <w:trPr>
          <w:trHeight w:val="360" w:hRule="exact"/>
        </w:trPr>
        <w:tc>
          <w:tcPr>
            <w:tcW w:w="359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p>
        </w:tc>
        <w:tc>
          <w:tcPr>
            <w:tcW w:w="59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公司现有董事、监事、高级管理人员共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人，</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2,344,726.20</w:t>
            </w:r>
          </w:p>
        </w:tc>
      </w:tr>
      <w:tr>
        <w:trPr>
          <w:trHeight w:val="354" w:hRule="exact"/>
        </w:trPr>
        <w:tc>
          <w:tcPr>
            <w:tcW w:w="3595"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240" w:lineRule="auto" w:before="49"/>
        <w:ind w:right="0"/>
        <w:jc w:val="left"/>
      </w:pPr>
      <w:r>
        <w:rPr/>
        <w:t>公司报告期内董事、监事和高级管理人员报酬情况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714"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562,972.00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562,972.00</w:t>
            </w:r>
          </w:p>
        </w:tc>
      </w:tr>
      <w:tr>
        <w:trPr>
          <w:trHeight w:val="355" w:hRule="exact"/>
        </w:trPr>
        <w:tc>
          <w:tcPr>
            <w:tcW w:w="1198" w:type="dxa"/>
            <w:tcBorders>
              <w:top w:val="single" w:sz="4" w:space="0" w:color="010101"/>
              <w:left w:val="single" w:sz="4" w:space="0" w:color="010101"/>
              <w:bottom w:val="nil" w:sz="6" w:space="0" w:color="auto"/>
              <w:right w:val="single" w:sz="4" w:space="0" w:color="010101"/>
            </w:tcBorders>
          </w:tcPr>
          <w:p>
            <w:pPr/>
          </w:p>
        </w:tc>
        <w:tc>
          <w:tcPr>
            <w:tcW w:w="119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董事、常务副</w:t>
            </w:r>
          </w:p>
        </w:tc>
        <w:tc>
          <w:tcPr>
            <w:tcW w:w="1195" w:type="dxa"/>
            <w:tcBorders>
              <w:top w:val="single" w:sz="4" w:space="0" w:color="010101"/>
              <w:left w:val="single" w:sz="4" w:space="0" w:color="010101"/>
              <w:bottom w:val="nil" w:sz="6" w:space="0" w:color="auto"/>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c>
          <w:tcPr>
            <w:tcW w:w="1195" w:type="dxa"/>
            <w:tcBorders>
              <w:top w:val="single" w:sz="4" w:space="0" w:color="010101"/>
              <w:left w:val="single" w:sz="4" w:space="0" w:color="010101"/>
              <w:bottom w:val="nil" w:sz="6" w:space="0" w:color="auto"/>
              <w:right w:val="single" w:sz="4" w:space="0" w:color="010101"/>
            </w:tcBorders>
          </w:tcPr>
          <w:p>
            <w:pPr/>
          </w:p>
        </w:tc>
        <w:tc>
          <w:tcPr>
            <w:tcW w:w="1196" w:type="dxa"/>
            <w:vMerge w:val="restart"/>
            <w:tcBorders>
              <w:top w:val="single" w:sz="4" w:space="0" w:color="010101"/>
              <w:left w:val="single" w:sz="4" w:space="0" w:color="010101"/>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r>
      <w:tr>
        <w:trPr>
          <w:trHeight w:val="316" w:hRule="exact"/>
        </w:trPr>
        <w:tc>
          <w:tcPr>
            <w:tcW w:w="11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总裁兼技术总</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542,968.00</w:t>
            </w:r>
          </w:p>
        </w:tc>
        <w:tc>
          <w:tcPr>
            <w:tcW w:w="1196" w:type="dxa"/>
            <w:vMerge/>
            <w:tcBorders>
              <w:left w:val="single" w:sz="4" w:space="0" w:color="010101"/>
              <w:right w:val="single" w:sz="4" w:space="0" w:color="010101"/>
            </w:tcBorders>
          </w:tcPr>
          <w:p>
            <w:pP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542,968.00</w:t>
            </w:r>
          </w:p>
        </w:tc>
      </w:tr>
      <w:tr>
        <w:trPr>
          <w:trHeight w:val="354" w:hRule="exact"/>
        </w:trPr>
        <w:tc>
          <w:tcPr>
            <w:tcW w:w="1198" w:type="dxa"/>
            <w:tcBorders>
              <w:top w:val="nil" w:sz="6" w:space="0" w:color="auto"/>
              <w:left w:val="single" w:sz="4" w:space="0" w:color="010101"/>
              <w:bottom w:val="single" w:sz="4" w:space="0" w:color="010101"/>
              <w:right w:val="single" w:sz="4" w:space="0" w:color="010101"/>
            </w:tcBorders>
          </w:tcPr>
          <w:p>
            <w:pPr/>
          </w:p>
        </w:tc>
        <w:tc>
          <w:tcPr>
            <w:tcW w:w="119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w:t>
            </w:r>
          </w:p>
        </w:tc>
        <w:tc>
          <w:tcPr>
            <w:tcW w:w="1195" w:type="dxa"/>
            <w:tcBorders>
              <w:top w:val="nil" w:sz="6" w:space="0" w:color="auto"/>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c>
          <w:tcPr>
            <w:tcW w:w="1195" w:type="dxa"/>
            <w:tcBorders>
              <w:top w:val="nil" w:sz="6" w:space="0" w:color="auto"/>
              <w:left w:val="single" w:sz="4" w:space="0" w:color="010101"/>
              <w:bottom w:val="single" w:sz="4" w:space="0" w:color="010101"/>
              <w:right w:val="single" w:sz="4" w:space="0" w:color="010101"/>
            </w:tcBorders>
          </w:tcPr>
          <w:p>
            <w:pPr/>
          </w:p>
        </w:tc>
        <w:tc>
          <w:tcPr>
            <w:tcW w:w="1196" w:type="dxa"/>
            <w:vMerge/>
            <w:tcBorders>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178,420.00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178,420.00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286,300.00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286,300.00</w:t>
            </w:r>
          </w:p>
        </w:tc>
      </w:tr>
      <w:tr>
        <w:trPr>
          <w:trHeight w:val="355" w:hRule="exact"/>
        </w:trPr>
        <w:tc>
          <w:tcPr>
            <w:tcW w:w="1198" w:type="dxa"/>
            <w:tcBorders>
              <w:top w:val="single" w:sz="4" w:space="0" w:color="010101"/>
              <w:left w:val="single" w:sz="4" w:space="0" w:color="010101"/>
              <w:bottom w:val="nil" w:sz="6" w:space="0" w:color="auto"/>
              <w:right w:val="single" w:sz="4" w:space="0" w:color="010101"/>
            </w:tcBorders>
          </w:tcPr>
          <w:p>
            <w:pPr/>
          </w:p>
        </w:tc>
        <w:tc>
          <w:tcPr>
            <w:tcW w:w="119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董事、财务总</w:t>
            </w:r>
          </w:p>
        </w:tc>
        <w:tc>
          <w:tcPr>
            <w:tcW w:w="1195" w:type="dxa"/>
            <w:tcBorders>
              <w:top w:val="single" w:sz="4" w:space="0" w:color="010101"/>
              <w:left w:val="single" w:sz="4" w:space="0" w:color="010101"/>
              <w:bottom w:val="nil" w:sz="6" w:space="0" w:color="auto"/>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c>
          <w:tcPr>
            <w:tcW w:w="1195" w:type="dxa"/>
            <w:tcBorders>
              <w:top w:val="single" w:sz="4" w:space="0" w:color="010101"/>
              <w:left w:val="single" w:sz="4" w:space="0" w:color="010101"/>
              <w:bottom w:val="nil" w:sz="6" w:space="0" w:color="auto"/>
              <w:right w:val="single" w:sz="4" w:space="0" w:color="010101"/>
            </w:tcBorders>
          </w:tcPr>
          <w:p>
            <w:pPr/>
          </w:p>
        </w:tc>
        <w:tc>
          <w:tcPr>
            <w:tcW w:w="1196" w:type="dxa"/>
            <w:vMerge w:val="restart"/>
            <w:tcBorders>
              <w:top w:val="single" w:sz="4" w:space="0" w:color="010101"/>
              <w:left w:val="single" w:sz="4" w:space="0" w:color="010101"/>
              <w:right w:val="single" w:sz="4" w:space="0" w:color="010101"/>
            </w:tcBorders>
          </w:tcPr>
          <w:p>
            <w:pPr/>
          </w:p>
        </w:tc>
        <w:tc>
          <w:tcPr>
            <w:tcW w:w="1196" w:type="dxa"/>
            <w:tcBorders>
              <w:top w:val="single" w:sz="4" w:space="0" w:color="010101"/>
              <w:left w:val="single" w:sz="4" w:space="0" w:color="010101"/>
              <w:bottom w:val="nil" w:sz="6" w:space="0" w:color="auto"/>
              <w:right w:val="single" w:sz="4" w:space="0" w:color="010101"/>
            </w:tcBorders>
          </w:tcPr>
          <w:p>
            <w:pPr/>
          </w:p>
        </w:tc>
      </w:tr>
      <w:tr>
        <w:trPr>
          <w:trHeight w:val="316" w:hRule="exact"/>
        </w:trPr>
        <w:tc>
          <w:tcPr>
            <w:tcW w:w="119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监兼董事会秘</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252,100.00</w:t>
            </w:r>
          </w:p>
        </w:tc>
        <w:tc>
          <w:tcPr>
            <w:tcW w:w="1196" w:type="dxa"/>
            <w:vMerge/>
            <w:tcBorders>
              <w:left w:val="single" w:sz="4" w:space="0" w:color="010101"/>
              <w:right w:val="single" w:sz="4" w:space="0" w:color="010101"/>
            </w:tcBorders>
          </w:tcPr>
          <w:p>
            <w:pPr/>
          </w:p>
        </w:tc>
        <w:tc>
          <w:tcPr>
            <w:tcW w:w="1196"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252,100.00</w:t>
            </w:r>
          </w:p>
        </w:tc>
      </w:tr>
      <w:tr>
        <w:trPr>
          <w:trHeight w:val="354" w:hRule="exact"/>
        </w:trPr>
        <w:tc>
          <w:tcPr>
            <w:tcW w:w="1198" w:type="dxa"/>
            <w:tcBorders>
              <w:top w:val="nil" w:sz="6" w:space="0" w:color="auto"/>
              <w:left w:val="single" w:sz="4" w:space="0" w:color="010101"/>
              <w:bottom w:val="single" w:sz="4" w:space="0" w:color="010101"/>
              <w:right w:val="single" w:sz="4" w:space="0" w:color="010101"/>
            </w:tcBorders>
          </w:tcPr>
          <w:p>
            <w:pPr/>
          </w:p>
        </w:tc>
        <w:tc>
          <w:tcPr>
            <w:tcW w:w="119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195" w:type="dxa"/>
            <w:tcBorders>
              <w:top w:val="nil" w:sz="6" w:space="0" w:color="auto"/>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c>
          <w:tcPr>
            <w:tcW w:w="1195" w:type="dxa"/>
            <w:tcBorders>
              <w:top w:val="nil" w:sz="6" w:space="0" w:color="auto"/>
              <w:left w:val="single" w:sz="4" w:space="0" w:color="010101"/>
              <w:bottom w:val="single" w:sz="4" w:space="0" w:color="010101"/>
              <w:right w:val="single" w:sz="4" w:space="0" w:color="010101"/>
            </w:tcBorders>
          </w:tcPr>
          <w:p>
            <w:pPr/>
          </w:p>
        </w:tc>
        <w:tc>
          <w:tcPr>
            <w:tcW w:w="1196" w:type="dxa"/>
            <w:vMerge/>
            <w:tcBorders>
              <w:left w:val="single" w:sz="4" w:space="0" w:color="010101"/>
              <w:bottom w:val="single" w:sz="4" w:space="0" w:color="010101"/>
              <w:right w:val="single" w:sz="4" w:space="0" w:color="010101"/>
            </w:tcBorders>
          </w:tcPr>
          <w:p>
            <w:pPr/>
          </w:p>
        </w:tc>
        <w:tc>
          <w:tcPr>
            <w:tcW w:w="1196"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沈锦华</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331,461.00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331,461.00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董化礼</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177,200.00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263,700.00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263,700.00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79,486.20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79,486.20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2,344,726.20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509,881.00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2,854,607.20</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1"/>
        <w:gridCol w:w="1330"/>
        <w:gridCol w:w="4248"/>
      </w:tblGrid>
      <w:tr>
        <w:trPr>
          <w:trHeight w:val="402" w:hRule="exact"/>
        </w:trPr>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2"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0" w:type="dxa"/>
            <w:tcBorders>
              <w:top w:val="single" w:sz="4" w:space="0" w:color="010101"/>
              <w:left w:val="single" w:sz="4" w:space="0" w:color="010101"/>
              <w:bottom w:val="single" w:sz="4" w:space="0" w:color="010101"/>
              <w:right w:val="single" w:sz="4" w:space="0" w:color="010101"/>
            </w:tcBorders>
          </w:tcPr>
          <w:p>
            <w:pPr/>
          </w:p>
        </w:tc>
        <w:tc>
          <w:tcPr>
            <w:tcW w:w="1331" w:type="dxa"/>
            <w:tcBorders>
              <w:top w:val="single" w:sz="4" w:space="0" w:color="010101"/>
              <w:left w:val="single" w:sz="4" w:space="0" w:color="010101"/>
              <w:bottom w:val="single" w:sz="4" w:space="0" w:color="010101"/>
              <w:right w:val="single" w:sz="4" w:space="0" w:color="010101"/>
            </w:tcBorders>
          </w:tcPr>
          <w:p>
            <w:pPr/>
          </w:p>
        </w:tc>
        <w:tc>
          <w:tcPr>
            <w:tcW w:w="1330" w:type="dxa"/>
            <w:tcBorders>
              <w:top w:val="single" w:sz="4" w:space="0" w:color="010101"/>
              <w:left w:val="single" w:sz="4" w:space="0" w:color="010101"/>
              <w:bottom w:val="single" w:sz="4" w:space="0" w:color="010101"/>
              <w:right w:val="single" w:sz="4" w:space="0" w:color="010101"/>
            </w:tcBorders>
          </w:tcPr>
          <w:p>
            <w:pPr/>
          </w:p>
        </w:tc>
        <w:tc>
          <w:tcPr>
            <w:tcW w:w="4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报告期内，公司核心技术团队或关键技术人员（非董事、监事、高级管理人员）未发生变动。</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113" w:right="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日，公司员工总数为</w:t>
      </w:r>
      <w:r>
        <w:rPr>
          <w:rFonts w:ascii="Times New Roman" w:hAnsi="Times New Roman" w:cs="Times New Roman" w:eastAsia="Times New Roman" w:hint="default"/>
          <w:spacing w:val="-2"/>
        </w:rPr>
        <w:t>1586</w:t>
      </w:r>
      <w:r>
        <w:rPr>
          <w:spacing w:val="-2"/>
        </w:rPr>
        <w:t>人（包含公司和各子公司），公司员工按专业结构、学历、年龄划分的构成情况</w:t>
      </w:r>
      <w:r>
        <w:rPr>
          <w:spacing w:val="-55"/>
        </w:rPr>
        <w:t> </w:t>
      </w:r>
      <w:r>
        <w:rPr>
          <w:spacing w:val="-55"/>
        </w:rPr>
      </w:r>
      <w:r>
        <w:rPr/>
        <w:t>如下表：</w:t>
      </w:r>
    </w:p>
    <w:p>
      <w:pPr>
        <w:pStyle w:val="BodyText"/>
        <w:spacing w:line="240" w:lineRule="auto" w:before="31"/>
        <w:ind w:left="113" w:right="0"/>
        <w:jc w:val="left"/>
      </w:pPr>
      <w:r>
        <w:rPr>
          <w:rFonts w:ascii="Times New Roman" w:hAnsi="Times New Roman" w:cs="Times New Roman" w:eastAsia="Times New Roman" w:hint="default"/>
        </w:rPr>
        <w:t>1</w:t>
      </w:r>
      <w:r>
        <w:rPr/>
        <w:t>、按专业结构划分</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042"/>
        <w:gridCol w:w="1843"/>
        <w:gridCol w:w="2268"/>
      </w:tblGrid>
      <w:tr>
        <w:trPr>
          <w:trHeight w:val="355" w:hRule="exact"/>
        </w:trPr>
        <w:tc>
          <w:tcPr>
            <w:tcW w:w="2042" w:type="dxa"/>
            <w:tcBorders>
              <w:top w:val="single" w:sz="6" w:space="0" w:color="010101"/>
              <w:left w:val="single" w:sz="6" w:space="0" w:color="010101"/>
              <w:bottom w:val="single" w:sz="12" w:space="0" w:color="010101"/>
              <w:right w:val="single" w:sz="12" w:space="0" w:color="010101"/>
            </w:tcBorders>
            <w:shd w:val="clear" w:color="auto" w:fill="D9D9D9"/>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1843"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695"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268"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宋体" w:hAnsi="宋体" w:cs="宋体" w:eastAsia="宋体" w:hint="default"/>
                <w:sz w:val="21"/>
                <w:szCs w:val="21"/>
              </w:rPr>
            </w:r>
          </w:p>
        </w:tc>
      </w:tr>
      <w:tr>
        <w:trPr>
          <w:trHeight w:val="362" w:hRule="exact"/>
        </w:trPr>
        <w:tc>
          <w:tcPr>
            <w:tcW w:w="2042"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843"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695" w:right="0"/>
              <w:jc w:val="left"/>
              <w:rPr>
                <w:rFonts w:ascii="Times New Roman" w:hAnsi="Times New Roman" w:cs="Times New Roman" w:eastAsia="Times New Roman" w:hint="default"/>
                <w:sz w:val="21"/>
                <w:szCs w:val="21"/>
              </w:rPr>
            </w:pPr>
            <w:r>
              <w:rPr>
                <w:rFonts w:ascii="Times New Roman"/>
                <w:sz w:val="21"/>
              </w:rPr>
              <w:t>1396</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88.02%</w:t>
            </w:r>
          </w:p>
        </w:tc>
      </w:tr>
      <w:tr>
        <w:trPr>
          <w:trHeight w:val="361" w:hRule="exact"/>
        </w:trPr>
        <w:tc>
          <w:tcPr>
            <w:tcW w:w="2042"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843"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801" w:right="0"/>
              <w:jc w:val="left"/>
              <w:rPr>
                <w:rFonts w:ascii="Times New Roman" w:hAnsi="Times New Roman" w:cs="Times New Roman" w:eastAsia="Times New Roman" w:hint="default"/>
                <w:sz w:val="21"/>
                <w:szCs w:val="21"/>
              </w:rPr>
            </w:pPr>
            <w:r>
              <w:rPr>
                <w:rFonts w:ascii="Times New Roman"/>
                <w:sz w:val="21"/>
              </w:rPr>
              <w:t>72</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4.54%</w:t>
            </w:r>
          </w:p>
        </w:tc>
      </w:tr>
      <w:tr>
        <w:trPr>
          <w:trHeight w:val="362" w:hRule="exact"/>
        </w:trPr>
        <w:tc>
          <w:tcPr>
            <w:tcW w:w="2042"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843"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748" w:right="0"/>
              <w:jc w:val="left"/>
              <w:rPr>
                <w:rFonts w:ascii="Times New Roman" w:hAnsi="Times New Roman" w:cs="Times New Roman" w:eastAsia="Times New Roman" w:hint="default"/>
                <w:sz w:val="21"/>
                <w:szCs w:val="21"/>
              </w:rPr>
            </w:pPr>
            <w:r>
              <w:rPr>
                <w:rFonts w:ascii="Times New Roman"/>
                <w:sz w:val="21"/>
              </w:rPr>
              <w:t>118</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7.44%</w:t>
            </w:r>
          </w:p>
        </w:tc>
      </w:tr>
      <w:tr>
        <w:trPr>
          <w:trHeight w:val="362" w:hRule="exact"/>
        </w:trPr>
        <w:tc>
          <w:tcPr>
            <w:tcW w:w="2042"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843"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695" w:right="0"/>
              <w:jc w:val="left"/>
              <w:rPr>
                <w:rFonts w:ascii="Times New Roman" w:hAnsi="Times New Roman" w:cs="Times New Roman" w:eastAsia="Times New Roman" w:hint="default"/>
                <w:sz w:val="21"/>
                <w:szCs w:val="21"/>
              </w:rPr>
            </w:pPr>
            <w:r>
              <w:rPr>
                <w:rFonts w:ascii="Times New Roman"/>
                <w:sz w:val="21"/>
              </w:rPr>
              <w:t>1586</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8"/>
        <w:ind w:right="0"/>
        <w:jc w:val="left"/>
      </w:pPr>
      <w:r>
        <w:rPr>
          <w:rFonts w:ascii="Times New Roman" w:hAnsi="Times New Roman" w:cs="Times New Roman" w:eastAsia="Times New Roman" w:hint="default"/>
        </w:rPr>
        <w:t>2</w:t>
      </w:r>
      <w:r>
        <w:rPr/>
        <w:t>、按学历划分</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044"/>
        <w:gridCol w:w="1842"/>
        <w:gridCol w:w="2268"/>
      </w:tblGrid>
      <w:tr>
        <w:trPr>
          <w:trHeight w:val="355" w:hRule="exact"/>
        </w:trPr>
        <w:tc>
          <w:tcPr>
            <w:tcW w:w="2044" w:type="dxa"/>
            <w:tcBorders>
              <w:top w:val="single" w:sz="6" w:space="0" w:color="010101"/>
              <w:left w:val="single" w:sz="6" w:space="0" w:color="010101"/>
              <w:bottom w:val="single" w:sz="12" w:space="0" w:color="010101"/>
              <w:right w:val="single" w:sz="12" w:space="0" w:color="010101"/>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学历结构</w:t>
            </w:r>
            <w:r>
              <w:rPr>
                <w:rFonts w:ascii="宋体" w:hAnsi="宋体" w:cs="宋体" w:eastAsia="宋体" w:hint="default"/>
                <w:sz w:val="21"/>
                <w:szCs w:val="21"/>
              </w:rPr>
            </w:r>
          </w:p>
        </w:tc>
        <w:tc>
          <w:tcPr>
            <w:tcW w:w="1842"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695"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268"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1"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大学本科及以上</w:t>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695" w:right="0"/>
              <w:jc w:val="left"/>
              <w:rPr>
                <w:rFonts w:ascii="Times New Roman" w:hAnsi="Times New Roman" w:cs="Times New Roman" w:eastAsia="Times New Roman" w:hint="default"/>
                <w:sz w:val="21"/>
                <w:szCs w:val="21"/>
              </w:rPr>
            </w:pPr>
            <w:r>
              <w:rPr>
                <w:rFonts w:ascii="Times New Roman"/>
                <w:sz w:val="21"/>
              </w:rPr>
              <w:t>1276</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80.45%</w:t>
            </w:r>
          </w:p>
        </w:tc>
      </w:tr>
      <w:tr>
        <w:trPr>
          <w:trHeight w:val="362"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4"/>
              <w:ind w:left="746" w:right="0"/>
              <w:jc w:val="left"/>
              <w:rPr>
                <w:rFonts w:ascii="Times New Roman" w:hAnsi="Times New Roman" w:cs="Times New Roman" w:eastAsia="Times New Roman" w:hint="default"/>
                <w:sz w:val="21"/>
                <w:szCs w:val="21"/>
              </w:rPr>
            </w:pPr>
            <w:r>
              <w:rPr>
                <w:rFonts w:ascii="Times New Roman"/>
                <w:sz w:val="21"/>
              </w:rPr>
              <w:t>292</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18.41%</w:t>
            </w:r>
          </w:p>
        </w:tc>
      </w:tr>
      <w:tr>
        <w:trPr>
          <w:trHeight w:val="362"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799" w:right="0"/>
              <w:jc w:val="left"/>
              <w:rPr>
                <w:rFonts w:ascii="Times New Roman" w:hAnsi="Times New Roman" w:cs="Times New Roman" w:eastAsia="Times New Roman" w:hint="default"/>
                <w:sz w:val="21"/>
                <w:szCs w:val="21"/>
              </w:rPr>
            </w:pPr>
            <w:r>
              <w:rPr>
                <w:rFonts w:ascii="Times New Roman"/>
                <w:sz w:val="21"/>
              </w:rPr>
              <w:t>18</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1.13%</w:t>
            </w:r>
          </w:p>
        </w:tc>
      </w:tr>
      <w:tr>
        <w:trPr>
          <w:trHeight w:val="361"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695" w:right="0"/>
              <w:jc w:val="left"/>
              <w:rPr>
                <w:rFonts w:ascii="Times New Roman" w:hAnsi="Times New Roman" w:cs="Times New Roman" w:eastAsia="Times New Roman" w:hint="default"/>
                <w:sz w:val="21"/>
                <w:szCs w:val="21"/>
              </w:rPr>
            </w:pPr>
            <w:r>
              <w:rPr>
                <w:rFonts w:ascii="Times New Roman"/>
                <w:sz w:val="21"/>
              </w:rPr>
              <w:t>1586</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10"/>
        <w:ind w:right="0"/>
        <w:jc w:val="left"/>
      </w:pPr>
      <w:r>
        <w:rPr>
          <w:rFonts w:ascii="Times New Roman" w:hAnsi="Times New Roman" w:cs="Times New Roman" w:eastAsia="Times New Roman" w:hint="default"/>
        </w:rPr>
        <w:t>3</w:t>
      </w:r>
      <w:r>
        <w:rPr/>
        <w:t>、按年龄划分</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044"/>
        <w:gridCol w:w="1842"/>
        <w:gridCol w:w="2268"/>
      </w:tblGrid>
      <w:tr>
        <w:trPr>
          <w:trHeight w:val="355" w:hRule="exact"/>
        </w:trPr>
        <w:tc>
          <w:tcPr>
            <w:tcW w:w="2044" w:type="dxa"/>
            <w:tcBorders>
              <w:top w:val="single" w:sz="6" w:space="0" w:color="010101"/>
              <w:left w:val="single" w:sz="6" w:space="0" w:color="010101"/>
              <w:bottom w:val="single" w:sz="12" w:space="0" w:color="010101"/>
              <w:right w:val="single" w:sz="12" w:space="0" w:color="010101"/>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年龄结构</w:t>
            </w:r>
            <w:r>
              <w:rPr>
                <w:rFonts w:ascii="宋体" w:hAnsi="宋体" w:cs="宋体" w:eastAsia="宋体" w:hint="default"/>
                <w:sz w:val="21"/>
                <w:szCs w:val="21"/>
              </w:rPr>
            </w:r>
          </w:p>
        </w:tc>
        <w:tc>
          <w:tcPr>
            <w:tcW w:w="1842"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left="695" w:right="0"/>
              <w:jc w:val="left"/>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268" w:type="dxa"/>
            <w:tcBorders>
              <w:top w:val="single" w:sz="6" w:space="0" w:color="010101"/>
              <w:left w:val="single" w:sz="12" w:space="0" w:color="010101"/>
              <w:bottom w:val="single" w:sz="12" w:space="0" w:color="010101"/>
              <w:right w:val="single" w:sz="12" w:space="0" w:color="010101"/>
            </w:tcBorders>
            <w:shd w:val="clear" w:color="auto" w:fill="D9D9D9"/>
          </w:tcPr>
          <w:p>
            <w:pPr>
              <w:pStyle w:val="TableParagraph"/>
              <w:spacing w:line="270" w:lineRule="exact"/>
              <w:ind w:right="904"/>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1"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宋体" w:hAnsi="宋体" w:cs="宋体" w:eastAsia="宋体" w:hint="default"/>
                <w:sz w:val="21"/>
                <w:szCs w:val="21"/>
              </w:rPr>
              <w:t>岁以上</w:t>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799" w:right="0"/>
              <w:jc w:val="left"/>
              <w:rPr>
                <w:rFonts w:ascii="Times New Roman" w:hAnsi="Times New Roman" w:cs="Times New Roman" w:eastAsia="Times New Roman" w:hint="default"/>
                <w:sz w:val="21"/>
                <w:szCs w:val="21"/>
              </w:rPr>
            </w:pPr>
            <w:r>
              <w:rPr>
                <w:rFonts w:ascii="Times New Roman"/>
                <w:sz w:val="21"/>
              </w:rPr>
              <w:t>24</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846"/>
              <w:jc w:val="right"/>
              <w:rPr>
                <w:rFonts w:ascii="Times New Roman" w:hAnsi="Times New Roman" w:cs="Times New Roman" w:eastAsia="Times New Roman" w:hint="default"/>
                <w:sz w:val="21"/>
                <w:szCs w:val="21"/>
              </w:rPr>
            </w:pPr>
            <w:r>
              <w:rPr>
                <w:rFonts w:ascii="Times New Roman"/>
                <w:spacing w:val="-1"/>
                <w:sz w:val="21"/>
              </w:rPr>
              <w:t>1.51%</w:t>
            </w:r>
          </w:p>
        </w:tc>
      </w:tr>
      <w:tr>
        <w:trPr>
          <w:trHeight w:val="362"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30-40</w:t>
            </w:r>
            <w:r>
              <w:rPr>
                <w:rFonts w:ascii="宋体" w:hAnsi="宋体" w:cs="宋体" w:eastAsia="宋体" w:hint="default"/>
                <w:sz w:val="21"/>
                <w:szCs w:val="21"/>
              </w:rPr>
              <w:t>岁</w:t>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left="746" w:right="0"/>
              <w:jc w:val="left"/>
              <w:rPr>
                <w:rFonts w:ascii="Times New Roman" w:hAnsi="Times New Roman" w:cs="Times New Roman" w:eastAsia="Times New Roman" w:hint="default"/>
                <w:sz w:val="21"/>
                <w:szCs w:val="21"/>
              </w:rPr>
            </w:pPr>
            <w:r>
              <w:rPr>
                <w:rFonts w:ascii="Times New Roman"/>
                <w:sz w:val="21"/>
              </w:rPr>
              <w:t>203</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793"/>
              <w:jc w:val="right"/>
              <w:rPr>
                <w:rFonts w:ascii="Times New Roman" w:hAnsi="Times New Roman" w:cs="Times New Roman" w:eastAsia="Times New Roman" w:hint="default"/>
                <w:sz w:val="21"/>
                <w:szCs w:val="21"/>
              </w:rPr>
            </w:pPr>
            <w:r>
              <w:rPr>
                <w:rFonts w:ascii="Times New Roman"/>
                <w:spacing w:val="-1"/>
                <w:sz w:val="21"/>
              </w:rPr>
              <w:t>12.80%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44"/>
        <w:gridCol w:w="1842"/>
        <w:gridCol w:w="2268"/>
      </w:tblGrid>
      <w:tr>
        <w:trPr>
          <w:trHeight w:val="371" w:hRule="exact"/>
        </w:trPr>
        <w:tc>
          <w:tcPr>
            <w:tcW w:w="2044" w:type="dxa"/>
            <w:tcBorders>
              <w:top w:val="single" w:sz="6" w:space="0" w:color="010101"/>
              <w:left w:val="single" w:sz="6" w:space="0" w:color="010101"/>
              <w:bottom w:val="single" w:sz="12" w:space="0" w:color="010101"/>
              <w:right w:val="single" w:sz="12" w:space="0" w:color="010101"/>
            </w:tcBorders>
          </w:tcPr>
          <w:p>
            <w:pPr>
              <w:pStyle w:val="TableParagraph"/>
              <w:spacing w:line="240" w:lineRule="auto" w:before="1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1842" w:type="dxa"/>
            <w:tcBorders>
              <w:top w:val="single" w:sz="6" w:space="0" w:color="010101"/>
              <w:left w:val="single" w:sz="12" w:space="0" w:color="010101"/>
              <w:bottom w:val="single" w:sz="12" w:space="0" w:color="010101"/>
              <w:right w:val="single" w:sz="12" w:space="0" w:color="010101"/>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1359</w:t>
            </w:r>
          </w:p>
        </w:tc>
        <w:tc>
          <w:tcPr>
            <w:tcW w:w="2268" w:type="dxa"/>
            <w:tcBorders>
              <w:top w:val="single" w:sz="6" w:space="0" w:color="010101"/>
              <w:left w:val="single" w:sz="12" w:space="0" w:color="010101"/>
              <w:bottom w:val="single" w:sz="12" w:space="0" w:color="010101"/>
              <w:right w:val="single" w:sz="12" w:space="0" w:color="010101"/>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85.69%</w:t>
            </w:r>
          </w:p>
        </w:tc>
      </w:tr>
      <w:tr>
        <w:trPr>
          <w:trHeight w:val="361" w:hRule="exact"/>
        </w:trPr>
        <w:tc>
          <w:tcPr>
            <w:tcW w:w="2044" w:type="dxa"/>
            <w:tcBorders>
              <w:top w:val="single" w:sz="12" w:space="0" w:color="010101"/>
              <w:left w:val="single" w:sz="6" w:space="0" w:color="010101"/>
              <w:bottom w:val="single" w:sz="12" w:space="0" w:color="010101"/>
              <w:right w:val="single" w:sz="12" w:space="0" w:color="010101"/>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84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1582</w:t>
            </w:r>
          </w:p>
        </w:tc>
        <w:tc>
          <w:tcPr>
            <w:tcW w:w="2268"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3"/>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0"/>
        <w:ind w:left="3710" w:right="386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74" w:right="0"/>
        <w:jc w:val="left"/>
      </w:pPr>
      <w:r>
        <w:rPr>
          <w:spacing w:val="-2"/>
        </w:rPr>
        <w:t>报告期内，公司严格按照《公司法》、《证券法》、《上市公司治理准则》、《深圳证券交易所创业板股票上市规则》、</w:t>
      </w:r>
    </w:p>
    <w:p>
      <w:pPr>
        <w:pStyle w:val="BodyText"/>
        <w:spacing w:line="316" w:lineRule="auto" w:before="76"/>
        <w:ind w:right="271"/>
        <w:jc w:val="both"/>
      </w:pPr>
      <w:r>
        <w:rPr>
          <w:spacing w:val="-2"/>
        </w:rPr>
        <w:t>《深圳证券交易所创业板上市公司规范运作指引》和其他有关法律法规的要求，不断完善公司法人治理结构，进一步规范公</w:t>
      </w:r>
      <w:r>
        <w:rPr>
          <w:spacing w:val="-65"/>
        </w:rPr>
        <w:t> </w:t>
      </w:r>
      <w:r>
        <w:rPr>
          <w:spacing w:val="-65"/>
        </w:rPr>
      </w:r>
      <w:r>
        <w:rPr>
          <w:spacing w:val="-2"/>
        </w:rPr>
        <w:t>司法人治理结构，建立健全公司内部管理和控制制度。公司本着对投资者高度负责的精神，诚信经营并规范运作，提高公司</w:t>
      </w:r>
      <w:r>
        <w:rPr>
          <w:spacing w:val="-66"/>
        </w:rPr>
        <w:t> </w:t>
      </w:r>
      <w:r>
        <w:rPr>
          <w:spacing w:val="-66"/>
        </w:rPr>
      </w:r>
      <w:r>
        <w:rPr>
          <w:spacing w:val="-2"/>
        </w:rPr>
        <w:t>治理水品，切实履行上市公司义务，促进公司健康发展。截至报告期末，公司治理结构的实际情况符合中国证监会发布的有</w:t>
      </w:r>
      <w:r>
        <w:rPr>
          <w:spacing w:val="-66"/>
        </w:rPr>
        <w:t> </w:t>
      </w:r>
      <w:r>
        <w:rPr>
          <w:spacing w:val="-66"/>
        </w:rPr>
      </w:r>
      <w:r>
        <w:rPr/>
        <w:t>关上市公司治理规范性文件的要求。</w:t>
      </w:r>
    </w:p>
    <w:p>
      <w:pPr>
        <w:pStyle w:val="BodyText"/>
        <w:spacing w:line="300" w:lineRule="auto" w:before="19"/>
        <w:ind w:left="474" w:right="0"/>
        <w:jc w:val="left"/>
      </w:pPr>
      <w:r>
        <w:rPr>
          <w:rFonts w:ascii="Times New Roman" w:hAnsi="Times New Roman" w:cs="Times New Roman" w:eastAsia="Times New Roman" w:hint="default"/>
        </w:rPr>
        <w:t>1</w:t>
      </w:r>
      <w:r>
        <w:rPr/>
        <w:t>、关于股东和股东大会 </w:t>
      </w:r>
      <w:r>
        <w:rPr>
          <w:spacing w:val="-2"/>
        </w:rPr>
        <w:t>公司严格按照《公司法》、《公司章程》和《股东大会议事规则》等法律、法规要求，规范股东大会召集、召开、表决</w:t>
      </w:r>
    </w:p>
    <w:p>
      <w:pPr>
        <w:pStyle w:val="BodyText"/>
        <w:spacing w:line="240" w:lineRule="auto" w:before="31"/>
        <w:ind w:right="0"/>
        <w:jc w:val="left"/>
      </w:pPr>
      <w:r>
        <w:rPr/>
        <w:t>程序，确保所有股东享有平等地位、平等权利，充分行使自己的权利，并承担相应的义务。</w:t>
      </w:r>
    </w:p>
    <w:p>
      <w:pPr>
        <w:pStyle w:val="BodyText"/>
        <w:spacing w:line="300" w:lineRule="auto" w:before="76"/>
        <w:ind w:left="474" w:right="0"/>
        <w:jc w:val="left"/>
      </w:pPr>
      <w:r>
        <w:rPr>
          <w:rFonts w:ascii="Times New Roman" w:hAnsi="Times New Roman" w:cs="Times New Roman" w:eastAsia="Times New Roman" w:hint="default"/>
        </w:rPr>
        <w:t>2</w:t>
      </w:r>
      <w:r>
        <w:rPr/>
        <w:t>、关于公司与控股股东 </w:t>
      </w:r>
      <w:r>
        <w:rPr>
          <w:spacing w:val="-2"/>
        </w:rPr>
        <w:t>公司控股股东严格规范自身行为，没有直接或间接干预公司的决策和经营活动。公司具有独立的经营能力，在业务、人</w:t>
      </w:r>
    </w:p>
    <w:p>
      <w:pPr>
        <w:pStyle w:val="BodyText"/>
        <w:spacing w:line="240" w:lineRule="auto" w:before="31"/>
        <w:ind w:right="0"/>
        <w:jc w:val="left"/>
      </w:pPr>
      <w:r>
        <w:rPr/>
        <w:t>员、资产、机构、财务上独立于控股股东，公司董事会、监事会和内部机构能够独立运作。</w:t>
      </w:r>
    </w:p>
    <w:p>
      <w:pPr>
        <w:pStyle w:val="BodyText"/>
        <w:spacing w:line="300" w:lineRule="auto" w:before="76"/>
        <w:ind w:left="474" w:right="0"/>
        <w:jc w:val="left"/>
      </w:pPr>
      <w:r>
        <w:rPr>
          <w:rFonts w:ascii="Times New Roman" w:hAnsi="Times New Roman" w:cs="Times New Roman" w:eastAsia="Times New Roman" w:hint="default"/>
        </w:rPr>
        <w:t>3</w:t>
      </w:r>
      <w:r>
        <w:rPr/>
        <w:t>、关于董事与董事会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w:t>
      </w:r>
    </w:p>
    <w:p>
      <w:pPr>
        <w:pStyle w:val="BodyText"/>
        <w:spacing w:line="316" w:lineRule="auto" w:before="13"/>
        <w:ind w:right="0"/>
        <w:jc w:val="left"/>
      </w:pPr>
      <w:r>
        <w:rPr>
          <w:spacing w:val="-2"/>
        </w:rPr>
        <w:t>能够严格按照《公司法》、《公司章程》和《董事会议事规则》等法律、法规开展工作，诚信、勤勉地履行职责，出席董事</w:t>
      </w:r>
      <w:r>
        <w:rPr>
          <w:spacing w:val="-71"/>
        </w:rPr>
        <w:t> </w:t>
      </w:r>
      <w:r>
        <w:rPr>
          <w:spacing w:val="-71"/>
        </w:rPr>
      </w:r>
      <w:r>
        <w:rPr/>
        <w:t>会会议和股东大会，勤勉尽责地履行职责和义务，同时积极参加有关培训，熟悉有关法律法规。</w:t>
      </w:r>
    </w:p>
    <w:p>
      <w:pPr>
        <w:pStyle w:val="BodyText"/>
        <w:spacing w:line="300" w:lineRule="auto" w:before="19"/>
        <w:ind w:left="474" w:right="0"/>
        <w:jc w:val="left"/>
      </w:pPr>
      <w:r>
        <w:rPr>
          <w:rFonts w:ascii="Times New Roman" w:hAnsi="Times New Roman" w:cs="Times New Roman" w:eastAsia="Times New Roman" w:hint="default"/>
        </w:rPr>
        <w:t>4</w:t>
      </w:r>
      <w:r>
        <w:rPr/>
        <w:t>、监事与监事会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名，监事会的人数和构成符合法律、法规的要求。各位监事严格按照《公司法》、</w:t>
      </w:r>
    </w:p>
    <w:p>
      <w:pPr>
        <w:pStyle w:val="BodyText"/>
        <w:spacing w:line="316" w:lineRule="auto" w:before="13"/>
        <w:ind w:right="0"/>
        <w:jc w:val="left"/>
      </w:pPr>
      <w:r>
        <w:rPr>
          <w:spacing w:val="-2"/>
        </w:rPr>
        <w:t>《公司章程》和《监事会议事规则》的有关规定认真履行职责，对公司财务状况、重大事项、关联交易以及公司董事及高级</w:t>
      </w:r>
      <w:r>
        <w:rPr>
          <w:spacing w:val="-67"/>
        </w:rPr>
        <w:t> </w:t>
      </w:r>
      <w:r>
        <w:rPr>
          <w:spacing w:val="-67"/>
        </w:rPr>
      </w:r>
      <w:r>
        <w:rPr/>
        <w:t>管理人员履行职责的合法合规性进行监督，维护公司及股东的合法权益。</w:t>
      </w:r>
    </w:p>
    <w:p>
      <w:pPr>
        <w:pStyle w:val="BodyText"/>
        <w:spacing w:line="300" w:lineRule="auto" w:before="19"/>
        <w:ind w:left="474" w:right="0"/>
        <w:jc w:val="left"/>
      </w:pPr>
      <w:r>
        <w:rPr>
          <w:rFonts w:ascii="Times New Roman" w:hAnsi="Times New Roman" w:cs="Times New Roman" w:eastAsia="Times New Roman" w:hint="default"/>
        </w:rPr>
        <w:t>5</w:t>
      </w:r>
      <w:r>
        <w:rPr/>
        <w:t>、关于绩效评价与激励约束机制 </w:t>
      </w:r>
      <w:r>
        <w:rPr>
          <w:spacing w:val="-2"/>
        </w:rPr>
        <w:t>公司董事会下设的提名、薪酬与考核委员会负责对公司的董事、监事、高级管理人员进行绩效考核，公司现有的考核及</w:t>
      </w:r>
    </w:p>
    <w:p>
      <w:pPr>
        <w:pStyle w:val="BodyText"/>
        <w:spacing w:line="240" w:lineRule="auto" w:before="31"/>
        <w:ind w:right="0"/>
        <w:jc w:val="left"/>
      </w:pPr>
      <w:r>
        <w:rPr/>
        <w:t>激励约束机制符合公司的发展现状。</w:t>
      </w:r>
    </w:p>
    <w:p>
      <w:pPr>
        <w:pStyle w:val="BodyText"/>
        <w:spacing w:line="300" w:lineRule="auto" w:before="76"/>
        <w:ind w:left="474" w:right="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公司严格按照有关法律法规以及《信息披露制度》、《投资者关系管理制度》等的要求，真实、准确、及时、公平、完</w:t>
      </w:r>
    </w:p>
    <w:p>
      <w:pPr>
        <w:pStyle w:val="BodyText"/>
        <w:spacing w:line="300" w:lineRule="auto" w:before="31"/>
        <w:ind w:left="113" w:right="0"/>
        <w:jc w:val="left"/>
      </w:pPr>
      <w:r>
        <w:rPr>
          <w:spacing w:val="-1"/>
        </w:rPr>
        <w:t>整地披露有关信息；并指定公司董事会秘书负责信息披露工作，协调公司与投资者的关系，接待股东来访</w:t>
      </w:r>
      <w:r>
        <w:rPr>
          <w:rFonts w:ascii="Times New Roman" w:hAnsi="Times New Roman" w:cs="Times New Roman" w:eastAsia="Times New Roman" w:hint="default"/>
          <w:spacing w:val="-1"/>
        </w:rPr>
        <w:t>,</w:t>
      </w:r>
      <w:r>
        <w:rPr>
          <w:spacing w:val="-1"/>
        </w:rPr>
        <w:t>回答投资者咨询，</w:t>
      </w:r>
      <w:r>
        <w:rPr>
          <w:spacing w:val="-73"/>
        </w:rPr>
        <w:t> </w:t>
      </w:r>
      <w:r>
        <w:rPr/>
        <w:t>向投资者提供公司已披露的资料；并指定《证券时报》、《中国证券报》、《上海证券报》、《证券日报》和巨潮网</w:t>
      </w:r>
    </w:p>
    <w:p>
      <w:pPr>
        <w:pStyle w:val="BodyText"/>
        <w:spacing w:line="300" w:lineRule="auto" w:before="31"/>
        <w:ind w:left="473" w:right="0" w:hanging="360"/>
        <w:jc w:val="left"/>
      </w:pPr>
      <w:r>
        <w:rPr/>
        <w:t>（</w:t>
      </w:r>
      <w:hyperlink r:id="rId10">
        <w:r>
          <w:rPr>
            <w:rFonts w:ascii="Times New Roman" w:hAnsi="Times New Roman" w:cs="Times New Roman" w:eastAsia="Times New Roman" w:hint="default"/>
          </w:rPr>
          <w:t>www.cninfo.com.cn</w:t>
        </w:r>
      </w:hyperlink>
      <w:r>
        <w:rPr/>
        <w:t>）为公司信息披露的指定报纸和网站，确保公司所有股东能够以平等的机会获得信息。 </w:t>
      </w:r>
      <w:r>
        <w:rPr>
          <w:rFonts w:ascii="Times New Roman" w:hAnsi="Times New Roman" w:cs="Times New Roman" w:eastAsia="Times New Roman" w:hint="default"/>
        </w:rPr>
        <w:t>7</w:t>
      </w:r>
      <w:r>
        <w:rPr/>
        <w:t>、关于相关利益者 </w:t>
      </w:r>
      <w:r>
        <w:rPr>
          <w:spacing w:val="-4"/>
        </w:rPr>
        <w:t>公司能够充分尊重和维护相关利益者的合法权益，积极与相关利益者合作，加强与各方的沟通和交流，实现股东、员工、</w:t>
      </w:r>
    </w:p>
    <w:p>
      <w:pPr>
        <w:pStyle w:val="BodyText"/>
        <w:spacing w:line="240" w:lineRule="auto" w:before="31"/>
        <w:ind w:left="113" w:right="0"/>
        <w:jc w:val="left"/>
      </w:pPr>
      <w:r>
        <w:rPr/>
        <w:t>社会等各方面的均衡，共同推动公司持续、稳定、健康地发展。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before="0"/>
        <w:ind w:left="113" w:right="0"/>
        <w:jc w:val="left"/>
      </w:pPr>
      <w:r>
        <w:rPr/>
        <w:t>公司治理与《公司法》和中国证监会相关规定的要求是否存在差异</w:t>
      </w:r>
    </w:p>
    <w:p>
      <w:pPr>
        <w:pStyle w:val="BodyText"/>
        <w:spacing w:line="240" w:lineRule="auto" w:before="116"/>
        <w:ind w:left="1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0" w:top="1060" w:bottom="1160" w:left="1020" w:right="86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第三届董事会第十六次会议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第三届董事会第十八次会议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第三届董事会第十九次会议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第三届董事会第二十次会议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第三届董事会第二十一次会 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13" w:right="111" w:firstLine="360"/>
        <w:jc w:val="both"/>
      </w:pPr>
      <w:r>
        <w:rPr>
          <w:spacing w:val="-2"/>
        </w:rPr>
        <w:t>为进一步提高本公司规范运作水平，加大对年度报告信息披露相关责任人员的问责力度，提高年度报告信息披露的质量</w:t>
      </w:r>
      <w:r>
        <w:rPr/>
        <w:t> </w:t>
      </w:r>
      <w:r>
        <w:rPr>
          <w:spacing w:val="-2"/>
        </w:rPr>
        <w:t>和透明度，确保年度报告信息披露的真实性、准确性、完整性和及时性，推进公司内控制度建设，根据《中华人民共和国证</w:t>
      </w:r>
      <w:r>
        <w:rPr>
          <w:spacing w:val="-67"/>
        </w:rPr>
        <w:t> </w:t>
      </w:r>
      <w:r>
        <w:rPr>
          <w:spacing w:val="-67"/>
        </w:rPr>
      </w:r>
      <w:r>
        <w:rPr>
          <w:spacing w:val="-11"/>
        </w:rPr>
        <w:t>券法》、《上市公司信息披露管理办法》、《上市公司治理准则》和《深圳证券交易所创业板股票上市规则》、《创业板上市公司</w:t>
      </w:r>
      <w:r>
        <w:rPr>
          <w:spacing w:val="-87"/>
        </w:rPr>
        <w:t> </w:t>
      </w:r>
      <w:r>
        <w:rPr>
          <w:spacing w:val="-87"/>
        </w:rPr>
      </w:r>
      <w:r>
        <w:rPr>
          <w:spacing w:val="-2"/>
        </w:rPr>
        <w:t>规范运作指引》等法律法规、规范性文件及《公司章程》、公司《信息披露管理制度》的有关规定，结合本公司实际情况，</w:t>
      </w:r>
      <w:r>
        <w:rPr>
          <w:spacing w:val="-72"/>
        </w:rPr>
        <w:t> </w:t>
      </w:r>
      <w:r>
        <w:rPr>
          <w:spacing w:val="-72"/>
        </w:rPr>
      </w:r>
      <w:r>
        <w:rPr>
          <w:spacing w:val="-2"/>
        </w:rPr>
        <w:t>制定了《江苏润和软件股份有限公司年度报告信息重大差错责任追究制度》。该制度已经公司第三届董事会第二十二次会议</w:t>
      </w:r>
      <w:r>
        <w:rPr>
          <w:spacing w:val="-72"/>
        </w:rPr>
        <w:t> </w:t>
      </w:r>
      <w:r>
        <w:rPr>
          <w:spacing w:val="-72"/>
        </w:rPr>
      </w:r>
      <w:r>
        <w:rPr/>
        <w:t>审议通过。报告期内公司未发生重大会计差错更正、重大遗漏信息补充以及业绩预告修正等情况。</w:t>
      </w:r>
    </w:p>
    <w:p>
      <w:pPr>
        <w:spacing w:line="240" w:lineRule="auto" w:before="10"/>
        <w:rPr>
          <w:rFonts w:ascii="宋体" w:hAnsi="宋体" w:cs="宋体" w:eastAsia="宋体" w:hint="default"/>
          <w:sz w:val="20"/>
          <w:szCs w:val="20"/>
        </w:rPr>
      </w:pPr>
    </w:p>
    <w:p>
      <w:pPr>
        <w:pStyle w:val="Heading2"/>
        <w:spacing w:line="240" w:lineRule="auto" w:before="0"/>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pStyle w:val="BodyText"/>
        <w:spacing w:line="338" w:lineRule="auto" w:before="117"/>
        <w:ind w:right="6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footerReference w:type="default" r:id="rId23"/>
          <w:pgSz w:w="11910" w:h="16840"/>
          <w:pgMar w:footer="980" w:header="747"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10" w:right="3826"/>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212"/>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华普天健会计师事务所（北京）有限公司</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[2013]0227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Style w:val="BodyText"/>
        <w:spacing w:line="240" w:lineRule="auto" w:before="50"/>
        <w:ind w:left="3709" w:right="3826"/>
        <w:jc w:val="center"/>
      </w:pPr>
      <w:r>
        <w:rPr/>
        <w:t>审计报告正文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26"/>
        <w:ind w:left="0" w:right="228"/>
        <w:jc w:val="right"/>
      </w:pPr>
      <w:r>
        <w:rPr/>
        <w:t>会审字</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rFonts w:ascii="Times New Roman" w:hAnsi="Times New Roman" w:cs="Times New Roman" w:eastAsia="Times New Roman" w:hint="default"/>
        </w:rPr>
        <w:t>0227</w:t>
      </w:r>
      <w:r>
        <w:rPr/>
        <w:t>号</w:t>
      </w:r>
    </w:p>
    <w:p>
      <w:pPr>
        <w:spacing w:line="240" w:lineRule="auto" w:before="12"/>
        <w:rPr>
          <w:rFonts w:ascii="宋体" w:hAnsi="宋体" w:cs="宋体" w:eastAsia="宋体" w:hint="default"/>
          <w:sz w:val="29"/>
          <w:szCs w:val="29"/>
        </w:rPr>
      </w:pPr>
    </w:p>
    <w:p>
      <w:pPr>
        <w:spacing w:before="7"/>
        <w:ind w:left="3710" w:right="3826"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8"/>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26"/>
          <w:szCs w:val="26"/>
        </w:rPr>
      </w:pPr>
    </w:p>
    <w:p>
      <w:pPr>
        <w:pStyle w:val="Heading3"/>
        <w:spacing w:line="480" w:lineRule="atLeast"/>
        <w:ind w:left="594" w:right="212" w:hanging="480"/>
        <w:jc w:val="left"/>
        <w:rPr>
          <w:rFonts w:ascii="Times New Roman" w:hAnsi="Times New Roman" w:cs="Times New Roman" w:eastAsia="Times New Roman" w:hint="default"/>
        </w:rPr>
      </w:pPr>
      <w:r>
        <w:rPr/>
        <w:t>江苏润和软件股份有限公司全体股东： 我们审计了后附的江苏润和软件股份有限公司（以下简称贵公司）财务报表，包括</w:t>
      </w:r>
      <w:r>
        <w:rPr>
          <w:rFonts w:ascii="Times New Roman" w:hAnsi="Times New Roman" w:cs="Times New Roman" w:eastAsia="Times New Roman" w:hint="default"/>
        </w:rPr>
        <w:t>2012</w:t>
      </w:r>
    </w:p>
    <w:p>
      <w:pPr>
        <w:pStyle w:val="Heading3"/>
        <w:spacing w:line="312" w:lineRule="exact" w:before="10"/>
        <w:ind w:right="212"/>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w:t>
      </w:r>
      <w:r>
        <w:rPr>
          <w:spacing w:val="-86"/>
        </w:rPr>
        <w:t> </w:t>
      </w:r>
      <w:r>
        <w:rPr/>
        <w:t>金流量表、合并及母公司股东权益变动表，以及财务报表附注。</w:t>
      </w:r>
    </w:p>
    <w:p>
      <w:pPr>
        <w:spacing w:line="240" w:lineRule="auto" w:before="9"/>
        <w:rPr>
          <w:rFonts w:ascii="宋体" w:hAnsi="宋体" w:cs="宋体" w:eastAsia="宋体" w:hint="default"/>
          <w:sz w:val="32"/>
          <w:szCs w:val="32"/>
        </w:rPr>
      </w:pPr>
    </w:p>
    <w:p>
      <w:pPr>
        <w:spacing w:line="480" w:lineRule="atLeast" w:before="0"/>
        <w:ind w:left="594" w:right="212"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w:t>
      </w:r>
    </w:p>
    <w:p>
      <w:pPr>
        <w:pStyle w:val="Heading3"/>
        <w:spacing w:line="312" w:lineRule="exact" w:before="10"/>
        <w:ind w:right="212"/>
        <w:jc w:val="left"/>
      </w:pPr>
      <w:r>
        <w:rPr>
          <w:spacing w:val="-2"/>
        </w:rPr>
        <w:t>则的规定编制财务报表，并使其实现公允反映；（</w:t>
      </w:r>
      <w:r>
        <w:rPr>
          <w:rFonts w:ascii="Times New Roman" w:hAnsi="Times New Roman" w:cs="Times New Roman" w:eastAsia="Times New Roman" w:hint="default"/>
          <w:spacing w:val="-2"/>
        </w:rPr>
        <w:t>2</w:t>
      </w:r>
      <w:r>
        <w:rPr>
          <w:spacing w:val="-2"/>
        </w:rPr>
        <w:t>）设计、执行和维护必要的内部控制，以</w:t>
      </w:r>
      <w:r>
        <w:rPr/>
        <w:t> 使财务报表不存在由于舞弊或错误导致的重大错报。</w:t>
      </w:r>
    </w:p>
    <w:p>
      <w:pPr>
        <w:spacing w:line="468" w:lineRule="exact" w:before="31"/>
        <w:ind w:left="594" w:right="212"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251" w:lineRule="exact"/>
        <w:ind w:right="212"/>
        <w:jc w:val="left"/>
      </w:pPr>
      <w:r>
        <w:rPr/>
        <w:t>计师审计准则的规定执行了审计工作。中国注册会计师审计准则要求我们遵守中国注册会计</w:t>
      </w:r>
    </w:p>
    <w:p>
      <w:pPr>
        <w:pStyle w:val="Heading3"/>
        <w:spacing w:line="313" w:lineRule="exact"/>
        <w:ind w:right="212"/>
        <w:jc w:val="left"/>
      </w:pPr>
      <w:r>
        <w:rPr/>
        <w:t>师职业道德守则，计划和执行审计工作以对财务报表是否不存在重大错报获取合理保证。</w:t>
      </w:r>
    </w:p>
    <w:p>
      <w:pPr>
        <w:pStyle w:val="Heading3"/>
        <w:spacing w:line="312" w:lineRule="exact" w:before="184"/>
        <w:ind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Heading3"/>
        <w:spacing w:line="240" w:lineRule="auto" w:before="125"/>
        <w:ind w:left="594" w:right="212"/>
        <w:jc w:val="left"/>
      </w:pPr>
      <w:r>
        <w:rPr/>
        <w:t>我们相信，我们获取的审计证据是充分、适当的，为发表审计意见提供了基础。</w:t>
      </w:r>
    </w:p>
    <w:p>
      <w:pPr>
        <w:spacing w:after="0" w:line="240" w:lineRule="auto"/>
        <w:jc w:val="left"/>
        <w:sectPr>
          <w:footerReference w:type="default" r:id="rId24"/>
          <w:pgSz w:w="11910" w:h="16840"/>
          <w:pgMar w:footer="980" w:header="747" w:top="1060" w:bottom="1160" w:left="1020" w:right="900"/>
          <w:pgNumType w:start="61"/>
        </w:sectPr>
      </w:pPr>
    </w:p>
    <w:p>
      <w:pPr>
        <w:spacing w:line="240" w:lineRule="auto" w:before="9"/>
        <w:rPr>
          <w:rFonts w:ascii="宋体" w:hAnsi="宋体" w:cs="宋体" w:eastAsia="宋体" w:hint="default"/>
          <w:sz w:val="23"/>
          <w:szCs w:val="23"/>
        </w:rPr>
      </w:pPr>
    </w:p>
    <w:p>
      <w:pPr>
        <w:pStyle w:val="Heading2"/>
        <w:spacing w:line="240" w:lineRule="auto"/>
        <w:ind w:left="596" w:right="0"/>
        <w:jc w:val="left"/>
        <w:rPr>
          <w:b w:val="0"/>
          <w:bCs w:val="0"/>
        </w:rPr>
      </w:pPr>
      <w:r>
        <w:rPr/>
        <w:t>三、审计意见</w:t>
      </w:r>
      <w:r>
        <w:rPr>
          <w:b w:val="0"/>
          <w:bCs w:val="0"/>
        </w:rPr>
      </w:r>
    </w:p>
    <w:p>
      <w:pPr>
        <w:pStyle w:val="Heading3"/>
        <w:spacing w:line="312" w:lineRule="exact" w:before="184"/>
        <w:ind w:left="113" w:right="102" w:firstLine="480"/>
        <w:jc w:val="both"/>
      </w:pPr>
      <w:r>
        <w:rPr/>
        <w:t>我们认为，贵公司财务报表在所有重大方面按照企业会计准则的规定编制，公允反映了</w:t>
      </w:r>
      <w:r>
        <w:rPr>
          <w:spacing w:val="1"/>
        </w:rPr>
        <w:t> </w:t>
      </w:r>
      <w:r>
        <w:rPr/>
        <w:t>贵公司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w:t>
      </w:r>
      <w:r>
        <w:rPr>
          <w:spacing w:val="-88"/>
        </w:rPr>
        <w:t> </w:t>
      </w:r>
      <w:r>
        <w:rPr/>
        <w:t>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913" w:val="left" w:leader="none"/>
        </w:tabs>
        <w:spacing w:line="240" w:lineRule="auto" w:before="195"/>
        <w:ind w:left="833" w:right="0"/>
        <w:jc w:val="left"/>
      </w:pPr>
      <w:r>
        <w:rPr/>
        <w:t>华普天健会计师事务所</w:t>
        <w:tab/>
        <w:t>中国注册会计师：张全心</w:t>
      </w:r>
    </w:p>
    <w:p>
      <w:pPr>
        <w:pStyle w:val="Heading3"/>
        <w:spacing w:line="240" w:lineRule="auto" w:before="76"/>
        <w:ind w:left="1013" w:right="0"/>
        <w:jc w:val="left"/>
      </w:pPr>
      <w:r>
        <w:rPr/>
        <w:t>（北京）有限公司</w:t>
      </w:r>
    </w:p>
    <w:p>
      <w:pPr>
        <w:pStyle w:val="Heading3"/>
        <w:spacing w:line="240" w:lineRule="auto" w:before="76"/>
        <w:ind w:left="5094" w:right="0"/>
        <w:jc w:val="left"/>
      </w:pPr>
      <w:r>
        <w:rPr/>
        <w:t>中国注册会计师：朱祖龙</w:t>
      </w:r>
    </w:p>
    <w:p>
      <w:pPr>
        <w:spacing w:line="240" w:lineRule="auto" w:before="8"/>
        <w:rPr>
          <w:rFonts w:ascii="宋体" w:hAnsi="宋体" w:cs="宋体" w:eastAsia="宋体" w:hint="default"/>
          <w:sz w:val="35"/>
          <w:szCs w:val="35"/>
        </w:rPr>
      </w:pPr>
    </w:p>
    <w:p>
      <w:pPr>
        <w:pStyle w:val="Heading3"/>
        <w:tabs>
          <w:tab w:pos="4793" w:val="left" w:leader="none"/>
        </w:tabs>
        <w:spacing w:line="564" w:lineRule="auto"/>
        <w:ind w:left="6174" w:right="1384" w:hanging="4680"/>
        <w:jc w:val="left"/>
      </w:pPr>
      <w:r>
        <w:rPr>
          <w:w w:val="95"/>
        </w:rPr>
        <w:t>中国</w:t>
      </w:r>
      <w:r>
        <w:rPr>
          <w:rFonts w:ascii="Times New Roman" w:hAnsi="Times New Roman" w:cs="Times New Roman" w:eastAsia="Times New Roman" w:hint="default"/>
          <w:w w:val="95"/>
        </w:rPr>
        <w:t>·</w:t>
      </w:r>
      <w:r>
        <w:rPr>
          <w:w w:val="95"/>
        </w:rPr>
        <w:t>北京</w:t>
        <w:tab/>
      </w:r>
      <w:r>
        <w:rPr/>
        <w:t>中国注册会计师：程飞龙 二</w:t>
      </w:r>
      <w:r>
        <w:rPr>
          <w:rFonts w:ascii="Times New Roman" w:hAnsi="Times New Roman" w:cs="Times New Roman" w:eastAsia="Times New Roman" w:hint="default"/>
        </w:rPr>
        <w:t>○</w:t>
      </w:r>
      <w:r>
        <w:rPr/>
        <w:t>一三年三月十八日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2"/>
          <w:szCs w:val="32"/>
        </w:rPr>
      </w:pPr>
    </w:p>
    <w:p>
      <w:pPr>
        <w:pStyle w:val="Heading2"/>
        <w:spacing w:line="240" w:lineRule="auto" w:before="0"/>
        <w:ind w:left="113"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513,711,110.43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149,348,362.22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313"/>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897,600.00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127,484,338.76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66,328,361.83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763,580.40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506,103.32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3,778,543.39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898,000.00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8,717,415.42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6,336,714.48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21,156,410.06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1,176,662.75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678,703,661.21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223,417,541.85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121,898,492.10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119,111,414.83</w:t>
            </w:r>
            <w:r>
              <w:rPr>
                <w:rFonts w:ascii="Times New Roman"/>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6,327,788.29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40,217,160.14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37,732,836.08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1,040,688.94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1,040,688.94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238,426.67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389,012.03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1,070,844.03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730,195.35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170,793,400.17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159,004,147.23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849,497,061.38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382,421,689.08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43,361,000.00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18,955,294.96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6,495,183.80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802,767.13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867,417.50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18,659,760.39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9,342,344.51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2,563,026.03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4,188,010.59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184,457.78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209,646.67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2,168,402.11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1,969,359.24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1,169,368.39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1,298,296.82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172,894,076.79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122,827,029.26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2,530,417.36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4,107,704.74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134,640.00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12,687,500.00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2,417,500.00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15,352,557.36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6,525,204.74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188,246,634.15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129,352,234.00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57,550,000.00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415,560,152.54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82,935,453.87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19,344,049.39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12,912,905.41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143,746,211.88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96,140,619.55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-649,537.24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120,527.91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654,740,876.57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249,659,506.74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6,509,550.66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3,409,948.34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661,250,427.23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253,069,455.08</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849,497,061.38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382,421,689.08</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443,519,902.14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139,670,945.30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897,600.00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111,860,870.91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49,572,841.16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609,829.00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306,979.17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3,778,543.39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898,000.00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64,030,257.07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56,518,099.38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21,156,410.06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1,176,662.75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648,048,075.32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246,966,865.01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129,948,800.40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103,284,815.40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12,952,326.38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10,350,747.58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5,204,015.27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1,961,293.80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238,426.67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389,012.03</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1,486,360.56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881,920.06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149,829,929.28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116,867,788.87</w:t>
            </w:r>
            <w:r>
              <w:rPr>
                <w:rFonts w:ascii="Times New Roman"/>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797,878,004.60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363,834,653.88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16,791,000.00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14,083,700.80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2,365,832.64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756,340.00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803,000.00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17,820,257.09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8,298,835.61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675,682.55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2,065,346.69</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184,457.78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209,646.67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892,022.54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2,067,226.86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136,203,460.76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112,709,888.47</w:t>
            </w:r>
            <w:r>
              <w:rPr>
                <w:rFonts w:ascii="Times New Roman"/>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134,640.00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7,234,640.00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143,438,100.76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114,009,888.47</w:t>
            </w:r>
            <w:r>
              <w:rPr>
                <w:rFonts w:ascii="Times New Roman"/>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57,550,000.00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417,109,049.73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84,484,351.06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19,224,185.42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12,793,041.44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141,366,668.69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94,997,372.91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654,439,903.84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249,824,765.41</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797,878,004.60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363,834,653.88</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379,535,216.02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234,283,272.56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379,535,216.02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234,283,272.56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327,417,865.83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190,039,890.39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229,222,712.53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126,983,897.63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2,526,812.07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2,901,573.47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27,368,479.77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15,093,386.59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60,764,635.95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38,286,553.93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3,935,387.39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6,207,983.79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3,599,838.12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566,494.98</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897,600.00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1,168,900.00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-143,906.40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54,183,850.19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44,099,475.77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17,503,243.07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9,863,935.99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215,732.00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98,945.21</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63,629.66</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71,471,361.26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53,864,466.55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5,690,750.00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6,655,257.16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65,780,611.26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47,209,209.39</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65,547,736.31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46,385,012.19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232,874.95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824,197.20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0.81</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0.81</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-750,542.11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-357,189.11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65,030,069.15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46,852,020.28</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64,777,671.16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46,113,761.76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252,397.99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738,258.52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ind w:left="113"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33" w:val="left" w:leader="none"/>
          <w:tab w:pos="7673" w:val="left" w:leader="none"/>
        </w:tabs>
        <w:spacing w:line="240" w:lineRule="auto" w:before="141"/>
        <w:ind w:left="113" w:right="0"/>
        <w:jc w:val="left"/>
      </w:pPr>
      <w:r>
        <w:rPr/>
        <w:t>法定代表人：周红卫</w:t>
        <w:tab/>
        <w:t>主管会计工作负责人：黄维江</w:t>
        <w:tab/>
        <w:t>会计机构负责人：黄维江</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260,901,991.50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178,959,315.71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146,480,470.16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98,801,753.07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1,549,688.23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1,917,685.67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12,841,061.81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6,542,047.86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42,732,612.14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24,284,061.78</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3,089,220.29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5,843,837.94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4,169,930.86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647,772.55</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897,600.00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1,168,900.00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-143,906.40</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52,105,508.01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40,778,250.44</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17,447,726.00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9,809,032.00</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97,404.07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62,088.52</w:t>
            </w:r>
          </w:p>
        </w:tc>
      </w:tr>
      <w:tr>
        <w:trPr>
          <w:trHeight w:val="714"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69,353,234.01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50,489,878.37</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5,041,794.25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5,703,516.66</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64,311,439.76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44,786,361.71</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0.78</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0.78</w:t>
            </w:r>
            <w:r>
              <w:rPr>
                <w:rFonts w:ascii="Times New Roman"/>
                <w:w w:val="95"/>
                <w:sz w:val="18"/>
              </w:rPr>
            </w: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64,311,439.76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44,786,361.71</w:t>
            </w:r>
          </w:p>
        </w:tc>
      </w:tr>
    </w:tbl>
    <w:p>
      <w:pPr>
        <w:spacing w:line="240" w:lineRule="auto" w:before="3"/>
        <w:rPr>
          <w:rFonts w:ascii="宋体" w:hAnsi="宋体" w:cs="宋体" w:eastAsia="宋体" w:hint="default"/>
          <w:sz w:val="20"/>
          <w:szCs w:val="20"/>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328,919,674.99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218,767,886.51</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28,113,264.26</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6,713,100.03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357,032,939.25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225,480,986.54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105,996,611.57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56,860,208.85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134,098,857.72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84,279,936.98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15,201,989.79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8,415,352.98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44,298,809.63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25,390,444.54</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299,596,268.71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174,945,943.35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57,436,670.54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50,535,043.19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bl>
    <w:p>
      <w:pPr>
        <w:spacing w:after="0"/>
        <w:sectPr>
          <w:footerReference w:type="default" r:id="rId25"/>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720,856.64</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4,394,755.25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1,395,526.01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4,394,755.25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2,116,382.65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19,610,823.58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17,231,317.77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143,906.40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19,610,823.58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17,375,224.17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-15,216,068.33</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-15,258,841.52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355,861,903.00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18,810,000.00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2,847,204.33</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143,279,932.20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455,861,903.00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162,939,932.20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112,706,215.81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125,666,407.02</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19,730,439.39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7,074,377.20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2,069,612.00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132,436,655.20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134,810,396.22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323,425,247.80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28,129,535.98</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-1,283,101.80</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-639,532.38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364,362,748.21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62,766,205.27</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80" w:header="747" w:top="1060" w:bottom="1160" w:left="1020" w:right="102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149,348,362.22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86,582,156.95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513,711,110.43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149,348,362.22</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编制单位：江苏润和软件股份有限公司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196,738,251.70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170,333,932.43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23,488,726.62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6,610,203.77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220,226,978.32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176,944,136.20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52,826,190.32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45,649,660.62</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112,468,429.91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64,106,914.58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11,186,737.04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6,036,935.92</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23,464,134.32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13,977,441.07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199,945,491.59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129,770,952.19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20,281,486.73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47,173,184.01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715,961.54</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4,341,051.07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1,211,693.47</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4,341,051.07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1,927,655.01</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9,863,774.40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5,037,127.13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26,663,985.00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6,361,775.33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7,633,335.68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42,889,534.73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12,670,462.81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-38,548,483.66</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-10,742,807.80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353,014,698.67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18,810,000.00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139,946,842.20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453,014,698.67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159,606,842.20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123,954,728.20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19,621,785.12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6,733,904.35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2,069,612.00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130,621,785.12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132,758,244.55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322,392,913.55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26,848,597.65</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-276,959.78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-257,005.21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303,848,956.84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63,021,968.65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139,670,945.30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76,648,976.65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443,519,902.14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139,670,945.30</w:t>
            </w:r>
          </w:p>
        </w:tc>
      </w:tr>
    </w:tbl>
    <w:p>
      <w:pPr>
        <w:spacing w:line="240" w:lineRule="auto" w:before="4"/>
        <w:rPr>
          <w:rFonts w:ascii="宋体" w:hAnsi="宋体" w:cs="宋体" w:eastAsia="宋体" w:hint="default"/>
          <w:sz w:val="20"/>
          <w:szCs w:val="20"/>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57" w:lineRule="auto"/>
        <w:ind w:right="-20"/>
        <w:jc w:val="left"/>
      </w:pPr>
      <w:r>
        <w:rPr/>
        <w:t>编制单位：江苏润和软件股份有限公司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3" w:right="0"/>
        <w:jc w:val="left"/>
      </w:pPr>
      <w:r>
        <w:rPr/>
        <w:t>单位：元</w:t>
      </w:r>
    </w:p>
    <w:p>
      <w:pPr>
        <w:spacing w:after="0" w:line="240" w:lineRule="auto"/>
        <w:jc w:val="left"/>
        <w:sectPr>
          <w:type w:val="continuous"/>
          <w:pgSz w:w="11910" w:h="16840"/>
          <w:pgMar w:top="1060" w:bottom="1160" w:left="1020" w:right="1020"/>
          <w:cols w:num="2" w:equalWidth="0">
            <w:col w:w="3175" w:space="574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57,550,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82,935,4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12,912,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905.41</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96,140,6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19.55</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120,527.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3,409,948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253,069,45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57,550,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82,935,4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12,912,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905.41</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96,140,6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19.55</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3,409,948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253,069,45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5.08</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19,190,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332,624,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698.67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6,431,1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43.98</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47,605,5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92.33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-770,06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5.15</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408,180,97</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65,547,7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36.31</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232,874.9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65,780,611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-770,06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5.15</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19,523.04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-750,542.1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65,547,7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36.31</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-770,06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5.15</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252,397.9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19,190,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332,624,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698.67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354,661,90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19,190,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332,624,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698.67</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354,661,90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3.00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6,431,1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43.98</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-17,942,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143.98</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-11,511,00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6,431,1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43.98</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-6,431,1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43.98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pacing w:val="-3"/>
                <w:sz w:val="18"/>
              </w:rPr>
              <w:t>-11,511,</w:t>
            </w:r>
            <w:r>
              <w:rPr>
                <w:rFonts w:ascii="Times New Roman"/>
                <w:sz w:val="18"/>
              </w:rPr>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-11,511,00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13"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76,740,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415,560,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19,344,</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143,746,</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-649,53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6,509,550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661,250,42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8" w:right="0"/>
              <w:jc w:val="left"/>
              <w:rPr>
                <w:rFonts w:ascii="Times New Roman" w:hAnsi="Times New Roman" w:cs="Times New Roman" w:eastAsia="Times New Roman" w:hint="default"/>
                <w:sz w:val="18"/>
                <w:szCs w:val="18"/>
              </w:rPr>
            </w:pPr>
            <w:r>
              <w:rPr>
                <w:rFonts w:ascii="Times New Roman"/>
                <w:sz w:val="18"/>
              </w:rPr>
              <w:t>152.54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54" w:right="0"/>
              <w:jc w:val="left"/>
              <w:rPr>
                <w:rFonts w:ascii="Times New Roman" w:hAnsi="Times New Roman" w:cs="Times New Roman" w:eastAsia="Times New Roman" w:hint="default"/>
                <w:sz w:val="18"/>
                <w:szCs w:val="18"/>
              </w:rPr>
            </w:pPr>
            <w:r>
              <w:rPr>
                <w:rFonts w:ascii="Times New Roman"/>
                <w:sz w:val="18"/>
              </w:rPr>
              <w:t>049.39</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164" w:right="0"/>
              <w:jc w:val="left"/>
              <w:rPr>
                <w:rFonts w:ascii="Times New Roman" w:hAnsi="Times New Roman" w:cs="Times New Roman" w:eastAsia="Times New Roman" w:hint="default"/>
                <w:sz w:val="18"/>
                <w:szCs w:val="18"/>
              </w:rPr>
            </w:pPr>
            <w:r>
              <w:rPr>
                <w:rFonts w:ascii="Times New Roman"/>
                <w:sz w:val="18"/>
              </w:rPr>
              <w:t>211.88</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337" w:right="0"/>
              <w:jc w:val="left"/>
              <w:rPr>
                <w:rFonts w:ascii="Times New Roman" w:hAnsi="Times New Roman" w:cs="Times New Roman" w:eastAsia="Times New Roman" w:hint="default"/>
                <w:sz w:val="18"/>
                <w:szCs w:val="18"/>
              </w:rPr>
            </w:pPr>
            <w:r>
              <w:rPr>
                <w:rFonts w:ascii="Times New Roman"/>
                <w:sz w:val="18"/>
              </w:rPr>
              <w:t>7.24</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.66</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left="546" w:right="0"/>
              <w:jc w:val="left"/>
              <w:rPr>
                <w:rFonts w:ascii="Times New Roman" w:hAnsi="Times New Roman" w:cs="Times New Roman" w:eastAsia="Times New Roman" w:hint="default"/>
                <w:sz w:val="18"/>
                <w:szCs w:val="18"/>
              </w:rPr>
            </w:pPr>
            <w:r>
              <w:rPr>
                <w:rFonts w:ascii="Times New Roman"/>
                <w:sz w:val="18"/>
              </w:rPr>
              <w:t>7.23</w:t>
            </w:r>
          </w:p>
        </w:tc>
      </w:tr>
    </w:tbl>
    <w:p>
      <w:pPr>
        <w:pStyle w:val="BodyText"/>
        <w:spacing w:line="240" w:lineRule="auto" w:before="50"/>
        <w:ind w:right="0"/>
        <w:jc w:val="left"/>
      </w:pPr>
      <w:r>
        <w:rPr/>
        <w:t>上年金额</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54,700,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66,975,4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53.87</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69.24</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54,234,2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43.53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2,671,689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187,407,43</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4.80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54,700,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66,975,4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69.24</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54,234,2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43.53</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2,671,689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187,407,43</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4.80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2,850,0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15,960,0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4,478,6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36.17</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41,906,3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76.02</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-271,25</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0.43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738,258.5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65,662,020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46,385,0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12.19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47,209,209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-271,25</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0.43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-357,189.1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46,385,0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12.19</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-271,25</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0.43</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738,258.5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46,852,020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2,850,0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15,960,0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2,850,0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15,960,0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4,478,6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36.17</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-4,478,6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36.17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4,478,6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36.17</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-4,478,6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36.17</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57,550,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82,935,4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53.87</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12,912,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905.41</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96,140,6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19.55</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3,409,948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253,069,45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5.08</w:t>
            </w:r>
          </w:p>
        </w:tc>
      </w:tr>
    </w:tbl>
    <w:p>
      <w:pPr>
        <w:spacing w:line="240" w:lineRule="auto" w:before="3"/>
        <w:rPr>
          <w:rFonts w:ascii="宋体" w:hAnsi="宋体" w:cs="宋体" w:eastAsia="宋体" w:hint="default"/>
          <w:sz w:val="20"/>
          <w:szCs w:val="20"/>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57" w:lineRule="auto"/>
        <w:ind w:right="-20"/>
        <w:jc w:val="left"/>
      </w:pPr>
      <w:r>
        <w:rPr/>
        <w:t>编制单位：江苏润和软件股份有限公司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3" w:right="0"/>
        <w:jc w:val="left"/>
      </w:pPr>
      <w:r>
        <w:rPr/>
        <w:t>单位：元</w:t>
      </w:r>
    </w:p>
    <w:p>
      <w:pPr>
        <w:spacing w:after="0" w:line="240" w:lineRule="auto"/>
        <w:jc w:val="left"/>
        <w:sectPr>
          <w:type w:val="continuous"/>
          <w:pgSz w:w="11910" w:h="16840"/>
          <w:pgMar w:top="1060" w:bottom="1160" w:left="1020" w:right="1020"/>
          <w:cols w:num="2" w:equalWidth="0">
            <w:col w:w="3175" w:space="5744"/>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402" w:hRule="exact"/>
        </w:trPr>
        <w:tc>
          <w:tcPr>
            <w:tcW w:w="247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7"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84,484,351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.06</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12,793,041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94,997,372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249,824,76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64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64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84,484,351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.06</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12,793,041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94,997,372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249,824,76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5.41</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02"/>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332,624,69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8.67</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46,369,295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404,615,13</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8.43</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r>
        <w:rPr/>
        <w:pict>
          <v:shape style="position:absolute;margin-left:138.600296pt;margin-top:402.779999pt;width:86pt;height:19.7pt;mso-position-horizontal-relative:page;mso-position-vertical-relative:page;z-index:-1031704"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shape style="position:absolute;margin-left:138.600296pt;margin-top:422.880005pt;width:86pt;height:19.7pt;mso-position-horizontal-relative:page;mso-position-vertical-relative:page;z-index:-1031680"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group style="position:absolute;margin-left:180.720001pt;margin-top:402.779999pt;width:43.9pt;height:39.8pt;mso-position-horizontal-relative:page;mso-position-vertical-relative:page;z-index:-1031656" coordorigin="3614,8056" coordsize="878,796">
            <v:group style="position:absolute;left:3614;top:8056;width:878;height:394" coordorigin="3614,8056" coordsize="878,394">
              <v:shape style="position:absolute;left:3614;top:8056;width:878;height:394" coordorigin="3614,8056" coordsize="878,394" path="m3614,8449l4492,8449,4492,8056,3614,8056,3614,8449xe" filled="true" fillcolor="#ffffff" stroked="false">
                <v:path arrowok="t"/>
                <v:fill type="solid"/>
              </v:shape>
            </v:group>
            <v:group style="position:absolute;left:3614;top:8458;width:878;height:394" coordorigin="3614,8458" coordsize="878,394">
              <v:shape style="position:absolute;left:3614;top:8458;width:878;height:394" coordorigin="3614,8458" coordsize="878,394" path="m3614,8851l4492,8851,4492,8458,3614,8458,3614,8851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332,624,69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8.67</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351,814,69</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8.67</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332,624,69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8.67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351,814,69</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8.67</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-17,942,14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3.98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-11,511,00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-6,431,143.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-11,511,00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-11,511,00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7"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417,109,04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9.73</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19,224,185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141,366,66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8.69</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654,439,90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3.84</w:t>
            </w:r>
          </w:p>
        </w:tc>
      </w:tr>
    </w:tbl>
    <w:p>
      <w:pPr>
        <w:pStyle w:val="BodyText"/>
        <w:spacing w:line="240" w:lineRule="auto" w:before="50"/>
        <w:ind w:right="0"/>
        <w:jc w:val="left"/>
      </w:pPr>
      <w:r>
        <w:rPr/>
        <w:t>上年金额</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6" w:type="dxa"/>
            <w:vMerge/>
            <w:tcBorders>
              <w:left w:val="single" w:sz="4" w:space="0" w:color="010101"/>
              <w:bottom w:val="single" w:sz="4" w:space="0" w:color="010101"/>
              <w:right w:val="single" w:sz="4" w:space="0" w:color="010101"/>
            </w:tcBorders>
            <w:shd w:val="clear" w:color="auto" w:fill="D3D3D3"/>
          </w:tcPr>
          <w:p>
            <w:pP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46"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68,524,351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8,314,405.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54,689,647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186,228,40</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6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66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r>
        <w:rPr/>
        <w:pict>
          <v:shape style="position:absolute;margin-left:139.559708pt;margin-top:534.479980pt;width:86pt;height:19.7pt;mso-position-horizontal-relative:page;mso-position-vertical-relative:page;z-index:-1031632"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shape style="position:absolute;margin-left:139.559708pt;margin-top:554.580017pt;width:86pt;height:19.7pt;mso-position-horizontal-relative:page;mso-position-vertical-relative:page;z-index:-1031608"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group style="position:absolute;margin-left:181.679993pt;margin-top:534.479980pt;width:43.9pt;height:39.8pt;mso-position-horizontal-relative:page;mso-position-vertical-relative:page;z-index:-1031584" coordorigin="3634,10690" coordsize="878,796">
            <v:group style="position:absolute;left:3634;top:10690;width:878;height:394" coordorigin="3634,10690" coordsize="878,394">
              <v:shape style="position:absolute;left:3634;top:10690;width:878;height:394" coordorigin="3634,10690" coordsize="878,394" path="m3634,11083l4511,11083,4511,10690,3634,10690,3634,11083xe" filled="true" fillcolor="#ffffff" stroked="false">
                <v:path arrowok="t"/>
                <v:fill type="solid"/>
              </v:shape>
            </v:group>
            <v:group style="position:absolute;left:3634;top:11092;width:878;height:394" coordorigin="3634,11092" coordsize="878,394">
              <v:shape style="position:absolute;left:3634;top:11092;width:878;height:394" coordorigin="3634,11092" coordsize="878,394" path="m3634,11485l4511,11485,4511,11092,3634,11092,3634,11485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68,524,351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8,314,405.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54,689,647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186,228,40</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40,307,725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63,596,361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.71</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44,786,361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44,786,361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.71</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44,786,361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44,786,361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.71</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18,810,000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18,810,000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10101"/>
              <w:left w:val="single" w:sz="4" w:space="0" w:color="010101"/>
              <w:bottom w:val="single" w:sz="4" w:space="0" w:color="010101"/>
              <w:right w:val="single" w:sz="4" w:space="0" w:color="010101"/>
            </w:tcBorders>
          </w:tcPr>
          <w:p>
            <w:pPr/>
          </w:p>
        </w:tc>
        <w:tc>
          <w:tcPr>
            <w:tcW w:w="886"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3"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4" w:type="dxa"/>
            <w:tcBorders>
              <w:top w:val="single" w:sz="4" w:space="0" w:color="010101"/>
              <w:left w:val="single" w:sz="4" w:space="0" w:color="010101"/>
              <w:bottom w:val="single" w:sz="4" w:space="0" w:color="010101"/>
              <w:right w:val="single" w:sz="4" w:space="0" w:color="010101"/>
            </w:tcBorders>
          </w:tcPr>
          <w:p>
            <w:pPr/>
          </w:p>
        </w:tc>
        <w:tc>
          <w:tcPr>
            <w:tcW w:w="882"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4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84,484,351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8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12,793,041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94,997,372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8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249,824,76</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5.41</w:t>
            </w:r>
          </w:p>
        </w:tc>
      </w:tr>
    </w:tbl>
    <w:p>
      <w:pPr>
        <w:spacing w:line="240" w:lineRule="auto" w:before="4"/>
        <w:rPr>
          <w:rFonts w:ascii="宋体" w:hAnsi="宋体" w:cs="宋体" w:eastAsia="宋体" w:hint="default"/>
          <w:sz w:val="20"/>
          <w:szCs w:val="20"/>
        </w:rPr>
      </w:pPr>
    </w:p>
    <w:p>
      <w:pPr>
        <w:pStyle w:val="BodyText"/>
        <w:tabs>
          <w:tab w:pos="3533" w:val="left" w:leader="none"/>
          <w:tab w:pos="7673" w:val="left" w:leader="none"/>
        </w:tabs>
        <w:spacing w:line="240" w:lineRule="auto"/>
        <w:ind w:right="0"/>
        <w:jc w:val="left"/>
      </w:pPr>
      <w:r>
        <w:rPr/>
        <w:t>法定代表人：周红卫</w:t>
        <w:tab/>
        <w:t>主管会计工作负责人：黄维江</w:t>
        <w:tab/>
        <w:t>会计机构负责人：黄维江</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r>
        <w:rPr/>
        <w:t>三、公司基本情况</w:t>
      </w:r>
      <w:r>
        <w:rPr>
          <w:b w:val="0"/>
          <w:bCs w:val="0"/>
        </w:rPr>
      </w:r>
    </w:p>
    <w:p>
      <w:pPr>
        <w:spacing w:line="240" w:lineRule="auto" w:before="1"/>
        <w:rPr>
          <w:rFonts w:ascii="宋体" w:hAnsi="宋体" w:cs="宋体" w:eastAsia="宋体" w:hint="default"/>
          <w:b/>
          <w:bCs/>
          <w:sz w:val="24"/>
          <w:szCs w:val="24"/>
        </w:rPr>
      </w:pPr>
    </w:p>
    <w:p>
      <w:pPr>
        <w:pStyle w:val="Heading3"/>
        <w:spacing w:line="225" w:lineRule="auto"/>
        <w:ind w:left="113" w:right="225" w:firstLine="480"/>
        <w:jc w:val="both"/>
      </w:pPr>
      <w:r>
        <w:rPr/>
        <w:t>江苏润和软件股份有限公司（以下简称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）系周红卫、姚宁、孙强、周</w:t>
      </w:r>
      <w:r>
        <w:rPr>
          <w:spacing w:val="2"/>
        </w:rPr>
        <w:t> </w:t>
      </w:r>
      <w:r>
        <w:rPr/>
        <w:t>庆、隋宏旭、马玉峰、蒋志坚、殷则堂等八位自然人共同发起设立的股份有限公司，于</w:t>
      </w:r>
      <w:r>
        <w:rPr>
          <w:rFonts w:ascii="Times New Roman" w:hAnsi="Times New Roman" w:cs="Times New Roman" w:eastAsia="Times New Roman" w:hint="default"/>
        </w:rPr>
        <w:t>2006</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日取得江苏省工商行政管理局核准登记。公司注册资本为人民币</w:t>
      </w:r>
      <w:r>
        <w:rPr>
          <w:rFonts w:ascii="Times New Roman" w:hAnsi="Times New Roman" w:cs="Times New Roman" w:eastAsia="Times New Roman" w:hint="default"/>
        </w:rPr>
        <w:t>5,755</w:t>
      </w:r>
      <w:r>
        <w:rPr/>
        <w:t>万元，其中江</w:t>
      </w:r>
      <w:r>
        <w:rPr>
          <w:spacing w:val="-37"/>
        </w:rPr>
        <w:t> </w:t>
      </w:r>
      <w:r>
        <w:rPr/>
        <w:t>苏润和科技投资有限公司出资</w:t>
      </w:r>
      <w:r>
        <w:rPr>
          <w:rFonts w:ascii="Times New Roman" w:hAnsi="Times New Roman" w:cs="Times New Roman" w:eastAsia="Times New Roman" w:hint="default"/>
        </w:rPr>
        <w:t>2,085.10</w:t>
      </w:r>
      <w:r>
        <w:rPr/>
        <w:t>万元，持股比例为</w:t>
      </w:r>
      <w:r>
        <w:rPr>
          <w:rFonts w:ascii="Times New Roman" w:hAnsi="Times New Roman" w:cs="Times New Roman" w:eastAsia="Times New Roman" w:hint="default"/>
        </w:rPr>
        <w:t>36.23%</w:t>
      </w:r>
      <w:r>
        <w:rPr/>
        <w:t>，周红卫、姚宁分别出资</w:t>
      </w:r>
      <w:r>
        <w:rPr>
          <w:rFonts w:ascii="Times New Roman" w:hAnsi="Times New Roman" w:cs="Times New Roman" w:eastAsia="Times New Roman" w:hint="default"/>
        </w:rPr>
        <w:t>541</w:t>
      </w:r>
      <w:r>
        <w:rPr>
          <w:rFonts w:ascii="Times New Roman" w:hAnsi="Times New Roman" w:cs="Times New Roman" w:eastAsia="Times New Roman" w:hint="default"/>
          <w:spacing w:val="-44"/>
        </w:rPr>
        <w:t> </w:t>
      </w:r>
      <w:r>
        <w:rPr/>
        <w:t>万元、</w:t>
      </w:r>
      <w:r>
        <w:rPr>
          <w:rFonts w:ascii="Times New Roman" w:hAnsi="Times New Roman" w:cs="Times New Roman" w:eastAsia="Times New Roman" w:hint="default"/>
        </w:rPr>
        <w:t>460</w:t>
      </w:r>
      <w:r>
        <w:rPr/>
        <w:t>万元，持股比例分别为</w:t>
      </w:r>
      <w:r>
        <w:rPr>
          <w:rFonts w:ascii="Times New Roman" w:hAnsi="Times New Roman" w:cs="Times New Roman" w:eastAsia="Times New Roman" w:hint="default"/>
        </w:rPr>
        <w:t>9.40%</w:t>
      </w:r>
      <w:r>
        <w:rPr/>
        <w:t>、</w:t>
      </w:r>
      <w:r>
        <w:rPr>
          <w:rFonts w:ascii="Times New Roman" w:hAnsi="Times New Roman" w:cs="Times New Roman" w:eastAsia="Times New Roman" w:hint="default"/>
        </w:rPr>
        <w:t>7.99%</w:t>
      </w:r>
      <w:r>
        <w:rPr/>
        <w:t>，金石投资有限公司出资</w:t>
      </w:r>
      <w:r>
        <w:rPr>
          <w:rFonts w:ascii="Times New Roman" w:hAnsi="Times New Roman" w:cs="Times New Roman" w:eastAsia="Times New Roman" w:hint="default"/>
        </w:rPr>
        <w:t>300</w:t>
      </w:r>
      <w:r>
        <w:rPr/>
        <w:t>万元，持股比例 </w:t>
      </w:r>
      <w:r>
        <w:rPr>
          <w:spacing w:val="2"/>
        </w:rPr>
        <w:t>为</w:t>
      </w:r>
      <w:r>
        <w:rPr>
          <w:rFonts w:ascii="Times New Roman" w:hAnsi="Times New Roman" w:cs="Times New Roman" w:eastAsia="Times New Roman" w:hint="default"/>
          <w:spacing w:val="2"/>
        </w:rPr>
        <w:t>5.21%</w:t>
      </w:r>
      <w:r>
        <w:rPr>
          <w:spacing w:val="2"/>
        </w:rPr>
        <w:t>，焦点科技股份有限公司出资</w:t>
      </w:r>
      <w:r>
        <w:rPr>
          <w:rFonts w:ascii="Times New Roman" w:hAnsi="Times New Roman" w:cs="Times New Roman" w:eastAsia="Times New Roman" w:hint="default"/>
          <w:spacing w:val="2"/>
        </w:rPr>
        <w:t>300</w:t>
      </w:r>
      <w:r>
        <w:rPr>
          <w:spacing w:val="2"/>
        </w:rPr>
        <w:t>万元，持股比例为</w:t>
      </w:r>
      <w:r>
        <w:rPr>
          <w:rFonts w:ascii="Times New Roman" w:hAnsi="Times New Roman" w:cs="Times New Roman" w:eastAsia="Times New Roman" w:hint="default"/>
          <w:spacing w:val="2"/>
        </w:rPr>
        <w:t>5.21%</w:t>
      </w:r>
      <w:r>
        <w:rPr>
          <w:spacing w:val="2"/>
        </w:rPr>
        <w:t>，华为投资控股有限公司</w:t>
      </w:r>
      <w:r>
        <w:rPr>
          <w:spacing w:val="-110"/>
        </w:rPr>
        <w:t> </w:t>
      </w:r>
      <w:r>
        <w:rPr>
          <w:spacing w:val="-3"/>
        </w:rPr>
        <w:t>出资</w:t>
      </w:r>
      <w:r>
        <w:rPr>
          <w:rFonts w:ascii="Times New Roman" w:hAnsi="Times New Roman" w:cs="Times New Roman" w:eastAsia="Times New Roman" w:hint="default"/>
          <w:spacing w:val="-3"/>
        </w:rPr>
        <w:t>285</w:t>
      </w:r>
      <w:r>
        <w:rPr>
          <w:spacing w:val="-3"/>
        </w:rPr>
        <w:t>万元，持股比例为</w:t>
      </w:r>
      <w:r>
        <w:rPr>
          <w:rFonts w:ascii="Times New Roman" w:hAnsi="Times New Roman" w:cs="Times New Roman" w:eastAsia="Times New Roman" w:hint="default"/>
          <w:spacing w:val="-3"/>
        </w:rPr>
        <w:t>4.95%</w:t>
      </w:r>
      <w:r>
        <w:rPr>
          <w:spacing w:val="-3"/>
        </w:rPr>
        <w:t>，上海善翔股权投资管理有限公司出资</w:t>
      </w:r>
      <w:r>
        <w:rPr>
          <w:rFonts w:ascii="Times New Roman" w:hAnsi="Times New Roman" w:cs="Times New Roman" w:eastAsia="Times New Roman" w:hint="default"/>
          <w:spacing w:val="-3"/>
        </w:rPr>
        <w:t>100</w:t>
      </w:r>
      <w:r>
        <w:rPr>
          <w:spacing w:val="-3"/>
        </w:rPr>
        <w:t>万元，持股比例为</w:t>
      </w:r>
      <w:r>
        <w:rPr>
          <w:spacing w:val="-85"/>
        </w:rPr>
        <w:t> </w:t>
      </w:r>
      <w:r>
        <w:rPr>
          <w:spacing w:val="-85"/>
        </w:rPr>
      </w:r>
      <w:r>
        <w:rPr>
          <w:rFonts w:ascii="Times New Roman" w:hAnsi="Times New Roman" w:cs="Times New Roman" w:eastAsia="Times New Roman" w:hint="default"/>
        </w:rPr>
        <w:t>1.74%</w:t>
      </w:r>
      <w:r>
        <w:rPr/>
        <w:t>，上海楚洲实业有限公司出资</w:t>
      </w:r>
      <w:r>
        <w:rPr>
          <w:rFonts w:ascii="Times New Roman" w:hAnsi="Times New Roman" w:cs="Times New Roman" w:eastAsia="Times New Roman" w:hint="default"/>
        </w:rPr>
        <w:t>50</w:t>
      </w:r>
      <w:r>
        <w:rPr/>
        <w:t>万元，持股比例为</w:t>
      </w:r>
      <w:r>
        <w:rPr>
          <w:rFonts w:ascii="Times New Roman" w:hAnsi="Times New Roman" w:cs="Times New Roman" w:eastAsia="Times New Roman" w:hint="default"/>
        </w:rPr>
        <w:t>0.87%</w:t>
      </w:r>
      <w:r>
        <w:rPr/>
        <w:t>，孙强等九十三位自然人出资</w:t>
      </w:r>
    </w:p>
    <w:p>
      <w:pPr>
        <w:pStyle w:val="Heading3"/>
        <w:spacing w:line="306" w:lineRule="exact"/>
        <w:ind w:left="113" w:right="0"/>
        <w:jc w:val="both"/>
      </w:pPr>
      <w:r>
        <w:rPr>
          <w:rFonts w:ascii="Times New Roman" w:hAnsi="Times New Roman" w:cs="Times New Roman" w:eastAsia="Times New Roman" w:hint="default"/>
        </w:rPr>
        <w:t>1,633.90</w:t>
      </w:r>
      <w:r>
        <w:rPr/>
        <w:t>万元，持股比例为</w:t>
      </w:r>
      <w:r>
        <w:rPr>
          <w:rFonts w:ascii="Times New Roman" w:hAnsi="Times New Roman" w:cs="Times New Roman" w:eastAsia="Times New Roman" w:hint="default"/>
        </w:rPr>
        <w:t>28.40%</w:t>
      </w:r>
      <w:r>
        <w:rPr/>
        <w:t>。</w:t>
      </w:r>
    </w:p>
    <w:p>
      <w:pPr>
        <w:pStyle w:val="Heading3"/>
        <w:spacing w:line="312" w:lineRule="exact" w:before="21"/>
        <w:ind w:left="113" w:right="103"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日，经中国证券监督管理委员会《关于核准江苏润和软件股份有限公司首次 公开发行股票并在创业板上市的批复》证监许可</w:t>
      </w:r>
      <w:r>
        <w:rPr>
          <w:rFonts w:ascii="Times New Roman" w:hAnsi="Times New Roman" w:cs="Times New Roman" w:eastAsia="Times New Roman" w:hint="default"/>
        </w:rPr>
        <w:t>[2012]812</w:t>
      </w:r>
      <w:r>
        <w:rPr/>
        <w:t>号文核准，本公司于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31"/>
        </w:rPr>
        <w:t> </w:t>
      </w:r>
      <w:r>
        <w:rPr/>
        <w:t>日首次向社会公开发行人民币普通股</w:t>
      </w:r>
      <w:r>
        <w:rPr>
          <w:rFonts w:ascii="Times New Roman" w:hAnsi="Times New Roman" w:cs="Times New Roman" w:eastAsia="Times New Roman" w:hint="default"/>
        </w:rPr>
        <w:t>1,919</w:t>
      </w:r>
      <w:r>
        <w:rPr/>
        <w:t>万股，每股面值</w:t>
      </w:r>
      <w:r>
        <w:rPr>
          <w:rFonts w:ascii="Times New Roman" w:hAnsi="Times New Roman" w:cs="Times New Roman" w:eastAsia="Times New Roman" w:hint="default"/>
        </w:rPr>
        <w:t>1.00</w:t>
      </w:r>
      <w:r>
        <w:rPr/>
        <w:t>元。发行后注册资本变更为人</w:t>
      </w:r>
      <w:r>
        <w:rPr>
          <w:spacing w:val="-88"/>
        </w:rPr>
        <w:t> </w:t>
      </w:r>
      <w:r>
        <w:rPr>
          <w:spacing w:val="-5"/>
        </w:rPr>
        <w:t>民币</w:t>
      </w:r>
      <w:r>
        <w:rPr>
          <w:rFonts w:ascii="Times New Roman" w:hAnsi="Times New Roman" w:cs="Times New Roman" w:eastAsia="Times New Roman" w:hint="default"/>
          <w:spacing w:val="-5"/>
        </w:rPr>
        <w:t>7,674</w:t>
      </w:r>
      <w:r>
        <w:rPr>
          <w:spacing w:val="-5"/>
        </w:rPr>
        <w:t>万元。</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18</w:t>
      </w:r>
      <w:r>
        <w:rPr>
          <w:spacing w:val="-5"/>
        </w:rPr>
        <w:t>日，公司股票在深圳证券交易所挂牌交易，股票简称</w:t>
      </w:r>
      <w:r>
        <w:rPr>
          <w:rFonts w:ascii="Times New Roman" w:hAnsi="Times New Roman" w:cs="Times New Roman" w:eastAsia="Times New Roman" w:hint="default"/>
          <w:spacing w:val="-5"/>
        </w:rPr>
        <w:t>“</w:t>
      </w:r>
      <w:r>
        <w:rPr>
          <w:spacing w:val="-5"/>
        </w:rPr>
        <w:t>润和软件</w:t>
      </w:r>
      <w:r>
        <w:rPr>
          <w:rFonts w:ascii="Times New Roman" w:hAnsi="Times New Roman" w:cs="Times New Roman" w:eastAsia="Times New Roman" w:hint="default"/>
          <w:spacing w:val="-5"/>
        </w:rPr>
        <w:t>”</w:t>
      </w:r>
      <w:r>
        <w:rPr>
          <w:spacing w:val="-5"/>
        </w:rPr>
        <w:t>，</w:t>
      </w:r>
      <w:r>
        <w:rPr>
          <w:spacing w:val="-109"/>
        </w:rPr>
        <w:t> </w:t>
      </w:r>
      <w:r>
        <w:rPr/>
        <w:t>证券代码</w:t>
      </w:r>
      <w:r>
        <w:rPr>
          <w:rFonts w:ascii="Times New Roman" w:hAnsi="Times New Roman" w:cs="Times New Roman" w:eastAsia="Times New Roman" w:hint="default"/>
        </w:rPr>
        <w:t>“300339”</w:t>
      </w:r>
      <w:r>
        <w:rPr/>
        <w:t>。</w:t>
      </w:r>
    </w:p>
    <w:p>
      <w:pPr>
        <w:pStyle w:val="Heading3"/>
        <w:spacing w:line="312" w:lineRule="exact"/>
        <w:ind w:left="113" w:right="222" w:firstLine="480"/>
        <w:jc w:val="both"/>
      </w:pPr>
      <w:r>
        <w:rPr/>
        <w:t>公司的经营范围：计算机软件的研发，相关产品的销售以及售后综合技术服务；自营和</w:t>
      </w:r>
      <w:r>
        <w:rPr>
          <w:spacing w:val="1"/>
        </w:rPr>
        <w:t> </w:t>
      </w:r>
      <w:r>
        <w:rPr/>
        <w:t>代理各类商品及技术的进出口业务。计算机网络系统集成，楼宇智能化系统工程的设计、施</w:t>
      </w:r>
      <w:r>
        <w:rPr/>
        <w:t> 工、安装。公司的经营地址：南京市雨花台区铁心桥工业园。法定代表人：周红卫。</w:t>
      </w:r>
    </w:p>
    <w:p>
      <w:pPr>
        <w:pStyle w:val="Heading3"/>
        <w:spacing w:line="281" w:lineRule="exact"/>
        <w:ind w:left="113" w:right="0" w:firstLine="480"/>
        <w:jc w:val="both"/>
      </w:pPr>
      <w:r>
        <w:rPr/>
        <w:t>本公司目前的基本组织架构为：公司的最高权力机构是股东大会，股东大会下设董事会</w:t>
      </w:r>
    </w:p>
    <w:p>
      <w:pPr>
        <w:pStyle w:val="Heading3"/>
        <w:spacing w:line="312" w:lineRule="exact" w:before="29"/>
        <w:ind w:left="113" w:right="267"/>
        <w:jc w:val="both"/>
      </w:pPr>
      <w:r>
        <w:rPr/>
        <w:t>和监事会，董事会和监事会向股东大会负责。公司董事会聘任了总裁、副总裁、财务总监、 董事会秘书等高级管理人员，同时设立了智能电网信息化软件外包中心、智能终端嵌入式软 件外包中心、供应链管理软件外包中心、研发中心、培训中心、市场管理部、质量管理部、 运营管理部、财务部、证券部、人力资源部、行政部、法务部、审计部等主要职能部门。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before="0"/>
        <w:ind w:left="113" w:right="0"/>
        <w:jc w:val="both"/>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212" w:firstLine="360"/>
        <w:jc w:val="left"/>
      </w:pPr>
      <w:r>
        <w:rPr>
          <w:spacing w:val="-3"/>
        </w:rPr>
        <w:t>本公司以持续经营为基础，根据实际发生的交易和事项，按照《企业会计准则》及其应用</w:t>
      </w:r>
      <w:r>
        <w:rPr/>
        <w:t> 指南和准则解释的规定进行确认和计量，在此基础上编制财务报表。</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222" w:firstLine="480"/>
        <w:jc w:val="both"/>
      </w:pPr>
      <w:r>
        <w:rPr/>
        <w:t>本公司按上述基础编制的财务报表符合《企业会计准则》及其应用指南和准则解释的要</w:t>
      </w:r>
      <w:r>
        <w:rPr>
          <w:spacing w:val="1"/>
        </w:rPr>
        <w:t> </w:t>
      </w:r>
      <w:r>
        <w:rPr/>
        <w:t>求，真实完整地反映了本公司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2012</w:t>
      </w:r>
      <w:r>
        <w:rPr/>
        <w:t>年度的经营成果和现金流量</w:t>
      </w:r>
      <w:r>
        <w:rPr>
          <w:spacing w:val="-88"/>
        </w:rPr>
        <w:t> </w:t>
      </w:r>
      <w:r>
        <w:rPr/>
        <w:t>等有关信息。</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594" w:right="212"/>
        <w:jc w:val="left"/>
      </w:pPr>
      <w:r>
        <w:rPr/>
        <w:t>本公司会计年度采用公历制，即公历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after="0" w:line="240" w:lineRule="auto"/>
        <w:jc w:val="left"/>
        <w:sectPr>
          <w:pgSz w:w="11910" w:h="16840"/>
          <w:pgMar w:header="747" w:footer="980" w:top="1060" w:bottom="1160" w:left="1020" w:right="900"/>
        </w:sectPr>
      </w:pPr>
    </w:p>
    <w:p>
      <w:pPr>
        <w:spacing w:line="240" w:lineRule="auto" w:before="11"/>
        <w:rPr>
          <w:rFonts w:ascii="宋体" w:hAnsi="宋体" w:cs="宋体" w:eastAsia="宋体" w:hint="default"/>
          <w:sz w:val="24"/>
          <w:szCs w:val="24"/>
        </w:rPr>
      </w:pPr>
    </w:p>
    <w:p>
      <w:pPr>
        <w:pStyle w:val="Heading4"/>
        <w:spacing w:line="240" w:lineRule="auto" w:before="35"/>
        <w:ind w:right="21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222" w:firstLine="480"/>
        <w:jc w:val="both"/>
      </w:pPr>
      <w:r>
        <w:rPr/>
        <w:t>本公司以人民币为记账本位币，境外子公司以所在国家或地区的货币为记账本位币，编</w:t>
      </w:r>
      <w:r>
        <w:rPr>
          <w:spacing w:val="1"/>
        </w:rPr>
        <w:t> </w:t>
      </w:r>
      <w:r>
        <w:rPr/>
        <w:t>制合并财务报表时折算为人民币。</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pStyle w:val="Heading4"/>
        <w:spacing w:line="240" w:lineRule="auto"/>
        <w:ind w:right="21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268" w:firstLine="480"/>
        <w:jc w:val="both"/>
      </w:pPr>
      <w:r>
        <w:rPr/>
        <w:t>本公司在企业合并中取得的资产和负债，按照合并日被合并方的账面价值计量。本公司 取得的净资产账面价值与支付的合并对价账面价值（或发生股份面值总额）的差额，应当调 整资本公积；资本公积不足冲减的，调整留存收益。</w:t>
      </w:r>
    </w:p>
    <w:p>
      <w:pPr>
        <w:spacing w:line="240" w:lineRule="auto" w:before="6"/>
        <w:rPr>
          <w:rFonts w:ascii="宋体" w:hAnsi="宋体" w:cs="宋体" w:eastAsia="宋体" w:hint="default"/>
          <w:sz w:val="22"/>
          <w:szCs w:val="22"/>
        </w:rPr>
      </w:pPr>
    </w:p>
    <w:p>
      <w:pPr>
        <w:pStyle w:val="Heading4"/>
        <w:spacing w:line="240" w:lineRule="auto"/>
        <w:ind w:right="212"/>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268" w:firstLine="480"/>
        <w:jc w:val="both"/>
      </w:pPr>
      <w:r>
        <w:rPr/>
        <w:t>本公司在购买日对合并成本大于合并中取得的被购买方可辨认净资产公允价值份额的差 额，确认为商誉；如果合并成本小于合并中取得的被购买方可辨认净资产公允价值份额的差 额，首先对取得的被购买方的各项可辨认资产、负债及或有负债的公允价值以及合并成本的 计量进行复核，经复核后合并成本仍小于合并中取得的被购买方可辨认净资产公允价值份额 的，其差额应当计入当期损益。</w:t>
      </w:r>
    </w:p>
    <w:p>
      <w:pPr>
        <w:spacing w:line="240" w:lineRule="auto" w:before="6"/>
        <w:rPr>
          <w:rFonts w:ascii="宋体" w:hAnsi="宋体" w:cs="宋体" w:eastAsia="宋体" w:hint="default"/>
          <w:sz w:val="22"/>
          <w:szCs w:val="22"/>
        </w:rPr>
      </w:pPr>
    </w:p>
    <w:p>
      <w:pPr>
        <w:pStyle w:val="Heading4"/>
        <w:spacing w:line="240" w:lineRule="auto"/>
        <w:ind w:right="21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3"/>
        <w:rPr>
          <w:rFonts w:ascii="宋体" w:hAnsi="宋体" w:cs="宋体" w:eastAsia="宋体" w:hint="default"/>
          <w:b/>
          <w:bCs/>
          <w:sz w:val="23"/>
          <w:szCs w:val="23"/>
        </w:rPr>
      </w:pPr>
    </w:p>
    <w:p>
      <w:pPr>
        <w:pStyle w:val="Heading3"/>
        <w:spacing w:line="235" w:lineRule="auto"/>
        <w:ind w:left="113" w:right="93" w:firstLine="480"/>
        <w:jc w:val="left"/>
      </w:pPr>
      <w:r>
        <w:rPr/>
        <w:t>凡本公司能够控制的子公司以及特殊目的主体（以下简称</w:t>
      </w:r>
      <w:r>
        <w:rPr>
          <w:rFonts w:ascii="Times New Roman" w:hAnsi="Times New Roman" w:cs="Times New Roman" w:eastAsia="Times New Roman" w:hint="default"/>
        </w:rPr>
        <w:t>“</w:t>
      </w:r>
      <w:r>
        <w:rPr/>
        <w:t>纳入合并范围的公司</w:t>
      </w:r>
      <w:r>
        <w:rPr>
          <w:rFonts w:ascii="Times New Roman" w:hAnsi="Times New Roman" w:cs="Times New Roman" w:eastAsia="Times New Roman" w:hint="default"/>
        </w:rPr>
        <w:t>”</w:t>
      </w:r>
      <w:r>
        <w:rPr/>
        <w:t>）都纳</w:t>
      </w:r>
      <w:r>
        <w:rPr>
          <w:spacing w:val="1"/>
        </w:rPr>
        <w:t> </w:t>
      </w:r>
      <w:r>
        <w:rPr/>
        <w:t>入合并范围；纳入合并范围的公司所采用的会计期间、会计政策与母公司不一致的，已按照</w:t>
      </w:r>
      <w:r>
        <w:rPr/>
        <w:t> 母公司的会计期间、会计政策对其财务报表进行调整；以母公司和纳入合并范围公司调整后 </w:t>
      </w:r>
      <w:r>
        <w:rPr>
          <w:spacing w:val="-2"/>
        </w:rPr>
        <w:t>的财务报表为基础，按照权益法调整对纳入合并范围公司的长期股权投资后，由母公司编制；</w:t>
      </w:r>
      <w:r>
        <w:rPr/>
        <w:t> 合并报表范围内母公司与纳入合并范围的公司、纳入合并范围的公司相互之间发生的内部交 易、资金往来在合并时予以抵销。</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2"/>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222" w:firstLine="480"/>
        <w:jc w:val="both"/>
      </w:pPr>
      <w:r>
        <w:rPr/>
        <w:t>现金指企业库存现金及可以随时用于支付的存款。现金等价物指持有的期限短（一般是</w:t>
      </w:r>
      <w:r>
        <w:rPr>
          <w:spacing w:val="1"/>
        </w:rPr>
        <w:t> </w:t>
      </w:r>
      <w:r>
        <w:rPr/>
        <w:t>指从购买日起三个月内到期）、流动性强、易于转换为已知金额现金、价值变动风险很小的</w:t>
      </w:r>
      <w:r>
        <w:rPr/>
        <w:t> 投资。</w:t>
      </w:r>
    </w:p>
    <w:p>
      <w:pPr>
        <w:spacing w:after="0" w:line="312" w:lineRule="exact"/>
        <w:jc w:val="both"/>
        <w:sectPr>
          <w:footerReference w:type="default" r:id="rId27"/>
          <w:pgSz w:w="11910" w:h="16840"/>
          <w:pgMar w:footer="980" w:header="747" w:top="1060" w:bottom="1160" w:left="1020" w:right="90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0"/>
        <w:rPr>
          <w:rFonts w:ascii="宋体" w:hAnsi="宋体" w:cs="宋体" w:eastAsia="宋体" w:hint="default"/>
          <w:b/>
          <w:bCs/>
          <w:sz w:val="22"/>
          <w:szCs w:val="22"/>
        </w:rPr>
      </w:pPr>
    </w:p>
    <w:p>
      <w:pPr>
        <w:pStyle w:val="Heading3"/>
        <w:spacing w:line="331" w:lineRule="auto"/>
        <w:ind w:left="594" w:right="130"/>
        <w:jc w:val="left"/>
      </w:pPr>
      <w:r>
        <w:rPr/>
        <w:t>本公司外币交易初始确认时采用交易发生日的即期汇率折算为记账本位币。 在资产负债表日，公司按照下列规定对外币货币性项目和外币非货币性项目进行处理：</w:t>
      </w:r>
    </w:p>
    <w:p>
      <w:pPr>
        <w:pStyle w:val="Heading3"/>
        <w:spacing w:line="312" w:lineRule="exact" w:before="57"/>
        <w:ind w:right="130"/>
        <w:jc w:val="left"/>
      </w:pPr>
      <w:r>
        <w:rPr/>
        <w:t>①外币货币性项目，采用资产负债表日即期汇率折算。因资产负债表日即期汇率与初始确认 时或前一资产负债表日即期汇率不同而产生的汇兑差额，计入当期损益。</w:t>
      </w:r>
    </w:p>
    <w:p>
      <w:pPr>
        <w:pStyle w:val="Heading3"/>
        <w:spacing w:line="312" w:lineRule="exact" w:before="120"/>
        <w:ind w:right="130"/>
        <w:jc w:val="left"/>
      </w:pPr>
      <w:r>
        <w:rPr/>
        <w:t>②以历史成本计量的外币非货币性项目，仍采用交易发生日的即期汇率折算，不改变其记账 本位币金额。</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02" w:firstLine="480"/>
        <w:jc w:val="both"/>
      </w:pPr>
      <w:r>
        <w:rPr/>
        <w:t>对企业境外经营财务报表进行折算前先调整境外经营的会计期间和会计政策，使之与企</w:t>
      </w:r>
      <w:r>
        <w:rPr>
          <w:spacing w:val="1"/>
        </w:rPr>
        <w:t> </w:t>
      </w:r>
      <w:r>
        <w:rPr/>
        <w:t>业会计期间和会计政策相一致，再根据调整后会计政策及会计期间编制相应货币（记账本位</w:t>
      </w:r>
      <w:r>
        <w:rPr/>
        <w:t> 币以外的货币）的财务报表，再按照以下方法对境外经营财务报表进行折算：</w:t>
      </w:r>
    </w:p>
    <w:p>
      <w:pPr>
        <w:pStyle w:val="Heading3"/>
        <w:spacing w:line="313" w:lineRule="exact" w:before="89"/>
        <w:ind w:right="0"/>
        <w:jc w:val="left"/>
      </w:pPr>
      <w:r>
        <w:rPr/>
        <w:t>①资产负债表中的资产和负债项目，采用资产负债表日的即期汇率折算，所有者权益项目除</w:t>
      </w:r>
    </w:p>
    <w:p>
      <w:pPr>
        <w:pStyle w:val="Heading3"/>
        <w:spacing w:line="331" w:lineRule="exact"/>
        <w:ind w:right="0"/>
        <w:jc w:val="left"/>
      </w:pP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Heading3"/>
        <w:spacing w:line="240" w:lineRule="auto" w:before="99"/>
        <w:ind w:right="0"/>
        <w:jc w:val="left"/>
      </w:pPr>
      <w:r>
        <w:rPr/>
        <w:t>②利润表中的收入和费用项目，采用交易发生日的即期汇率或即期汇率的近似汇率折算。</w:t>
      </w:r>
    </w:p>
    <w:p>
      <w:pPr>
        <w:pStyle w:val="Heading3"/>
        <w:spacing w:line="312" w:lineRule="exact" w:before="148"/>
        <w:ind w:right="130"/>
        <w:jc w:val="left"/>
      </w:pPr>
      <w:r>
        <w:rPr/>
        <w:t>③产生的外币财务报表折算差额，在编制合并财务报表时，在合并资产负债表中所有者权益 项目下单独作为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2"/>
          <w:szCs w:val="22"/>
        </w:rPr>
      </w:pPr>
    </w:p>
    <w:p>
      <w:pPr>
        <w:pStyle w:val="Heading3"/>
        <w:spacing w:line="321" w:lineRule="auto"/>
        <w:ind w:left="594" w:right="3497"/>
        <w:jc w:val="left"/>
      </w:pPr>
      <w:r>
        <w:rPr/>
        <w:t>①金融资产划分为以下四类： </w:t>
      </w:r>
      <w:r>
        <w:rPr>
          <w:rFonts w:ascii="Times New Roman" w:hAnsi="Times New Roman" w:cs="Times New Roman" w:eastAsia="Times New Roman" w:hint="default"/>
        </w:rPr>
        <w:t>A.</w:t>
      </w:r>
      <w:r>
        <w:rPr/>
        <w:t>以公允价值计量且其变动计入当期损益的金融资产； </w:t>
      </w:r>
      <w:r>
        <w:rPr>
          <w:rFonts w:ascii="Times New Roman" w:hAnsi="Times New Roman" w:cs="Times New Roman" w:eastAsia="Times New Roman" w:hint="default"/>
        </w:rPr>
        <w:t>B.</w:t>
      </w:r>
      <w:r>
        <w:rPr/>
        <w:t>持有至到期投资；</w:t>
      </w:r>
    </w:p>
    <w:p>
      <w:pPr>
        <w:pStyle w:val="Heading3"/>
        <w:spacing w:line="312" w:lineRule="auto" w:before="9"/>
        <w:ind w:left="594" w:right="6857"/>
        <w:jc w:val="left"/>
      </w:pPr>
      <w:r>
        <w:rPr>
          <w:rFonts w:ascii="Times New Roman" w:hAnsi="Times New Roman" w:cs="Times New Roman" w:eastAsia="Times New Roman" w:hint="default"/>
        </w:rPr>
        <w:t>C.</w:t>
      </w:r>
      <w:r>
        <w:rPr/>
        <w:t>应收款项； </w:t>
      </w:r>
      <w:r>
        <w:rPr>
          <w:rFonts w:ascii="Times New Roman" w:hAnsi="Times New Roman" w:cs="Times New Roman" w:eastAsia="Times New Roman" w:hint="default"/>
        </w:rPr>
        <w:t>D.</w:t>
      </w:r>
      <w:r>
        <w:rPr/>
        <w:t>可供出售金融资产。</w:t>
      </w:r>
    </w:p>
    <w:p>
      <w:pPr>
        <w:pStyle w:val="Heading3"/>
        <w:spacing w:line="321" w:lineRule="auto" w:before="20"/>
        <w:ind w:left="593" w:right="3498"/>
        <w:jc w:val="left"/>
      </w:pPr>
      <w:r>
        <w:rPr/>
        <w:t>②金融负债在初始确认时划分为以下两类</w:t>
      </w:r>
      <w:r>
        <w:rPr>
          <w:rFonts w:ascii="宋体" w:hAnsi="宋体" w:cs="宋体" w:eastAsia="宋体" w:hint="default"/>
          <w:b/>
          <w:bCs/>
        </w:rPr>
        <w:t>：</w:t>
      </w:r>
      <w:r>
        <w:rPr>
          <w:rFonts w:ascii="宋体" w:hAnsi="宋体" w:cs="宋体" w:eastAsia="宋体" w:hint="default"/>
          <w:b/>
          <w:bCs/>
          <w:w w:val="99"/>
        </w:rPr>
        <w:t> </w:t>
      </w:r>
      <w:r>
        <w:rPr>
          <w:rFonts w:ascii="Times New Roman" w:hAnsi="Times New Roman" w:cs="Times New Roman" w:eastAsia="Times New Roman" w:hint="default"/>
        </w:rPr>
        <w:t>A.</w:t>
      </w:r>
      <w:r>
        <w:rPr/>
        <w:t>以公允价值计量且其变动计入当期损益的金融负债； </w:t>
      </w:r>
      <w:r>
        <w:rPr>
          <w:rFonts w:ascii="Times New Roman" w:hAnsi="Times New Roman" w:cs="Times New Roman" w:eastAsia="Times New Roman" w:hint="default"/>
        </w:rPr>
        <w:t>B.</w:t>
      </w:r>
      <w:r>
        <w:rPr/>
        <w:t>其他金融负债。</w:t>
      </w:r>
    </w:p>
    <w:p>
      <w:pPr>
        <w:spacing w:after="0" w:line="321" w:lineRule="auto"/>
        <w:jc w:val="left"/>
        <w:sectPr>
          <w:footerReference w:type="default" r:id="rId28"/>
          <w:pgSz w:w="11910" w:h="16840"/>
          <w:pgMar w:footer="980" w:header="747" w:top="1060" w:bottom="1160" w:left="1020" w:right="1020"/>
          <w:pgNumType w:start="81"/>
        </w:sectPr>
      </w:pPr>
    </w:p>
    <w:p>
      <w:pPr>
        <w:spacing w:line="240" w:lineRule="auto" w:before="11"/>
        <w:rPr>
          <w:rFonts w:ascii="宋体" w:hAnsi="宋体" w:cs="宋体" w:eastAsia="宋体" w:hint="default"/>
          <w:sz w:val="24"/>
          <w:szCs w:val="24"/>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left="594" w:right="212"/>
        <w:jc w:val="left"/>
      </w:pPr>
      <w:r>
        <w:rPr/>
        <w:t>①金融资产划分为以下四类：</w:t>
      </w:r>
    </w:p>
    <w:p>
      <w:pPr>
        <w:pStyle w:val="Heading3"/>
        <w:spacing w:line="312" w:lineRule="auto" w:before="119"/>
        <w:ind w:left="594" w:right="212"/>
        <w:jc w:val="left"/>
      </w:pPr>
      <w:r>
        <w:rPr>
          <w:rFonts w:ascii="Times New Roman" w:hAnsi="Times New Roman" w:cs="Times New Roman" w:eastAsia="Times New Roman" w:hint="default"/>
        </w:rPr>
        <w:t>A.</w:t>
      </w:r>
      <w:r>
        <w:rPr/>
        <w:t>以公允价值计量且其变动计入当期损益的金融资产 主要是指本公司为了近期内出售而持有的股票、债券、基金以及不作为有效套期工具的</w:t>
      </w:r>
    </w:p>
    <w:p>
      <w:pPr>
        <w:pStyle w:val="Heading3"/>
        <w:spacing w:line="238" w:lineRule="exact"/>
        <w:ind w:right="0"/>
        <w:jc w:val="both"/>
      </w:pPr>
      <w:r>
        <w:rPr/>
        <w:t>衍生工具。包括交易性金融资产和直接指定为以公允价值计量且其变动计入当期损益的金融</w:t>
      </w:r>
    </w:p>
    <w:p>
      <w:pPr>
        <w:pStyle w:val="Heading3"/>
        <w:spacing w:line="237" w:lineRule="auto" w:before="1"/>
        <w:ind w:right="267"/>
        <w:jc w:val="both"/>
      </w:pPr>
      <w:r>
        <w:rPr/>
        <w:t>资产。这类资产在初始计量时按照取得时的公允价值作为初始确认金额，相关的交易费用在 发生时计入当期损益。支付的价款中包含已宣告但尚未发放的现金股利或已到付息但尚未领 取的债券利息，单独确认为应收项目。在持有期间取得利息或现金股利，确认为投资收益。 资产负债表日，本公司将这类金融资产以公允价值计量且其变动计入当期损益。这类金融资 产在处置时，其公允价值与初始入账金额之间的差额确认为投资收益，同时调整公允价值变 动损益。</w:t>
      </w:r>
    </w:p>
    <w:p>
      <w:pPr>
        <w:pStyle w:val="Heading3"/>
        <w:spacing w:line="312" w:lineRule="auto" w:before="118"/>
        <w:ind w:left="594" w:right="212"/>
        <w:jc w:val="left"/>
      </w:pPr>
      <w:r>
        <w:rPr>
          <w:rFonts w:ascii="Times New Roman" w:hAnsi="Times New Roman" w:cs="Times New Roman" w:eastAsia="Times New Roman" w:hint="default"/>
        </w:rPr>
        <w:t>B.</w:t>
      </w:r>
      <w:r>
        <w:rPr/>
        <w:t>持有至到期投资 主要是指到期日固定、回收金额固定或可确定，且本公司具有明确意图和能力持有至到</w:t>
      </w:r>
    </w:p>
    <w:p>
      <w:pPr>
        <w:pStyle w:val="Heading3"/>
        <w:spacing w:line="239" w:lineRule="exact"/>
        <w:ind w:right="0"/>
        <w:jc w:val="both"/>
      </w:pPr>
      <w:r>
        <w:rPr/>
        <w:t>期的国债、公司债券等。这类金融资产按照取得时的公允价值和相关交易费用之和作为初始</w:t>
      </w:r>
    </w:p>
    <w:p>
      <w:pPr>
        <w:pStyle w:val="Heading3"/>
        <w:spacing w:line="237" w:lineRule="auto" w:before="1"/>
        <w:ind w:right="267"/>
        <w:jc w:val="both"/>
      </w:pPr>
      <w:r>
        <w:rPr/>
        <w:t>确认金额。支付价款中包含的已到付息期但尚未发放的债券利息，单独确认为应收项目。持 有至到期投资在持有期间按照摊余成本和实际利率计算确认利息收入，计入投资收益。处置 持有至到期投资时，将所取得价款与该投资账面价值之间的差额计入投资收益。</w:t>
      </w:r>
    </w:p>
    <w:p>
      <w:pPr>
        <w:pStyle w:val="Heading3"/>
        <w:spacing w:line="312" w:lineRule="auto" w:before="118"/>
        <w:ind w:left="594" w:right="212"/>
        <w:jc w:val="left"/>
      </w:pPr>
      <w:r>
        <w:rPr>
          <w:rFonts w:ascii="Times New Roman" w:hAnsi="Times New Roman" w:cs="Times New Roman" w:eastAsia="Times New Roman" w:hint="default"/>
        </w:rPr>
        <w:t>C.</w:t>
      </w:r>
      <w:r>
        <w:rPr/>
        <w:t>应收款项 应收款项包括应收账款和其他应收款等。应收账款是指本公司销售商品或提供劳务形成</w:t>
      </w:r>
    </w:p>
    <w:p>
      <w:pPr>
        <w:pStyle w:val="Heading3"/>
        <w:spacing w:line="240" w:lineRule="exact"/>
        <w:ind w:right="0"/>
        <w:jc w:val="both"/>
      </w:pPr>
      <w:r>
        <w:rPr/>
        <w:t>的应收款项。应收账款按从购货方应收的合同或协议价款作为初始确认金额。</w:t>
      </w:r>
    </w:p>
    <w:p>
      <w:pPr>
        <w:pStyle w:val="Heading3"/>
        <w:spacing w:line="312" w:lineRule="auto" w:before="118"/>
        <w:ind w:left="594" w:right="212"/>
        <w:jc w:val="left"/>
      </w:pPr>
      <w:r>
        <w:rPr>
          <w:rFonts w:ascii="Times New Roman" w:hAnsi="Times New Roman" w:cs="Times New Roman" w:eastAsia="Times New Roman" w:hint="default"/>
        </w:rPr>
        <w:t>D.</w:t>
      </w:r>
      <w:r>
        <w:rPr/>
        <w:t>可供出售金融资产 主要是指本公司没有划分为以公允价值计量且其变动计入当期损益的金融资产、持有至</w:t>
      </w:r>
    </w:p>
    <w:p>
      <w:pPr>
        <w:pStyle w:val="Heading3"/>
        <w:spacing w:line="240" w:lineRule="exact"/>
        <w:ind w:right="0"/>
        <w:jc w:val="both"/>
      </w:pPr>
      <w:r>
        <w:rPr/>
        <w:t>到期投资、贷款和应收款项的金融资产。可供出售金融资产按照取得该金融资产的公允价值</w:t>
      </w:r>
    </w:p>
    <w:p>
      <w:pPr>
        <w:pStyle w:val="Heading3"/>
        <w:spacing w:line="312" w:lineRule="exact" w:before="30"/>
        <w:ind w:right="267"/>
        <w:jc w:val="both"/>
      </w:pPr>
      <w:r>
        <w:rPr/>
        <w:t>和相关交易费用之和作为初始确认金额。支付的价款中包含的已到付息期但尚未领取的债券 利息或已宣告但尚未发放的现金股利，单独确认为应收项目。可供出售金融资产持有期间取 得的利息或现金股利计入投资收益。资产负债表日，可供出售金融资产以公允价值计量且公 允价值变动计入资本公积。处置可供出售金融资产时，将取得的价款与该金融资产账面价值 之间差额计入投资收益；同时，将原计入所有者权益的公允价值变动累计额对应处置部分的 金额转出，计入投资收益。</w:t>
      </w:r>
    </w:p>
    <w:p>
      <w:pPr>
        <w:pStyle w:val="Heading3"/>
        <w:spacing w:line="240" w:lineRule="auto" w:before="89"/>
        <w:ind w:left="594" w:right="212"/>
        <w:jc w:val="left"/>
        <w:rPr>
          <w:rFonts w:ascii="宋体" w:hAnsi="宋体" w:cs="宋体" w:eastAsia="宋体" w:hint="default"/>
        </w:rPr>
      </w:pPr>
      <w:r>
        <w:rPr/>
        <w:t>②金融负债在初始确认时划分为以下两类</w:t>
      </w:r>
      <w:r>
        <w:rPr>
          <w:rFonts w:ascii="宋体" w:hAnsi="宋体" w:cs="宋体" w:eastAsia="宋体" w:hint="default"/>
          <w:b/>
          <w:bCs/>
        </w:rPr>
        <w:t>：</w:t>
      </w:r>
      <w:r>
        <w:rPr>
          <w:rFonts w:ascii="宋体" w:hAnsi="宋体" w:cs="宋体" w:eastAsia="宋体" w:hint="default"/>
        </w:rPr>
      </w:r>
    </w:p>
    <w:p>
      <w:pPr>
        <w:pStyle w:val="Heading3"/>
        <w:spacing w:line="312" w:lineRule="exact" w:before="148"/>
        <w:ind w:left="113" w:right="93" w:firstLine="480"/>
        <w:jc w:val="left"/>
      </w:pPr>
      <w:r>
        <w:rPr>
          <w:rFonts w:ascii="Times New Roman" w:hAnsi="Times New Roman" w:cs="Times New Roman" w:eastAsia="Times New Roman" w:hint="default"/>
        </w:rPr>
        <w:t>A.</w:t>
      </w:r>
      <w:r>
        <w:rPr/>
        <w:t>以公允价值计量且其变动计入当期损益的金融负债，包括交易性金融负债和指定为以</w:t>
      </w:r>
      <w:r>
        <w:rPr>
          <w:spacing w:val="1"/>
        </w:rPr>
        <w:t> </w:t>
      </w:r>
      <w:r>
        <w:rPr>
          <w:spacing w:val="-2"/>
        </w:rPr>
        <w:t>公允价值计量且其变动计入当期损益的金融负债；这类金融负债初始确认时以公允价值计量，</w:t>
      </w:r>
      <w:r>
        <w:rPr/>
        <w:t> 相关交易费用直接计入当期损益，资产负债表日将公允价值变动计入当期损益。</w:t>
      </w:r>
    </w:p>
    <w:p>
      <w:pPr>
        <w:pStyle w:val="Heading3"/>
        <w:spacing w:line="312" w:lineRule="exact" w:before="120"/>
        <w:ind w:left="113" w:right="212" w:firstLine="480"/>
        <w:jc w:val="left"/>
      </w:pPr>
      <w:r>
        <w:rPr>
          <w:rFonts w:ascii="Times New Roman" w:hAnsi="Times New Roman" w:cs="Times New Roman" w:eastAsia="Times New Roman" w:hint="default"/>
        </w:rPr>
        <w:t>B.</w:t>
      </w:r>
      <w:r>
        <w:rPr/>
        <w:t>其他金融负债，是指以公允价值计量且其变动计入当期损益的金融负债以外的金融负</w:t>
      </w:r>
      <w:r>
        <w:rPr>
          <w:spacing w:val="1"/>
        </w:rPr>
        <w:t> </w:t>
      </w:r>
      <w:r>
        <w:rPr/>
        <w:t>债。</w:t>
      </w:r>
    </w:p>
    <w:p>
      <w:pPr>
        <w:spacing w:after="0" w:line="312" w:lineRule="exact"/>
        <w:jc w:val="left"/>
        <w:sectPr>
          <w:pgSz w:w="11910" w:h="16840"/>
          <w:pgMar w:header="747" w:footer="980" w:top="1060" w:bottom="1160" w:left="1020" w:right="900"/>
        </w:sectPr>
      </w:pPr>
    </w:p>
    <w:p>
      <w:pPr>
        <w:spacing w:line="240" w:lineRule="auto" w:before="11"/>
        <w:rPr>
          <w:rFonts w:ascii="宋体" w:hAnsi="宋体" w:cs="宋体" w:eastAsia="宋体" w:hint="default"/>
          <w:sz w:val="24"/>
          <w:szCs w:val="24"/>
        </w:rPr>
      </w:pPr>
    </w:p>
    <w:p>
      <w:pPr>
        <w:pStyle w:val="Heading4"/>
        <w:spacing w:line="240" w:lineRule="auto" w:before="35"/>
        <w:ind w:right="112"/>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112" w:firstLine="480"/>
        <w:jc w:val="left"/>
      </w:pPr>
      <w:r>
        <w:rPr/>
        <w:t>①已将金融资产所有权上几乎所有的风险和报酬转移给转入方时终止对该项金融资产的</w:t>
      </w:r>
      <w:r>
        <w:rPr>
          <w:spacing w:val="1"/>
        </w:rPr>
        <w:t> </w:t>
      </w:r>
      <w:r>
        <w:rPr/>
        <w:t>确认。</w:t>
      </w:r>
    </w:p>
    <w:p>
      <w:pPr>
        <w:pStyle w:val="Heading3"/>
        <w:spacing w:line="316" w:lineRule="auto" w:before="118"/>
        <w:ind w:left="594" w:right="112" w:hanging="60"/>
        <w:jc w:val="left"/>
      </w:pPr>
      <w:r>
        <w:rPr/>
        <w:t>金融资产整体转移满足终止确认条件的，将下列两项的差额计入当期损益：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因转移而收到的对价，与原直接计入所有者权益的公允价值变动累计额之和。 金融资产部分转移满足终止确认条件的，将所转移金融资产整体的账面价值，在终止确</w:t>
      </w:r>
    </w:p>
    <w:p>
      <w:pPr>
        <w:pStyle w:val="Heading3"/>
        <w:spacing w:line="235" w:lineRule="exact"/>
        <w:ind w:right="112"/>
        <w:jc w:val="left"/>
      </w:pPr>
      <w:r>
        <w:rPr/>
        <w:t>认部分和未终止确认部分之间，按照各自的相对公允价值进行分摊，并将下列两项金额的差</w:t>
      </w:r>
    </w:p>
    <w:p>
      <w:pPr>
        <w:pStyle w:val="Heading3"/>
        <w:spacing w:line="314" w:lineRule="exact"/>
        <w:ind w:right="112"/>
        <w:jc w:val="left"/>
      </w:pPr>
      <w:r>
        <w:rPr/>
        <w:t>额计入当期损益：</w:t>
      </w:r>
    </w:p>
    <w:p>
      <w:pPr>
        <w:pStyle w:val="Heading3"/>
        <w:spacing w:line="312" w:lineRule="auto" w:before="118"/>
        <w:ind w:left="594" w:right="112"/>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w:t>
      </w:r>
    </w:p>
    <w:p>
      <w:pPr>
        <w:pStyle w:val="Heading3"/>
        <w:spacing w:line="214" w:lineRule="exact"/>
        <w:ind w:right="112"/>
        <w:jc w:val="left"/>
      </w:pPr>
      <w:r>
        <w:rPr/>
        <w:t>认部分的金额之和。</w:t>
      </w:r>
    </w:p>
    <w:p>
      <w:pPr>
        <w:pStyle w:val="Heading3"/>
        <w:spacing w:line="312" w:lineRule="exact" w:before="148"/>
        <w:ind w:right="112" w:firstLine="480"/>
        <w:jc w:val="left"/>
      </w:pPr>
      <w:r>
        <w:rPr/>
        <w:t>②金融资产转移不满足终止确认条件的，继续确认该金融资产，将所收到的对价确认为</w:t>
      </w:r>
      <w:r>
        <w:rPr>
          <w:spacing w:val="1"/>
        </w:rPr>
        <w:t> </w:t>
      </w:r>
      <w:r>
        <w:rPr/>
        <w:t>一项金融负债。</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Heading4"/>
        <w:spacing w:line="240" w:lineRule="auto"/>
        <w:ind w:right="112"/>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2"/>
        <w:jc w:val="left"/>
      </w:pPr>
      <w:r>
        <w:rPr/>
        <w:t>无</w:t>
      </w:r>
    </w:p>
    <w:p>
      <w:pPr>
        <w:spacing w:line="240" w:lineRule="auto" w:before="12"/>
        <w:rPr>
          <w:rFonts w:ascii="宋体" w:hAnsi="宋体" w:cs="宋体" w:eastAsia="宋体" w:hint="default"/>
          <w:sz w:val="26"/>
          <w:szCs w:val="26"/>
        </w:rPr>
      </w:pPr>
    </w:p>
    <w:p>
      <w:pPr>
        <w:pStyle w:val="Heading4"/>
        <w:spacing w:line="240" w:lineRule="auto"/>
        <w:ind w:right="112"/>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112"/>
        <w:jc w:val="left"/>
      </w:pPr>
      <w:r>
        <w:rPr/>
        <w:t>①存在活跃市场的金融资产或金融负债，采用活跃市场中的报价来确定公允价值；</w:t>
      </w:r>
    </w:p>
    <w:p>
      <w:pPr>
        <w:pStyle w:val="Heading3"/>
        <w:spacing w:line="240" w:lineRule="auto" w:before="118"/>
        <w:ind w:right="112"/>
        <w:jc w:val="left"/>
      </w:pPr>
      <w:r>
        <w:rPr/>
        <w:t>②金融工具不存在活跃市场的，本公司采用估值技术确定其公允价值。</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112"/>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2"/>
        <w:rPr>
          <w:rFonts w:ascii="宋体" w:hAnsi="宋体" w:cs="宋体" w:eastAsia="宋体" w:hint="default"/>
          <w:b/>
          <w:bCs/>
          <w:sz w:val="22"/>
          <w:szCs w:val="22"/>
        </w:rPr>
      </w:pPr>
    </w:p>
    <w:p>
      <w:pPr>
        <w:pStyle w:val="Heading3"/>
        <w:spacing w:line="331" w:lineRule="auto"/>
        <w:ind w:right="2550"/>
        <w:jc w:val="left"/>
      </w:pPr>
      <w:r>
        <w:rPr/>
        <w:t>①本公司在有以下证据表明该金融资产发生减值的，计提减值准备： A. 发行方或债务人发生严重财务困难；</w:t>
      </w:r>
    </w:p>
    <w:p>
      <w:pPr>
        <w:pStyle w:val="Heading3"/>
        <w:spacing w:line="240" w:lineRule="auto" w:before="26"/>
        <w:ind w:right="112"/>
        <w:jc w:val="left"/>
      </w:pPr>
      <w:r>
        <w:rPr/>
        <w:t>B. 债务人违反了合同条款，如偿付利息或本金发生违约或逾期等；</w:t>
      </w:r>
    </w:p>
    <w:p>
      <w:pPr>
        <w:pStyle w:val="Heading3"/>
        <w:spacing w:line="331" w:lineRule="auto" w:before="118"/>
        <w:ind w:right="1470"/>
        <w:jc w:val="left"/>
      </w:pPr>
      <w:r>
        <w:rPr/>
        <w:t>C. 债权人出于经济或法律等方面的考虑，对发生财务困难的债务人作出让步； D. 债务人可能倒闭或进行其他财务重组；</w:t>
      </w:r>
    </w:p>
    <w:p>
      <w:pPr>
        <w:pStyle w:val="Heading3"/>
        <w:spacing w:line="240" w:lineRule="auto" w:before="26"/>
        <w:ind w:right="112"/>
        <w:jc w:val="left"/>
      </w:pPr>
      <w:r>
        <w:rPr/>
        <w:t>E. 因发行方发生重大财务困难，该金融资产无法在活跃市场继续交易；</w:t>
      </w:r>
    </w:p>
    <w:p>
      <w:pPr>
        <w:pStyle w:val="Heading3"/>
        <w:spacing w:line="312" w:lineRule="exact" w:before="148"/>
        <w:ind w:left="473" w:right="107" w:hanging="360"/>
        <w:jc w:val="both"/>
      </w:pPr>
      <w:r>
        <w:rPr/>
        <w:t>F.</w:t>
      </w:r>
      <w:r>
        <w:rPr>
          <w:spacing w:val="27"/>
        </w:rPr>
        <w:t> </w:t>
      </w:r>
      <w:r>
        <w:rPr>
          <w:spacing w:val="-3"/>
        </w:rPr>
        <w:t>无法辨认一组金融资产中的某项资产的现金流量是否已经减少，但根据公开的数据对其进</w:t>
      </w:r>
      <w:r>
        <w:rPr>
          <w:spacing w:val="-113"/>
        </w:rPr>
        <w:t> </w:t>
      </w:r>
      <w:r>
        <w:rPr>
          <w:spacing w:val="-113"/>
        </w:rPr>
      </w:r>
      <w:r>
        <w:rPr>
          <w:spacing w:val="4"/>
        </w:rPr>
        <w:t>行总体评价后发现，该组金融资产自初始确认以来的预计未来现金流量确已减少且可计</w:t>
      </w:r>
      <w:r>
        <w:rPr>
          <w:spacing w:val="4"/>
        </w:rPr>
        <w:t> </w:t>
      </w:r>
      <w:r>
        <w:rPr/>
        <w:t>量；</w:t>
      </w:r>
    </w:p>
    <w:p>
      <w:pPr>
        <w:pStyle w:val="Heading3"/>
        <w:spacing w:line="240" w:lineRule="auto" w:before="89"/>
        <w:ind w:left="113" w:right="0"/>
        <w:jc w:val="left"/>
      </w:pPr>
      <w:r>
        <w:rPr/>
        <w:t>G.</w:t>
      </w:r>
      <w:r>
        <w:rPr>
          <w:spacing w:val="34"/>
        </w:rPr>
        <w:t> </w:t>
      </w:r>
      <w:r>
        <w:rPr>
          <w:spacing w:val="-3"/>
        </w:rPr>
        <w:t>债务人经营所处的技术、市场、经济或法律环境等发生重大不利变化，使权益工具投资人</w:t>
      </w:r>
    </w:p>
    <w:p>
      <w:pPr>
        <w:spacing w:after="0" w:line="240" w:lineRule="auto"/>
        <w:jc w:val="left"/>
        <w:sectPr>
          <w:pgSz w:w="11910" w:h="16840"/>
          <w:pgMar w:header="747" w:footer="980" w:top="1060" w:bottom="1160" w:left="1020" w:right="1000"/>
        </w:sectPr>
      </w:pPr>
    </w:p>
    <w:p>
      <w:pPr>
        <w:spacing w:line="240" w:lineRule="auto" w:before="9"/>
        <w:rPr>
          <w:rFonts w:ascii="宋体" w:hAnsi="宋体" w:cs="宋体" w:eastAsia="宋体" w:hint="default"/>
          <w:sz w:val="23"/>
          <w:szCs w:val="23"/>
        </w:rPr>
      </w:pPr>
    </w:p>
    <w:p>
      <w:pPr>
        <w:pStyle w:val="Heading3"/>
        <w:spacing w:line="240" w:lineRule="auto" w:before="26"/>
        <w:ind w:left="474" w:right="90"/>
        <w:jc w:val="left"/>
      </w:pPr>
      <w:r>
        <w:rPr/>
        <w:t>可能无法收回投资成本；</w:t>
      </w:r>
    </w:p>
    <w:p>
      <w:pPr>
        <w:pStyle w:val="Heading3"/>
        <w:spacing w:line="331" w:lineRule="auto" w:before="118"/>
        <w:ind w:right="3930"/>
        <w:jc w:val="left"/>
      </w:pPr>
      <w:r>
        <w:rPr/>
        <w:t>H. 权益工具投资的公允价值发生严重或非暂时性下跌； I. 其他表明金融资产发生减值的客观证据。</w:t>
      </w:r>
    </w:p>
    <w:p>
      <w:pPr>
        <w:pStyle w:val="Heading3"/>
        <w:spacing w:line="312" w:lineRule="exact" w:before="57"/>
        <w:ind w:right="210"/>
        <w:jc w:val="left"/>
      </w:pPr>
      <w:r>
        <w:rPr/>
        <w:t>②本公司在资产负债表日分别不同类别的金融资产采取不同的方法进行减值测试，并计提减 值准备：</w:t>
      </w:r>
    </w:p>
    <w:p>
      <w:pPr>
        <w:pStyle w:val="Heading3"/>
        <w:spacing w:line="240" w:lineRule="auto" w:before="89"/>
        <w:ind w:right="90"/>
        <w:jc w:val="left"/>
      </w:pPr>
      <w:r>
        <w:rPr/>
        <w:t>A. 交易性金融资产：在资产负债表日以公允价值反映，公允价值的变动计入当期损益；</w:t>
      </w:r>
    </w:p>
    <w:p>
      <w:pPr>
        <w:pStyle w:val="Heading3"/>
        <w:spacing w:line="312" w:lineRule="exact" w:before="148"/>
        <w:ind w:left="474" w:right="174" w:hanging="360"/>
        <w:jc w:val="left"/>
      </w:pPr>
      <w:r>
        <w:rPr/>
        <w:t>B.</w:t>
      </w:r>
      <w:r>
        <w:rPr>
          <w:spacing w:val="33"/>
        </w:rPr>
        <w:t> </w:t>
      </w:r>
      <w:r>
        <w:rPr>
          <w:spacing w:val="-3"/>
        </w:rPr>
        <w:t>持有至到期投资：在资产负债表日本公司对于持有至到期投资有客观证据表明其发生了减</w:t>
      </w:r>
      <w:r>
        <w:rPr/>
        <w:t> 值的，根据其账面价值与预计未来现金流量现值之间差额计算确认减值损失；</w:t>
      </w:r>
    </w:p>
    <w:p>
      <w:pPr>
        <w:pStyle w:val="Heading3"/>
        <w:spacing w:line="312" w:lineRule="exact" w:before="120"/>
        <w:ind w:left="474" w:right="90" w:hanging="360"/>
        <w:jc w:val="left"/>
      </w:pPr>
      <w:r>
        <w:rPr/>
        <w:t>C. </w:t>
      </w:r>
      <w:r>
        <w:rPr>
          <w:spacing w:val="-3"/>
        </w:rPr>
        <w:t>可供出售金融资产：在资产负债表日本公司对可供出售金融资产的减值情况进行分析，判</w:t>
      </w:r>
      <w:r>
        <w:rPr>
          <w:spacing w:val="-85"/>
        </w:rPr>
        <w:t> </w:t>
      </w:r>
      <w:r>
        <w:rPr>
          <w:spacing w:val="-85"/>
        </w:rPr>
      </w:r>
      <w:r>
        <w:rPr>
          <w:spacing w:val="-3"/>
        </w:rPr>
        <w:t>断该项金融资产公允价值是否持续下降。通常情况下，如果可供出售金融资产的公允价值</w:t>
      </w:r>
      <w:r>
        <w:rPr/>
        <w:t> </w:t>
      </w:r>
      <w:r>
        <w:rPr>
          <w:spacing w:val="-3"/>
        </w:rPr>
        <w:t>发生较大幅度下降，在综合考虑各种相关因素后，预期这种下降趋势属于非暂时性的，可</w:t>
      </w:r>
      <w:r>
        <w:rPr/>
        <w:t> 以认定该可供出售金融资产已发生减值，确认减值损失。可供出售金融资产发生减值的， 在确认减值损失时，将原直接计入所有者权益的公允价值下降形成的累计损失一并转出， 计入资产减值损失。</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0"/>
        <w:jc w:val="left"/>
      </w:pPr>
      <w:r>
        <w:rPr/>
        <w:t>无</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90" w:firstLine="480"/>
        <w:jc w:val="left"/>
      </w:pPr>
      <w:r>
        <w:rPr/>
        <w:t>在资产负债表日对应收款项的账面价值进行检查，有客观证据表明其发生减值的，计提</w:t>
      </w:r>
      <w:r>
        <w:rPr>
          <w:spacing w:val="1"/>
        </w:rPr>
        <w:t> </w:t>
      </w:r>
      <w:r>
        <w:rPr/>
        <w:t>减值准备。</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6"/>
        <w:gridCol w:w="4513"/>
      </w:tblGrid>
      <w:tr>
        <w:trPr>
          <w:trHeight w:val="402"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万元以上应收账款</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万元以上其他应收款</w:t>
            </w:r>
          </w:p>
        </w:tc>
      </w:tr>
      <w:tr>
        <w:trPr>
          <w:trHeight w:val="1338"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对于单项金额重大的应收款项，单独进行减值测试。有客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观证据表明其发生了减值的，根据其未来现金流量现值低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于其账面价值的差额，确认减值损失，并据此计提相应的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坏账准备。</w:t>
            </w:r>
          </w:p>
        </w:tc>
      </w:tr>
    </w:tbl>
    <w:p>
      <w:pPr>
        <w:spacing w:line="240" w:lineRule="auto" w:before="1"/>
        <w:rPr>
          <w:rFonts w:ascii="宋体" w:hAnsi="宋体" w:cs="宋体" w:eastAsia="宋体" w:hint="default"/>
          <w:b/>
          <w:bCs/>
          <w:sz w:val="19"/>
          <w:szCs w:val="19"/>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21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8"/>
              <w:jc w:val="left"/>
              <w:rPr>
                <w:rFonts w:ascii="宋体" w:hAnsi="宋体" w:cs="宋体" w:eastAsia="宋体" w:hint="default"/>
                <w:sz w:val="18"/>
                <w:szCs w:val="18"/>
              </w:rPr>
            </w:pPr>
            <w:r>
              <w:rPr>
                <w:rFonts w:ascii="宋体" w:hAnsi="宋体" w:cs="宋体" w:eastAsia="宋体" w:hint="default"/>
                <w:sz w:val="18"/>
                <w:szCs w:val="18"/>
              </w:rPr>
              <w:t>对单项金额重大单独测试未发生减值的应收款项汇同单项金 额不重大的应收款项</w:t>
            </w:r>
          </w:p>
        </w:tc>
      </w:tr>
    </w:tbl>
    <w:p>
      <w:pPr>
        <w:pStyle w:val="BodyText"/>
        <w:spacing w:line="240" w:lineRule="auto" w:before="49"/>
        <w:ind w:right="90"/>
        <w:jc w:val="left"/>
      </w:pPr>
      <w:r>
        <w:rPr/>
        <w:t>组合中，采用账龄分析法计提坏账准备的</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6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0" w:firstLine="630"/>
        <w:jc w:val="left"/>
      </w:pPr>
      <w:r>
        <w:rPr/>
        <w:t>存货是指本公司在日常活动中持有以备出售的产成品或商品、处在生产过程中的在产品、处在开发过程中的软件产 品、外购的以备出售的软件产品等，包括原材料、周转材料、库存商品等。</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计价方法：加权平均法</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02" w:firstLine="480"/>
        <w:jc w:val="both"/>
      </w:pPr>
      <w:r>
        <w:rPr/>
        <w:t>资产负债表日按成本与可变现净值孰低计量，存货成本高于其可变现净值的，计提存货</w:t>
      </w:r>
      <w:r>
        <w:rPr>
          <w:spacing w:val="1"/>
        </w:rPr>
        <w:t> </w:t>
      </w:r>
      <w:r>
        <w:rPr/>
        <w:t>跌价准备，计入当期损益。</w:t>
      </w:r>
    </w:p>
    <w:p>
      <w:pPr>
        <w:pStyle w:val="Heading3"/>
        <w:spacing w:line="312" w:lineRule="exact" w:before="120"/>
        <w:ind w:right="102" w:firstLine="480"/>
        <w:jc w:val="both"/>
      </w:pPr>
      <w:r>
        <w:rPr/>
        <w:t>在确定存货的可变现净值时，以取得的可靠证据为基础，并且考虑持有存货的目的、资</w:t>
      </w:r>
      <w:r>
        <w:rPr>
          <w:spacing w:val="1"/>
        </w:rPr>
        <w:t> </w:t>
      </w:r>
      <w:r>
        <w:rPr/>
        <w:t>产负债表日后事项的影响等因素。存货跌价准备一般按单个存货项目计提；对于数量繁多、</w:t>
      </w:r>
      <w:r>
        <w:rPr/>
        <w:t> 单价较低的存货，按存货类别计提。资产负债表日如果以前减记存货价值的影响因素已经消 失，则减记的金额予以恢复，并在原已计提的存货跌价准备的金额内转回，转回的金额计入 当期损益。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盘存制度：永续盘存制</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低值易耗品</w:t>
      </w:r>
    </w:p>
    <w:p>
      <w:pPr>
        <w:spacing w:after="0" w:line="24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60" w:lineRule="auto"/>
        <w:ind w:left="113" w:right="8011"/>
        <w:jc w:val="left"/>
      </w:pPr>
      <w:r>
        <w:rPr/>
        <w:t>摊销方法：一次摊销法 包装物 摊销方法：一次摊销法</w:t>
      </w:r>
    </w:p>
    <w:p>
      <w:pPr>
        <w:spacing w:line="240" w:lineRule="auto" w:before="1"/>
        <w:rPr>
          <w:rFonts w:ascii="宋体" w:hAnsi="宋体" w:cs="宋体" w:eastAsia="宋体" w:hint="default"/>
          <w:sz w:val="20"/>
          <w:szCs w:val="20"/>
        </w:rPr>
      </w:pPr>
    </w:p>
    <w:p>
      <w:pPr>
        <w:pStyle w:val="Heading4"/>
        <w:spacing w:line="240" w:lineRule="auto"/>
        <w:ind w:right="9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13" w:right="191" w:firstLine="360"/>
        <w:jc w:val="both"/>
      </w:pPr>
      <w:r>
        <w:rPr/>
        <w:t>分别下列情况对长期股权投资进行计量</w:t>
      </w:r>
      <w:r>
        <w:rPr>
          <w:rFonts w:ascii="Times New Roman" w:hAnsi="Times New Roman" w:cs="Times New Roman" w:eastAsia="Times New Roman" w:hint="default"/>
        </w:rPr>
        <w:t>:</w:t>
      </w:r>
      <w:r>
        <w:rPr/>
        <w:t>① 企业合并形成的长期股权投资，按照下列规定确定其投资成本：</w:t>
      </w: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同一控 </w:t>
      </w:r>
      <w:r>
        <w:rPr>
          <w:spacing w:val="-2"/>
        </w:rPr>
        <w:t>制下的企业合并，合并方以支付现金、转让非现金资产或承担债务方式作为合并对价的，在合并日按照取得被合并方所有者</w:t>
      </w:r>
      <w:r>
        <w:rPr>
          <w:spacing w:val="-65"/>
        </w:rPr>
        <w:t> </w:t>
      </w:r>
      <w:r>
        <w:rPr>
          <w:spacing w:val="-65"/>
        </w:rPr>
      </w:r>
      <w:r>
        <w:rPr>
          <w:spacing w:val="-2"/>
        </w:rPr>
        <w:t>权益账面价值的份额作为长期股权投资的初始投资成本。长期股权投资初始投资成本与支付的现金、转让的非现金资产以及</w:t>
      </w:r>
      <w:r>
        <w:rPr>
          <w:spacing w:val="-64"/>
        </w:rPr>
        <w:t> </w:t>
      </w:r>
      <w:r>
        <w:rPr>
          <w:spacing w:val="-64"/>
        </w:rPr>
      </w:r>
      <w:r>
        <w:rPr>
          <w:spacing w:val="-2"/>
        </w:rPr>
        <w:t>所承担债务账面价值之间的差额，调整资本公积（股本溢价）；资本公积（股本溢价）的余额不足冲减的，调整留存收益；</w:t>
      </w:r>
      <w:r>
        <w:rPr>
          <w:spacing w:val="-72"/>
        </w:rPr>
        <w:t> </w:t>
      </w:r>
      <w:r>
        <w:rPr>
          <w:spacing w:val="-72"/>
        </w:rPr>
      </w: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同一控制下的企业合并，合并方以发行权益性证券作为合并对价的，在合并日按照取得被合并方所有者权益账面价值的 </w:t>
      </w:r>
      <w:r>
        <w:rPr>
          <w:spacing w:val="-2"/>
        </w:rPr>
        <w:t>份额作为长期股权投资的初始投资成本。按照发行股份的面值总额作为股本，长期股权投资的初始投资成本与所发行股份面</w:t>
      </w:r>
      <w:r>
        <w:rPr>
          <w:spacing w:val="-64"/>
        </w:rPr>
        <w:t> </w:t>
      </w:r>
      <w:r>
        <w:rPr>
          <w:spacing w:val="-64"/>
        </w:rPr>
      </w:r>
      <w:r>
        <w:rPr>
          <w:spacing w:val="-4"/>
        </w:rPr>
        <w:t>值总额之间的差额，调整资本公积（股本溢价）；资本公积（股本溢价）不足冲减的，调整留存收益；</w:t>
      </w:r>
      <w:r>
        <w:rPr>
          <w:rFonts w:ascii="Times New Roman" w:hAnsi="Times New Roman" w:cs="Times New Roman" w:eastAsia="Times New Roman" w:hint="default"/>
          <w:spacing w:val="-4"/>
        </w:rPr>
        <w:t>C.</w:t>
      </w:r>
      <w:r>
        <w:rPr>
          <w:rFonts w:ascii="Times New Roman" w:hAnsi="Times New Roman" w:cs="Times New Roman" w:eastAsia="Times New Roman" w:hint="default"/>
          <w:spacing w:val="22"/>
        </w:rPr>
        <w:t> </w:t>
      </w:r>
      <w:r>
        <w:rPr/>
        <w:t>非同一控制下的企</w:t>
      </w:r>
      <w:r>
        <w:rPr>
          <w:spacing w:val="-87"/>
        </w:rPr>
        <w:t> </w:t>
      </w:r>
      <w:r>
        <w:rPr>
          <w:spacing w:val="-2"/>
        </w:rPr>
        <w:t>业合并，以购买日为取得对被购买方的控制权而付出的资产、发生或承担的负债以及发行的权益性证券的公允价值确定为合</w:t>
      </w:r>
      <w:r>
        <w:rPr>
          <w:spacing w:val="-64"/>
        </w:rPr>
        <w:t> </w:t>
      </w:r>
      <w:r>
        <w:rPr>
          <w:spacing w:val="-64"/>
        </w:rPr>
      </w:r>
      <w:r>
        <w:rPr/>
        <w:t>并成本作为长期股权投资的初始投资成本。② 除企业合并形成的长期股权投资以外，其他方式取得的长期股权投资，按照 下列规定确定其投资成本：</w:t>
      </w: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以支付现金取得的长期股权投资，按照实际支付的购买价款作为投资成本。投资成本包括与 </w:t>
      </w:r>
      <w:r>
        <w:rPr>
          <w:spacing w:val="-2"/>
        </w:rPr>
        <w:t>取得长期股权投资直接相关的费用、税金及其他必要支出，但实际支付的价款中包含的已宣告但尚未领取的现金股利，作为</w:t>
      </w:r>
      <w:r>
        <w:rPr>
          <w:spacing w:val="-65"/>
        </w:rPr>
        <w:t> </w:t>
      </w:r>
      <w:r>
        <w:rPr>
          <w:spacing w:val="-65"/>
        </w:rPr>
      </w:r>
      <w:r>
        <w:rPr/>
        <w:t>应收项目单独核算；</w:t>
      </w:r>
      <w:r>
        <w:rPr>
          <w:rFonts w:ascii="Times New Roman" w:hAnsi="Times New Roman" w:cs="Times New Roman" w:eastAsia="Times New Roman" w:hint="default"/>
        </w:rPr>
        <w:t>B. </w:t>
      </w:r>
      <w:r>
        <w:rPr/>
        <w:t>以发行权益性证券取得的长期股权投资，按照发行权益性证券的公允价值作为投资成本；</w:t>
      </w:r>
      <w:r>
        <w:rPr>
          <w:rFonts w:ascii="Times New Roman" w:hAnsi="Times New Roman" w:cs="Times New Roman" w:eastAsia="Times New Roman" w:hint="default"/>
        </w:rPr>
        <w:t>C.</w:t>
      </w:r>
      <w:r>
        <w:rPr>
          <w:rFonts w:ascii="Times New Roman" w:hAnsi="Times New Roman" w:cs="Times New Roman" w:eastAsia="Times New Roman" w:hint="default"/>
          <w:spacing w:val="38"/>
        </w:rPr>
        <w:t> </w:t>
      </w:r>
      <w:r>
        <w:rPr/>
        <w:t>投资者 投入的长期股权投资，按照投资合同或协议约定的价值作为投资成本，但合同或协议约定不公允的除外；</w:t>
      </w:r>
      <w:r>
        <w:rPr>
          <w:rFonts w:ascii="Times New Roman" w:hAnsi="Times New Roman" w:cs="Times New Roman" w:eastAsia="Times New Roman" w:hint="default"/>
        </w:rPr>
        <w:t>D.</w:t>
      </w:r>
      <w:r>
        <w:rPr>
          <w:rFonts w:ascii="Times New Roman" w:hAnsi="Times New Roman" w:cs="Times New Roman" w:eastAsia="Times New Roman" w:hint="default"/>
          <w:spacing w:val="43"/>
        </w:rPr>
        <w:t> </w:t>
      </w:r>
      <w:r>
        <w:rPr/>
        <w:t>通过非货币性 </w:t>
      </w:r>
      <w:r>
        <w:rPr>
          <w:spacing w:val="-2"/>
        </w:rPr>
        <w:t>资产交换取得的长期股权投资，如果该项交换具有商业实质且换入资产或换出资产的公允价值能可靠计量，则以换出资产的</w:t>
      </w:r>
      <w:r>
        <w:rPr>
          <w:spacing w:val="-64"/>
        </w:rPr>
        <w:t> </w:t>
      </w:r>
      <w:r>
        <w:rPr>
          <w:spacing w:val="-64"/>
        </w:rPr>
      </w:r>
      <w:r>
        <w:rPr>
          <w:spacing w:val="-2"/>
        </w:rPr>
        <w:t>公允价值和相关税费作为初始投资成本，换出资产的公允价值与账面价值之间的差额计入当期损益；若非货币资产交换不同</w:t>
      </w:r>
      <w:r>
        <w:rPr>
          <w:spacing w:val="-64"/>
        </w:rPr>
        <w:t> </w:t>
      </w:r>
      <w:r>
        <w:rPr>
          <w:spacing w:val="-64"/>
        </w:rPr>
      </w:r>
      <w:r>
        <w:rPr/>
        <w:t>时具备上述两个条件，则按换出资产的账面价值和相关税费作为初始投资成本。</w:t>
      </w:r>
      <w:r>
        <w:rPr>
          <w:rFonts w:ascii="Times New Roman" w:hAnsi="Times New Roman" w:cs="Times New Roman" w:eastAsia="Times New Roman" w:hint="default"/>
        </w:rPr>
        <w:t>E.</w:t>
      </w:r>
      <w:r>
        <w:rPr>
          <w:rFonts w:ascii="Times New Roman" w:hAnsi="Times New Roman" w:cs="Times New Roman" w:eastAsia="Times New Roman" w:hint="default"/>
          <w:spacing w:val="43"/>
        </w:rPr>
        <w:t> </w:t>
      </w:r>
      <w:r>
        <w:rPr/>
        <w:t>通过债务重组取得的长期股权投资，按 取得的股权的公允价值作为初始投资成本，初始投资成本与债权账面价值之间的差额计入当期损益。</w:t>
      </w:r>
    </w:p>
    <w:p>
      <w:pPr>
        <w:spacing w:line="240" w:lineRule="auto" w:before="12"/>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left="113" w:right="108" w:firstLine="360"/>
        <w:jc w:val="left"/>
      </w:pPr>
      <w:r>
        <w:rPr/>
        <w:t>根据是否对被投资单位具有控制、共同控制或重大影响分别对长期股权投资采用成本法或权益法核算。① 采用成本法 </w:t>
      </w:r>
      <w:r>
        <w:rPr>
          <w:spacing w:val="-2"/>
        </w:rPr>
        <w:t>核算的长期投资，追加或收回投资调整长期股权投资的成本。取得被投资单位宣告发放的现金股利或利润，除取得投资时实</w:t>
      </w:r>
      <w:r>
        <w:rPr>
          <w:spacing w:val="-65"/>
        </w:rPr>
        <w:t> </w:t>
      </w:r>
      <w:r>
        <w:rPr>
          <w:spacing w:val="-65"/>
        </w:rPr>
      </w:r>
      <w:r>
        <w:rPr>
          <w:spacing w:val="-2"/>
        </w:rPr>
        <w:t>际支付的价款或对价中包含的已宣告但尚未发放的现金股利或利润外，按照享有被投资单位宣告发放的现金股利或利润确认</w:t>
      </w:r>
      <w:r>
        <w:rPr>
          <w:spacing w:val="-64"/>
        </w:rPr>
        <w:t> </w:t>
      </w:r>
      <w:r>
        <w:rPr>
          <w:spacing w:val="-64"/>
        </w:rPr>
      </w:r>
      <w:r>
        <w:rPr/>
        <w:t>当期投资收益。② 采用权益法核算的长期股权投资，本公司在取得长期股权投资后，在计算投资损益时按本公司的会计政 </w:t>
      </w:r>
      <w:r>
        <w:rPr>
          <w:spacing w:val="-2"/>
        </w:rPr>
        <w:t>策及会计期间对被投资单位的财务报表进行调整，在此基础上再抵销本公司与联营企业及合营企业之间发生的内部交易损益</w:t>
      </w:r>
      <w:r>
        <w:rPr>
          <w:spacing w:val="-64"/>
        </w:rPr>
        <w:t> </w:t>
      </w:r>
      <w:r>
        <w:rPr>
          <w:spacing w:val="-64"/>
        </w:rPr>
      </w:r>
      <w:r>
        <w:rPr>
          <w:spacing w:val="-2"/>
        </w:rPr>
        <w:t>按照应享有或应分担计算归属于本公司的部分，确认投资损益并调整长期股权投资账面价值。如果本公司取得投资时被投资</w:t>
      </w:r>
      <w:r>
        <w:rPr>
          <w:spacing w:val="-64"/>
        </w:rPr>
        <w:t> </w:t>
      </w:r>
      <w:r>
        <w:rPr>
          <w:spacing w:val="-64"/>
        </w:rPr>
      </w:r>
      <w:r>
        <w:rPr/>
        <w:t>单位有关资产、负债的公允价值与其账面价值不同的，后续计量计算归属于投资企业应享有的净利润或应承担的净亏损时， </w:t>
      </w:r>
      <w:r>
        <w:rPr>
          <w:spacing w:val="-2"/>
        </w:rPr>
        <w:t>应考虑被投资单位计提的折旧额、摊销额以及资产减值准备金额等进行调整。以上调整均考虑重要性原则，在符合下列条件</w:t>
      </w:r>
      <w:r>
        <w:rPr>
          <w:spacing w:val="-65"/>
        </w:rPr>
        <w:t> </w:t>
      </w:r>
      <w:r>
        <w:rPr>
          <w:spacing w:val="-65"/>
        </w:rPr>
      </w:r>
      <w:r>
        <w:rPr/>
        <w:t>之一的，本公司按被投资单位的账面净利润为基础，经调整未实现内部交易损益后，计算确认投资损益。</w:t>
      </w: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无法合理确定 取得投资时被投资单位各项可辨认资产等的公允价值。</w:t>
      </w:r>
      <w:r>
        <w:rPr>
          <w:rFonts w:ascii="Times New Roman" w:hAnsi="Times New Roman" w:cs="Times New Roman" w:eastAsia="Times New Roman" w:hint="default"/>
        </w:rPr>
        <w:t>B.</w:t>
      </w:r>
      <w:r>
        <w:rPr>
          <w:rFonts w:ascii="Times New Roman" w:hAnsi="Times New Roman" w:cs="Times New Roman" w:eastAsia="Times New Roman" w:hint="default"/>
          <w:spacing w:val="33"/>
        </w:rPr>
        <w:t> </w:t>
      </w:r>
      <w:r>
        <w:rPr/>
        <w:t>投资时被投资单位可辨认资产的公允价值与其账面价值相比</w:t>
      </w:r>
      <w:r>
        <w:rPr>
          <w:rFonts w:ascii="Times New Roman" w:hAnsi="Times New Roman" w:cs="Times New Roman" w:eastAsia="Times New Roman" w:hint="default"/>
        </w:rPr>
        <w:t>,</w:t>
      </w:r>
      <w:r>
        <w:rPr/>
        <w:t>两者 之间的差额不具重要性的。</w:t>
      </w: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其他原因导致无法取得被投资单位的有关资料，不能按照准则中规定的原则对被投资单位的 </w:t>
      </w:r>
      <w:r>
        <w:rPr>
          <w:spacing w:val="-9"/>
        </w:rPr>
        <w:t>净损益进行调整的。③</w:t>
      </w:r>
      <w:r>
        <w:rPr/>
        <w:t> </w:t>
      </w:r>
      <w:r>
        <w:rPr>
          <w:spacing w:val="-1"/>
        </w:rPr>
        <w:t>在权益法下长期股权投资的账面价值减记至零的情况下</w:t>
      </w:r>
      <w:r>
        <w:rPr>
          <w:rFonts w:ascii="Times New Roman" w:hAnsi="Times New Roman" w:cs="Times New Roman" w:eastAsia="Times New Roman" w:hint="default"/>
          <w:spacing w:val="-1"/>
        </w:rPr>
        <w:t>,</w:t>
      </w:r>
      <w:r>
        <w:rPr>
          <w:spacing w:val="-1"/>
        </w:rPr>
        <w:t>如果仍有未确认的投资损失</w:t>
      </w:r>
      <w:r>
        <w:rPr>
          <w:rFonts w:ascii="Times New Roman" w:hAnsi="Times New Roman" w:cs="Times New Roman" w:eastAsia="Times New Roman" w:hint="default"/>
          <w:spacing w:val="-1"/>
        </w:rPr>
        <w:t>,</w:t>
      </w:r>
      <w:r>
        <w:rPr>
          <w:spacing w:val="-1"/>
        </w:rPr>
        <w:t>应以其他长期权</w:t>
      </w:r>
      <w:r>
        <w:rPr>
          <w:spacing w:val="-38"/>
        </w:rPr>
        <w:t> </w:t>
      </w:r>
      <w:r>
        <w:rPr/>
        <w:t>益的账面价值为基础继续确认。如果在投资合同或协议中约定将履行其他额外的损失补偿义务，还按《企业会计准则第</w:t>
      </w:r>
      <w:r>
        <w:rPr>
          <w:spacing w:val="-46"/>
        </w:rPr>
        <w:t> </w:t>
      </w:r>
      <w:r>
        <w:rPr>
          <w:rFonts w:ascii="Times New Roman" w:hAnsi="Times New Roman" w:cs="Times New Roman" w:eastAsia="Times New Roman" w:hint="default"/>
        </w:rPr>
        <w:t>l3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或有事项》的规定确认预计将承担的损失金额。④</w:t>
      </w:r>
      <w:r>
        <w:rPr>
          <w:spacing w:val="-1"/>
        </w:rPr>
        <w:t> </w:t>
      </w:r>
      <w:r>
        <w:rPr/>
        <w:t>按照权益法核算的长期股权投资，投资企业自被投资单位取得的现 </w:t>
      </w:r>
      <w:r>
        <w:rPr>
          <w:spacing w:val="-2"/>
        </w:rPr>
        <w:t>金股利或利润，抵减长期股权投资的账面价值。自被投资单位取得的现金股利或利润超过已确认损益调整的部分视同投资成</w:t>
      </w:r>
      <w:r>
        <w:rPr>
          <w:spacing w:val="-64"/>
        </w:rPr>
        <w:t> </w:t>
      </w:r>
      <w:r>
        <w:rPr>
          <w:spacing w:val="-64"/>
        </w:rPr>
      </w:r>
      <w:r>
        <w:rPr/>
        <w:t>本的收回，冲减长期股权投资的成本。</w:t>
      </w:r>
    </w:p>
    <w:p>
      <w:pPr>
        <w:spacing w:after="0" w:line="312" w:lineRule="auto"/>
        <w:jc w:val="left"/>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left="113" w:right="90"/>
        <w:jc w:val="left"/>
      </w:pPr>
      <w:r>
        <w:rPr/>
        <w:t>①</w:t>
      </w:r>
      <w:r>
        <w:rPr>
          <w:spacing w:val="3"/>
        </w:rPr>
        <w:t> </w:t>
      </w:r>
      <w:r>
        <w:rPr>
          <w:spacing w:val="-3"/>
        </w:rPr>
        <w:t>存在以下一种或几种情况时，确定对被投资单位具有共同控制：</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6"/>
        </w:rPr>
        <w:t> </w:t>
      </w:r>
      <w:r>
        <w:rPr/>
        <w:t>任何一个合营方均不能单独控制合营企业的生产经营</w:t>
      </w:r>
      <w:r>
        <w:rPr>
          <w:spacing w:val="-87"/>
        </w:rPr>
        <w:t> </w:t>
      </w:r>
      <w:r>
        <w:rPr>
          <w:spacing w:val="-6"/>
        </w:rPr>
        <w:t>活动；</w:t>
      </w:r>
      <w:r>
        <w:rPr>
          <w:rFonts w:ascii="Times New Roman" w:hAnsi="Times New Roman" w:cs="Times New Roman" w:eastAsia="Times New Roman" w:hint="default"/>
          <w:spacing w:val="-6"/>
        </w:rPr>
        <w:t>B. </w:t>
      </w:r>
      <w:r>
        <w:rPr/>
        <w:t>涉及合营企业基本经营活动的决策需要各合营方一致同意；</w:t>
      </w:r>
      <w:r>
        <w:rPr>
          <w:rFonts w:ascii="Times New Roman" w:hAnsi="Times New Roman" w:cs="Times New Roman" w:eastAsia="Times New Roman" w:hint="default"/>
        </w:rPr>
        <w:t>C.</w:t>
      </w:r>
      <w:r>
        <w:rPr>
          <w:rFonts w:ascii="Times New Roman" w:hAnsi="Times New Roman" w:cs="Times New Roman" w:eastAsia="Times New Roman" w:hint="default"/>
          <w:spacing w:val="40"/>
        </w:rPr>
        <w:t> </w:t>
      </w:r>
      <w:r>
        <w:rPr/>
        <w:t>各合营方可能通过合同或协议的形式任命其中的一 个合营方对合营企业的日常活动进行管理</w:t>
      </w:r>
      <w:r>
        <w:rPr>
          <w:rFonts w:ascii="Times New Roman" w:hAnsi="Times New Roman" w:cs="Times New Roman" w:eastAsia="Times New Roman" w:hint="default"/>
        </w:rPr>
        <w:t>,</w:t>
      </w:r>
      <w:r>
        <w:rPr/>
        <w:t>但其必须在各合营方已经一致同意的财务和经营政策范围内行使管理权。当被投 </w:t>
      </w:r>
      <w:r>
        <w:rPr>
          <w:spacing w:val="-2"/>
        </w:rPr>
        <w:t>资单位处于法定重组或破产中，或者在向投资方转移资金的能力受到严格的长期限制情况下经营时，通常投资方对被投资单</w:t>
      </w:r>
      <w:r>
        <w:rPr>
          <w:spacing w:val="-64"/>
        </w:rPr>
        <w:t> </w:t>
      </w:r>
      <w:r>
        <w:rPr>
          <w:spacing w:val="-64"/>
        </w:rPr>
      </w:r>
      <w:r>
        <w:rPr>
          <w:spacing w:val="-4"/>
        </w:rPr>
        <w:t>位可能无法实施共同控制。但如果能够证明存在共同控制，合营各方仍按照长期股权投资准则的规定采用权益法核算。② </w:t>
      </w:r>
      <w:r>
        <w:rPr/>
        <w:t>存</w:t>
      </w:r>
      <w:r>
        <w:rPr>
          <w:spacing w:val="-47"/>
        </w:rPr>
        <w:t> </w:t>
      </w:r>
      <w:r>
        <w:rPr/>
        <w:t>在以下一种或几种情况时，确定对被投资单位具有重大影响：</w:t>
      </w:r>
      <w:r>
        <w:rPr>
          <w:rFonts w:ascii="Times New Roman" w:hAnsi="Times New Roman" w:cs="Times New Roman" w:eastAsia="Times New Roman" w:hint="default"/>
        </w:rPr>
        <w:t>A.</w:t>
      </w:r>
      <w:r>
        <w:rPr/>
        <w:t>在被投资单位的董事会或类似权力机构中派有代表；</w:t>
      </w:r>
      <w:r>
        <w:rPr>
          <w:rFonts w:ascii="Times New Roman" w:hAnsi="Times New Roman" w:cs="Times New Roman" w:eastAsia="Times New Roman" w:hint="default"/>
        </w:rPr>
        <w:t>B.</w:t>
      </w:r>
      <w:r>
        <w:rPr/>
        <w:t>参与 被投资单位的政策制定过程</w:t>
      </w:r>
      <w:r>
        <w:rPr>
          <w:rFonts w:ascii="Times New Roman" w:hAnsi="Times New Roman" w:cs="Times New Roman" w:eastAsia="Times New Roman" w:hint="default"/>
        </w:rPr>
        <w:t>,</w:t>
      </w:r>
      <w:r>
        <w:rPr/>
        <w:t>包括股利分配政策等的制定；</w:t>
      </w:r>
      <w:r>
        <w:rPr>
          <w:rFonts w:ascii="Times New Roman" w:hAnsi="Times New Roman" w:cs="Times New Roman" w:eastAsia="Times New Roman" w:hint="default"/>
        </w:rPr>
        <w:t>C.</w:t>
      </w:r>
      <w:r>
        <w:rPr/>
        <w:t>与被投资单位之间发生重要交易；</w:t>
      </w:r>
      <w:r>
        <w:rPr>
          <w:rFonts w:ascii="Times New Roman" w:hAnsi="Times New Roman" w:cs="Times New Roman" w:eastAsia="Times New Roman" w:hint="default"/>
        </w:rPr>
        <w:t>D.</w:t>
      </w:r>
      <w:r>
        <w:rPr/>
        <w:t>向被投资单位派出管理人 员；</w:t>
      </w:r>
      <w:r>
        <w:rPr>
          <w:rFonts w:ascii="Times New Roman" w:hAnsi="Times New Roman" w:cs="Times New Roman" w:eastAsia="Times New Roman" w:hint="default"/>
        </w:rPr>
        <w:t>E.</w:t>
      </w:r>
      <w:r>
        <w:rPr/>
        <w:t>向被投资单位提供关键技术资料。</w:t>
      </w:r>
    </w:p>
    <w:p>
      <w:pPr>
        <w:spacing w:line="240" w:lineRule="auto" w:before="10"/>
        <w:rPr>
          <w:rFonts w:ascii="宋体" w:hAnsi="宋体" w:cs="宋体" w:eastAsia="宋体" w:hint="default"/>
          <w:sz w:val="21"/>
          <w:szCs w:val="21"/>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82" w:firstLine="480"/>
        <w:jc w:val="both"/>
      </w:pPr>
      <w:r>
        <w:rPr/>
        <w:t>本公司在资产负债表日对长期股权投资进行逐项检查，根据被投资单位经营政策、法律</w:t>
      </w:r>
      <w:r>
        <w:rPr>
          <w:spacing w:val="1"/>
        </w:rPr>
        <w:t> </w:t>
      </w:r>
      <w:r>
        <w:rPr/>
        <w:t>环境、市场需求、行业及盈利能力等的各种变化判断长期股权投资是否存在减值迹象。当长</w:t>
      </w:r>
      <w:r>
        <w:rPr/>
        <w:t> 期股权投资可收回金额低于账面价值时，将可收回金额低于长期股权投资账面价值的差额作 为长期股权投资减值准备予以计提。资产减值损失一经确认，在以后会计期间不再转回。</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91" w:firstLine="540"/>
        <w:jc w:val="both"/>
      </w:pPr>
      <w:r>
        <w:rPr>
          <w:spacing w:val="-2"/>
        </w:rPr>
        <w:t>固定资产是指为生产商品、提供劳务、出租或经营管理而持有的使用年限超过一年的单位价值较高的有形资产。固定</w:t>
      </w:r>
      <w:r>
        <w:rPr/>
        <w:t> 资产在同时满足下列条件时，按取得时的实际成本予以确认：①</w:t>
      </w:r>
      <w:r>
        <w:rPr>
          <w:spacing w:val="-40"/>
        </w:rPr>
        <w:t> </w:t>
      </w:r>
      <w:r>
        <w:rPr/>
        <w:t>与该固定资产有关的经济利益很可能流入企业。②</w:t>
      </w:r>
      <w:r>
        <w:rPr>
          <w:spacing w:val="-40"/>
        </w:rPr>
        <w:t> </w:t>
      </w:r>
      <w:r>
        <w:rPr/>
        <w:t>该固定</w:t>
      </w:r>
      <w:r>
        <w:rPr/>
        <w:t> </w:t>
      </w:r>
      <w:r>
        <w:rPr>
          <w:spacing w:val="-2"/>
        </w:rPr>
        <w:t>资产的成本能够可靠地计量。固定资产发生的后续支出，符合固定资产确认条件的计入固定资产成本；不符合固定资产确认</w:t>
      </w:r>
      <w:r>
        <w:rPr>
          <w:spacing w:val="-65"/>
        </w:rPr>
        <w:t> </w:t>
      </w:r>
      <w:r>
        <w:rPr>
          <w:spacing w:val="-65"/>
        </w:rPr>
      </w:r>
      <w:r>
        <w:rPr/>
        <w:t>条件的在发生时计入当期损益。</w:t>
      </w:r>
    </w:p>
    <w:p>
      <w:pPr>
        <w:spacing w:line="240" w:lineRule="auto" w:before="8"/>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182" w:firstLine="480"/>
        <w:jc w:val="both"/>
      </w:pPr>
      <w:r>
        <w:rPr/>
        <w:t>本公司从固定资产达到预定可使用状态的次月起按年限平均法计提折旧，按固定资产的</w:t>
      </w:r>
      <w:r>
        <w:rPr>
          <w:spacing w:val="1"/>
        </w:rPr>
        <w:t> </w:t>
      </w:r>
      <w:r>
        <w:rPr/>
        <w:t>类别、估计的经济使用年限和预计的净残值分别确定折旧年限和年折旧率如下：</w:t>
      </w: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2"/>
        <w:rPr>
          <w:rFonts w:ascii="宋体" w:hAnsi="宋体" w:cs="宋体" w:eastAsia="宋体" w:hint="default"/>
          <w:b/>
          <w:bCs/>
          <w:sz w:val="22"/>
          <w:szCs w:val="22"/>
        </w:rPr>
      </w:pPr>
    </w:p>
    <w:p>
      <w:pPr>
        <w:pStyle w:val="Heading3"/>
        <w:spacing w:line="237" w:lineRule="auto"/>
        <w:ind w:right="182" w:firstLine="480"/>
        <w:jc w:val="both"/>
      </w:pPr>
      <w:r>
        <w:rPr/>
        <w:t>本公司在资产负债表日对各项固定资产进行判断，当存在减值迹象，估计可收回金额低</w:t>
      </w:r>
      <w:r>
        <w:rPr>
          <w:spacing w:val="1"/>
        </w:rPr>
        <w:t> </w:t>
      </w:r>
      <w:r>
        <w:rPr/>
        <w:t>于其账面价值时，账面价值减记至可收回金额，减记的金额确认为资产减值损失，计入当期</w:t>
      </w:r>
      <w:r>
        <w:rPr/>
        <w:t> 损益，同时计提相应的资产减值准备。资产减值损失一经确认，在以后会计期间不再转回。 当存在下列迹象的，按固定资产单项项目全额计提减值准备：</w:t>
      </w:r>
    </w:p>
    <w:p>
      <w:pPr>
        <w:pStyle w:val="Heading3"/>
        <w:spacing w:line="240" w:lineRule="auto" w:before="118"/>
        <w:ind w:right="90"/>
        <w:jc w:val="left"/>
      </w:pPr>
      <w:r>
        <w:rPr/>
        <w:t>①长期闲置不用，在可预见的未来不会再使用，且已无转让价值的固定资产；</w:t>
      </w:r>
    </w:p>
    <w:p>
      <w:pPr>
        <w:pStyle w:val="Heading3"/>
        <w:spacing w:line="240" w:lineRule="auto" w:before="116"/>
        <w:ind w:right="90"/>
        <w:jc w:val="left"/>
      </w:pPr>
      <w:r>
        <w:rPr/>
        <w:t>②由于技术进步等原因，已不可使用的固定资产；</w:t>
      </w:r>
    </w:p>
    <w:p>
      <w:pPr>
        <w:pStyle w:val="Heading3"/>
        <w:spacing w:line="240" w:lineRule="auto" w:before="118"/>
        <w:ind w:right="90"/>
        <w:jc w:val="left"/>
      </w:pPr>
      <w:r>
        <w:rPr/>
        <w:t>③虽然固定资产尚可使用，但使用后产生大量不合格品的固定资产；</w:t>
      </w:r>
    </w:p>
    <w:p>
      <w:pPr>
        <w:pStyle w:val="Heading3"/>
        <w:spacing w:line="313" w:lineRule="exact" w:before="119"/>
        <w:ind w:right="90"/>
        <w:jc w:val="left"/>
      </w:pPr>
      <w:r>
        <w:rPr/>
        <w:t>④已遭毁损，以至于不再具有使用价值和转让价值的固定资产；</w:t>
      </w:r>
    </w:p>
    <w:p>
      <w:pPr>
        <w:pStyle w:val="Heading3"/>
        <w:spacing w:line="313" w:lineRule="exact"/>
        <w:ind w:right="90"/>
        <w:jc w:val="left"/>
      </w:pPr>
      <w:r>
        <w:rPr/>
        <w:t>⑤其他实质上已经不能再给公司带来经济利益的固定资产。</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90"/>
        <w:jc w:val="left"/>
      </w:pPr>
      <w:r>
        <w:rPr/>
        <w:t>在建工程以立项项目分类核算。</w:t>
      </w:r>
    </w:p>
    <w:p>
      <w:pPr>
        <w:spacing w:line="240" w:lineRule="auto" w:before="0"/>
        <w:rPr>
          <w:rFonts w:ascii="宋体" w:hAnsi="宋体" w:cs="宋体" w:eastAsia="宋体" w:hint="default"/>
          <w:sz w:val="18"/>
          <w:szCs w:val="18"/>
        </w:rPr>
      </w:pPr>
    </w:p>
    <w:p>
      <w:pPr>
        <w:pStyle w:val="Heading4"/>
        <w:spacing w:line="240" w:lineRule="auto" w:before="118"/>
        <w:ind w:right="9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113" w:right="90" w:firstLine="630"/>
        <w:jc w:val="left"/>
      </w:pPr>
      <w:r>
        <w:rPr>
          <w:spacing w:val="-2"/>
        </w:rPr>
        <w:t>在建工程项目按建造该项资产达到预定可使用状态前所发生的全部支出，作为固定资产的入账价值。包括建筑费用、</w:t>
      </w:r>
      <w:r>
        <w:rPr/>
        <w:t> </w:t>
      </w:r>
      <w:r>
        <w:rPr>
          <w:spacing w:val="-2"/>
        </w:rPr>
        <w:t>机器设备原价、其他为使在建工程达到预定可使用状态所发生的必要支出以及在资产达到预定可使用状态之前为该项目专门</w:t>
      </w:r>
      <w:r>
        <w:rPr>
          <w:spacing w:val="-64"/>
        </w:rPr>
        <w:t> </w:t>
      </w:r>
      <w:r>
        <w:rPr>
          <w:spacing w:val="-64"/>
        </w:rPr>
      </w:r>
      <w:r>
        <w:rPr>
          <w:spacing w:val="-2"/>
        </w:rPr>
        <w:t>借款所发生的借款费用及占用的一般借款发生的借款费用。本公司在工程安装或建设完成达到预定可使用状态时将在建工程</w:t>
      </w:r>
      <w:r>
        <w:rPr>
          <w:spacing w:val="-64"/>
        </w:rPr>
        <w:t> </w:t>
      </w:r>
      <w:r>
        <w:rPr>
          <w:spacing w:val="-64"/>
        </w:rPr>
      </w:r>
      <w:r>
        <w:rPr>
          <w:spacing w:val="-2"/>
        </w:rPr>
        <w:t>转入固定资产。所建造的已达到预定可使用状态、但尚未办理竣工决算的固定资产，自达到预定可使用状态之日起，根据工</w:t>
      </w:r>
      <w:r>
        <w:rPr>
          <w:spacing w:val="-66"/>
        </w:rPr>
        <w:t> </w:t>
      </w:r>
      <w:r>
        <w:rPr>
          <w:spacing w:val="-66"/>
        </w:rPr>
      </w:r>
      <w:r>
        <w:rPr>
          <w:spacing w:val="-2"/>
        </w:rPr>
        <w:t>程预算、造价或者工程实际成本等，按估计的价值转入固定资产，并按本公司固定资产折旧政策计提固定资产的折旧，待办</w:t>
      </w:r>
      <w:r>
        <w:rPr>
          <w:spacing w:val="-67"/>
        </w:rPr>
        <w:t> </w:t>
      </w:r>
      <w:r>
        <w:rPr>
          <w:spacing w:val="-67"/>
        </w:rPr>
      </w:r>
      <w:r>
        <w:rPr/>
        <w:t>理竣工决算后，再按实际成本调整原来的暂估价值，但不调整原已计提的折旧额。</w:t>
      </w:r>
    </w:p>
    <w:p>
      <w:pPr>
        <w:spacing w:line="240" w:lineRule="auto" w:before="8"/>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82" w:firstLine="480"/>
        <w:jc w:val="both"/>
      </w:pPr>
      <w:r>
        <w:rPr/>
        <w:t>本公司于资产负债表日对在建工程进行全面检查，如果有证据表明在建工程已经发生了</w:t>
      </w:r>
      <w:r>
        <w:rPr>
          <w:spacing w:val="1"/>
        </w:rPr>
        <w:t> </w:t>
      </w:r>
      <w:r>
        <w:rPr/>
        <w:t>减值，估计可收回金额低于其账面价值时，账面价值减记至可收回金额，减记的金额确认为</w:t>
      </w:r>
      <w:r>
        <w:rPr/>
        <w:t> 资产减值损失，计入当期损益，同时计提相应的资产减值准备。资产减值损失一经确认，在 以后会计期间不再转回。存在下列一项或若干项情况的，对在建工程进行减值测试：</w:t>
      </w:r>
    </w:p>
    <w:p>
      <w:pPr>
        <w:pStyle w:val="Heading3"/>
        <w:spacing w:line="240" w:lineRule="auto" w:before="89"/>
        <w:ind w:right="90"/>
        <w:jc w:val="left"/>
      </w:pPr>
      <w:r>
        <w:rPr/>
        <w:t>1. 长期停建并且预计在未来</w:t>
      </w:r>
      <w:r>
        <w:rPr>
          <w:rFonts w:ascii="Times New Roman" w:hAnsi="Times New Roman" w:cs="Times New Roman" w:eastAsia="Times New Roman" w:hint="default"/>
        </w:rPr>
        <w:t>3</w:t>
      </w:r>
      <w:r>
        <w:rPr/>
        <w:t>年内不会重新开工的在建工程；</w:t>
      </w:r>
    </w:p>
    <w:p>
      <w:pPr>
        <w:pStyle w:val="Heading3"/>
        <w:spacing w:line="312" w:lineRule="exact" w:before="130"/>
        <w:ind w:left="473" w:right="176" w:hanging="360"/>
        <w:jc w:val="left"/>
      </w:pPr>
      <w:r>
        <w:rPr/>
        <w:t>2.</w:t>
      </w:r>
      <w:r>
        <w:rPr>
          <w:spacing w:val="32"/>
        </w:rPr>
        <w:t> </w:t>
      </w:r>
      <w:r>
        <w:rPr>
          <w:spacing w:val="-3"/>
        </w:rPr>
        <w:t>所建项目无论在性能上，还是在技术上已经落后，并且给企业带来的经济利益具有很大的</w:t>
      </w:r>
      <w:r>
        <w:rPr>
          <w:spacing w:val="-118"/>
        </w:rPr>
        <w:t> </w:t>
      </w:r>
      <w:r>
        <w:rPr>
          <w:spacing w:val="-118"/>
        </w:rPr>
      </w:r>
      <w:r>
        <w:rPr/>
        <w:t>不确定性；</w:t>
      </w:r>
    </w:p>
    <w:p>
      <w:pPr>
        <w:pStyle w:val="Heading3"/>
        <w:spacing w:line="240" w:lineRule="auto" w:before="89"/>
        <w:ind w:left="113" w:right="90"/>
        <w:jc w:val="left"/>
      </w:pPr>
      <w:r>
        <w:rPr/>
        <w:t>3. 其他足以证明在建工程已经发生减值的情形。</w:t>
      </w:r>
    </w:p>
    <w:p>
      <w:pPr>
        <w:spacing w:after="0" w:line="240" w:lineRule="auto"/>
        <w:jc w:val="left"/>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0" w:firstLine="480"/>
        <w:jc w:val="left"/>
      </w:pPr>
      <w:r>
        <w:rPr/>
        <w:t>本公司发生的可直接归属于符合资本化条件的资产的购建或生产的借款费用在同时满足</w:t>
      </w:r>
      <w:r>
        <w:rPr>
          <w:spacing w:val="1"/>
        </w:rPr>
        <w:t> </w:t>
      </w:r>
      <w:r>
        <w:rPr/>
        <w:t>下列条件时予以资本化计入相关资产成本：</w:t>
      </w:r>
    </w:p>
    <w:p>
      <w:pPr>
        <w:pStyle w:val="Heading3"/>
        <w:spacing w:line="240" w:lineRule="auto" w:before="89"/>
        <w:ind w:right="0"/>
        <w:jc w:val="left"/>
      </w:pPr>
      <w:r>
        <w:rPr/>
        <w:t>1. 资产支出已经发生；</w:t>
      </w:r>
    </w:p>
    <w:p>
      <w:pPr>
        <w:pStyle w:val="Heading3"/>
        <w:spacing w:line="240" w:lineRule="auto" w:before="118"/>
        <w:ind w:right="0"/>
        <w:jc w:val="left"/>
      </w:pPr>
      <w:r>
        <w:rPr/>
        <w:t>2. 借款费用已经发生；</w:t>
      </w:r>
    </w:p>
    <w:p>
      <w:pPr>
        <w:pStyle w:val="Heading3"/>
        <w:spacing w:line="331" w:lineRule="auto" w:before="118"/>
        <w:ind w:left="594" w:right="2170" w:hanging="480"/>
        <w:jc w:val="left"/>
      </w:pPr>
      <w:r>
        <w:rPr/>
        <w:t>3. 为使资产达到预定可使用状态所必要的购建或者生产活动已经开始。 其他的借款利息、折价或溢价和汇兑差额，计入发生当期的损益。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0" w:firstLine="480"/>
        <w:jc w:val="left"/>
      </w:pPr>
      <w:r>
        <w:rPr/>
        <w:t>自资产的购建或生产的借款费用符合资本化条件时起，至该资产达到预定可使用或者可</w:t>
      </w:r>
      <w:r>
        <w:rPr>
          <w:spacing w:val="1"/>
        </w:rPr>
        <w:t> </w:t>
      </w:r>
      <w:r>
        <w:rPr/>
        <w:t>销售状态时止，为借款费用资本化期间。</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0" w:firstLine="48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t>个月的，暂停借款费用的资本化。</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97" w:firstLine="480"/>
        <w:jc w:val="left"/>
      </w:pPr>
      <w:r>
        <w:rPr/>
        <w:t>为购建或者生产符合资本化条件的资产而借入专门借款的，以专门借款当期实际发生的</w:t>
      </w:r>
      <w:r>
        <w:rPr>
          <w:spacing w:val="1"/>
        </w:rPr>
        <w:t> </w:t>
      </w:r>
      <w:r>
        <w:rPr/>
        <w:t>利息费用，减去将尚未动用的借款资金存入银行取得的利息收入或者进行暂时性投资取得的</w:t>
      </w:r>
      <w:r>
        <w:rPr/>
        <w:t> 投资收益后的金额，确定为专门借款利息费用的资本化金额。 购建或者生产符合资本化条件的资产占用了一般借款的，一般借款应予资本化的利息金额按 </w:t>
      </w:r>
      <w:r>
        <w:rPr>
          <w:spacing w:val="7"/>
        </w:rPr>
        <w:t>累计资产支出超过专门借款部分的资产支出加权平均数乘以所占用一般借款的资本化率计</w:t>
      </w:r>
      <w:r>
        <w:rPr>
          <w:spacing w:val="7"/>
        </w:rPr>
        <w:t> </w:t>
      </w:r>
      <w:r>
        <w:rPr/>
        <w:t>算。</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594" w:right="0"/>
        <w:jc w:val="left"/>
      </w:pPr>
      <w:r>
        <w:rPr/>
        <w:t>按取得时的实际成本入账。</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0" w:firstLine="480"/>
        <w:jc w:val="left"/>
      </w:pPr>
      <w:r>
        <w:rPr/>
        <w:t>每年年度终了，公司对使用寿命有限的无形资产的使用寿命及摊销方法进行复核。经复</w:t>
      </w:r>
      <w:r>
        <w:rPr>
          <w:spacing w:val="1"/>
        </w:rPr>
        <w:t> </w:t>
      </w:r>
      <w:r>
        <w:rPr/>
        <w:t>核，本年末无形资产的使用寿命及摊销方法与以前估计未有不同。</w:t>
      </w: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80"/>
        <w:gridCol w:w="2215"/>
        <w:gridCol w:w="5074"/>
      </w:tblGrid>
      <w:tr>
        <w:trPr>
          <w:trHeight w:val="402" w:hRule="exact"/>
        </w:trPr>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法定使用权</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148" w:firstLine="480"/>
        <w:jc w:val="both"/>
      </w:pPr>
      <w:r>
        <w:rPr/>
        <w:t>无法预见无形资产为企业带来经济利益期限的，视为使用寿命不确定的无形资产。对于 使用寿命不确定的无形资产，公司在每年年度终了对使用寿命不确定的无形资产的使用寿命 进行复核，如果重新复核后仍为不确定的</w:t>
      </w:r>
      <w:r>
        <w:rPr>
          <w:rFonts w:ascii="Times New Roman" w:hAnsi="Times New Roman" w:cs="Times New Roman" w:eastAsia="Times New Roman" w:hint="default"/>
        </w:rPr>
        <w:t>,</w:t>
      </w:r>
      <w:r>
        <w:rPr/>
        <w:t>于在资产负债表日进行减值测试。</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02" w:firstLine="480"/>
        <w:jc w:val="both"/>
      </w:pPr>
      <w:r>
        <w:rPr/>
        <w:t>当无形资产的可收回金额低于其账面价值时，将资产的账面价值减记至可收回金额，减</w:t>
      </w:r>
      <w:r>
        <w:rPr>
          <w:spacing w:val="1"/>
        </w:rPr>
        <w:t> </w:t>
      </w:r>
      <w:r>
        <w:rPr/>
        <w:t>记的金额确认为资产减值损失，计入当期损益，同时计提相应的无形资产减值准备。无形资</w:t>
      </w:r>
      <w:r>
        <w:rPr/>
        <w:t> 产减值损失一经确认，在以后会计期间不再转回。存在下列一项或多项以下情况的，对无形 资产进行减值测试：</w:t>
      </w:r>
    </w:p>
    <w:p>
      <w:pPr>
        <w:pStyle w:val="Heading3"/>
        <w:spacing w:line="312" w:lineRule="exact" w:before="120"/>
        <w:ind w:left="113" w:right="111" w:firstLine="424"/>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40"/>
        </w:rPr>
        <w:t> </w:t>
      </w:r>
      <w:r>
        <w:rPr/>
        <w:t>该无形资产已被其他新技术等所替代，使其为企业创造经济利益的能力受到重大不利 影响；</w:t>
      </w:r>
    </w:p>
    <w:p>
      <w:pPr>
        <w:pStyle w:val="Heading3"/>
        <w:spacing w:line="240" w:lineRule="auto" w:before="89"/>
        <w:ind w:left="538"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9"/>
        </w:rPr>
        <w:t> </w:t>
      </w:r>
      <w:r>
        <w:rPr/>
        <w:t>该无形资产的市价在当期大幅下跌，并在剩余年限内可能不会回升；</w:t>
      </w:r>
    </w:p>
    <w:p>
      <w:pPr>
        <w:pStyle w:val="Heading3"/>
        <w:spacing w:line="240" w:lineRule="auto" w:before="99"/>
        <w:ind w:left="538"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9"/>
        </w:rPr>
        <w:t> </w:t>
      </w:r>
      <w:r>
        <w:rPr/>
        <w:t>其他足以表明该无形资产的账面价值已超过可收回金额的情况。</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30"/>
        <w:jc w:val="left"/>
      </w:pPr>
      <w:r>
        <w:rPr/>
        <w:t>①本公司将为进一步开发活动进行的资料及相关方面的准备活动作为研究阶段，无形资产研 究阶段的支出在发生时计入当期损益。</w:t>
      </w:r>
    </w:p>
    <w:p>
      <w:pPr>
        <w:pStyle w:val="Heading3"/>
        <w:spacing w:line="240" w:lineRule="auto" w:before="89"/>
        <w:ind w:right="0"/>
        <w:jc w:val="left"/>
      </w:pPr>
      <w:r>
        <w:rPr/>
        <w:t>②在本公司已完成研究阶段的工作后再进行的开发活动作为开发阶段。</w:t>
      </w:r>
    </w:p>
    <w:p>
      <w:pPr>
        <w:pStyle w:val="Heading3"/>
        <w:spacing w:line="240" w:lineRule="auto" w:before="118"/>
        <w:ind w:right="0"/>
        <w:jc w:val="left"/>
      </w:pPr>
      <w:r>
        <w:rPr/>
        <w:t>③开发阶段的支出同时满足下列条件时确认为无形资产：</w:t>
      </w:r>
    </w:p>
    <w:p>
      <w:pPr>
        <w:pStyle w:val="Heading3"/>
        <w:spacing w:line="240" w:lineRule="auto" w:before="118"/>
        <w:ind w:right="0"/>
        <w:jc w:val="left"/>
      </w:pPr>
      <w:r>
        <w:rPr/>
        <w:t>A. 完成该无形资产以使其能够使用或出售在技术上具有可行性；</w:t>
      </w:r>
    </w:p>
    <w:p>
      <w:pPr>
        <w:spacing w:after="0" w:line="240" w:lineRule="auto"/>
        <w:jc w:val="left"/>
        <w:sectPr>
          <w:footerReference w:type="default" r:id="rId29"/>
          <w:pgSz w:w="11910" w:h="16840"/>
          <w:pgMar w:footer="980" w:header="747" w:top="1060" w:bottom="1160" w:left="1020" w:right="102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pPr>
      <w:r>
        <w:rPr/>
        <w:t>B. 具有完成该无形资产并使用或出售的意图；</w:t>
      </w:r>
    </w:p>
    <w:p>
      <w:pPr>
        <w:pStyle w:val="Heading3"/>
        <w:spacing w:line="312" w:lineRule="exact" w:before="148"/>
        <w:ind w:left="473" w:right="96" w:hanging="360"/>
        <w:jc w:val="left"/>
      </w:pPr>
      <w:r>
        <w:rPr/>
        <w:t>C.</w:t>
      </w:r>
      <w:r>
        <w:rPr>
          <w:spacing w:val="32"/>
        </w:rPr>
        <w:t> </w:t>
      </w:r>
      <w:r>
        <w:rPr>
          <w:spacing w:val="-3"/>
        </w:rPr>
        <w:t>无形资产产生经济利益的方式，包括能够证明运用该无形资产生产的产品存在市场或无形</w:t>
      </w:r>
      <w:r>
        <w:rPr>
          <w:spacing w:val="-118"/>
        </w:rPr>
        <w:t> </w:t>
      </w:r>
      <w:r>
        <w:rPr>
          <w:spacing w:val="-118"/>
        </w:rPr>
      </w:r>
      <w:r>
        <w:rPr/>
        <w:t>资产自身存在市场，无形资产将在内部使用的，能够证明其有用性；</w:t>
      </w:r>
    </w:p>
    <w:p>
      <w:pPr>
        <w:pStyle w:val="Heading3"/>
        <w:spacing w:line="312" w:lineRule="exact" w:before="120"/>
        <w:ind w:left="473" w:right="97" w:hanging="360"/>
        <w:jc w:val="left"/>
      </w:pPr>
      <w:r>
        <w:rPr/>
        <w:t>D.</w:t>
      </w:r>
      <w:r>
        <w:rPr>
          <w:spacing w:val="31"/>
        </w:rPr>
        <w:t> </w:t>
      </w:r>
      <w:r>
        <w:rPr>
          <w:spacing w:val="-3"/>
        </w:rPr>
        <w:t>有足够的技术、财务资源和其他资源支持，以完成该无形资产的开发，并有能力使用或出</w:t>
      </w:r>
      <w:r>
        <w:rPr>
          <w:spacing w:val="-118"/>
        </w:rPr>
        <w:t> </w:t>
      </w:r>
      <w:r>
        <w:rPr>
          <w:spacing w:val="-118"/>
        </w:rPr>
      </w:r>
      <w:r>
        <w:rPr/>
        <w:t>售该无形资产；</w:t>
      </w:r>
    </w:p>
    <w:p>
      <w:pPr>
        <w:pStyle w:val="Heading3"/>
        <w:spacing w:line="240" w:lineRule="auto" w:before="89"/>
        <w:ind w:left="113" w:right="0"/>
        <w:jc w:val="left"/>
      </w:pPr>
      <w:r>
        <w:rPr/>
        <w:t>E. 归属于该无形资产开发阶段的支出能够可靠地计量。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02" w:firstLine="480"/>
        <w:jc w:val="both"/>
      </w:pPr>
      <w:r>
        <w:rPr/>
        <w:t>长期待摊费用在受益期内平均摊销，其中经营租赁方式租入的固定资产改良支出，按最</w:t>
      </w:r>
      <w:r>
        <w:rPr>
          <w:spacing w:val="1"/>
        </w:rPr>
        <w:t> </w:t>
      </w:r>
      <w:r>
        <w:rPr/>
        <w:t>佳预期经济利益实现方式合理摊销。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594" w:right="0"/>
        <w:jc w:val="left"/>
      </w:pPr>
      <w:r>
        <w:rPr/>
        <w:t>如果与或有事项相关的义务同时符合以下条件，本公司将其确认为预计负债：</w:t>
      </w:r>
    </w:p>
    <w:p>
      <w:pPr>
        <w:pStyle w:val="Heading3"/>
        <w:spacing w:line="240" w:lineRule="auto" w:before="118"/>
        <w:ind w:right="0"/>
        <w:jc w:val="left"/>
      </w:pPr>
      <w:r>
        <w:rPr/>
        <w:t>①该义务是本公司承担的现时义务；</w:t>
      </w:r>
    </w:p>
    <w:p>
      <w:pPr>
        <w:pStyle w:val="Heading3"/>
        <w:spacing w:line="240" w:lineRule="auto" w:before="118"/>
        <w:ind w:right="0"/>
        <w:jc w:val="left"/>
      </w:pPr>
      <w:r>
        <w:rPr/>
        <w:t>②该义务的履行很可能导致经济利益流出本公司；</w:t>
      </w:r>
    </w:p>
    <w:p>
      <w:pPr>
        <w:pStyle w:val="Heading3"/>
        <w:spacing w:line="240" w:lineRule="auto" w:before="118"/>
        <w:ind w:right="0"/>
        <w:jc w:val="left"/>
      </w:pPr>
      <w:r>
        <w:rPr/>
        <w:t>③该义务的金额能够可靠地计量。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48" w:firstLine="480"/>
        <w:jc w:val="both"/>
      </w:pPr>
      <w:r>
        <w:rPr/>
        <w:t>预计负债按照履行相关现时义务所需支出的最佳估计数进行初始计量，并综合考虑与或 事项有关的风险、不确定性和货币时间价值等因素。每个资产负债表日对预计负债的账面价 值进行复核。有确凿证据表明该账面价值不能反映当前最佳估计数的，按照当前最佳估计数 对该账面价值进行调整。</w:t>
      </w:r>
    </w:p>
    <w:p>
      <w:pPr>
        <w:spacing w:after="0" w:line="312" w:lineRule="exact"/>
        <w:jc w:val="both"/>
        <w:sectPr>
          <w:footerReference w:type="default" r:id="rId30"/>
          <w:pgSz w:w="11910" w:h="16840"/>
          <w:pgMar w:footer="980" w:header="747" w:top="1060" w:bottom="1160" w:left="1020" w:right="1020"/>
          <w:pgNumType w:start="91"/>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 w:firstLine="360"/>
        <w:jc w:val="both"/>
        <w:rPr>
          <w:rFonts w:ascii="Times New Roman" w:hAnsi="Times New Roman" w:cs="Times New Roman" w:eastAsia="Times New Roman" w:hint="default"/>
        </w:rPr>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5"/>
        </w:rPr>
        <w:t> </w:t>
      </w:r>
      <w:r>
        <w:rPr>
          <w:spacing w:val="-65"/>
        </w:rPr>
      </w:r>
      <w:r>
        <w:rPr/>
        <w:t>可靠地计量时，确认商品销售收入实现</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48" w:firstLine="480"/>
        <w:jc w:val="both"/>
      </w:pPr>
      <w:r>
        <w:rPr/>
        <w:t>与交易相关的经济利益很可能流入企业，收入的金额能够可靠地计量时，分别下列情况 确定让渡资产使用权收入金额：</w:t>
      </w:r>
    </w:p>
    <w:p>
      <w:pPr>
        <w:pStyle w:val="Heading3"/>
        <w:spacing w:line="240" w:lineRule="auto" w:before="89"/>
        <w:ind w:right="0"/>
        <w:jc w:val="left"/>
      </w:pPr>
      <w:r>
        <w:rPr/>
        <w:t>①利息收入金额，按照他人使用本企业货币资金的时间和实际利率计算确定；</w:t>
      </w:r>
    </w:p>
    <w:p>
      <w:pPr>
        <w:pStyle w:val="Heading3"/>
        <w:spacing w:line="240" w:lineRule="auto" w:before="118"/>
        <w:ind w:right="0"/>
        <w:jc w:val="left"/>
      </w:pPr>
      <w:r>
        <w:rPr/>
        <w:t>②使用费收入金额，按照有关合同或协议约定的收费时间和方法计算确定。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48" w:firstLine="480"/>
        <w:jc w:val="both"/>
      </w:pPr>
      <w:r>
        <w:rPr/>
        <w:t>在资产负债表日提供劳务交易的结果能够可靠估计的，采用完工百分比法确认提供劳务 收入。提供劳务交易的完工进度，依据已完工作的测量确定。</w:t>
      </w:r>
    </w:p>
    <w:p>
      <w:pPr>
        <w:pStyle w:val="Heading3"/>
        <w:spacing w:line="312" w:lineRule="exact" w:before="120"/>
        <w:ind w:right="102" w:firstLine="480"/>
        <w:jc w:val="both"/>
      </w:pPr>
      <w:r>
        <w:rPr/>
        <w:t>按照已收或应收的合同或协议价款确定提供劳务收入总额，但已收或应收的合同或协议</w:t>
      </w:r>
      <w:r>
        <w:rPr>
          <w:spacing w:val="1"/>
        </w:rPr>
        <w:t> </w:t>
      </w:r>
      <w:r>
        <w:rPr/>
        <w:t>价款不公允的除外。资产负债表日按照提供劳务收入总额乘以完工进度扣除以前会计期间累</w:t>
      </w:r>
      <w:r>
        <w:rPr/>
        <w:t> 计已确认提供劳务收入后的金额，确认当期提供劳务收入；同时，按照提供劳务估计总成本 乘以完工进度扣除以前会计期间累计已确认劳务成本后的金额，结转当期劳务成本。</w:t>
      </w:r>
    </w:p>
    <w:p>
      <w:pPr>
        <w:pStyle w:val="Heading3"/>
        <w:spacing w:line="240" w:lineRule="auto" w:before="89"/>
        <w:ind w:left="594" w:right="0"/>
        <w:jc w:val="left"/>
      </w:pPr>
      <w:r>
        <w:rPr/>
        <w:t>在资产负债表日提供劳务交易结果不能够可靠估计的，分别下列情况处理：</w:t>
      </w:r>
    </w:p>
    <w:p>
      <w:pPr>
        <w:pStyle w:val="Heading3"/>
        <w:spacing w:line="312" w:lineRule="exact" w:before="148"/>
        <w:ind w:right="102" w:firstLine="480"/>
        <w:jc w:val="both"/>
      </w:pPr>
      <w:r>
        <w:rPr/>
        <w:t>①已经发生的劳务成本预计能够得到补偿的，按照已经发生的劳务成本金额确认提供劳</w:t>
      </w:r>
      <w:r>
        <w:rPr>
          <w:spacing w:val="1"/>
        </w:rPr>
        <w:t> </w:t>
      </w:r>
      <w:r>
        <w:rPr/>
        <w:t>务收入，并按相同金额结转劳务成本。</w:t>
      </w:r>
    </w:p>
    <w:p>
      <w:pPr>
        <w:pStyle w:val="Heading3"/>
        <w:spacing w:line="240" w:lineRule="auto" w:before="89"/>
        <w:ind w:left="594" w:right="0"/>
        <w:jc w:val="left"/>
      </w:pPr>
      <w:r>
        <w:rPr/>
        <w:t>②已经发生的劳务成本预计不能够得到补偿的，将已经发生的劳务成本计入当期损益，</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3"/>
        <w:spacing w:line="240" w:lineRule="auto" w:before="26"/>
        <w:ind w:right="212"/>
        <w:jc w:val="left"/>
      </w:pPr>
      <w:r>
        <w:rPr/>
        <w:t>不确认提供劳务收入。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212"/>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2"/>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220" w:firstLine="360"/>
        <w:jc w:val="left"/>
      </w:pPr>
      <w:r>
        <w:rPr/>
        <w:t>公司将从政府无偿取得货币性资产或非货币性资产，但不包括政府作为企业所有者投入的资本作为政府补助核算。 政 府补助分为与资产相关的政府补助和与收益相关的政府补助。</w:t>
      </w:r>
    </w:p>
    <w:p>
      <w:pPr>
        <w:spacing w:line="240" w:lineRule="auto" w:before="7"/>
        <w:rPr>
          <w:rFonts w:ascii="宋体" w:hAnsi="宋体" w:cs="宋体" w:eastAsia="宋体" w:hint="default"/>
          <w:sz w:val="22"/>
          <w:szCs w:val="22"/>
        </w:rPr>
      </w:pPr>
    </w:p>
    <w:p>
      <w:pPr>
        <w:pStyle w:val="Heading4"/>
        <w:spacing w:line="240" w:lineRule="auto"/>
        <w:ind w:right="212"/>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3"/>
        <w:rPr>
          <w:rFonts w:ascii="宋体" w:hAnsi="宋体" w:cs="宋体" w:eastAsia="宋体" w:hint="default"/>
          <w:b/>
          <w:bCs/>
          <w:sz w:val="25"/>
          <w:szCs w:val="25"/>
        </w:rPr>
      </w:pPr>
    </w:p>
    <w:p>
      <w:pPr>
        <w:pStyle w:val="Heading3"/>
        <w:spacing w:line="312" w:lineRule="exact"/>
        <w:ind w:right="250"/>
        <w:jc w:val="left"/>
      </w:pPr>
      <w:r>
        <w:rPr/>
        <w:t>①政府补助为货币性资产的，按照收到或应收的金额计量；政府补助为非货币性资产的，按 照公允价值计量，公允价值不能可靠取得的，按照名义金额计量。</w:t>
      </w:r>
    </w:p>
    <w:p>
      <w:pPr>
        <w:pStyle w:val="Heading3"/>
        <w:spacing w:line="312" w:lineRule="exact" w:before="120"/>
        <w:ind w:right="250"/>
        <w:jc w:val="left"/>
      </w:pPr>
      <w:r>
        <w:rPr/>
        <w:t>②与资产相关的政府补助，确认为递延收益，并在相关资产使用寿命内平均分配，计入当期 损益。但是，以名义金额计量的政府补助，直接计入当期损益。</w:t>
      </w:r>
    </w:p>
    <w:p>
      <w:pPr>
        <w:pStyle w:val="Heading3"/>
        <w:spacing w:line="240" w:lineRule="auto" w:before="89"/>
        <w:ind w:right="212"/>
        <w:jc w:val="left"/>
      </w:pPr>
      <w:r>
        <w:rPr/>
        <w:t>③与收益相关的政府补助，分别下列情况处理：</w:t>
      </w:r>
    </w:p>
    <w:p>
      <w:pPr>
        <w:pStyle w:val="Heading3"/>
        <w:spacing w:line="312" w:lineRule="exact" w:before="148"/>
        <w:ind w:left="473" w:right="97" w:hanging="360"/>
        <w:jc w:val="left"/>
      </w:pPr>
      <w:r>
        <w:rPr>
          <w:rFonts w:ascii="宋体" w:hAnsi="宋体" w:cs="宋体" w:eastAsia="宋体" w:hint="default"/>
          <w:b/>
          <w:bCs/>
          <w:w w:val="99"/>
        </w:rPr>
        <w:t>A.</w:t>
      </w:r>
      <w:r>
        <w:rPr>
          <w:rFonts w:ascii="宋体" w:hAnsi="宋体" w:cs="宋体" w:eastAsia="宋体" w:hint="default"/>
          <w:b/>
          <w:bCs/>
          <w:spacing w:val="34"/>
          <w:w w:val="99"/>
        </w:rPr>
        <w:t> </w:t>
      </w:r>
      <w:r>
        <w:rPr>
          <w:spacing w:val="-6"/>
        </w:rPr>
        <w:t>用于补偿公司以后期间的相关费用或损失的，确认为递延收益，并在确认相关费用的期间，</w:t>
      </w:r>
      <w:r>
        <w:rPr>
          <w:spacing w:val="-118"/>
        </w:rPr>
        <w:t> </w:t>
      </w:r>
      <w:r>
        <w:rPr>
          <w:spacing w:val="-118"/>
        </w:rPr>
      </w:r>
      <w:r>
        <w:rPr/>
        <w:t>计入当期损益；</w:t>
      </w:r>
    </w:p>
    <w:p>
      <w:pPr>
        <w:pStyle w:val="Heading3"/>
        <w:spacing w:line="240" w:lineRule="auto" w:before="89"/>
        <w:ind w:left="113" w:right="212"/>
        <w:jc w:val="left"/>
      </w:pPr>
      <w:r>
        <w:rPr>
          <w:rFonts w:ascii="宋体" w:hAnsi="宋体" w:cs="宋体" w:eastAsia="宋体" w:hint="default"/>
          <w:b/>
          <w:bCs/>
        </w:rPr>
        <w:t>B.</w:t>
      </w:r>
      <w:r>
        <w:rPr>
          <w:rFonts w:ascii="宋体" w:hAnsi="宋体" w:cs="宋体" w:eastAsia="宋体" w:hint="default"/>
          <w:b/>
          <w:bCs/>
          <w:spacing w:val="-4"/>
        </w:rPr>
        <w:t> </w:t>
      </w:r>
      <w:r>
        <w:rPr/>
        <w:t>用于补偿公司已发生的相关费用或损失的，计入当期损益。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4"/>
        <w:spacing w:line="240" w:lineRule="auto"/>
        <w:ind w:right="212"/>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5"/>
        <w:rPr>
          <w:rFonts w:ascii="宋体" w:hAnsi="宋体" w:cs="宋体" w:eastAsia="宋体" w:hint="default"/>
          <w:b/>
          <w:bCs/>
          <w:sz w:val="26"/>
          <w:szCs w:val="26"/>
        </w:rPr>
      </w:pPr>
    </w:p>
    <w:p>
      <w:pPr>
        <w:pStyle w:val="BodyText"/>
        <w:spacing w:line="312" w:lineRule="auto" w:before="0"/>
        <w:ind w:left="113" w:right="124"/>
        <w:jc w:val="left"/>
      </w:pPr>
      <w:r>
        <w:rPr/>
        <w:t>①</w:t>
      </w:r>
      <w:r>
        <w:rPr>
          <w:spacing w:val="22"/>
        </w:rPr>
        <w:t> </w:t>
      </w:r>
      <w:r>
        <w:rPr>
          <w:spacing w:val="-2"/>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可抵扣亏损和税款抵减的未来应纳税所得额为限，确认由此产生的递延所得税资产。同时具有下列特征的交易中因资产或负</w:t>
      </w:r>
      <w:r>
        <w:rPr>
          <w:spacing w:val="-64"/>
        </w:rPr>
        <w:t> </w:t>
      </w:r>
      <w:r>
        <w:rPr>
          <w:spacing w:val="-64"/>
        </w:rPr>
      </w:r>
      <w:r>
        <w:rPr/>
        <w:t>债的初始确认所产生的递延所得税资产不予确认：</w:t>
      </w:r>
      <w:r>
        <w:rPr>
          <w:rFonts w:ascii="Times New Roman" w:hAnsi="Times New Roman" w:cs="Times New Roman" w:eastAsia="Times New Roman" w:hint="default"/>
        </w:rPr>
        <w:t>A. </w:t>
      </w:r>
      <w:r>
        <w:rPr>
          <w:spacing w:val="-3"/>
        </w:rPr>
        <w:t>该项交易不是企业合并；</w:t>
      </w:r>
      <w:r>
        <w:rPr>
          <w:rFonts w:ascii="Times New Roman" w:hAnsi="Times New Roman" w:cs="Times New Roman" w:eastAsia="Times New Roman" w:hint="default"/>
          <w:spacing w:val="-3"/>
        </w:rPr>
        <w:t>B.</w:t>
      </w:r>
      <w:r>
        <w:rPr>
          <w:rFonts w:ascii="Times New Roman" w:hAnsi="Times New Roman" w:cs="Times New Roman" w:eastAsia="Times New Roman" w:hint="default"/>
          <w:spacing w:val="28"/>
        </w:rPr>
        <w:t> </w:t>
      </w:r>
      <w:r>
        <w:rPr/>
        <w:t>交易发生时既不影响会计利润也不影响应 </w:t>
      </w:r>
      <w:r>
        <w:rPr>
          <w:spacing w:val="-9"/>
        </w:rPr>
        <w:t>纳税所得额（或可抵扣亏损）。②</w:t>
      </w:r>
      <w:r>
        <w:rPr/>
        <w:t> </w:t>
      </w:r>
      <w:r>
        <w:rPr>
          <w:spacing w:val="-2"/>
        </w:rPr>
        <w:t>本公司对与子公司、联营公司及合营企业投资相关的可抵扣暂时性差异，同时满足下列条</w:t>
      </w:r>
      <w:r>
        <w:rPr>
          <w:spacing w:val="-52"/>
        </w:rPr>
        <w:t> </w:t>
      </w:r>
      <w:r>
        <w:rPr>
          <w:spacing w:val="-52"/>
        </w:rPr>
      </w:r>
      <w:r>
        <w:rPr>
          <w:spacing w:val="-3"/>
        </w:rPr>
        <w:t>件的，确认相应的递延所得税资产：</w:t>
      </w:r>
      <w:r>
        <w:rPr>
          <w:rFonts w:ascii="Times New Roman" w:hAnsi="Times New Roman" w:cs="Times New Roman" w:eastAsia="Times New Roman" w:hint="default"/>
          <w:spacing w:val="-3"/>
        </w:rPr>
        <w:t>A. </w:t>
      </w:r>
      <w:r>
        <w:rPr/>
        <w:t>暂时性差异在可预见的未来可能转回；</w:t>
      </w:r>
      <w:r>
        <w:rPr>
          <w:rFonts w:ascii="Times New Roman" w:hAnsi="Times New Roman" w:cs="Times New Roman" w:eastAsia="Times New Roman" w:hint="default"/>
        </w:rPr>
        <w:t>B.</w:t>
      </w:r>
      <w:r>
        <w:rPr>
          <w:rFonts w:ascii="Times New Roman" w:hAnsi="Times New Roman" w:cs="Times New Roman" w:eastAsia="Times New Roman" w:hint="default"/>
          <w:spacing w:val="42"/>
        </w:rPr>
        <w:t> </w:t>
      </w:r>
      <w:r>
        <w:rPr/>
        <w:t>未来很可能获得用来抵扣暂时性差异的应 纳税所得额。</w:t>
      </w: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本公司对于能够结转以后年度的可抵扣亏损和税款抵减，以很可能获得用来抵扣可抵扣亏损和税款抵减的 </w:t>
      </w:r>
      <w:r>
        <w:rPr>
          <w:spacing w:val="-3"/>
        </w:rPr>
        <w:t>未来应纳税所得额为限，确认相应的递延所得税资产。③</w:t>
      </w:r>
      <w:r>
        <w:rPr>
          <w:spacing w:val="-8"/>
        </w:rPr>
        <w:t> </w:t>
      </w:r>
      <w:r>
        <w:rPr/>
        <w:t>于资产负债表日，本公司对递延所得税资产的账面价值进行复核。</w:t>
      </w:r>
      <w:r>
        <w:rPr/>
        <w:t> </w:t>
      </w:r>
      <w:r>
        <w:rPr>
          <w:spacing w:val="-2"/>
        </w:rPr>
        <w:t>如果未来期间很可能无法获得足够的应纳税所得额用以抵扣递延所得税资产的利益，减记递延所得税资产的账面价值。在很</w:t>
      </w:r>
      <w:r>
        <w:rPr>
          <w:spacing w:val="-64"/>
        </w:rPr>
        <w:t> </w:t>
      </w:r>
      <w:r>
        <w:rPr>
          <w:spacing w:val="-64"/>
        </w:rPr>
      </w:r>
      <w:r>
        <w:rPr/>
        <w:t>可能获得足够的应纳税所得额时，减记的金额予以转回。</w:t>
      </w:r>
    </w:p>
    <w:p>
      <w:pPr>
        <w:spacing w:line="240" w:lineRule="auto" w:before="10"/>
        <w:rPr>
          <w:rFonts w:ascii="宋体" w:hAnsi="宋体" w:cs="宋体" w:eastAsia="宋体" w:hint="default"/>
          <w:sz w:val="22"/>
          <w:szCs w:val="22"/>
        </w:rPr>
      </w:pPr>
    </w:p>
    <w:p>
      <w:pPr>
        <w:pStyle w:val="Heading4"/>
        <w:spacing w:line="240" w:lineRule="auto"/>
        <w:ind w:right="212"/>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474" w:right="92"/>
        <w:jc w:val="left"/>
      </w:pPr>
      <w:r>
        <w:rPr/>
        <w:t>递延所得税负债应按各种应纳税暂时性差异确认</w:t>
      </w:r>
      <w:r>
        <w:rPr>
          <w:spacing w:val="-82"/>
        </w:rPr>
        <w:t>，</w:t>
      </w:r>
      <w:r>
        <w:rPr/>
        <w:t>同时具有下列特征的交易中因资产或负债的初始确认所产生的递延所</w:t>
      </w:r>
    </w:p>
    <w:p>
      <w:pPr>
        <w:spacing w:after="0" w:line="240" w:lineRule="auto"/>
        <w:jc w:val="left"/>
        <w:sectPr>
          <w:pgSz w:w="11910" w:h="16840"/>
          <w:pgMar w:header="747" w:footer="980" w:top="1060" w:bottom="1160" w:left="1020" w:right="900"/>
        </w:sectPr>
      </w:pPr>
    </w:p>
    <w:p>
      <w:pPr>
        <w:spacing w:line="240" w:lineRule="auto" w:before="12"/>
        <w:rPr>
          <w:rFonts w:ascii="宋体" w:hAnsi="宋体" w:cs="宋体" w:eastAsia="宋体" w:hint="default"/>
          <w:sz w:val="25"/>
          <w:szCs w:val="25"/>
        </w:rPr>
      </w:pPr>
    </w:p>
    <w:p>
      <w:pPr>
        <w:pStyle w:val="BodyText"/>
        <w:spacing w:line="312" w:lineRule="auto"/>
        <w:ind w:left="113" w:right="110"/>
        <w:jc w:val="both"/>
      </w:pPr>
      <w:r>
        <w:rPr/>
        <w:t>得税负债不予确认：① 应纳税暂时性差异是在以下交易中产生的：</w:t>
      </w:r>
      <w:r>
        <w:rPr>
          <w:rFonts w:ascii="Times New Roman" w:hAnsi="Times New Roman" w:cs="Times New Roman" w:eastAsia="Times New Roman" w:hint="default"/>
        </w:rPr>
        <w:t>A. </w:t>
      </w:r>
      <w:r>
        <w:rPr/>
        <w:t>商誉的初始确认；</w:t>
      </w:r>
      <w:r>
        <w:rPr>
          <w:rFonts w:ascii="Times New Roman" w:hAnsi="Times New Roman" w:cs="Times New Roman" w:eastAsia="Times New Roman" w:hint="default"/>
        </w:rPr>
        <w:t>B.</w:t>
      </w:r>
      <w:r>
        <w:rPr>
          <w:rFonts w:ascii="Times New Roman" w:hAnsi="Times New Roman" w:cs="Times New Roman" w:eastAsia="Times New Roman" w:hint="default"/>
          <w:spacing w:val="42"/>
        </w:rPr>
        <w:t> </w:t>
      </w:r>
      <w:r>
        <w:rPr/>
        <w:t>具有以下特征的交易中产生的 </w:t>
      </w:r>
      <w:r>
        <w:rPr>
          <w:spacing w:val="-2"/>
        </w:rPr>
        <w:t>资产或负债的初始确认：该交易不是企业合并，并且交易发生时既不影响会计利润也不影响应纳税所得额或可抵扣亏损。②</w:t>
      </w:r>
      <w:r>
        <w:rPr>
          <w:spacing w:val="-64"/>
        </w:rPr>
        <w:t> </w:t>
      </w:r>
      <w:r>
        <w:rPr>
          <w:spacing w:val="-64"/>
        </w:rPr>
      </w:r>
      <w:r>
        <w:rPr>
          <w:spacing w:val="-2"/>
        </w:rPr>
        <w:t>对于与子公司、合营企业及联营企业投资相关的应纳税暂时性差异，该暂时性差异转回的时间能够控制并且该暂时性差异在</w:t>
      </w:r>
      <w:r>
        <w:rPr>
          <w:spacing w:val="-64"/>
        </w:rPr>
        <w:t> </w:t>
      </w:r>
      <w:r>
        <w:rPr>
          <w:spacing w:val="-64"/>
        </w:rPr>
      </w:r>
      <w:r>
        <w:rPr/>
        <w:t>可预见的未来很可能不会转回。</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本报告期主要会计政策、会计估计是否变更</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本报告期主要会计政策是否变更</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本报告期主要会计估计是否变更</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本报告期是否发现前期会计差错</w:t>
      </w:r>
    </w:p>
    <w:p>
      <w:pPr>
        <w:pStyle w:val="BodyText"/>
        <w:spacing w:line="338" w:lineRule="auto" w:before="116"/>
        <w:ind w:right="8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after="0" w:line="338"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本报告期是否发现采用未来适用法的前期会计差错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50"/>
        <w:ind w:right="0"/>
        <w:jc w:val="left"/>
      </w:pPr>
      <w:r>
        <w:rPr/>
        <w:t>各分公司、分厂执行的所得税税率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113" w:right="105" w:firstLine="480"/>
        <w:jc w:val="both"/>
      </w:pPr>
      <w:r>
        <w:rPr>
          <w:spacing w:val="-6"/>
        </w:rPr>
        <w:t>根据国务院《进一步鼓励软件产业和集成电路产业发展的若干政策》的通知（国发</w:t>
      </w:r>
      <w:r>
        <w:rPr>
          <w:rFonts w:ascii="Times New Roman" w:hAnsi="Times New Roman" w:cs="Times New Roman" w:eastAsia="Times New Roman" w:hint="default"/>
          <w:spacing w:val="-6"/>
        </w:rPr>
        <w:t>[2011]4</w:t>
      </w:r>
      <w:r>
        <w:rPr>
          <w:rFonts w:ascii="Times New Roman" w:hAnsi="Times New Roman" w:cs="Times New Roman" w:eastAsia="Times New Roman" w:hint="default"/>
          <w:spacing w:val="-1"/>
        </w:rPr>
        <w:t> </w:t>
      </w:r>
      <w:r>
        <w:rPr/>
        <w:t>号）和财政部、国家税务总局、海关总署《关于鼓励软件产业和集成电路产业发展有关税收 </w:t>
      </w:r>
      <w:r>
        <w:rPr>
          <w:spacing w:val="2"/>
        </w:rPr>
        <w:t>政策问题的通知》（财税</w:t>
      </w:r>
      <w:r>
        <w:rPr>
          <w:rFonts w:ascii="Times New Roman" w:hAnsi="Times New Roman" w:cs="Times New Roman" w:eastAsia="Times New Roman" w:hint="default"/>
          <w:spacing w:val="2"/>
        </w:rPr>
        <w:t>[2000]25</w:t>
      </w:r>
      <w:r>
        <w:rPr>
          <w:spacing w:val="2"/>
        </w:rPr>
        <w:t>号），本公司销售其自行开发生产的软件产品，按</w:t>
      </w:r>
      <w:r>
        <w:rPr>
          <w:rFonts w:ascii="Times New Roman" w:hAnsi="Times New Roman" w:cs="Times New Roman" w:eastAsia="Times New Roman" w:hint="default"/>
          <w:spacing w:val="2"/>
        </w:rPr>
        <w:t>17</w:t>
      </w:r>
      <w:r>
        <w:rPr>
          <w:spacing w:val="2"/>
        </w:rPr>
        <w:t>％的</w:t>
      </w:r>
      <w:r>
        <w:rPr>
          <w:spacing w:val="-116"/>
        </w:rPr>
        <w:t> </w:t>
      </w:r>
      <w:r>
        <w:rPr/>
        <w:t>法定税率征收增值税，对实际税负超过</w:t>
      </w:r>
      <w:r>
        <w:rPr>
          <w:rFonts w:ascii="Times New Roman" w:hAnsi="Times New Roman" w:cs="Times New Roman" w:eastAsia="Times New Roman" w:hint="default"/>
        </w:rPr>
        <w:t>3</w:t>
      </w:r>
      <w:r>
        <w:rPr/>
        <w:t>％的部分即征即退。</w:t>
      </w:r>
    </w:p>
    <w:p>
      <w:pPr>
        <w:pStyle w:val="Heading3"/>
        <w:spacing w:line="312" w:lineRule="exact" w:before="120"/>
        <w:ind w:right="107" w:firstLine="480"/>
        <w:jc w:val="both"/>
      </w:pPr>
      <w:r>
        <w:rPr>
          <w:spacing w:val="-3"/>
        </w:rPr>
        <w:t>根据财政部、国家税务总局《关于在北京等</w:t>
      </w:r>
      <w:r>
        <w:rPr>
          <w:rFonts w:ascii="Times New Roman" w:hAnsi="Times New Roman" w:cs="Times New Roman" w:eastAsia="Times New Roman" w:hint="default"/>
          <w:spacing w:val="-3"/>
        </w:rPr>
        <w:t>8</w:t>
      </w:r>
      <w:r>
        <w:rPr>
          <w:spacing w:val="-3"/>
        </w:rPr>
        <w:t>省市开展交通运输业和部分现代服务业营业</w:t>
      </w:r>
      <w:r>
        <w:rPr/>
        <w:t> 税改征增值税试点的通知》（财税</w:t>
      </w:r>
      <w:r>
        <w:rPr>
          <w:rFonts w:ascii="Times New Roman" w:hAnsi="Times New Roman" w:cs="Times New Roman" w:eastAsia="Times New Roman" w:hint="default"/>
        </w:rPr>
        <w:t>[2012]71</w:t>
      </w:r>
      <w:r>
        <w:rPr/>
        <w:t>号），江苏省自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日起开始执行营业税 </w:t>
      </w:r>
      <w:r>
        <w:rPr>
          <w:spacing w:val="-3"/>
        </w:rPr>
        <w:t>改征增值税事项，本公司、子公司润和数码的软件开发业务收入由缴纳营业税（税率</w:t>
      </w:r>
      <w:r>
        <w:rPr>
          <w:rFonts w:ascii="Times New Roman" w:hAnsi="Times New Roman" w:cs="Times New Roman" w:eastAsia="Times New Roman" w:hint="default"/>
          <w:spacing w:val="-3"/>
        </w:rPr>
        <w:t>5%</w:t>
      </w:r>
      <w:r>
        <w:rPr>
          <w:spacing w:val="-3"/>
        </w:rPr>
        <w:t>）改</w:t>
      </w:r>
      <w:r>
        <w:rPr>
          <w:spacing w:val="-81"/>
        </w:rPr>
        <w:t> </w:t>
      </w:r>
      <w:r>
        <w:rPr/>
        <w:t>为增值税（税率为</w:t>
      </w:r>
      <w:r>
        <w:rPr>
          <w:rFonts w:ascii="Times New Roman" w:hAnsi="Times New Roman" w:cs="Times New Roman" w:eastAsia="Times New Roman" w:hint="default"/>
        </w:rPr>
        <w:t>6%</w:t>
      </w:r>
      <w:r>
        <w:rPr/>
        <w:t>）。</w:t>
      </w:r>
    </w:p>
    <w:p>
      <w:pPr>
        <w:pStyle w:val="Heading3"/>
        <w:spacing w:line="312" w:lineRule="exact" w:before="120"/>
        <w:ind w:right="108" w:firstLine="480"/>
        <w:jc w:val="both"/>
      </w:pPr>
      <w:r>
        <w:rPr>
          <w:spacing w:val="-3"/>
        </w:rPr>
        <w:t>根据财政部、国家税务总局《关于贯彻落实</w:t>
      </w:r>
      <w:r>
        <w:rPr>
          <w:rFonts w:ascii="Times New Roman" w:hAnsi="Times New Roman" w:cs="Times New Roman" w:eastAsia="Times New Roman" w:hint="default"/>
          <w:spacing w:val="-3"/>
        </w:rPr>
        <w:t>&lt;</w:t>
      </w:r>
      <w:r>
        <w:rPr>
          <w:spacing w:val="-3"/>
        </w:rPr>
        <w:t>关于加强技术创新，发展高科技，实现产业</w:t>
      </w:r>
      <w:r>
        <w:rPr/>
        <w:t> 化的决定</w:t>
      </w:r>
      <w:r>
        <w:rPr>
          <w:rFonts w:ascii="Times New Roman" w:hAnsi="Times New Roman" w:cs="Times New Roman" w:eastAsia="Times New Roman" w:hint="default"/>
        </w:rPr>
        <w:t>&gt;</w:t>
      </w:r>
      <w:r>
        <w:rPr/>
        <w:t>有关税收问题的通知》（财税</w:t>
      </w:r>
      <w:r>
        <w:rPr>
          <w:rFonts w:ascii="Times New Roman" w:hAnsi="Times New Roman" w:cs="Times New Roman" w:eastAsia="Times New Roman" w:hint="default"/>
        </w:rPr>
        <w:t>[1999]273</w:t>
      </w:r>
      <w:r>
        <w:rPr/>
        <w:t>号）有关规定，本公司、子公司上海丝略</w:t>
      </w:r>
      <w:r>
        <w:rPr>
          <w:spacing w:val="-46"/>
        </w:rPr>
        <w:t> </w:t>
      </w:r>
      <w:r>
        <w:rPr/>
        <w:t>从事技术转让、技术开发业务和与之相关的技术咨询、技术服务业务取得的收入在取得技术</w:t>
      </w:r>
      <w:r>
        <w:rPr/>
        <w:t> 合同认定并经税务局备案后免征营业税。</w:t>
      </w:r>
    </w:p>
    <w:p>
      <w:pPr>
        <w:pStyle w:val="Heading3"/>
        <w:spacing w:line="312" w:lineRule="exact" w:before="120"/>
        <w:ind w:right="102" w:firstLine="480"/>
        <w:jc w:val="both"/>
      </w:pPr>
      <w:r>
        <w:rPr/>
        <w:t>根据财政部、国家税务总局、商务部《关于示范城市离岸服务外包业务免征营业税的通</w:t>
      </w:r>
      <w:r>
        <w:rPr>
          <w:spacing w:val="1"/>
        </w:rPr>
        <w:t> </w:t>
      </w:r>
      <w:r>
        <w:rPr>
          <w:spacing w:val="2"/>
        </w:rPr>
        <w:t>知》（财税</w:t>
      </w:r>
      <w:r>
        <w:rPr>
          <w:rFonts w:ascii="Times New Roman" w:hAnsi="Times New Roman" w:cs="Times New Roman" w:eastAsia="Times New Roman" w:hint="default"/>
          <w:spacing w:val="2"/>
        </w:rPr>
        <w:t>[2010]64</w:t>
      </w:r>
      <w:r>
        <w:rPr>
          <w:spacing w:val="2"/>
        </w:rPr>
        <w:t>号）有关规定并经税务局备案，本公司及子公司润和数码自</w:t>
      </w:r>
      <w:r>
        <w:rPr>
          <w:rFonts w:ascii="Times New Roman" w:hAnsi="Times New Roman" w:cs="Times New Roman" w:eastAsia="Times New Roman" w:hint="default"/>
          <w:spacing w:val="2"/>
        </w:rPr>
        <w:t>2012</w:t>
      </w:r>
      <w:r>
        <w:rPr>
          <w:spacing w:val="2"/>
        </w:rPr>
        <w:t>年登记</w:t>
      </w:r>
      <w:r>
        <w:rPr/>
      </w:r>
    </w:p>
    <w:p>
      <w:pPr>
        <w:spacing w:after="0" w:line="312" w:lineRule="exact"/>
        <w:jc w:val="both"/>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3"/>
        <w:spacing w:line="312" w:lineRule="auto" w:before="26"/>
        <w:ind w:left="593" w:right="212" w:hanging="480"/>
        <w:jc w:val="left"/>
      </w:pPr>
      <w:r>
        <w:rPr/>
        <w:t>备案日起至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日从事离岸服务外包业务取得的收入免征营业税。 </w:t>
      </w:r>
      <w:r>
        <w:rPr>
          <w:spacing w:val="-3"/>
        </w:rPr>
        <w:t>根据财政部、国家税务总局《关于在北京等</w:t>
      </w:r>
      <w:r>
        <w:rPr>
          <w:rFonts w:ascii="Times New Roman" w:hAnsi="Times New Roman" w:cs="Times New Roman" w:eastAsia="Times New Roman" w:hint="default"/>
          <w:spacing w:val="-3"/>
        </w:rPr>
        <w:t>8</w:t>
      </w:r>
      <w:r>
        <w:rPr>
          <w:spacing w:val="-3"/>
        </w:rPr>
        <w:t>省市开展交通运输业和部分现代服务业营业</w:t>
      </w:r>
    </w:p>
    <w:p>
      <w:pPr>
        <w:pStyle w:val="Heading3"/>
        <w:spacing w:line="222" w:lineRule="exact"/>
        <w:ind w:left="113" w:right="92"/>
        <w:jc w:val="left"/>
      </w:pPr>
      <w:r>
        <w:rPr/>
        <w:t>税改征增值税试点的通知》（财税</w:t>
      </w:r>
      <w:r>
        <w:rPr>
          <w:rFonts w:ascii="Times New Roman" w:hAnsi="Times New Roman" w:cs="Times New Roman" w:eastAsia="Times New Roman" w:hint="default"/>
        </w:rPr>
        <w:t>[2012]71</w:t>
      </w:r>
      <w:r>
        <w:rPr/>
        <w:t>号），江苏省自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日起开始执行营业税</w:t>
      </w:r>
    </w:p>
    <w:p>
      <w:pPr>
        <w:pStyle w:val="Heading3"/>
        <w:spacing w:line="312" w:lineRule="exact" w:before="20"/>
        <w:ind w:right="212"/>
        <w:jc w:val="left"/>
      </w:pPr>
      <w:r>
        <w:rPr>
          <w:spacing w:val="-3"/>
        </w:rPr>
        <w:t>改征增值税事项，本公司、子公司润和数码的软件开发业务收入由缴纳营业税（税率</w:t>
      </w:r>
      <w:r>
        <w:rPr>
          <w:rFonts w:ascii="Times New Roman" w:hAnsi="Times New Roman" w:cs="Times New Roman" w:eastAsia="Times New Roman" w:hint="default"/>
          <w:spacing w:val="-3"/>
        </w:rPr>
        <w:t>5%</w:t>
      </w:r>
      <w:r>
        <w:rPr>
          <w:spacing w:val="-3"/>
        </w:rPr>
        <w:t>）改</w:t>
      </w:r>
      <w:r>
        <w:rPr>
          <w:spacing w:val="-81"/>
        </w:rPr>
        <w:t> </w:t>
      </w:r>
      <w:r>
        <w:rPr/>
        <w:t>为增值税（税率为</w:t>
      </w:r>
      <w:r>
        <w:rPr>
          <w:rFonts w:ascii="Times New Roman" w:hAnsi="Times New Roman" w:cs="Times New Roman" w:eastAsia="Times New Roman" w:hint="default"/>
        </w:rPr>
        <w:t>6%</w:t>
      </w:r>
      <w:r>
        <w:rPr/>
        <w:t>）。</w:t>
      </w:r>
    </w:p>
    <w:p>
      <w:pPr>
        <w:pStyle w:val="Heading3"/>
        <w:spacing w:line="312" w:lineRule="exact" w:before="120"/>
        <w:ind w:right="105" w:firstLine="480"/>
        <w:jc w:val="left"/>
      </w:pPr>
      <w:r>
        <w:rPr>
          <w:spacing w:val="4"/>
        </w:rPr>
        <w:t>根据《关于认定</w:t>
      </w:r>
      <w:r>
        <w:rPr>
          <w:rFonts w:ascii="Times New Roman" w:hAnsi="Times New Roman" w:cs="Times New Roman" w:eastAsia="Times New Roman" w:hint="default"/>
          <w:spacing w:val="4"/>
        </w:rPr>
        <w:t>2011-2012</w:t>
      </w:r>
      <w:r>
        <w:rPr>
          <w:spacing w:val="4"/>
        </w:rPr>
        <w:t>年度国家规划布局内重点软件企业和集成电路设计企业的通</w:t>
      </w:r>
      <w:r>
        <w:rPr>
          <w:spacing w:val="6"/>
        </w:rPr>
        <w:t> </w:t>
      </w:r>
      <w:r>
        <w:rPr>
          <w:spacing w:val="-3"/>
        </w:rPr>
        <w:t>知》（发改高技</w:t>
      </w:r>
      <w:r>
        <w:rPr>
          <w:rFonts w:ascii="Times New Roman" w:hAnsi="Times New Roman" w:cs="Times New Roman" w:eastAsia="Times New Roman" w:hint="default"/>
          <w:spacing w:val="-3"/>
        </w:rPr>
        <w:t>[2013]234</w:t>
      </w:r>
      <w:r>
        <w:rPr>
          <w:spacing w:val="-3"/>
        </w:rPr>
        <w:t>号），本公司被国家发展和改革委员会、工业和信息化部、财政部、</w:t>
      </w:r>
      <w:r>
        <w:rPr>
          <w:spacing w:val="-115"/>
        </w:rPr>
        <w:t> </w:t>
      </w:r>
      <w:r>
        <w:rPr>
          <w:spacing w:val="-115"/>
        </w:rPr>
      </w:r>
      <w:r>
        <w:rPr>
          <w:spacing w:val="3"/>
        </w:rPr>
        <w:t>商务部和国家税务总局联合审核认定为</w:t>
      </w:r>
      <w:r>
        <w:rPr>
          <w:rFonts w:ascii="Times New Roman" w:hAnsi="Times New Roman" w:cs="Times New Roman" w:eastAsia="Times New Roman" w:hint="default"/>
          <w:spacing w:val="3"/>
        </w:rPr>
        <w:t>2011-2012</w:t>
      </w:r>
      <w:r>
        <w:rPr>
          <w:spacing w:val="3"/>
        </w:rPr>
        <w:t>年度国家规划布局内重点软件企业；根据</w:t>
      </w:r>
      <w:r>
        <w:rPr/>
      </w:r>
    </w:p>
    <w:p>
      <w:pPr>
        <w:pStyle w:val="Heading3"/>
        <w:spacing w:line="312" w:lineRule="exact"/>
        <w:ind w:right="212"/>
        <w:jc w:val="left"/>
      </w:pPr>
      <w:r>
        <w:rPr>
          <w:spacing w:val="2"/>
        </w:rPr>
        <w:t>《财政部</w:t>
      </w:r>
      <w:r>
        <w:rPr>
          <w:spacing w:val="9"/>
        </w:rPr>
        <w:t> </w:t>
      </w:r>
      <w:r>
        <w:rPr>
          <w:spacing w:val="2"/>
        </w:rPr>
        <w:t>国家税务总局关于企业所得税若干优惠政策的通知》（财税</w:t>
      </w:r>
      <w:r>
        <w:rPr>
          <w:rFonts w:ascii="Times New Roman" w:hAnsi="Times New Roman" w:cs="Times New Roman" w:eastAsia="Times New Roman" w:hint="default"/>
          <w:spacing w:val="2"/>
        </w:rPr>
        <w:t>[2008]1</w:t>
      </w:r>
      <w:r>
        <w:rPr>
          <w:spacing w:val="2"/>
        </w:rPr>
        <w:t>号）的规定并</w:t>
      </w:r>
      <w:r>
        <w:rPr>
          <w:spacing w:val="3"/>
        </w:rPr>
        <w:t> </w:t>
      </w:r>
      <w:r>
        <w:rPr/>
        <w:t>经南京市雨花台区国家税务局批准，公司</w:t>
      </w:r>
      <w:r>
        <w:rPr>
          <w:rFonts w:ascii="Times New Roman" w:hAnsi="Times New Roman" w:cs="Times New Roman" w:eastAsia="Times New Roman" w:hint="default"/>
        </w:rPr>
        <w:t>2012</w:t>
      </w:r>
      <w:r>
        <w:rPr/>
        <w:t>年度减按</w:t>
      </w:r>
      <w:r>
        <w:rPr>
          <w:rFonts w:ascii="Times New Roman" w:hAnsi="Times New Roman" w:cs="Times New Roman" w:eastAsia="Times New Roman" w:hint="default"/>
        </w:rPr>
        <w:t>10%</w:t>
      </w:r>
      <w:r>
        <w:rPr/>
        <w:t>的税率征收企业所得税。</w:t>
      </w:r>
    </w:p>
    <w:p>
      <w:pPr>
        <w:spacing w:line="240" w:lineRule="auto" w:before="6"/>
        <w:rPr>
          <w:rFonts w:ascii="宋体" w:hAnsi="宋体" w:cs="宋体" w:eastAsia="宋体" w:hint="default"/>
          <w:sz w:val="22"/>
          <w:szCs w:val="22"/>
        </w:rPr>
      </w:pPr>
    </w:p>
    <w:p>
      <w:pPr>
        <w:pStyle w:val="Heading4"/>
        <w:spacing w:line="240" w:lineRule="auto"/>
        <w:ind w:right="212"/>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212"/>
        <w:jc w:val="left"/>
      </w:pPr>
      <w:r>
        <w:rPr/>
        <w:t>无</w:t>
      </w:r>
    </w:p>
    <w:p>
      <w:pPr>
        <w:spacing w:line="240" w:lineRule="auto" w:before="2"/>
        <w:rPr>
          <w:rFonts w:ascii="宋体" w:hAnsi="宋体" w:cs="宋体" w:eastAsia="宋体" w:hint="default"/>
          <w:sz w:val="25"/>
          <w:szCs w:val="25"/>
        </w:rPr>
      </w:pPr>
    </w:p>
    <w:p>
      <w:pPr>
        <w:pStyle w:val="Heading2"/>
        <w:spacing w:line="240" w:lineRule="auto" w:before="0"/>
        <w:ind w:right="212"/>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2"/>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2"/>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2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者权益</w:t>
            </w:r>
          </w:p>
        </w:tc>
      </w:tr>
      <w:tr>
        <w:trPr>
          <w:trHeight w:val="313"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冲减子</w:t>
            </w:r>
          </w:p>
        </w:tc>
      </w:tr>
      <w:tr>
        <w:trPr>
          <w:trHeight w:val="313"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额后的</w:t>
            </w:r>
          </w:p>
        </w:tc>
      </w:tr>
      <w:tr>
        <w:trPr>
          <w:trHeight w:val="358"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1026"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69"/>
              <w:ind w:left="22" w:right="110"/>
              <w:jc w:val="both"/>
              <w:rPr>
                <w:rFonts w:ascii="宋体" w:hAnsi="宋体" w:cs="宋体" w:eastAsia="宋体" w:hint="default"/>
                <w:sz w:val="18"/>
                <w:szCs w:val="18"/>
              </w:rPr>
            </w:pPr>
            <w:r>
              <w:rPr>
                <w:rFonts w:ascii="宋体" w:hAnsi="宋体" w:cs="宋体" w:eastAsia="宋体" w:hint="default"/>
                <w:sz w:val="18"/>
                <w:szCs w:val="18"/>
              </w:rPr>
              <w:t>江苏润 和南京 软件外</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江苏省 南京市</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316" w:lineRule="auto" w:before="61"/>
              <w:ind w:left="22" w:right="108"/>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69"/>
              <w:ind w:left="22" w:right="108"/>
              <w:jc w:val="both"/>
              <w:rPr>
                <w:rFonts w:ascii="宋体" w:hAnsi="宋体" w:cs="宋体" w:eastAsia="宋体" w:hint="default"/>
                <w:sz w:val="18"/>
                <w:szCs w:val="18"/>
              </w:rPr>
            </w:pPr>
            <w:r>
              <w:rPr>
                <w:rFonts w:ascii="宋体" w:hAnsi="宋体" w:cs="宋体" w:eastAsia="宋体" w:hint="default"/>
                <w:sz w:val="18"/>
                <w:szCs w:val="18"/>
              </w:rPr>
              <w:t>软件外 包园区 的投资</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91,097,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36"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包园投</w:t>
            </w: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和管</w:t>
            </w: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资有限</w:t>
            </w: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理，实</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资；计</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软、硬</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件系统</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发、集</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成、咨</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售和服</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务；物</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业管</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理；自</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建房屋</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出租；</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通讯产</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品的研</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制和销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地产项</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目的策</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划和咨</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询；自</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营和代</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理各类</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商品的</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技术和</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3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软件研</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发；软</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80"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西安润</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件产品</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93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0" w:lineRule="atLeast" w:before="4"/>
              <w:ind w:left="22" w:right="110"/>
              <w:jc w:val="both"/>
              <w:rPr>
                <w:rFonts w:ascii="宋体" w:hAnsi="宋体" w:cs="宋体" w:eastAsia="宋体" w:hint="default"/>
                <w:sz w:val="18"/>
                <w:szCs w:val="18"/>
              </w:rPr>
            </w:pPr>
            <w:r>
              <w:rPr>
                <w:rFonts w:ascii="宋体" w:hAnsi="宋体" w:cs="宋体" w:eastAsia="宋体" w:hint="default"/>
                <w:sz w:val="18"/>
                <w:szCs w:val="18"/>
              </w:rPr>
              <w:t>和软件 信息技 术有限</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陕西省 西安市</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300" w:lineRule="auto" w:before="64"/>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人民币</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销售及</w:t>
            </w:r>
          </w:p>
          <w:p>
            <w:pPr>
              <w:pStyle w:val="TableParagraph"/>
              <w:spacing w:line="316" w:lineRule="auto" w:before="76"/>
              <w:ind w:left="22" w:right="108"/>
              <w:jc w:val="left"/>
              <w:rPr>
                <w:rFonts w:ascii="宋体" w:hAnsi="宋体" w:cs="宋体" w:eastAsia="宋体" w:hint="default"/>
                <w:sz w:val="18"/>
                <w:szCs w:val="18"/>
              </w:rPr>
            </w:pPr>
            <w:r>
              <w:rPr>
                <w:rFonts w:ascii="宋体" w:hAnsi="宋体" w:cs="宋体" w:eastAsia="宋体" w:hint="default"/>
                <w:sz w:val="18"/>
                <w:szCs w:val="18"/>
              </w:rPr>
              <w:t>售后综 合技术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244"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货物与</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17" w:hRule="exact"/>
        </w:trPr>
        <w:tc>
          <w:tcPr>
            <w:tcW w:w="685"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网络系</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成；楼</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宇智能</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化系统</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工程的</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65"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HopeRu</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93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62" w:lineRule="auto" w:before="42"/>
              <w:ind w:left="22" w:right="34"/>
              <w:jc w:val="left"/>
              <w:rPr>
                <w:rFonts w:ascii="Times New Roman" w:hAnsi="Times New Roman" w:cs="Times New Roman" w:eastAsia="Times New Roman" w:hint="default"/>
                <w:sz w:val="18"/>
                <w:szCs w:val="18"/>
              </w:rPr>
            </w:pPr>
            <w:r>
              <w:rPr>
                <w:rFonts w:ascii="Times New Roman"/>
                <w:sz w:val="18"/>
              </w:rPr>
              <w:t>n </w:t>
            </w:r>
            <w:r>
              <w:rPr>
                <w:rFonts w:ascii="Times New Roman"/>
                <w:spacing w:val="-3"/>
                <w:sz w:val="18"/>
              </w:rPr>
              <w:t>Technol</w:t>
            </w:r>
            <w:r>
              <w:rPr>
                <w:rFonts w:ascii="Times New Roman"/>
                <w:spacing w:val="-41"/>
                <w:sz w:val="18"/>
              </w:rPr>
              <w:t> </w:t>
            </w:r>
            <w:r>
              <w:rPr>
                <w:rFonts w:ascii="Times New Roman"/>
                <w:spacing w:val="-41"/>
                <w:sz w:val="18"/>
              </w:rPr>
            </w:r>
            <w:r>
              <w:rPr>
                <w:rFonts w:ascii="Times New Roman"/>
                <w:sz w:val="18"/>
              </w:rPr>
              <w:t>ogy Co.,</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316" w:lineRule="auto" w:before="158"/>
              <w:ind w:left="22" w:right="109"/>
              <w:jc w:val="left"/>
              <w:rPr>
                <w:rFonts w:ascii="宋体" w:hAnsi="宋体" w:cs="宋体" w:eastAsia="宋体" w:hint="default"/>
                <w:sz w:val="18"/>
                <w:szCs w:val="18"/>
              </w:rPr>
            </w:pPr>
            <w:r>
              <w:rPr>
                <w:rFonts w:ascii="宋体" w:hAnsi="宋体" w:cs="宋体" w:eastAsia="宋体" w:hint="default"/>
                <w:sz w:val="18"/>
                <w:szCs w:val="18"/>
              </w:rPr>
              <w:t>美国特 拉华州</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58"/>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6,589,8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Ltd.</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365"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HOPER</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08"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SOFTW</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东京润</w:t>
            </w: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624"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62" w:lineRule="auto" w:before="47"/>
              <w:ind w:left="22" w:right="100"/>
              <w:jc w:val="left"/>
              <w:rPr>
                <w:rFonts w:ascii="Times New Roman" w:hAnsi="Times New Roman" w:cs="Times New Roman" w:eastAsia="Times New Roman" w:hint="default"/>
                <w:sz w:val="18"/>
                <w:szCs w:val="18"/>
              </w:rPr>
            </w:pPr>
            <w:r>
              <w:rPr>
                <w:rFonts w:ascii="Times New Roman"/>
                <w:sz w:val="18"/>
              </w:rPr>
              <w:t>ARE</w:t>
            </w:r>
            <w:r>
              <w:rPr>
                <w:rFonts w:ascii="Times New Roman"/>
                <w:spacing w:val="-1"/>
                <w:sz w:val="18"/>
              </w:rPr>
              <w:t> </w:t>
            </w:r>
            <w:r>
              <w:rPr>
                <w:rFonts w:ascii="Times New Roman"/>
                <w:sz w:val="18"/>
              </w:rPr>
              <w:t>SINGA</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108"/>
              <w:jc w:val="left"/>
              <w:rPr>
                <w:rFonts w:ascii="宋体" w:hAnsi="宋体" w:cs="宋体" w:eastAsia="宋体" w:hint="default"/>
                <w:sz w:val="18"/>
                <w:szCs w:val="18"/>
              </w:rPr>
            </w:pPr>
            <w:r>
              <w:rPr>
                <w:rFonts w:ascii="宋体" w:hAnsi="宋体" w:cs="宋体" w:eastAsia="宋体" w:hint="default"/>
                <w:sz w:val="18"/>
                <w:szCs w:val="18"/>
              </w:rPr>
              <w:t>和的控 股子公</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6"/>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00" w:lineRule="auto" w:before="6"/>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64" w:right="0"/>
              <w:jc w:val="left"/>
              <w:rPr>
                <w:rFonts w:ascii="Times New Roman" w:hAnsi="Times New Roman" w:cs="Times New Roman" w:eastAsia="Times New Roman" w:hint="default"/>
                <w:sz w:val="18"/>
                <w:szCs w:val="18"/>
              </w:rPr>
            </w:pPr>
            <w:r>
              <w:rPr>
                <w:rFonts w:ascii="Times New Roman"/>
                <w:sz w:val="18"/>
              </w:rPr>
              <w:t>482,661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64" w:right="0"/>
              <w:jc w:val="left"/>
              <w:rPr>
                <w:rFonts w:ascii="Times New Roman" w:hAnsi="Times New Roman" w:cs="Times New Roman" w:eastAsia="Times New Roman" w:hint="default"/>
                <w:sz w:val="18"/>
                <w:szCs w:val="18"/>
              </w:rPr>
            </w:pPr>
            <w:r>
              <w:rPr>
                <w:rFonts w:ascii="Times New Roman"/>
                <w:sz w:val="18"/>
              </w:rPr>
              <w:t>204,434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1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PORE</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PTE.</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49"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6"/>
                <w:sz w:val="18"/>
              </w:rPr>
              <w:t>LTD</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r>
        <w:trPr>
          <w:trHeight w:val="357"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动漫设</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作，计</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通讯电</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0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子产品</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南京润</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及相关</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624"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和数码 有限公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江苏省 南京市</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软硬件 产品的</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left="87" w:right="0"/>
              <w:jc w:val="center"/>
              <w:rPr>
                <w:rFonts w:ascii="Times New Roman" w:hAnsi="Times New Roman" w:cs="Times New Roman" w:eastAsia="Times New Roman" w:hint="default"/>
                <w:sz w:val="18"/>
                <w:szCs w:val="18"/>
              </w:rPr>
            </w:pPr>
            <w:r>
              <w:rPr>
                <w:rFonts w:ascii="Times New Roman"/>
                <w:sz w:val="18"/>
              </w:rPr>
              <w:t>5,320,7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left="85" w:right="0"/>
              <w:jc w:val="center"/>
              <w:rPr>
                <w:rFonts w:ascii="Times New Roman" w:hAnsi="Times New Roman" w:cs="Times New Roman" w:eastAsia="Times New Roman" w:hint="default"/>
                <w:sz w:val="18"/>
                <w:szCs w:val="18"/>
              </w:rPr>
            </w:pPr>
            <w:r>
              <w:rPr>
                <w:rFonts w:ascii="Times New Roman"/>
                <w:sz w:val="18"/>
              </w:rPr>
              <w:t>4,453,4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59.48</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技术研</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售并提</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供相关</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配套的</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售后服</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务；系</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统应用</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r>
      <w:tr>
        <w:trPr>
          <w:trHeight w:val="32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管理和</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17" w:hRule="exact"/>
        </w:trPr>
        <w:tc>
          <w:tcPr>
            <w:tcW w:w="685"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术支持</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代理上</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述商品</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及技术</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的进出</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算机网</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络系统</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楼宇智</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能化系</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统工程</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的设</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计、施</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工、安</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w:t>
            </w: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通过设立或投资等方式取得的子公司的其他说明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7"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1"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1"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通过同一控制下企业合并取得的子公司的其他说明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4"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5"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株式会</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936"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社潤和 ソフト ウェア</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日本东 京</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4,865,0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01.00</w:t>
            </w: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91.67%</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9"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東京</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1026" w:hRule="exact"/>
        </w:trPr>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0"/>
              <w:ind w:left="22" w:right="39"/>
              <w:jc w:val="left"/>
              <w:rPr>
                <w:rFonts w:ascii="Times New Roman" w:hAnsi="Times New Roman" w:cs="Times New Roman" w:eastAsia="Times New Roman" w:hint="default"/>
                <w:sz w:val="18"/>
                <w:szCs w:val="18"/>
              </w:rPr>
            </w:pPr>
            <w:r>
              <w:rPr>
                <w:rFonts w:ascii="Times New Roman"/>
                <w:sz w:val="18"/>
              </w:rPr>
              <w:t>SRS2</w:t>
            </w:r>
            <w:r>
              <w:rPr>
                <w:rFonts w:ascii="Times New Roman"/>
                <w:spacing w:val="-1"/>
                <w:sz w:val="18"/>
              </w:rPr>
              <w:t> </w:t>
            </w:r>
            <w:r>
              <w:rPr>
                <w:rFonts w:ascii="Times New Roman"/>
                <w:sz w:val="18"/>
              </w:rPr>
              <w:t>LIMITE</w:t>
            </w:r>
            <w:r>
              <w:rPr>
                <w:rFonts w:ascii="Times New Roman"/>
                <w:sz w:val="18"/>
              </w:rPr>
              <w:t> D</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中国香 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2,084,5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94.40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1,851,6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57.17</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355" w:hRule="exact"/>
        </w:trPr>
        <w:tc>
          <w:tcPr>
            <w:tcW w:w="685"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软件的</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0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设计制</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丝略软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作及维</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624"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10"/>
              <w:jc w:val="left"/>
              <w:rPr>
                <w:rFonts w:ascii="宋体" w:hAnsi="宋体" w:cs="宋体" w:eastAsia="宋体" w:hint="default"/>
                <w:sz w:val="18"/>
                <w:szCs w:val="18"/>
              </w:rPr>
            </w:pPr>
            <w:r>
              <w:rPr>
                <w:rFonts w:ascii="宋体" w:hAnsi="宋体" w:cs="宋体" w:eastAsia="宋体" w:hint="default"/>
                <w:sz w:val="18"/>
                <w:szCs w:val="18"/>
              </w:rPr>
              <w:t>件（上 海）有</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全资子</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09"/>
              <w:jc w:val="left"/>
              <w:rPr>
                <w:rFonts w:ascii="宋体" w:hAnsi="宋体" w:cs="宋体" w:eastAsia="宋体" w:hint="default"/>
                <w:sz w:val="18"/>
                <w:szCs w:val="18"/>
              </w:rPr>
            </w:pPr>
            <w:r>
              <w:rPr>
                <w:rFonts w:ascii="宋体" w:hAnsi="宋体" w:cs="宋体" w:eastAsia="宋体" w:hint="default"/>
                <w:sz w:val="18"/>
                <w:szCs w:val="18"/>
              </w:rPr>
              <w:t>中国上 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00" w:lineRule="auto" w:before="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护服 务，系</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left="64" w:right="0"/>
              <w:jc w:val="left"/>
              <w:rPr>
                <w:rFonts w:ascii="Times New Roman" w:hAnsi="Times New Roman" w:cs="Times New Roman" w:eastAsia="Times New Roman" w:hint="default"/>
                <w:sz w:val="18"/>
                <w:szCs w:val="18"/>
              </w:rPr>
            </w:pPr>
            <w:r>
              <w:rPr>
                <w:rFonts w:ascii="Times New Roman"/>
                <w:sz w:val="18"/>
              </w:rPr>
              <w:t>673,149</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.57</w:t>
            </w: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2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统集成</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并提供</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相关领</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域内的</w:t>
            </w: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8" w:hRule="exact"/>
        </w:trPr>
        <w:tc>
          <w:tcPr>
            <w:tcW w:w="685"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spacing w:after="0"/>
        <w:sectPr>
          <w:footerReference w:type="default" r:id="rId31"/>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17" w:hRule="exact"/>
        </w:trPr>
        <w:tc>
          <w:tcPr>
            <w:tcW w:w="685"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12" w:hRule="exact"/>
        </w:trPr>
        <w:tc>
          <w:tcPr>
            <w:tcW w:w="685"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8" w:hRule="exact"/>
        </w:trPr>
        <w:tc>
          <w:tcPr>
            <w:tcW w:w="685"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61" w:hRule="exact"/>
        </w:trPr>
        <w:tc>
          <w:tcPr>
            <w:tcW w:w="68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SilkRoa</w:t>
            </w:r>
          </w:p>
        </w:tc>
        <w:tc>
          <w:tcPr>
            <w:tcW w:w="683" w:type="dxa"/>
            <w:tcBorders>
              <w:top w:val="single" w:sz="4" w:space="0" w:color="010101"/>
              <w:left w:val="single" w:sz="4" w:space="0" w:color="010101"/>
              <w:bottom w:val="nil" w:sz="6" w:space="0" w:color="auto"/>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1252" w:hRule="exact"/>
        </w:trPr>
        <w:tc>
          <w:tcPr>
            <w:tcW w:w="685" w:type="dxa"/>
            <w:tcBorders>
              <w:top w:val="nil" w:sz="6" w:space="0" w:color="auto"/>
              <w:left w:val="single" w:sz="4" w:space="0" w:color="010101"/>
              <w:bottom w:val="nil" w:sz="6" w:space="0" w:color="auto"/>
              <w:right w:val="single" w:sz="4" w:space="0" w:color="010101"/>
            </w:tcBorders>
          </w:tcPr>
          <w:p>
            <w:pPr>
              <w:pStyle w:val="TableParagraph"/>
              <w:spacing w:line="362" w:lineRule="auto" w:before="47"/>
              <w:ind w:left="22" w:right="81"/>
              <w:jc w:val="left"/>
              <w:rPr>
                <w:rFonts w:ascii="Times New Roman" w:hAnsi="Times New Roman" w:cs="Times New Roman" w:eastAsia="Times New Roman" w:hint="default"/>
                <w:sz w:val="18"/>
                <w:szCs w:val="18"/>
              </w:rPr>
            </w:pPr>
            <w:r>
              <w:rPr>
                <w:rFonts w:ascii="Times New Roman"/>
                <w:sz w:val="18"/>
              </w:rPr>
              <w:t>d Softwar </w:t>
            </w:r>
            <w:r>
              <w:rPr>
                <w:rFonts w:ascii="Times New Roman"/>
                <w:spacing w:val="22"/>
                <w:sz w:val="18"/>
              </w:rPr>
              <w:t>e&amp;</w:t>
            </w:r>
            <w:r>
              <w:rPr>
                <w:rFonts w:ascii="Times New Roman"/>
                <w:spacing w:val="-1"/>
                <w:sz w:val="18"/>
              </w:rPr>
              <w:t> </w:t>
            </w:r>
            <w:r>
              <w:rPr>
                <w:rFonts w:ascii="Times New Roman"/>
                <w:sz w:val="18"/>
              </w:rPr>
              <w:t>Service</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w:t>
            </w:r>
          </w:p>
          <w:p>
            <w:pPr>
              <w:pStyle w:val="TableParagraph"/>
              <w:spacing w:line="316"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美国加 利福尼 亚州</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信息技 术</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49" w:hRule="exact"/>
        </w:trPr>
        <w:tc>
          <w:tcPr>
            <w:tcW w:w="68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.Inc</w:t>
            </w:r>
          </w:p>
        </w:tc>
        <w:tc>
          <w:tcPr>
            <w:tcW w:w="683" w:type="dxa"/>
            <w:tcBorders>
              <w:top w:val="nil" w:sz="6" w:space="0" w:color="auto"/>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bl>
    <w:p>
      <w:pPr>
        <w:pStyle w:val="BodyText"/>
        <w:spacing w:line="240" w:lineRule="auto" w:before="50"/>
        <w:ind w:right="212"/>
        <w:jc w:val="left"/>
      </w:pPr>
      <w:r>
        <w:rPr/>
        <w:t>通过非同一控制下企业合并取得的子公司的其他说明</w:t>
      </w:r>
    </w:p>
    <w:p>
      <w:pPr>
        <w:spacing w:line="240" w:lineRule="auto" w:before="0"/>
        <w:rPr>
          <w:rFonts w:ascii="宋体" w:hAnsi="宋体" w:cs="宋体" w:eastAsia="宋体" w:hint="default"/>
          <w:sz w:val="15"/>
          <w:szCs w:val="15"/>
        </w:rPr>
      </w:pPr>
    </w:p>
    <w:p>
      <w:pPr>
        <w:pStyle w:val="BodyText"/>
        <w:spacing w:line="300" w:lineRule="auto" w:before="0"/>
        <w:ind w:right="216" w:firstLine="424"/>
        <w:jc w:val="left"/>
      </w:pPr>
      <w:r>
        <w:rPr/>
        <w:t>注</w:t>
      </w:r>
      <w:r>
        <w:rPr>
          <w:rFonts w:ascii="Times New Roman" w:hAnsi="Times New Roman" w:cs="Times New Roman" w:eastAsia="Times New Roman" w:hint="default"/>
        </w:rPr>
        <w:t>1</w:t>
      </w:r>
      <w:r>
        <w:rPr/>
        <w:t>：本公司直接拥有东京润和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的库存股股权，该库存股股权不仅没有表决权，也 没有分红请求权和剩余财产分配请求权等其他权利，因此本公司实际拥有东京润和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240" w:lineRule="auto" w:before="13"/>
        <w:ind w:left="808" w:right="212"/>
        <w:jc w:val="left"/>
      </w:pPr>
      <w:r>
        <w:rPr>
          <w:rFonts w:ascii="Times New Roman" w:hAnsi="Times New Roman" w:cs="Times New Roman" w:eastAsia="Times New Roman" w:hint="default"/>
        </w:rPr>
        <w:t>2</w:t>
      </w:r>
      <w:r>
        <w:rPr/>
        <w:t>：美国</w:t>
      </w:r>
      <w:r>
        <w:rPr>
          <w:rFonts w:ascii="Times New Roman" w:hAnsi="Times New Roman" w:cs="Times New Roman" w:eastAsia="Times New Roman" w:hint="default"/>
        </w:rPr>
        <w:t>SRS2</w:t>
      </w:r>
      <w:r>
        <w:rPr/>
        <w:t>、上海丝略均为香港</w:t>
      </w:r>
      <w:r>
        <w:rPr>
          <w:rFonts w:ascii="Times New Roman" w:hAnsi="Times New Roman" w:cs="Times New Roman" w:eastAsia="Times New Roman" w:hint="default"/>
        </w:rPr>
        <w:t>SRS2</w:t>
      </w:r>
      <w:r>
        <w:rPr/>
        <w:t>全资子公司，其少数股东权益合并列示。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212"/>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2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89"/>
        <w:gridCol w:w="2382"/>
        <w:gridCol w:w="4699"/>
      </w:tblGrid>
      <w:tr>
        <w:trPr>
          <w:trHeight w:val="402" w:hRule="exact"/>
        </w:trPr>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212"/>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212"/>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212"/>
        <w:jc w:val="left"/>
      </w:pPr>
      <w:r>
        <w:rPr/>
        <w:t>合并报表范围发生变更说明</w:t>
      </w:r>
    </w:p>
    <w:p>
      <w:pPr>
        <w:pStyle w:val="Heading3"/>
        <w:spacing w:line="312" w:lineRule="exact" w:before="99"/>
        <w:ind w:left="113" w:right="228" w:firstLine="472"/>
        <w:jc w:val="both"/>
      </w:pPr>
      <w:r>
        <w:rPr>
          <w:spacing w:val="2"/>
        </w:rPr>
        <w:t>（</w:t>
      </w:r>
      <w:r>
        <w:rPr>
          <w:rFonts w:ascii="Times New Roman" w:hAnsi="Times New Roman" w:cs="Times New Roman" w:eastAsia="Times New Roman" w:hint="default"/>
          <w:spacing w:val="2"/>
        </w:rPr>
        <w:t>1</w:t>
      </w:r>
      <w:r>
        <w:rPr>
          <w:spacing w:val="2"/>
        </w:rPr>
        <w:t>）西安润和系本公司于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月在西安设立的全资子公司，注册资本为</w:t>
      </w:r>
      <w:r>
        <w:rPr>
          <w:rFonts w:ascii="Times New Roman" w:hAnsi="Times New Roman" w:cs="Times New Roman" w:eastAsia="Times New Roman" w:hint="default"/>
          <w:spacing w:val="2"/>
        </w:rPr>
        <w:t>2,000</w:t>
      </w:r>
      <w:r>
        <w:rPr>
          <w:spacing w:val="2"/>
        </w:rPr>
        <w:t>万元 </w:t>
      </w:r>
      <w:r>
        <w:rPr/>
        <w:t>人民币，由本公司使用超过募集资金项目投资计划部分资金一次缴足。西安润和于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spacing w:val="-2"/>
        </w:rPr>
        <w:t>月</w:t>
      </w:r>
      <w:r>
        <w:rPr>
          <w:rFonts w:ascii="Times New Roman" w:hAnsi="Times New Roman" w:cs="Times New Roman" w:eastAsia="Times New Roman" w:hint="default"/>
          <w:spacing w:val="-2"/>
        </w:rPr>
        <w:t>25</w:t>
      </w:r>
      <w:r>
        <w:rPr>
          <w:spacing w:val="-2"/>
        </w:rPr>
        <w:t>日取得西安市工商行政管理局核准登记，并取得注册号为</w:t>
      </w:r>
      <w:r>
        <w:rPr>
          <w:rFonts w:ascii="Times New Roman" w:hAnsi="Times New Roman" w:cs="Times New Roman" w:eastAsia="Times New Roman" w:hint="default"/>
          <w:spacing w:val="-2"/>
        </w:rPr>
        <w:t>610131100096656</w:t>
      </w:r>
      <w:r>
        <w:rPr>
          <w:spacing w:val="-2"/>
        </w:rPr>
        <w:t>的《企业法人</w:t>
      </w:r>
      <w:r>
        <w:rPr>
          <w:spacing w:val="-104"/>
        </w:rPr>
        <w:t> </w:t>
      </w:r>
      <w:r>
        <w:rPr>
          <w:spacing w:val="-104"/>
        </w:rPr>
      </w:r>
      <w:r>
        <w:rPr/>
        <w:t>营业执照》。</w:t>
      </w:r>
    </w:p>
    <w:p>
      <w:pPr>
        <w:pStyle w:val="Heading3"/>
        <w:spacing w:line="312" w:lineRule="exact"/>
        <w:ind w:left="113" w:right="247" w:firstLine="484"/>
        <w:jc w:val="left"/>
      </w:pPr>
      <w:r>
        <w:rPr/>
        <w:t>（</w:t>
      </w:r>
      <w:r>
        <w:rPr>
          <w:rFonts w:ascii="Times New Roman" w:hAnsi="Times New Roman" w:cs="Times New Roman" w:eastAsia="Times New Roman" w:hint="default"/>
        </w:rPr>
        <w:t>2</w:t>
      </w:r>
      <w:r>
        <w:rPr/>
        <w:t>）波士顿润和系本公司于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月在美国特拉华州设立的全资子公司，设立时注册 资本为</w:t>
      </w:r>
      <w:r>
        <w:rPr>
          <w:rFonts w:ascii="Times New Roman" w:hAnsi="Times New Roman" w:cs="Times New Roman" w:eastAsia="Times New Roman" w:hint="default"/>
        </w:rPr>
        <w:t>100</w:t>
      </w:r>
      <w:r>
        <w:rPr/>
        <w:t>万美元，本公司已于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月分二期缴足出资。</w:t>
      </w:r>
    </w:p>
    <w:p>
      <w:pPr>
        <w:pStyle w:val="Heading3"/>
        <w:spacing w:line="312" w:lineRule="exact"/>
        <w:ind w:left="113" w:right="92" w:firstLine="480"/>
        <w:jc w:val="left"/>
      </w:pPr>
      <w:r>
        <w:rPr>
          <w:spacing w:val="2"/>
        </w:rPr>
        <w:t>（</w:t>
      </w:r>
      <w:r>
        <w:rPr>
          <w:rFonts w:ascii="Times New Roman" w:hAnsi="Times New Roman" w:cs="Times New Roman" w:eastAsia="Times New Roman" w:hint="default"/>
          <w:spacing w:val="2"/>
        </w:rPr>
        <w:t>3</w:t>
      </w:r>
      <w:r>
        <w:rPr>
          <w:spacing w:val="2"/>
        </w:rPr>
        <w:t>）润和数码系由本公司和</w:t>
      </w:r>
      <w:r>
        <w:rPr>
          <w:rFonts w:ascii="Times New Roman" w:hAnsi="Times New Roman" w:cs="Times New Roman" w:eastAsia="Times New Roman" w:hint="default"/>
          <w:spacing w:val="2"/>
        </w:rPr>
        <w:t>CARLTON </w:t>
      </w:r>
      <w:r>
        <w:rPr>
          <w:rFonts w:ascii="Times New Roman" w:hAnsi="Times New Roman" w:cs="Times New Roman" w:eastAsia="Times New Roman" w:hint="default"/>
        </w:rPr>
        <w:t>ACQUISITION</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月在南京市</w:t>
      </w:r>
      <w:r>
        <w:rPr>
          <w:spacing w:val="4"/>
        </w:rPr>
        <w:t> </w:t>
      </w:r>
      <w:r>
        <w:rPr>
          <w:spacing w:val="-1"/>
        </w:rPr>
        <w:t>共同投资设立的外商投资企业，设立时注册资本为</w:t>
      </w:r>
      <w:r>
        <w:rPr>
          <w:rFonts w:ascii="Times New Roman" w:hAnsi="Times New Roman" w:cs="Times New Roman" w:eastAsia="Times New Roman" w:hint="default"/>
          <w:spacing w:val="-1"/>
        </w:rPr>
        <w:t>150</w:t>
      </w:r>
      <w:r>
        <w:rPr>
          <w:spacing w:val="-1"/>
        </w:rPr>
        <w:t>万美元，其中本公司出资</w:t>
      </w:r>
      <w:r>
        <w:rPr>
          <w:rFonts w:ascii="Times New Roman" w:hAnsi="Times New Roman" w:cs="Times New Roman" w:eastAsia="Times New Roman" w:hint="default"/>
          <w:spacing w:val="-1"/>
        </w:rPr>
        <w:t>82.50</w:t>
      </w:r>
      <w:r>
        <w:rPr>
          <w:spacing w:val="-1"/>
        </w:rPr>
        <w:t>万美元，</w:t>
      </w:r>
      <w:r>
        <w:rPr>
          <w:spacing w:val="-97"/>
        </w:rPr>
        <w:t> </w:t>
      </w:r>
      <w:r>
        <w:rPr>
          <w:spacing w:val="6"/>
        </w:rPr>
        <w:t>占注册资本的</w:t>
      </w:r>
      <w:r>
        <w:rPr>
          <w:rFonts w:ascii="Times New Roman" w:hAnsi="Times New Roman" w:cs="Times New Roman" w:eastAsia="Times New Roman" w:hint="default"/>
          <w:spacing w:val="6"/>
        </w:rPr>
        <w:t>55%</w:t>
      </w:r>
      <w:r>
        <w:rPr>
          <w:spacing w:val="6"/>
        </w:rPr>
        <w:t>，</w:t>
      </w:r>
      <w:r>
        <w:rPr>
          <w:rFonts w:ascii="Times New Roman" w:hAnsi="Times New Roman" w:cs="Times New Roman" w:eastAsia="Times New Roman" w:hint="default"/>
          <w:spacing w:val="6"/>
        </w:rPr>
        <w:t>CARLTON</w:t>
      </w:r>
      <w:r>
        <w:rPr>
          <w:rFonts w:ascii="Times New Roman" w:hAnsi="Times New Roman" w:cs="Times New Roman" w:eastAsia="Times New Roman" w:hint="default"/>
          <w:spacing w:val="19"/>
        </w:rPr>
        <w:t> </w:t>
      </w:r>
      <w:r>
        <w:rPr>
          <w:rFonts w:ascii="Times New Roman" w:hAnsi="Times New Roman" w:cs="Times New Roman" w:eastAsia="Times New Roman" w:hint="default"/>
        </w:rPr>
        <w:t>ACQUISITION</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7"/>
        </w:rPr>
        <w:t>LIMITED</w:t>
      </w:r>
      <w:r>
        <w:rPr>
          <w:spacing w:val="7"/>
        </w:rPr>
        <w:t>出资</w:t>
      </w:r>
      <w:r>
        <w:rPr>
          <w:rFonts w:ascii="Times New Roman" w:hAnsi="Times New Roman" w:cs="Times New Roman" w:eastAsia="Times New Roman" w:hint="default"/>
          <w:spacing w:val="7"/>
        </w:rPr>
        <w:t>67.50</w:t>
      </w:r>
      <w:r>
        <w:rPr>
          <w:spacing w:val="7"/>
        </w:rPr>
        <w:t>万美元，占注册资本的</w:t>
      </w:r>
      <w:r>
        <w:rPr>
          <w:spacing w:val="-115"/>
        </w:rPr>
        <w:t> </w:t>
      </w:r>
      <w:r>
        <w:rPr>
          <w:rFonts w:ascii="Times New Roman" w:hAnsi="Times New Roman" w:cs="Times New Roman" w:eastAsia="Times New Roman" w:hint="default"/>
          <w:spacing w:val="-4"/>
        </w:rPr>
        <w:t>45%</w:t>
      </w:r>
      <w:r>
        <w:rPr>
          <w:spacing w:val="-4"/>
        </w:rPr>
        <w:t>。本公司和</w:t>
      </w:r>
      <w:r>
        <w:rPr>
          <w:rFonts w:ascii="Times New Roman" w:hAnsi="Times New Roman" w:cs="Times New Roman" w:eastAsia="Times New Roman" w:hint="default"/>
          <w:spacing w:val="-4"/>
        </w:rPr>
        <w:t>CARLTON </w:t>
      </w:r>
      <w:r>
        <w:rPr>
          <w:rFonts w:ascii="Times New Roman" w:hAnsi="Times New Roman" w:cs="Times New Roman" w:eastAsia="Times New Roman" w:hint="default"/>
        </w:rPr>
        <w:t>ACQUISITION</w:t>
      </w:r>
      <w:r>
        <w:rPr>
          <w:rFonts w:ascii="Times New Roman" w:hAnsi="Times New Roman" w:cs="Times New Roman" w:eastAsia="Times New Roman" w:hint="default"/>
          <w:spacing w:val="-22"/>
        </w:rPr>
        <w:t> </w:t>
      </w:r>
      <w:r>
        <w:rPr>
          <w:rFonts w:ascii="Times New Roman" w:hAnsi="Times New Roman" w:cs="Times New Roman" w:eastAsia="Times New Roman" w:hint="default"/>
        </w:rPr>
        <w:t>LIMITED</w:t>
      </w:r>
      <w:r>
        <w:rPr/>
        <w:t>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月分二期缴足出 </w:t>
      </w:r>
      <w:r>
        <w:rPr>
          <w:spacing w:val="2"/>
        </w:rPr>
        <w:t>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月，经润和数码股东会协议通过，</w:t>
      </w:r>
      <w:r>
        <w:rPr>
          <w:rFonts w:ascii="Times New Roman" w:hAnsi="Times New Roman" w:cs="Times New Roman" w:eastAsia="Times New Roman" w:hint="default"/>
          <w:spacing w:val="2"/>
        </w:rPr>
        <w:t>CARLTON</w:t>
      </w:r>
      <w:r>
        <w:rPr>
          <w:rFonts w:ascii="Times New Roman" w:hAnsi="Times New Roman" w:cs="Times New Roman" w:eastAsia="Times New Roman" w:hint="default"/>
          <w:spacing w:val="6"/>
        </w:rPr>
        <w:t> </w:t>
      </w:r>
      <w:r>
        <w:rPr>
          <w:rFonts w:ascii="Times New Roman" w:hAnsi="Times New Roman" w:cs="Times New Roman" w:eastAsia="Times New Roman" w:hint="default"/>
        </w:rPr>
        <w:t>ACQUISITION</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将其持</w:t>
      </w:r>
      <w:r>
        <w:rPr>
          <w:spacing w:val="-118"/>
        </w:rPr>
        <w:t> </w:t>
      </w:r>
      <w:r>
        <w:rPr/>
        <w:t>有的润和数码股权全部转让给</w:t>
      </w:r>
      <w:r>
        <w:rPr>
          <w:rFonts w:ascii="Times New Roman" w:hAnsi="Times New Roman" w:cs="Times New Roman" w:eastAsia="Times New Roman" w:hint="default"/>
        </w:rPr>
        <w:t>mMAX COMMUNICATIONS PTE.</w:t>
      </w:r>
      <w:r>
        <w:rPr>
          <w:rFonts w:ascii="Times New Roman" w:hAnsi="Times New Roman" w:cs="Times New Roman" w:eastAsia="Times New Roman" w:hint="default"/>
          <w:spacing w:val="-20"/>
        </w:rPr>
        <w:t> </w:t>
      </w:r>
      <w:r>
        <w:rPr>
          <w:rFonts w:ascii="Times New Roman" w:hAnsi="Times New Roman" w:cs="Times New Roman" w:eastAsia="Times New Roman" w:hint="default"/>
        </w:rPr>
        <w:t>LTD</w:t>
      </w:r>
      <w:r>
        <w:rPr/>
        <w:t>。</w:t>
      </w:r>
    </w:p>
    <w:p>
      <w:pPr>
        <w:spacing w:line="240" w:lineRule="auto" w:before="3"/>
        <w:rPr>
          <w:rFonts w:ascii="宋体" w:hAnsi="宋体" w:cs="宋体" w:eastAsia="宋体" w:hint="default"/>
          <w:sz w:val="28"/>
          <w:szCs w:val="28"/>
        </w:rPr>
      </w:pPr>
    </w:p>
    <w:p>
      <w:pPr>
        <w:pStyle w:val="BodyText"/>
        <w:spacing w:line="338" w:lineRule="auto" w:before="0"/>
        <w:ind w:right="5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与上年相比本年（期）新增合并单位</w:t>
      </w:r>
      <w:r>
        <w:rPr>
          <w:spacing w:val="-46"/>
        </w:rPr>
        <w:t> </w:t>
      </w:r>
      <w:r>
        <w:rPr>
          <w:rFonts w:ascii="Times New Roman" w:hAnsi="Times New Roman" w:cs="Times New Roman" w:eastAsia="Times New Roman" w:hint="default"/>
        </w:rPr>
        <w:t>1 </w:t>
      </w:r>
      <w:r>
        <w:rPr/>
        <w:t>家，原因为</w:t>
      </w:r>
    </w:p>
    <w:p>
      <w:pPr>
        <w:spacing w:after="0" w:line="338" w:lineRule="auto"/>
        <w:jc w:val="left"/>
        <w:sectPr>
          <w:footerReference w:type="default" r:id="rId32"/>
          <w:pgSz w:w="11910" w:h="16840"/>
          <w:pgMar w:footer="980" w:header="747" w:top="1060" w:bottom="1160" w:left="1020" w:right="900"/>
          <w:pgNumType w:start="101"/>
        </w:sectPr>
      </w:pPr>
    </w:p>
    <w:p>
      <w:pPr>
        <w:spacing w:line="240" w:lineRule="auto" w:before="12"/>
        <w:rPr>
          <w:rFonts w:ascii="宋体" w:hAnsi="宋体" w:cs="宋体" w:eastAsia="宋体" w:hint="default"/>
          <w:sz w:val="25"/>
          <w:szCs w:val="25"/>
        </w:rPr>
      </w:pPr>
    </w:p>
    <w:p>
      <w:pPr>
        <w:pStyle w:val="BodyText"/>
        <w:spacing w:line="340" w:lineRule="auto"/>
        <w:ind w:left="113" w:right="2891" w:firstLine="360"/>
        <w:jc w:val="left"/>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月在西安设立全资子公司（西安润和软件信息技术有限公司）。 与上年相比本年（期）减少合并单位家，原因为</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本期新纳入合并范围的子公司、特殊目的主体、通过受托经营或承租等方式形成控制权的经营实体</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28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780" w:right="0"/>
              <w:jc w:val="left"/>
              <w:rPr>
                <w:rFonts w:ascii="Times New Roman" w:hAnsi="Times New Roman" w:cs="Times New Roman" w:eastAsia="Times New Roman" w:hint="default"/>
                <w:sz w:val="18"/>
                <w:szCs w:val="18"/>
              </w:rPr>
            </w:pPr>
            <w:r>
              <w:rPr>
                <w:rFonts w:ascii="Times New Roman"/>
                <w:sz w:val="18"/>
              </w:rPr>
              <w:t>19,998,534.28</w:t>
            </w:r>
          </w:p>
        </w:tc>
        <w:tc>
          <w:tcPr>
            <w:tcW w:w="26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-1,465.72</w:t>
            </w:r>
          </w:p>
        </w:tc>
      </w:tr>
    </w:tbl>
    <w:p>
      <w:pPr>
        <w:pStyle w:val="BodyText"/>
        <w:spacing w:line="240" w:lineRule="auto" w:before="50"/>
        <w:ind w:right="0"/>
        <w:jc w:val="left"/>
      </w:pPr>
      <w:r>
        <w:rPr/>
        <w:t>本期不再纳入合并范围的子公司、特殊目的主体、通过受托经营或承租等方式形成控制权的经营实体</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0"/>
        <w:jc w:val="left"/>
      </w:pPr>
      <w:r>
        <w:rPr/>
        <w:t>新纳入合并范围的主体和不再纳入合并范围的主体的其他说明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94"/>
        <w:gridCol w:w="1555"/>
        <w:gridCol w:w="1555"/>
        <w:gridCol w:w="1555"/>
        <w:gridCol w:w="1555"/>
        <w:gridCol w:w="1555"/>
      </w:tblGrid>
      <w:tr>
        <w:trPr>
          <w:trHeight w:val="714" w:hRule="exact"/>
        </w:trPr>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11" w:right="53"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1" w:right="53"/>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50"/>
        <w:ind w:right="0"/>
        <w:jc w:val="left"/>
      </w:pPr>
      <w:r>
        <w:rPr/>
        <w:t>同一控制下企业合并的其他说明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77"/>
        <w:gridCol w:w="3031"/>
        <w:gridCol w:w="3860"/>
      </w:tblGrid>
      <w:tr>
        <w:trPr>
          <w:trHeight w:val="402" w:hRule="exact"/>
        </w:trPr>
        <w:tc>
          <w:tcPr>
            <w:tcW w:w="26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50"/>
        <w:ind w:right="0"/>
        <w:jc w:val="left"/>
      </w:pPr>
      <w:r>
        <w:rPr/>
        <w:t>非同一控制下企业合并的其他说明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85"/>
        <w:gridCol w:w="2489"/>
        <w:gridCol w:w="3095"/>
      </w:tblGrid>
      <w:tr>
        <w:trPr>
          <w:trHeight w:val="402" w:hRule="exact"/>
        </w:trPr>
        <w:tc>
          <w:tcPr>
            <w:tcW w:w="39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0"/>
        <w:jc w:val="left"/>
      </w:pPr>
      <w:r>
        <w:rPr/>
        <w:t>出售丧失控制权的股权而减少的子公司的其他说明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81"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50"/>
        <w:ind w:right="0"/>
        <w:jc w:val="left"/>
      </w:pPr>
      <w:r>
        <w:rPr/>
        <w:t>反向购买的其他说明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642"/>
        <w:gridCol w:w="1481"/>
        <w:gridCol w:w="1482"/>
        <w:gridCol w:w="1482"/>
        <w:gridCol w:w="1482"/>
      </w:tblGrid>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4"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吸收合并的其他说明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0" w:firstLine="480"/>
        <w:jc w:val="left"/>
      </w:pPr>
      <w:r>
        <w:rPr/>
        <w:t>本公司将境外子公司财务报表并入本公司财务报表时，主要报表项目具体折算汇率确定</w:t>
      </w:r>
      <w:r>
        <w:rPr>
          <w:spacing w:val="1"/>
        </w:rPr>
        <w:t> </w:t>
      </w:r>
      <w:r>
        <w:rPr/>
        <w:t>方法如下：</w:t>
      </w:r>
    </w:p>
    <w:tbl>
      <w:tblPr>
        <w:tblW w:w="0" w:type="auto"/>
        <w:jc w:val="left"/>
        <w:tblInd w:w="106" w:type="dxa"/>
        <w:tblLayout w:type="fixed"/>
        <w:tblCellMar>
          <w:top w:w="0" w:type="dxa"/>
          <w:left w:w="0" w:type="dxa"/>
          <w:bottom w:w="0" w:type="dxa"/>
          <w:right w:w="0" w:type="dxa"/>
        </w:tblCellMar>
        <w:tblLook w:val="01E0"/>
      </w:tblPr>
      <w:tblGrid>
        <w:gridCol w:w="4559"/>
        <w:gridCol w:w="4906"/>
      </w:tblGrid>
      <w:tr>
        <w:trPr>
          <w:trHeight w:val="347" w:hRule="exact"/>
        </w:trPr>
        <w:tc>
          <w:tcPr>
            <w:tcW w:w="4559"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主要报表项目</w:t>
            </w:r>
          </w:p>
        </w:tc>
        <w:tc>
          <w:tcPr>
            <w:tcW w:w="4906" w:type="dxa"/>
            <w:tcBorders>
              <w:top w:val="single" w:sz="6" w:space="0" w:color="010101"/>
              <w:left w:val="single" w:sz="6" w:space="0" w:color="010101"/>
              <w:bottom w:val="single" w:sz="6" w:space="0" w:color="010101"/>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汇率确定方法</w:t>
            </w:r>
          </w:p>
        </w:tc>
      </w:tr>
      <w:tr>
        <w:trPr>
          <w:trHeight w:val="347" w:hRule="exact"/>
        </w:trPr>
        <w:tc>
          <w:tcPr>
            <w:tcW w:w="4559"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资产负债类</w:t>
            </w:r>
          </w:p>
        </w:tc>
        <w:tc>
          <w:tcPr>
            <w:tcW w:w="4906" w:type="dxa"/>
            <w:tcBorders>
              <w:top w:val="single" w:sz="6" w:space="0" w:color="010101"/>
              <w:left w:val="single" w:sz="6" w:space="0" w:color="010101"/>
              <w:bottom w:val="single" w:sz="6" w:space="0" w:color="010101"/>
              <w:right w:val="nil" w:sz="6" w:space="0" w:color="auto"/>
            </w:tcBorders>
          </w:tcPr>
          <w:p>
            <w:pPr>
              <w:pStyle w:val="TableParagraph"/>
              <w:spacing w:line="270" w:lineRule="exact"/>
              <w:ind w:right="6"/>
              <w:jc w:val="center"/>
              <w:rPr>
                <w:rFonts w:ascii="宋体" w:hAnsi="宋体" w:cs="宋体" w:eastAsia="宋体" w:hint="default"/>
                <w:sz w:val="21"/>
                <w:szCs w:val="21"/>
              </w:rPr>
            </w:pPr>
            <w:r>
              <w:rPr>
                <w:rFonts w:ascii="宋体" w:hAnsi="宋体" w:cs="宋体" w:eastAsia="宋体" w:hint="default"/>
                <w:sz w:val="21"/>
                <w:szCs w:val="21"/>
              </w:rPr>
              <w:t>资产负债表日的即期汇率</w:t>
            </w:r>
          </w:p>
        </w:tc>
      </w:tr>
      <w:tr>
        <w:trPr>
          <w:trHeight w:val="347" w:hRule="exact"/>
        </w:trPr>
        <w:tc>
          <w:tcPr>
            <w:tcW w:w="4559" w:type="dxa"/>
            <w:tcBorders>
              <w:top w:val="single" w:sz="6" w:space="0" w:color="010101"/>
              <w:left w:val="single" w:sz="6" w:space="0" w:color="010101"/>
              <w:bottom w:val="single" w:sz="6" w:space="0" w:color="010101"/>
              <w:right w:val="single" w:sz="6" w:space="0" w:color="010101"/>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所有者权益类</w:t>
            </w:r>
          </w:p>
        </w:tc>
        <w:tc>
          <w:tcPr>
            <w:tcW w:w="4906" w:type="dxa"/>
            <w:tcBorders>
              <w:top w:val="single" w:sz="6" w:space="0" w:color="010101"/>
              <w:left w:val="single" w:sz="6" w:space="0" w:color="010101"/>
              <w:bottom w:val="single" w:sz="6" w:space="0" w:color="010101"/>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交易发生日的即期汇率</w:t>
            </w:r>
          </w:p>
        </w:tc>
      </w:tr>
      <w:tr>
        <w:trPr>
          <w:trHeight w:val="348" w:hRule="exact"/>
        </w:trPr>
        <w:tc>
          <w:tcPr>
            <w:tcW w:w="4559" w:type="dxa"/>
            <w:tcBorders>
              <w:top w:val="single" w:sz="6" w:space="0" w:color="010101"/>
              <w:left w:val="single" w:sz="6" w:space="0" w:color="010101"/>
              <w:bottom w:val="single" w:sz="6" w:space="0" w:color="010101"/>
              <w:right w:val="single" w:sz="6" w:space="0" w:color="010101"/>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损益类</w:t>
            </w:r>
          </w:p>
        </w:tc>
        <w:tc>
          <w:tcPr>
            <w:tcW w:w="4906" w:type="dxa"/>
            <w:tcBorders>
              <w:top w:val="single" w:sz="6" w:space="0" w:color="010101"/>
              <w:left w:val="single" w:sz="6" w:space="0" w:color="010101"/>
              <w:bottom w:val="single" w:sz="6" w:space="0" w:color="010101"/>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交易发生日的即期汇率的近似汇率</w:t>
            </w:r>
          </w:p>
        </w:tc>
      </w:tr>
    </w:tbl>
    <w:p>
      <w:pPr>
        <w:spacing w:line="240" w:lineRule="auto" w:before="11"/>
        <w:rPr>
          <w:rFonts w:ascii="宋体" w:hAnsi="宋体" w:cs="宋体" w:eastAsia="宋体" w:hint="default"/>
          <w:sz w:val="4"/>
          <w:szCs w:val="4"/>
        </w:rPr>
      </w:pPr>
    </w:p>
    <w:p>
      <w:pPr>
        <w:pStyle w:val="Heading3"/>
        <w:spacing w:line="312" w:lineRule="exact" w:before="56"/>
        <w:ind w:right="0" w:firstLine="480"/>
        <w:jc w:val="left"/>
      </w:pPr>
      <w:r>
        <w:rPr/>
        <w:t>按照上述折算产生的外币财务报表折算差额，在合并后的资产负债表中股东权益项目下</w:t>
      </w:r>
      <w:r>
        <w:rPr>
          <w:spacing w:val="1"/>
        </w:rPr>
        <w:t> </w:t>
      </w:r>
      <w:r>
        <w:rPr/>
        <w:t>单独列示。</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before="0"/>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10101"/>
              <w:bottom w:val="single" w:sz="4" w:space="0" w:color="010101"/>
              <w:right w:val="single" w:sz="4" w:space="0" w:color="010101"/>
            </w:tcBorders>
            <w:shd w:val="clear" w:color="auto" w:fill="D3D3D3"/>
          </w:tcPr>
          <w:p>
            <w:pP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774,424.17</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169,545.20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514,589.55</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134,967.25</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1,768.96</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11,118.80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410.40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2,585.89</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3,219,826.86</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235,205.13</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237,080.00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19,227.90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2,622.11</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13,510.69</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2,637.64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12,764.16</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467,442,305.88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146,752,046.89</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455,971,010.68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138,931,000.46</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962,783.62</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6,051,576.44</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765,927.66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4,826,033.59</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68,928,268.00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5,035,141.05</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31,200,999.00</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2,530,494.62</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74,559.47</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384,175.20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95,989.99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464,518.22</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496.41</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402.51</w:t>
            </w:r>
          </w:p>
        </w:tc>
        <w:tc>
          <w:tcPr>
            <w:tcW w:w="1327"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45,494,380.38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45,494,380.38</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513,711,110.43</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149,348,362.22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both"/>
      </w:pPr>
      <w:r>
        <w:rPr/>
        <w:t>如有因抵押、质押或冻结等对使用有限制、存放在境外、有潜在回收风险的款项应单独说明</w:t>
      </w:r>
    </w:p>
    <w:p>
      <w:pPr>
        <w:spacing w:line="240" w:lineRule="auto" w:before="10"/>
        <w:rPr>
          <w:rFonts w:ascii="宋体" w:hAnsi="宋体" w:cs="宋体" w:eastAsia="宋体" w:hint="default"/>
          <w:sz w:val="13"/>
          <w:szCs w:val="13"/>
        </w:rPr>
      </w:pPr>
    </w:p>
    <w:p>
      <w:pPr>
        <w:pStyle w:val="Heading3"/>
        <w:spacing w:line="312" w:lineRule="exact"/>
        <w:ind w:left="113" w:right="108"/>
        <w:jc w:val="both"/>
      </w:pPr>
      <w:r>
        <w:rPr>
          <w:spacing w:val="2"/>
        </w:rPr>
        <w:t>⑴其他货币资金</w:t>
      </w:r>
      <w:r>
        <w:rPr>
          <w:rFonts w:ascii="Times New Roman" w:hAnsi="Times New Roman" w:cs="Times New Roman" w:eastAsia="Times New Roman" w:hint="default"/>
          <w:spacing w:val="2"/>
        </w:rPr>
        <w:t>45,494,380.38</w:t>
      </w:r>
      <w:r>
        <w:rPr>
          <w:spacing w:val="2"/>
        </w:rPr>
        <w:t>元中</w:t>
      </w:r>
      <w:r>
        <w:rPr>
          <w:rFonts w:ascii="Times New Roman" w:hAnsi="Times New Roman" w:cs="Times New Roman" w:eastAsia="Times New Roman" w:hint="default"/>
          <w:spacing w:val="2"/>
        </w:rPr>
        <w:t>43,361,000.00</w:t>
      </w:r>
      <w:r>
        <w:rPr>
          <w:spacing w:val="2"/>
        </w:rPr>
        <w:t>元系本公司及子公司润和数码为开具银行承</w:t>
      </w:r>
      <w:r>
        <w:rPr>
          <w:spacing w:val="-103"/>
        </w:rPr>
        <w:t> </w:t>
      </w:r>
      <w:r>
        <w:rPr>
          <w:spacing w:val="-1"/>
        </w:rPr>
        <w:t>兑汇票存入的保证金，</w:t>
      </w:r>
      <w:r>
        <w:rPr>
          <w:rFonts w:ascii="Times New Roman" w:hAnsi="Times New Roman" w:cs="Times New Roman" w:eastAsia="Times New Roman" w:hint="default"/>
          <w:spacing w:val="-1"/>
        </w:rPr>
        <w:t>2,133,380.38</w:t>
      </w:r>
      <w:r>
        <w:rPr>
          <w:spacing w:val="-1"/>
        </w:rPr>
        <w:t>元系本公司远期结汇业务存入的保证金。除此之外，年末</w:t>
      </w:r>
      <w:r>
        <w:rPr>
          <w:spacing w:val="-98"/>
        </w:rPr>
        <w:t> </w:t>
      </w:r>
      <w:r>
        <w:rPr>
          <w:spacing w:val="-98"/>
        </w:rPr>
      </w:r>
      <w:r>
        <w:rPr/>
        <w:t>货币资金中无其他因抵押或冻结等对使用有限制、有潜在回收风险的款项；</w:t>
      </w:r>
    </w:p>
    <w:p>
      <w:pPr>
        <w:pStyle w:val="Heading3"/>
        <w:spacing w:line="240" w:lineRule="auto" w:before="89"/>
        <w:ind w:left="113" w:right="0"/>
        <w:jc w:val="both"/>
      </w:pPr>
      <w:r>
        <w:rPr/>
        <w:t>⑵年末货币资金中存放在境外的款项余额为</w:t>
      </w:r>
      <w:r>
        <w:rPr>
          <w:rFonts w:ascii="Times New Roman" w:hAnsi="Times New Roman" w:cs="Times New Roman" w:eastAsia="Times New Roman" w:hint="default"/>
        </w:rPr>
        <w:t>8,959,754.52</w:t>
      </w:r>
      <w:r>
        <w:rPr/>
        <w:t>元；</w:t>
      </w:r>
    </w:p>
    <w:p>
      <w:pPr>
        <w:pStyle w:val="Heading3"/>
        <w:spacing w:line="240" w:lineRule="auto" w:before="99"/>
        <w:ind w:left="113" w:right="0"/>
        <w:jc w:val="both"/>
      </w:pPr>
      <w:r>
        <w:rPr/>
        <w:t>⑶年末货币资金较年初增加</w:t>
      </w:r>
      <w:r>
        <w:rPr>
          <w:rFonts w:ascii="Times New Roman" w:hAnsi="Times New Roman" w:cs="Times New Roman" w:eastAsia="Times New Roman" w:hint="default"/>
        </w:rPr>
        <w:t>243.97%</w:t>
      </w:r>
      <w:r>
        <w:rPr/>
        <w:t>，主要系公司本年度在创业板上市募集资金所致。</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6"/>
        <w:gridCol w:w="2656"/>
        <w:gridCol w:w="2657"/>
      </w:tblGrid>
      <w:tr>
        <w:trPr>
          <w:trHeight w:val="402" w:hRule="exact"/>
        </w:trPr>
        <w:tc>
          <w:tcPr>
            <w:tcW w:w="42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897,600.00</w:t>
            </w: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2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897,600.00</w:t>
            </w:r>
            <w:r>
              <w:rPr>
                <w:rFonts w:ascii="Times New Roman"/>
                <w:sz w:val="18"/>
              </w:rPr>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3852"/>
        <w:gridCol w:w="2177"/>
      </w:tblGrid>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81"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473,000.00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545,000.00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1,018,000.00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56" w:lineRule="auto" w:before="35"/>
        <w:ind w:right="112"/>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53"/>
        </w:rPr>
        <w:t> </w:t>
      </w:r>
      <w:r>
        <w:rPr/>
        <w:t>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12"/>
        <w:jc w:val="left"/>
      </w:pPr>
      <w:r>
        <w:rPr/>
        <w:t>因出票人无力履约而将票据转为应收账款的票据</w:t>
      </w:r>
    </w:p>
    <w:p>
      <w:pPr>
        <w:pStyle w:val="BodyText"/>
        <w:spacing w:line="240" w:lineRule="auto" w:before="116"/>
        <w:ind w:left="0" w:right="13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00"/>
        </w:sectPr>
      </w:pPr>
    </w:p>
    <w:p>
      <w:pPr>
        <w:pStyle w:val="BodyText"/>
        <w:spacing w:line="360"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060" w:bottom="1160" w:left="1020" w:right="1000"/>
          <w:cols w:num="2" w:equalWidth="0">
            <w:col w:w="3355" w:space="5474"/>
            <w:col w:w="1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0"/>
        <w:ind w:right="6870"/>
        <w:jc w:val="left"/>
      </w:pPr>
      <w:r>
        <w:rPr/>
        <w:t>说明 已贴现或质押的商业承兑票据的说明</w:t>
      </w:r>
    </w:p>
    <w:p>
      <w:pPr>
        <w:spacing w:line="240" w:lineRule="auto" w:before="4"/>
        <w:rPr>
          <w:rFonts w:ascii="宋体" w:hAnsi="宋体" w:cs="宋体" w:eastAsia="宋体" w:hint="default"/>
          <w:sz w:val="20"/>
          <w:szCs w:val="20"/>
        </w:rPr>
      </w:pPr>
    </w:p>
    <w:p>
      <w:pPr>
        <w:pStyle w:val="Heading4"/>
        <w:spacing w:line="240" w:lineRule="auto"/>
        <w:ind w:right="112"/>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
        <w:jc w:val="left"/>
      </w:pPr>
      <w:r>
        <w:rPr/>
        <w:t>说明</w:t>
      </w:r>
    </w:p>
    <w:p>
      <w:pPr>
        <w:spacing w:line="240" w:lineRule="auto" w:before="12"/>
        <w:rPr>
          <w:rFonts w:ascii="宋体" w:hAnsi="宋体" w:cs="宋体" w:eastAsia="宋体" w:hint="default"/>
          <w:sz w:val="26"/>
          <w:szCs w:val="26"/>
        </w:rPr>
      </w:pPr>
    </w:p>
    <w:p>
      <w:pPr>
        <w:pStyle w:val="Heading4"/>
        <w:spacing w:line="240" w:lineRule="auto"/>
        <w:ind w:right="112"/>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应收定期存款利息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898,000.00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3,778,543.39</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898,000.00</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3,778,543.39</w:t>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898,000.00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3,778,543.39</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898,000.00</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3,778,543.39</w:t>
            </w:r>
          </w:p>
        </w:tc>
      </w:tr>
    </w:tbl>
    <w:p>
      <w:pPr>
        <w:spacing w:line="240" w:lineRule="auto" w:before="2"/>
        <w:rPr>
          <w:rFonts w:ascii="宋体" w:hAnsi="宋体" w:cs="宋体" w:eastAsia="宋体" w:hint="default"/>
          <w:sz w:val="19"/>
          <w:szCs w:val="19"/>
        </w:rPr>
      </w:pPr>
    </w:p>
    <w:p>
      <w:pPr>
        <w:pStyle w:val="Heading4"/>
        <w:spacing w:line="240" w:lineRule="auto" w:before="35"/>
        <w:ind w:right="112"/>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0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10101"/>
              <w:right w:val="single" w:sz="4" w:space="0" w:color="010101"/>
            </w:tcBorders>
            <w:shd w:val="clear" w:color="auto" w:fill="D3D3D3"/>
          </w:tcPr>
          <w:p>
            <w:pPr/>
          </w:p>
        </w:tc>
        <w:tc>
          <w:tcPr>
            <w:tcW w:w="18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10101"/>
              <w:bottom w:val="single" w:sz="4" w:space="0" w:color="010101"/>
              <w:right w:val="single" w:sz="4" w:space="0" w:color="010101"/>
            </w:tcBorders>
            <w:shd w:val="clear" w:color="auto" w:fill="D3D3D3"/>
          </w:tcPr>
          <w:p>
            <w:pP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7"/>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134,317,93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6.29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6,833,597.5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69,819,32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3,490,966.41</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134,317,93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6.29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6,833,597.5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69,819,32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3,490,966.41</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134,317,93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6.29</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6,833,597.5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69,819,32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3,490,966.41</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357" w:lineRule="auto" w:before="50"/>
        <w:ind w:right="-20"/>
        <w:jc w:val="left"/>
      </w:pPr>
      <w:r>
        <w:rPr/>
        <w:t>应收账款种类的说明 期末单项金额重大并单项计提坏账准备的应收账款</w:t>
      </w:r>
    </w:p>
    <w:p>
      <w:pPr>
        <w:pStyle w:val="BodyText"/>
        <w:spacing w:line="340" w:lineRule="auto" w:before="28"/>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单位： 元</w:t>
      </w:r>
    </w:p>
    <w:p>
      <w:pPr>
        <w:spacing w:after="0" w:line="240" w:lineRule="auto"/>
        <w:jc w:val="left"/>
        <w:sectPr>
          <w:type w:val="continuous"/>
          <w:pgSz w:w="11910" w:h="16840"/>
          <w:pgMar w:top="1060" w:bottom="1160" w:left="1020" w:right="1020"/>
          <w:cols w:num="2" w:equalWidth="0">
            <w:col w:w="4075" w:space="475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10101"/>
              <w:right w:val="single" w:sz="4" w:space="0" w:color="010101"/>
            </w:tcBorders>
            <w:shd w:val="clear" w:color="auto" w:fill="D3D3D3"/>
          </w:tcPr>
          <w:p>
            <w:pPr/>
          </w:p>
        </w:tc>
        <w:tc>
          <w:tcPr>
            <w:tcW w:w="252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8"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131,963,921.85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6,598,196.09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69,819,328.24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3,490,966.41</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131,963,921.85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6,598,196.09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69,819,328.24</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3,490,966.41</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2,354,014.44</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235,401.44</w:t>
            </w:r>
          </w:p>
        </w:tc>
        <w:tc>
          <w:tcPr>
            <w:tcW w:w="1460" w:type="dxa"/>
            <w:tcBorders>
              <w:top w:val="single" w:sz="4" w:space="0" w:color="010101"/>
              <w:left w:val="single" w:sz="4" w:space="0" w:color="010101"/>
              <w:bottom w:val="single" w:sz="4" w:space="0" w:color="010101"/>
              <w:right w:val="single" w:sz="4" w:space="0" w:color="010101"/>
            </w:tcBorders>
          </w:tcPr>
          <w:p>
            <w:pPr/>
          </w:p>
        </w:tc>
        <w:tc>
          <w:tcPr>
            <w:tcW w:w="929"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134,317,936.29</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6,833,597.53</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69,819,328.24</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3,490,966.41</w:t>
            </w:r>
          </w:p>
        </w:tc>
      </w:tr>
    </w:tbl>
    <w:p>
      <w:pPr>
        <w:pStyle w:val="BodyText"/>
        <w:spacing w:line="240" w:lineRule="auto" w:before="50"/>
        <w:ind w:right="0"/>
        <w:jc w:val="left"/>
      </w:pPr>
      <w:r>
        <w:rPr/>
        <w:t>组合中，采用余额百分比法计提坏账准备的应收账款</w:t>
      </w:r>
    </w:p>
    <w:p>
      <w:pPr>
        <w:pStyle w:val="BodyText"/>
        <w:spacing w:line="338" w:lineRule="auto" w:before="116"/>
        <w:ind w:right="59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pStyle w:val="BodyText"/>
        <w:spacing w:line="338" w:lineRule="auto" w:before="43"/>
        <w:ind w:right="5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5"/>
        <w:gridCol w:w="1710"/>
        <w:gridCol w:w="1861"/>
        <w:gridCol w:w="1919"/>
        <w:gridCol w:w="1884"/>
      </w:tblGrid>
      <w:tr>
        <w:trPr>
          <w:trHeight w:val="714"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595"/>
        <w:gridCol w:w="1861"/>
        <w:gridCol w:w="1726"/>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3"/>
                <w:sz w:val="18"/>
              </w:rPr>
              <w:t>111,963.00</w:t>
            </w:r>
            <w:r>
              <w:rPr>
                <w:rFonts w:ascii="Times New Roman"/>
                <w:sz w:val="18"/>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5,598.15</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3"/>
                <w:sz w:val="18"/>
              </w:rPr>
              <w:t>111,963.00</w:t>
            </w:r>
            <w:r>
              <w:rPr>
                <w:rFonts w:ascii="Times New Roman"/>
                <w:sz w:val="18"/>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5,598.15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6"/>
              <w:jc w:val="center"/>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10,149,412.41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株式会社アイティ</w:t>
            </w:r>
            <w:r>
              <w:rPr>
                <w:rFonts w:ascii="Times New Roman" w:hAnsi="Times New Roman" w:cs="Times New Roman" w:eastAsia="Times New Roman" w:hint="default"/>
                <w:sz w:val="18"/>
                <w:szCs w:val="18"/>
              </w:rPr>
              <w:t>.</w:t>
            </w:r>
            <w:r>
              <w:rPr>
                <w:rFonts w:ascii="宋体" w:hAnsi="宋体" w:cs="宋体" w:eastAsia="宋体" w:hint="default"/>
                <w:sz w:val="18"/>
                <w:szCs w:val="18"/>
              </w:rPr>
              <w:t>フォ レスト</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7,086,147.98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470"/>
              <w:jc w:val="left"/>
              <w:rPr>
                <w:rFonts w:ascii="Times New Roman" w:hAnsi="Times New Roman" w:cs="Times New Roman" w:eastAsia="Times New Roman" w:hint="default"/>
                <w:sz w:val="18"/>
                <w:szCs w:val="18"/>
              </w:rPr>
            </w:pPr>
            <w:r>
              <w:rPr>
                <w:rFonts w:ascii="Times New Roman"/>
                <w:spacing w:val="-3"/>
                <w:sz w:val="18"/>
              </w:rPr>
              <w:t>Toyota Tsusho</w:t>
            </w:r>
            <w:r>
              <w:rPr>
                <w:rFonts w:ascii="Times New Roman"/>
                <w:spacing w:val="-12"/>
                <w:sz w:val="18"/>
              </w:rPr>
              <w:t> </w:t>
            </w:r>
            <w:r>
              <w:rPr>
                <w:rFonts w:ascii="Times New Roman"/>
                <w:sz w:val="18"/>
              </w:rPr>
              <w:t>Asia</w:t>
            </w:r>
            <w:r>
              <w:rPr>
                <w:rFonts w:ascii="Times New Roman"/>
                <w:spacing w:val="-1"/>
                <w:sz w:val="18"/>
              </w:rPr>
              <w:t> </w:t>
            </w:r>
            <w:r>
              <w:rPr>
                <w:rFonts w:ascii="Times New Roman"/>
                <w:sz w:val="18"/>
              </w:rPr>
              <w:t>Pacific Pte  </w:t>
            </w:r>
            <w:r>
              <w:rPr>
                <w:rFonts w:ascii="Times New Roman"/>
                <w:spacing w:val="40"/>
                <w:sz w:val="18"/>
              </w:rPr>
              <w:t> </w:t>
            </w:r>
            <w:r>
              <w:rPr>
                <w:rFonts w:ascii="Times New Roman"/>
                <w:sz w:val="18"/>
              </w:rPr>
              <w:t>Ltd</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5,724,778.33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江苏方天电力技术有限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40"/>
              <w:jc w:val="left"/>
              <w:rPr>
                <w:rFonts w:ascii="宋体" w:hAnsi="宋体" w:cs="宋体" w:eastAsia="宋体" w:hint="default"/>
                <w:sz w:val="18"/>
                <w:szCs w:val="18"/>
              </w:rPr>
            </w:pPr>
            <w:r>
              <w:rPr>
                <w:rFonts w:ascii="宋体" w:hAnsi="宋体" w:cs="宋体" w:eastAsia="宋体" w:hint="default"/>
                <w:sz w:val="18"/>
                <w:szCs w:val="18"/>
              </w:rPr>
              <w:t>百胜咨询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5,430,496.06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33,930,834.78</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10,149,412.41</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7.56%</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4,553,039.25</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3.39%</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2,175,397.66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1.62%</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521,354.00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0.39%</w:t>
            </w:r>
            <w:r>
              <w:rPr>
                <w:rFonts w:ascii="Times New Roman"/>
                <w:w w:val="95"/>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深圳市华为技术软件有限公 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0.04%</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17,463,203.32</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11"/>
        <w:rPr>
          <w:rFonts w:ascii="宋体" w:hAnsi="宋体" w:cs="宋体" w:eastAsia="宋体" w:hint="default"/>
          <w:sz w:val="7"/>
          <w:szCs w:val="7"/>
        </w:rPr>
      </w:pPr>
    </w:p>
    <w:p>
      <w:pPr>
        <w:spacing w:line="1225" w:lineRule="exact"/>
        <w:ind w:left="10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4pt;height:61.3pt;mso-position-horizontal-relative:char;mso-position-vertical-relative:line" coordorigin="0,0" coordsize="9588,1226">
            <v:group style="position:absolute;left:14;top:13;width:3848;height:395" coordorigin="14,13" coordsize="3848,395">
              <v:shape style="position:absolute;left:14;top:13;width:3848;height:395" coordorigin="14,13" coordsize="3848,395" path="m14,408l3862,408,3862,13,14,13,14,408xe" filled="true" fillcolor="#d3d3d3" stroked="false">
                <v:path arrowok="t"/>
                <v:fill type="solid"/>
              </v:shape>
            </v:group>
            <v:group style="position:absolute;left:3870;top:13;width:5704;height:395" coordorigin="3870,13" coordsize="5704,395">
              <v:shape style="position:absolute;left:3870;top:13;width:5704;height:395" coordorigin="3870,13" coordsize="5704,395" path="m3870,408l9574,408,9574,13,3870,13,3870,408xe" filled="true" fillcolor="#d3d3d3" stroked="false">
                <v:path arrowok="t"/>
                <v:fill type="solid"/>
              </v:shape>
            </v:group>
            <v:group style="position:absolute;left:14;top:415;width:9560;height:395" coordorigin="14,415" coordsize="9560,395">
              <v:shape style="position:absolute;left:14;top:415;width:9560;height:395" coordorigin="14,415" coordsize="9560,395" path="m14,810l9574,810,9574,415,14,415,14,810xe" filled="true" fillcolor="#d3d3d3" stroked="false">
                <v:path arrowok="t"/>
                <v:fill type="solid"/>
              </v:shape>
            </v:group>
            <v:group style="position:absolute;left:14;top:817;width:9560;height:395" coordorigin="14,817" coordsize="9560,395">
              <v:shape style="position:absolute;left:14;top:817;width:9560;height:395" coordorigin="14,817" coordsize="9560,395" path="m14,1212l9574,1212,9574,817,14,817,14,1212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5;top:814;width:9579;height:2" coordorigin="5,814" coordsize="9579,2">
              <v:shape style="position:absolute;left:5;top:814;width:9579;height:2" coordorigin="5,814" coordsize="9579,0" path="m5,814l9583,814e" filled="false" stroked="true" strokeweight=".48pt" strokecolor="#010101">
                <v:path arrowok="t"/>
              </v:shape>
            </v:group>
            <v:group style="position:absolute;left:5;top:1216;width:9579;height:2" coordorigin="5,1216" coordsize="9579,2">
              <v:shape style="position:absolute;left:5;top:1216;width:9579;height:2" coordorigin="5,1216" coordsize="9579,0" path="m5,1216l9583,1216e" filled="false" stroked="true" strokeweight=".48pt" strokecolor="#010101">
                <v:path arrowok="t"/>
              </v:shape>
            </v:group>
            <v:group style="position:absolute;left:10;top:5;width:2;height:1216" coordorigin="10,5" coordsize="2,1216">
              <v:shape style="position:absolute;left:10;top:5;width:2;height:1216" coordorigin="10,5" coordsize="0,1216" path="m10,5l10,1220e" filled="false" stroked="true" strokeweight=".48pt" strokecolor="#010101">
                <v:path arrowok="t"/>
              </v:shape>
            </v:group>
            <v:group style="position:absolute;left:3866;top:5;width:2;height:402" coordorigin="3866,5" coordsize="2,402">
              <v:shape style="position:absolute;left:3866;top:5;width:2;height:402" coordorigin="3866,5" coordsize="0,402" path="m3866,5l3866,407e" filled="false" stroked="true" strokeweight=".48pt" strokecolor="#010101">
                <v:path arrowok="t"/>
              </v:shape>
            </v:group>
            <v:group style="position:absolute;left:9578;top:14;width:2;height:1206" coordorigin="9578,14" coordsize="2,1206">
              <v:shape style="position:absolute;left:9578;top:14;width:2;height:1206" coordorigin="9578,14" coordsize="0,1206" path="m9578,14l9578,1220e" filled="false" stroked="true" strokeweight=".48pt" strokecolor="#010101">
                <v:path arrowok="t"/>
              </v:shape>
              <v:shape style="position:absolute;left:175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0"/>
        <w:rPr>
          <w:rFonts w:ascii="宋体" w:hAnsi="宋体" w:cs="宋体" w:eastAsia="宋体" w:hint="default"/>
          <w:sz w:val="18"/>
          <w:szCs w:val="18"/>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10101"/>
              <w:right w:val="single" w:sz="4" w:space="0" w:color="010101"/>
            </w:tcBorders>
            <w:shd w:val="clear" w:color="auto" w:fill="D3D3D3"/>
          </w:tcPr>
          <w:p>
            <w:pP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10101"/>
              <w:bottom w:val="single" w:sz="4" w:space="0" w:color="010101"/>
              <w:right w:val="single" w:sz="4" w:space="0" w:color="010101"/>
            </w:tcBorders>
            <w:shd w:val="clear" w:color="auto" w:fill="D3D3D3"/>
          </w:tcPr>
          <w:p>
            <w:pP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9,341,100.29</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623,684.87</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6,703,192.35</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366,477.87</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9,341,100.29</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623,684.87</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6,703,192.35</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366,477.87</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9,341,100.29</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623,684.87</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6,703,192.35</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366,477.87</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357" w:lineRule="auto" w:before="50"/>
        <w:ind w:right="-20"/>
        <w:jc w:val="left"/>
      </w:pPr>
      <w:r>
        <w:rPr/>
        <w:t>其他应收款种类的说明 期末单项金额重大并单项计提坏账准备的其他应收款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13" w:right="0"/>
        <w:jc w:val="left"/>
      </w:pPr>
      <w:r>
        <w:rPr/>
        <w:t>单位： 元</w:t>
      </w:r>
    </w:p>
    <w:p>
      <w:pPr>
        <w:spacing w:after="0" w:line="240" w:lineRule="auto"/>
        <w:jc w:val="left"/>
        <w:sectPr>
          <w:type w:val="continuous"/>
          <w:pgSz w:w="11910" w:h="16840"/>
          <w:pgMar w:top="1060" w:bottom="116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8"/>
        <w:gridCol w:w="1841"/>
        <w:gridCol w:w="658"/>
        <w:gridCol w:w="1448"/>
        <w:gridCol w:w="1448"/>
        <w:gridCol w:w="658"/>
        <w:gridCol w:w="1668"/>
      </w:tblGrid>
      <w:tr>
        <w:trPr>
          <w:trHeight w:val="402" w:hRule="exact"/>
        </w:trPr>
        <w:tc>
          <w:tcPr>
            <w:tcW w:w="18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10101"/>
              <w:right w:val="single" w:sz="4" w:space="0" w:color="010101"/>
            </w:tcBorders>
            <w:shd w:val="clear" w:color="auto" w:fill="D3D3D3"/>
          </w:tcPr>
          <w:p>
            <w:pPr/>
          </w:p>
        </w:tc>
        <w:tc>
          <w:tcPr>
            <w:tcW w:w="249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10101"/>
              <w:bottom w:val="single" w:sz="4" w:space="0" w:color="010101"/>
              <w:right w:val="single" w:sz="4" w:space="0" w:color="010101"/>
            </w:tcBorders>
            <w:shd w:val="clear" w:color="auto" w:fill="D3D3D3"/>
          </w:tcPr>
          <w:p>
            <w:pP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6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8,026,878.06</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85.93%</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401,343.90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6,394,632.77</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319,731.64</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8,026,878.06</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85.93%</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401,343.90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6,394,632.77</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319,731.64</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1,092,818.03</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109,281.80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268,833.90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26,883.39</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216,690.07</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108,345.04</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39,725.68</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19,862.84</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4,714.13</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4,714.13</w:t>
            </w:r>
          </w:p>
        </w:tc>
        <w:tc>
          <w:tcPr>
            <w:tcW w:w="1448" w:type="dxa"/>
            <w:tcBorders>
              <w:top w:val="single" w:sz="4" w:space="0" w:color="010101"/>
              <w:left w:val="single" w:sz="4" w:space="0" w:color="010101"/>
              <w:bottom w:val="single" w:sz="4" w:space="0" w:color="010101"/>
              <w:right w:val="single" w:sz="4" w:space="0" w:color="010101"/>
            </w:tcBorders>
          </w:tcPr>
          <w:p>
            <w:pPr/>
          </w:p>
        </w:tc>
        <w:tc>
          <w:tcPr>
            <w:tcW w:w="658" w:type="dxa"/>
            <w:tcBorders>
              <w:top w:val="single" w:sz="4" w:space="0" w:color="010101"/>
              <w:left w:val="single" w:sz="4" w:space="0" w:color="010101"/>
              <w:bottom w:val="single" w:sz="4" w:space="0" w:color="010101"/>
              <w:right w:val="single" w:sz="4" w:space="0" w:color="010101"/>
            </w:tcBorders>
          </w:tcPr>
          <w:p>
            <w:pPr/>
          </w:p>
        </w:tc>
        <w:tc>
          <w:tcPr>
            <w:tcW w:w="16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9,341,100.29</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623,684.87</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6,703,192.35</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366,477.87</w:t>
            </w:r>
          </w:p>
        </w:tc>
      </w:tr>
    </w:tbl>
    <w:p>
      <w:pPr>
        <w:pStyle w:val="BodyText"/>
        <w:spacing w:line="240" w:lineRule="auto" w:before="50"/>
        <w:ind w:right="0"/>
        <w:jc w:val="left"/>
      </w:pPr>
      <w:r>
        <w:rPr/>
        <w:t>组合中，采用余额百分比法计提坏账准备的其他应收款</w:t>
      </w:r>
    </w:p>
    <w:p>
      <w:pPr>
        <w:pStyle w:val="BodyText"/>
        <w:spacing w:line="338" w:lineRule="auto" w:before="116"/>
        <w:ind w:right="5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338" w:lineRule="auto" w:before="43"/>
        <w:ind w:right="5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2"/>
        <w:gridCol w:w="1711"/>
        <w:gridCol w:w="1862"/>
        <w:gridCol w:w="1919"/>
        <w:gridCol w:w="1884"/>
      </w:tblGrid>
      <w:tr>
        <w:trPr>
          <w:trHeight w:val="714"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单项金额不重大但按信用风险特征组合后该组合的风险较大的其他应收款的说明</w:t>
      </w:r>
    </w:p>
    <w:p>
      <w:pPr>
        <w:spacing w:after="0" w:line="240" w:lineRule="auto"/>
        <w:jc w:val="left"/>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860"/>
        <w:gridCol w:w="1594"/>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1914"/>
        <w:gridCol w:w="2870"/>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50"/>
        <w:ind w:right="0"/>
        <w:jc w:val="left"/>
      </w:pPr>
      <w:r>
        <w:rPr/>
        <w:t>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车辆出租人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无锡市政府采购中心</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379,000.00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4.06%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中国出口信用保险公司 江苏分公司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保险机构</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205,414.88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Gateway land</w:t>
            </w:r>
            <w:r>
              <w:rPr>
                <w:rFonts w:ascii="Times New Roman"/>
                <w:spacing w:val="-5"/>
                <w:sz w:val="18"/>
              </w:rPr>
              <w:t> </w:t>
            </w:r>
            <w:r>
              <w:rPr>
                <w:rFonts w:ascii="Times New Roman"/>
                <w:sz w:val="18"/>
              </w:rPr>
              <w:t>limited</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房屋出租人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165,604.60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王维驰</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152,630.00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1,302,649.48</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13.95%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footerReference w:type="default" r:id="rId33"/>
          <w:pgSz w:w="11910" w:h="16840"/>
          <w:pgMar w:footer="980" w:header="747" w:top="1060" w:bottom="1160" w:left="1020" w:right="1020"/>
          <w:pgNumType w:start="11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11"/>
        <w:rPr>
          <w:rFonts w:ascii="宋体" w:hAnsi="宋体" w:cs="宋体" w:eastAsia="宋体" w:hint="default"/>
          <w:sz w:val="7"/>
          <w:szCs w:val="7"/>
        </w:rPr>
      </w:pPr>
    </w:p>
    <w:p>
      <w:pPr>
        <w:spacing w:line="1225" w:lineRule="exact"/>
        <w:ind w:left="10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4pt;height:61.3pt;mso-position-horizontal-relative:char;mso-position-vertical-relative:line" coordorigin="0,0" coordsize="9588,1226">
            <v:group style="position:absolute;left:14;top:13;width:3714;height:394" coordorigin="14,13" coordsize="3714,394">
              <v:shape style="position:absolute;left:14;top:13;width:3714;height:394" coordorigin="14,13" coordsize="3714,394" path="m14,407l3728,407,3728,13,14,13,14,407xe" filled="true" fillcolor="#d3d3d3" stroked="false">
                <v:path arrowok="t"/>
                <v:fill type="solid"/>
              </v:shape>
            </v:group>
            <v:group style="position:absolute;left:3736;top:13;width:5838;height:394" coordorigin="3736,13" coordsize="5838,394">
              <v:shape style="position:absolute;left:3736;top:13;width:5838;height:394" coordorigin="3736,13" coordsize="5838,394" path="m3736,407l9574,407,9574,13,3736,13,3736,407xe" filled="true" fillcolor="#d3d3d3" stroked="false">
                <v:path arrowok="t"/>
                <v:fill type="solid"/>
              </v:shape>
            </v:group>
            <v:group style="position:absolute;left:14;top:415;width:9560;height:394" coordorigin="14,415" coordsize="9560,394">
              <v:shape style="position:absolute;left:14;top:415;width:9560;height:394" coordorigin="14,415" coordsize="9560,394" path="m14,809l9574,809,9574,415,14,415,14,809xe" filled="true" fillcolor="#d3d3d3" stroked="false">
                <v:path arrowok="t"/>
                <v:fill type="solid"/>
              </v:shape>
            </v:group>
            <v:group style="position:absolute;left:14;top:817;width:9560;height:394" coordorigin="14,817" coordsize="9560,394">
              <v:shape style="position:absolute;left:14;top:817;width:9560;height:394" coordorigin="14,817" coordsize="9560,394" path="m14,1211l9574,1211,9574,817,14,817,14,1211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5;top:814;width:9579;height:2" coordorigin="5,814" coordsize="9579,2">
              <v:shape style="position:absolute;left:5;top:814;width:9579;height:2" coordorigin="5,814" coordsize="9579,0" path="m5,814l9583,814e" filled="false" stroked="true" strokeweight=".48pt" strokecolor="#010101">
                <v:path arrowok="t"/>
              </v:shape>
            </v:group>
            <v:group style="position:absolute;left:5;top:1216;width:9579;height:2" coordorigin="5,1216" coordsize="9579,2">
              <v:shape style="position:absolute;left:5;top:1216;width:9579;height:2" coordorigin="5,1216" coordsize="9579,0" path="m5,1216l9583,1216e" filled="false" stroked="true" strokeweight=".48pt" strokecolor="#010101">
                <v:path arrowok="t"/>
              </v:shape>
            </v:group>
            <v:group style="position:absolute;left:10;top:5;width:2;height:1216" coordorigin="10,5" coordsize="2,1216">
              <v:shape style="position:absolute;left:10;top:5;width:2;height:1216" coordorigin="10,5" coordsize="0,1216" path="m10,5l10,1220e" filled="false" stroked="true" strokeweight=".48pt" strokecolor="#010101">
                <v:path arrowok="t"/>
              </v:shape>
            </v:group>
            <v:group style="position:absolute;left:3732;top:5;width:2;height:402" coordorigin="3732,5" coordsize="2,402">
              <v:shape style="position:absolute;left:3732;top:5;width:2;height:402" coordorigin="3732,5" coordsize="0,402" path="m3732,5l3732,407e" filled="false" stroked="true" strokeweight=".48pt" strokecolor="#010101">
                <v:path arrowok="t"/>
              </v:shape>
            </v:group>
            <v:group style="position:absolute;left:9578;top:14;width:2;height:1206" coordorigin="9578,14" coordsize="2,1206">
              <v:shape style="position:absolute;left:9578;top:14;width:2;height:1206" coordorigin="9578,14" coordsize="0,1206" path="m9578,14l9578,1220e" filled="false" stroked="true" strokeweight=".48pt" strokecolor="#010101">
                <v:path arrowok="t"/>
              </v:shape>
              <v:shape style="position:absolute;left:169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0"/>
        <w:rPr>
          <w:rFonts w:ascii="宋体" w:hAnsi="宋体" w:cs="宋体" w:eastAsia="宋体" w:hint="default"/>
          <w:sz w:val="18"/>
          <w:szCs w:val="18"/>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10101"/>
              <w:bottom w:val="single" w:sz="4" w:space="0" w:color="010101"/>
              <w:right w:val="single" w:sz="4" w:space="0" w:color="010101"/>
            </w:tcBorders>
            <w:shd w:val="clear" w:color="auto" w:fill="D3D3D3"/>
          </w:tcPr>
          <w:p>
            <w:pP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742,523.97</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97.24%</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506,103.32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21,056.43</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3054" w:type="dxa"/>
            <w:tcBorders>
              <w:top w:val="single" w:sz="4" w:space="0" w:color="010101"/>
              <w:left w:val="single" w:sz="4" w:space="0" w:color="010101"/>
              <w:bottom w:val="single" w:sz="4" w:space="0" w:color="010101"/>
              <w:right w:val="single" w:sz="4" w:space="0" w:color="010101"/>
            </w:tcBorders>
          </w:tcPr>
          <w:p>
            <w:pPr/>
          </w:p>
        </w:tc>
        <w:tc>
          <w:tcPr>
            <w:tcW w:w="10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763,580.40</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506,103.32</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车辆出租人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345,000.00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车辆尚在使用中</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金堆城钼业集团有限公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房屋出租人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136,000.00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房屋尚在使用中</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南京聚豪展览装饰工程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59,436.00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西安云帆软件有限公司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51,593.00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上海互普信息技术有限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15,800.00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bl>
    <w:p>
      <w:pPr>
        <w:pStyle w:val="BodyText"/>
        <w:spacing w:line="240" w:lineRule="auto" w:before="49"/>
        <w:ind w:right="0"/>
        <w:jc w:val="left"/>
      </w:pPr>
      <w:r>
        <w:rPr/>
        <w:t>预付款项主要单位的说明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727"/>
        <w:gridCol w:w="1726"/>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21,156,410.06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21,156,410.06</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21,156,410.06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21,156,410.06</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614"/>
        <w:gridCol w:w="1414"/>
        <w:gridCol w:w="1430"/>
        <w:gridCol w:w="1757"/>
      </w:tblGrid>
      <w:tr>
        <w:trPr>
          <w:trHeight w:val="402" w:hRule="exact"/>
        </w:trPr>
        <w:tc>
          <w:tcPr>
            <w:tcW w:w="173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9" w:type="dxa"/>
            <w:vMerge/>
            <w:tcBorders>
              <w:left w:val="single" w:sz="4" w:space="0" w:color="010101"/>
              <w:bottom w:val="single" w:sz="4" w:space="0" w:color="010101"/>
              <w:right w:val="single" w:sz="4" w:space="0" w:color="010101"/>
            </w:tcBorders>
            <w:shd w:val="clear" w:color="auto" w:fill="D3D3D3"/>
          </w:tcPr>
          <w:p>
            <w:pPr/>
          </w:p>
        </w:tc>
        <w:tc>
          <w:tcPr>
            <w:tcW w:w="1615" w:type="dxa"/>
            <w:vMerge/>
            <w:tcBorders>
              <w:left w:val="single" w:sz="4" w:space="0" w:color="010101"/>
              <w:bottom w:val="single" w:sz="4" w:space="0" w:color="010101"/>
              <w:right w:val="single" w:sz="4" w:space="0" w:color="010101"/>
            </w:tcBorders>
            <w:shd w:val="clear" w:color="auto" w:fill="D3D3D3"/>
          </w:tcPr>
          <w:p>
            <w:pPr/>
          </w:p>
        </w:tc>
        <w:tc>
          <w:tcPr>
            <w:tcW w:w="1614" w:type="dxa"/>
            <w:vMerge/>
            <w:tcBorders>
              <w:left w:val="single" w:sz="4" w:space="0" w:color="010101"/>
              <w:bottom w:val="single" w:sz="4" w:space="0" w:color="010101"/>
              <w:right w:val="single" w:sz="4" w:space="0" w:color="010101"/>
            </w:tcBorders>
            <w:shd w:val="clear" w:color="auto" w:fill="D3D3D3"/>
          </w:tcPr>
          <w:p>
            <w:pPr/>
          </w:p>
        </w:tc>
        <w:tc>
          <w:tcPr>
            <w:tcW w:w="14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10101"/>
              <w:bottom w:val="single" w:sz="4" w:space="0" w:color="010101"/>
              <w:right w:val="single" w:sz="4" w:space="0" w:color="010101"/>
            </w:tcBorders>
            <w:shd w:val="clear" w:color="auto" w:fill="D3D3D3"/>
          </w:tcPr>
          <w:p>
            <w:pPr/>
          </w:p>
        </w:tc>
      </w:tr>
    </w:tbl>
    <w:p>
      <w:pPr>
        <w:spacing w:line="240" w:lineRule="auto" w:before="1"/>
        <w:rPr>
          <w:rFonts w:ascii="宋体" w:hAnsi="宋体" w:cs="宋体" w:eastAsia="宋体" w:hint="default"/>
          <w:sz w:val="19"/>
          <w:szCs w:val="19"/>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96" w:right="109" w:hanging="28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90"/>
        <w:jc w:val="left"/>
      </w:pPr>
      <w:r>
        <w:rPr/>
        <w:t>存货的说明</w:t>
      </w:r>
    </w:p>
    <w:p>
      <w:pPr>
        <w:spacing w:line="240" w:lineRule="auto" w:before="0"/>
        <w:rPr>
          <w:rFonts w:ascii="宋体" w:hAnsi="宋体" w:cs="宋体" w:eastAsia="宋体" w:hint="default"/>
          <w:sz w:val="18"/>
          <w:szCs w:val="18"/>
        </w:rPr>
      </w:pPr>
    </w:p>
    <w:p>
      <w:pPr>
        <w:pStyle w:val="Heading4"/>
        <w:spacing w:line="240" w:lineRule="auto" w:before="118"/>
        <w:ind w:right="9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57"/>
        <w:gridCol w:w="2922"/>
        <w:gridCol w:w="3190"/>
      </w:tblGrid>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1,176,662.75</w:t>
            </w:r>
          </w:p>
        </w:tc>
        <w:tc>
          <w:tcPr>
            <w:tcW w:w="319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4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1,176,662.75</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0"/>
        <w:jc w:val="left"/>
      </w:pPr>
      <w:r>
        <w:rPr/>
        <w:t>其他流动资产说明</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0"/>
        <w:ind w:left="113" w:right="90"/>
        <w:jc w:val="left"/>
      </w:pPr>
      <w:r>
        <w:rPr>
          <w:spacing w:val="-4"/>
        </w:rPr>
        <w:t>本期将持有至到期投资重分类为可供出售金融资产的，本期重分类的金额元，该金额占重分类前持有至到期投资总额的比例。</w:t>
      </w:r>
      <w:r>
        <w:rPr>
          <w:spacing w:val="-43"/>
        </w:rPr>
        <w:t> </w:t>
      </w:r>
      <w:r>
        <w:rPr>
          <w:spacing w:val="-43"/>
        </w:rPr>
      </w:r>
      <w:r>
        <w:rPr/>
        <w:t>可供出售金融资产的说明</w:t>
      </w:r>
    </w:p>
    <w:p>
      <w:pPr>
        <w:spacing w:after="0" w:line="357" w:lineRule="auto"/>
        <w:jc w:val="left"/>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3"/>
        <w:gridCol w:w="1064"/>
        <w:gridCol w:w="1062"/>
        <w:gridCol w:w="1063"/>
        <w:gridCol w:w="1062"/>
        <w:gridCol w:w="1064"/>
        <w:gridCol w:w="1062"/>
        <w:gridCol w:w="1064"/>
      </w:tblGrid>
      <w:tr>
        <w:trPr>
          <w:trHeight w:val="714"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可供出售金融资产的长期债权投资的说明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4"/>
        <w:gridCol w:w="3188"/>
      </w:tblGrid>
      <w:tr>
        <w:trPr>
          <w:trHeight w:val="402" w:hRule="exact"/>
        </w:trPr>
        <w:tc>
          <w:tcPr>
            <w:tcW w:w="33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50"/>
        <w:ind w:right="0"/>
        <w:jc w:val="left"/>
      </w:pPr>
      <w:r>
        <w:rPr/>
        <w:t>持有至到期投资的说明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7"/>
        <w:gridCol w:w="2790"/>
        <w:gridCol w:w="3982"/>
      </w:tblGrid>
      <w:tr>
        <w:trPr>
          <w:trHeight w:val="402" w:hRule="exact"/>
        </w:trPr>
        <w:tc>
          <w:tcPr>
            <w:tcW w:w="2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0"/>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3322"/>
        <w:gridCol w:w="3455"/>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6"/>
        <w:gridCol w:w="1194"/>
        <w:gridCol w:w="1198"/>
        <w:gridCol w:w="1194"/>
        <w:gridCol w:w="1196"/>
        <w:gridCol w:w="1198"/>
      </w:tblGrid>
      <w:tr>
        <w:trPr>
          <w:trHeight w:val="1026"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68" w:right="53"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1" w:right="50"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9"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0"/>
        <w:ind w:right="0"/>
        <w:jc w:val="left"/>
      </w:pPr>
      <w:r>
        <w:rPr/>
        <w:t>合营企业、联营企业的重要会计政策、会计估计与公司的会计政策、会计估计存在重大差异的说明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1252" w:hRule="exact"/>
        </w:trPr>
        <w:tc>
          <w:tcPr>
            <w:tcW w:w="7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714"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50"/>
        <w:ind w:right="0"/>
        <w:jc w:val="left"/>
      </w:pPr>
      <w:r>
        <w:rPr/>
        <w:t>长期股权投资的说明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0"/>
        <w:gridCol w:w="1993"/>
        <w:gridCol w:w="1861"/>
        <w:gridCol w:w="1860"/>
        <w:gridCol w:w="2125"/>
      </w:tblGrid>
      <w:tr>
        <w:trPr>
          <w:trHeight w:val="402" w:hRule="exact"/>
        </w:trPr>
        <w:tc>
          <w:tcPr>
            <w:tcW w:w="17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10"/>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351;height:394" coordorigin="14,13" coordsize="5351,394">
              <v:shape style="position:absolute;left:14;top:13;width:5351;height:394" coordorigin="14,13" coordsize="5351,394" path="m14,407l5365,407,5365,13,14,13,14,407xe" filled="true" fillcolor="#d3d3d3" stroked="false">
                <v:path arrowok="t"/>
                <v:fill type="solid"/>
              </v:shape>
            </v:group>
            <v:group style="position:absolute;left:5374;top:13;width:4200;height:394" coordorigin="5374,13" coordsize="4200,394">
              <v:shape style="position:absolute;left:5374;top:13;width:4200;height:394" coordorigin="5374,13" coordsize="4200,394" path="m5374,407l9574,407,9574,13,5374,13,5374,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369;top:5;width:2;height:402" coordorigin="5369,5" coordsize="2,402">
              <v:shape style="position:absolute;left:5369;top:5;width:2;height:402" coordorigin="5369,5" coordsize="0,402" path="m5369,5l5369,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729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45"/>
        <w:gridCol w:w="1010"/>
        <w:gridCol w:w="1010"/>
        <w:gridCol w:w="1009"/>
        <w:gridCol w:w="1010"/>
        <w:gridCol w:w="1010"/>
        <w:gridCol w:w="1019"/>
        <w:gridCol w:w="955"/>
      </w:tblGrid>
      <w:tr>
        <w:trPr>
          <w:trHeight w:val="402" w:hRule="exact"/>
        </w:trPr>
        <w:tc>
          <w:tcPr>
            <w:tcW w:w="254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0" w:right="48"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1" w:right="112"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10101"/>
              <w:bottom w:val="single" w:sz="4" w:space="0" w:color="010101"/>
              <w:right w:val="single" w:sz="4" w:space="0" w:color="010101"/>
            </w:tcBorders>
            <w:shd w:val="clear" w:color="auto" w:fill="D3D3D3"/>
          </w:tcPr>
          <w:p>
            <w:pPr/>
          </w:p>
        </w:tc>
        <w:tc>
          <w:tcPr>
            <w:tcW w:w="1010" w:type="dxa"/>
            <w:vMerge/>
            <w:tcBorders>
              <w:left w:val="single" w:sz="4" w:space="0" w:color="010101"/>
              <w:bottom w:val="single" w:sz="4" w:space="0" w:color="010101"/>
              <w:right w:val="single" w:sz="4" w:space="0" w:color="010101"/>
            </w:tcBorders>
            <w:shd w:val="clear" w:color="auto" w:fill="D3D3D3"/>
          </w:tcPr>
          <w:p>
            <w:pP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9"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2" w:right="54"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10101"/>
              <w:bottom w:val="single" w:sz="4" w:space="0" w:color="010101"/>
              <w:right w:val="single" w:sz="4" w:space="0" w:color="010101"/>
            </w:tcBorders>
            <w:shd w:val="clear" w:color="auto" w:fill="D3D3D3"/>
          </w:tcPr>
          <w:p>
            <w:pPr/>
          </w:p>
        </w:tc>
      </w:tr>
    </w:tbl>
    <w:p>
      <w:pPr>
        <w:pStyle w:val="BodyText"/>
        <w:spacing w:line="316" w:lineRule="auto" w:before="50"/>
        <w:ind w:left="113"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2922"/>
        <w:gridCol w:w="1594"/>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129,891,218.55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9,295,057.99</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139,186,276.54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110,026,752.96</w:t>
            </w:r>
            <w:r>
              <w:rPr>
                <w:rFonts w:ascii="Times New Roman"/>
                <w:sz w:val="18"/>
              </w:rPr>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2,948,499.60</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112,975,252.56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3,018,545.08</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1,061,804.00</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4,080,349.08</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16,845,920.51</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5,284,754.39</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22,130,674.90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10,779,803.72</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6,507,980.72</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17,287,784.44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4,333,422.28</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2,653,276.55</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6,986,698.83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1,390,808.72</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608,519.63</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1,999,328.35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5,055,572.72</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3,246,184.54</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8,301,757.26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119,111,414.83</w:t>
            </w:r>
            <w:r>
              <w:rPr>
                <w:rFonts w:ascii="Times New Roman"/>
                <w:sz w:val="18"/>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121,898,492.10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105,693,330.68</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105,988,553.73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1,627,736.36</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2,081,020.73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11,790,347.79</w:t>
            </w:r>
            <w:r>
              <w:rPr>
                <w:rFonts w:ascii="Times New Roman"/>
                <w:sz w:val="18"/>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13,828,917.64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0" w:type="dxa"/>
            <w:tcBorders>
              <w:top w:val="single" w:sz="4" w:space="0" w:color="010101"/>
              <w:left w:val="single" w:sz="4" w:space="0" w:color="010101"/>
              <w:bottom w:val="single" w:sz="4" w:space="0" w:color="010101"/>
              <w:right w:val="single" w:sz="4" w:space="0" w:color="010101"/>
            </w:tcBorders>
          </w:tcPr>
          <w:p>
            <w:pP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119,111,414.83</w:t>
            </w:r>
            <w:r>
              <w:rPr>
                <w:rFonts w:ascii="Times New Roman"/>
                <w:sz w:val="18"/>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121,898,492.10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105,693,330.68</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105,988,553.73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1,627,736.36</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2,081,020.73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11,790,347.79</w:t>
            </w:r>
            <w:r>
              <w:rPr>
                <w:rFonts w:ascii="Times New Roman"/>
                <w:sz w:val="18"/>
              </w:rPr>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13,828,917.64</w:t>
            </w:r>
          </w:p>
        </w:tc>
      </w:tr>
    </w:tbl>
    <w:p>
      <w:pPr>
        <w:pStyle w:val="BodyText"/>
        <w:spacing w:line="240" w:lineRule="auto" w:before="50"/>
        <w:ind w:right="0"/>
        <w:jc w:val="left"/>
      </w:pPr>
      <w:r>
        <w:rPr/>
        <w:t>本期折旧额</w:t>
      </w:r>
      <w:r>
        <w:rPr>
          <w:spacing w:val="-46"/>
        </w:rPr>
        <w:t> </w:t>
      </w:r>
      <w:r>
        <w:rPr>
          <w:rFonts w:ascii="Times New Roman" w:hAnsi="Times New Roman" w:cs="Times New Roman" w:eastAsia="Times New Roman" w:hint="default"/>
        </w:rPr>
        <w:t>6,507,980.72 </w:t>
      </w:r>
      <w:r>
        <w:rPr/>
        <w:t>元；本期由在建工程转入固定资产原价为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4778;height:394" coordorigin="14,14" coordsize="4778,394">
              <v:shape style="position:absolute;left:14;top:14;width:4778;height:394" coordorigin="14,14" coordsize="4778,394" path="m14,408l4792,408,4792,14,14,14,14,408xe" filled="true" fillcolor="#d3d3d3" stroked="false">
                <v:path arrowok="t"/>
                <v:fill type="solid"/>
              </v:shape>
            </v:group>
            <v:group style="position:absolute;left:4799;top:14;width:4775;height:394" coordorigin="4799,14" coordsize="4775,394">
              <v:shape style="position:absolute;left:4799;top:14;width:4775;height:394" coordorigin="4799,14" coordsize="4775,394" path="m4799,408l9574,408,9574,14,4799,14,4799,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4795;top:5;width:2;height:402" coordorigin="4795,5" coordsize="2,402">
              <v:shape style="position:absolute;left:4795;top:5;width:2;height:402" coordorigin="4795,5" coordsize="0,402" path="m4795,5l4795,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2" w:hRule="exact"/>
        </w:trPr>
        <w:tc>
          <w:tcPr>
            <w:tcW w:w="22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49"/>
        <w:ind w:right="0"/>
        <w:jc w:val="left"/>
      </w:pPr>
      <w:r>
        <w:rPr/>
        <w:t>固定资产说明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润和国际软件外包研发总部 基地项目</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5,355,538.29</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5,355,538.29</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972,250.00</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972,250.00</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6,327,788.29</w:t>
            </w: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6,327,788.29</w:t>
            </w:r>
          </w:p>
        </w:tc>
        <w:tc>
          <w:tcPr>
            <w:tcW w:w="1195"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1338"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exact" w:before="9"/>
              <w:ind w:left="93"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润和国</w:t>
            </w: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4"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4" w:type="dxa"/>
            <w:vMerge w:val="restart"/>
            <w:tcBorders>
              <w:top w:val="single" w:sz="4" w:space="0" w:color="010101"/>
              <w:left w:val="single" w:sz="4" w:space="0" w:color="010101"/>
              <w:right w:val="single" w:sz="4" w:space="0" w:color="010101"/>
            </w:tcBorders>
          </w:tcPr>
          <w:p>
            <w:pPr/>
          </w:p>
        </w:tc>
        <w:tc>
          <w:tcPr>
            <w:tcW w:w="738" w:type="dxa"/>
            <w:tcBorders>
              <w:top w:val="single" w:sz="4" w:space="0" w:color="010101"/>
              <w:left w:val="single" w:sz="4" w:space="0" w:color="010101"/>
              <w:bottom w:val="nil" w:sz="6" w:space="0" w:color="auto"/>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7"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
        </w:tc>
        <w:tc>
          <w:tcPr>
            <w:tcW w:w="737"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际软件</w:t>
            </w:r>
          </w:p>
        </w:tc>
        <w:tc>
          <w:tcPr>
            <w:tcW w:w="734"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4"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4" w:type="dxa"/>
            <w:vMerge/>
            <w:tcBorders>
              <w:left w:val="single" w:sz="4" w:space="0" w:color="010101"/>
              <w:right w:val="single" w:sz="4" w:space="0" w:color="010101"/>
            </w:tcBorders>
          </w:tcPr>
          <w:p>
            <w:pPr/>
          </w:p>
        </w:tc>
        <w:tc>
          <w:tcPr>
            <w:tcW w:w="738" w:type="dxa"/>
            <w:tcBorders>
              <w:top w:val="nil" w:sz="6" w:space="0" w:color="auto"/>
              <w:left w:val="single" w:sz="4" w:space="0" w:color="010101"/>
              <w:bottom w:val="nil" w:sz="6" w:space="0" w:color="auto"/>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7" w:type="dxa"/>
            <w:vMerge/>
            <w:tcBorders>
              <w:left w:val="single" w:sz="4" w:space="0" w:color="010101"/>
              <w:right w:val="single" w:sz="4" w:space="0" w:color="010101"/>
            </w:tcBorders>
          </w:tcPr>
          <w:p>
            <w:pPr/>
          </w:p>
        </w:tc>
        <w:tc>
          <w:tcPr>
            <w:tcW w:w="736" w:type="dxa"/>
            <w:vMerge/>
            <w:tcBorders>
              <w:left w:val="single" w:sz="4" w:space="0" w:color="010101"/>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
        </w:tc>
        <w:tc>
          <w:tcPr>
            <w:tcW w:w="737" w:type="dxa"/>
            <w:tcBorders>
              <w:top w:val="nil" w:sz="6" w:space="0" w:color="auto"/>
              <w:left w:val="single" w:sz="4" w:space="0" w:color="010101"/>
              <w:bottom w:val="nil" w:sz="6" w:space="0" w:color="auto"/>
              <w:right w:val="single" w:sz="4" w:space="0" w:color="010101"/>
            </w:tcBorders>
          </w:tcPr>
          <w:p>
            <w:pPr/>
          </w:p>
        </w:tc>
      </w:tr>
      <w:tr>
        <w:trPr>
          <w:trHeight w:val="629" w:hRule="exact"/>
        </w:trPr>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外包研 发总部</w:t>
            </w: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left="49" w:right="0"/>
              <w:jc w:val="center"/>
              <w:rPr>
                <w:rFonts w:ascii="Times New Roman" w:hAnsi="Times New Roman" w:cs="Times New Roman" w:eastAsia="Times New Roman" w:hint="default"/>
                <w:sz w:val="18"/>
                <w:szCs w:val="18"/>
              </w:rPr>
            </w:pPr>
            <w:r>
              <w:rPr>
                <w:rFonts w:ascii="Times New Roman"/>
                <w:sz w:val="18"/>
              </w:rPr>
              <w:t>491,441,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vMerge/>
            <w:tcBorders>
              <w:left w:val="single" w:sz="4" w:space="0" w:color="010101"/>
              <w:right w:val="single" w:sz="4" w:space="0" w:color="010101"/>
            </w:tcBorders>
          </w:tcPr>
          <w:p>
            <w:pPr/>
          </w:p>
        </w:tc>
        <w:tc>
          <w:tcPr>
            <w:tcW w:w="734"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5,355,53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8.29</w:t>
            </w:r>
          </w:p>
        </w:tc>
        <w:tc>
          <w:tcPr>
            <w:tcW w:w="736" w:type="dxa"/>
            <w:vMerge/>
            <w:tcBorders>
              <w:left w:val="single" w:sz="4" w:space="0" w:color="010101"/>
              <w:right w:val="single" w:sz="4" w:space="0" w:color="010101"/>
            </w:tcBorders>
          </w:tcPr>
          <w:p>
            <w:pPr/>
          </w:p>
        </w:tc>
        <w:tc>
          <w:tcPr>
            <w:tcW w:w="734" w:type="dxa"/>
            <w:vMerge/>
            <w:tcBorders>
              <w:left w:val="single" w:sz="4" w:space="0" w:color="010101"/>
              <w:right w:val="single" w:sz="4" w:space="0" w:color="010101"/>
            </w:tcBorders>
          </w:tcPr>
          <w:p>
            <w:pPr/>
          </w:p>
        </w:tc>
        <w:tc>
          <w:tcPr>
            <w:tcW w:w="73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1.09%</w:t>
            </w: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1.09%</w:t>
            </w:r>
          </w:p>
        </w:tc>
        <w:tc>
          <w:tcPr>
            <w:tcW w:w="736" w:type="dxa"/>
            <w:vMerge/>
            <w:tcBorders>
              <w:left w:val="single" w:sz="4" w:space="0" w:color="010101"/>
              <w:right w:val="single" w:sz="4" w:space="0" w:color="010101"/>
            </w:tcBorders>
          </w:tcPr>
          <w:p>
            <w:pPr/>
          </w:p>
        </w:tc>
        <w:tc>
          <w:tcPr>
            <w:tcW w:w="737" w:type="dxa"/>
            <w:vMerge/>
            <w:tcBorders>
              <w:left w:val="single" w:sz="4" w:space="0" w:color="010101"/>
              <w:right w:val="single" w:sz="4" w:space="0" w:color="010101"/>
            </w:tcBorders>
          </w:tcPr>
          <w:p>
            <w:pPr/>
          </w:p>
        </w:tc>
        <w:tc>
          <w:tcPr>
            <w:tcW w:w="736" w:type="dxa"/>
            <w:vMerge/>
            <w:tcBorders>
              <w:left w:val="single" w:sz="4" w:space="0" w:color="010101"/>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5,355,53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8.29</w:t>
            </w:r>
          </w:p>
        </w:tc>
      </w:tr>
      <w:tr>
        <w:trPr>
          <w:trHeight w:val="307" w:hRule="exact"/>
        </w:trPr>
        <w:tc>
          <w:tcPr>
            <w:tcW w:w="73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基地项</w:t>
            </w:r>
          </w:p>
        </w:tc>
        <w:tc>
          <w:tcPr>
            <w:tcW w:w="734"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4"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4" w:type="dxa"/>
            <w:vMerge/>
            <w:tcBorders>
              <w:left w:val="single" w:sz="4" w:space="0" w:color="010101"/>
              <w:right w:val="single" w:sz="4" w:space="0" w:color="010101"/>
            </w:tcBorders>
          </w:tcPr>
          <w:p>
            <w:pPr/>
          </w:p>
        </w:tc>
        <w:tc>
          <w:tcPr>
            <w:tcW w:w="738" w:type="dxa"/>
            <w:tcBorders>
              <w:top w:val="nil" w:sz="6" w:space="0" w:color="auto"/>
              <w:left w:val="single" w:sz="4" w:space="0" w:color="010101"/>
              <w:bottom w:val="nil" w:sz="6" w:space="0" w:color="auto"/>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
        </w:tc>
        <w:tc>
          <w:tcPr>
            <w:tcW w:w="736" w:type="dxa"/>
            <w:vMerge/>
            <w:tcBorders>
              <w:left w:val="single" w:sz="4" w:space="0" w:color="010101"/>
              <w:right w:val="single" w:sz="4" w:space="0" w:color="010101"/>
            </w:tcBorders>
          </w:tcPr>
          <w:p>
            <w:pPr/>
          </w:p>
        </w:tc>
        <w:tc>
          <w:tcPr>
            <w:tcW w:w="737" w:type="dxa"/>
            <w:vMerge/>
            <w:tcBorders>
              <w:left w:val="single" w:sz="4" w:space="0" w:color="010101"/>
              <w:right w:val="single" w:sz="4" w:space="0" w:color="010101"/>
            </w:tcBorders>
          </w:tcPr>
          <w:p>
            <w:pPr/>
          </w:p>
        </w:tc>
        <w:tc>
          <w:tcPr>
            <w:tcW w:w="736" w:type="dxa"/>
            <w:vMerge/>
            <w:tcBorders>
              <w:left w:val="single" w:sz="4" w:space="0" w:color="010101"/>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
        </w:tc>
        <w:tc>
          <w:tcPr>
            <w:tcW w:w="737" w:type="dxa"/>
            <w:tcBorders>
              <w:top w:val="nil" w:sz="6" w:space="0" w:color="auto"/>
              <w:left w:val="single" w:sz="4" w:space="0" w:color="010101"/>
              <w:bottom w:val="nil" w:sz="6" w:space="0" w:color="auto"/>
              <w:right w:val="single" w:sz="4" w:space="0" w:color="010101"/>
            </w:tcBorders>
          </w:tcPr>
          <w:p>
            <w:pPr/>
          </w:p>
        </w:tc>
      </w:tr>
      <w:tr>
        <w:trPr>
          <w:trHeight w:val="359" w:hRule="exact"/>
        </w:trPr>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4"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4" w:type="dxa"/>
            <w:vMerge/>
            <w:tcBorders>
              <w:left w:val="single" w:sz="4" w:space="0" w:color="010101"/>
              <w:bottom w:val="single" w:sz="4" w:space="0" w:color="010101"/>
              <w:right w:val="single" w:sz="4" w:space="0" w:color="010101"/>
            </w:tcBorders>
          </w:tcPr>
          <w:p>
            <w:pPr/>
          </w:p>
        </w:tc>
        <w:tc>
          <w:tcPr>
            <w:tcW w:w="738"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7"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737" w:type="dxa"/>
            <w:tcBorders>
              <w:top w:val="nil" w:sz="6" w:space="0" w:color="auto"/>
              <w:left w:val="single" w:sz="4" w:space="0" w:color="010101"/>
              <w:bottom w:val="single" w:sz="4" w:space="0" w:color="010101"/>
              <w:right w:val="single" w:sz="4" w:space="0" w:color="010101"/>
            </w:tcBorders>
          </w:tcPr>
          <w:p>
            <w:pPr/>
          </w:p>
        </w:tc>
      </w:tr>
      <w:tr>
        <w:trPr>
          <w:trHeight w:val="360" w:hRule="exact"/>
        </w:trPr>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零星工</w:t>
            </w:r>
          </w:p>
        </w:tc>
        <w:tc>
          <w:tcPr>
            <w:tcW w:w="734"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2,254,79</w:t>
            </w:r>
          </w:p>
        </w:tc>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1,282,54</w:t>
            </w:r>
          </w:p>
        </w:tc>
        <w:tc>
          <w:tcPr>
            <w:tcW w:w="734" w:type="dxa"/>
            <w:vMerge w:val="restart"/>
            <w:tcBorders>
              <w:top w:val="single" w:sz="4" w:space="0" w:color="010101"/>
              <w:left w:val="single" w:sz="4" w:space="0" w:color="010101"/>
              <w:right w:val="single" w:sz="4" w:space="0" w:color="010101"/>
            </w:tcBorders>
          </w:tcPr>
          <w:p>
            <w:pPr/>
          </w:p>
        </w:tc>
        <w:tc>
          <w:tcPr>
            <w:tcW w:w="738"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7" w:type="dxa"/>
            <w:vMerge w:val="restart"/>
            <w:tcBorders>
              <w:top w:val="single" w:sz="4" w:space="0" w:color="010101"/>
              <w:left w:val="single" w:sz="4" w:space="0" w:color="010101"/>
              <w:right w:val="single" w:sz="4" w:space="0" w:color="010101"/>
            </w:tcBorders>
          </w:tcPr>
          <w:p>
            <w:pPr/>
          </w:p>
        </w:tc>
        <w:tc>
          <w:tcPr>
            <w:tcW w:w="736" w:type="dxa"/>
            <w:vMerge w:val="restart"/>
            <w:tcBorders>
              <w:top w:val="single" w:sz="4" w:space="0" w:color="010101"/>
              <w:left w:val="single" w:sz="4" w:space="0" w:color="010101"/>
              <w:right w:val="single" w:sz="4" w:space="0" w:color="010101"/>
            </w:tcBorders>
          </w:tcPr>
          <w:p>
            <w:pPr/>
          </w:p>
        </w:tc>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73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972,250.</w:t>
            </w:r>
          </w:p>
        </w:tc>
      </w:tr>
      <w:tr>
        <w:trPr>
          <w:trHeight w:val="354" w:hRule="exact"/>
        </w:trPr>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4"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7.00</w:t>
            </w:r>
          </w:p>
        </w:tc>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7.00</w:t>
            </w:r>
          </w:p>
        </w:tc>
        <w:tc>
          <w:tcPr>
            <w:tcW w:w="734" w:type="dxa"/>
            <w:vMerge/>
            <w:tcBorders>
              <w:left w:val="single" w:sz="4" w:space="0" w:color="010101"/>
              <w:bottom w:val="single" w:sz="4" w:space="0" w:color="010101"/>
              <w:right w:val="single" w:sz="4" w:space="0" w:color="010101"/>
            </w:tcBorders>
          </w:tcPr>
          <w:p>
            <w:pPr/>
          </w:p>
        </w:tc>
        <w:tc>
          <w:tcPr>
            <w:tcW w:w="738"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7" w:type="dxa"/>
            <w:vMerge/>
            <w:tcBorders>
              <w:left w:val="single" w:sz="4" w:space="0" w:color="010101"/>
              <w:bottom w:val="single" w:sz="4" w:space="0" w:color="010101"/>
              <w:right w:val="single" w:sz="4" w:space="0" w:color="010101"/>
            </w:tcBorders>
          </w:tcPr>
          <w:p>
            <w:pPr/>
          </w:p>
        </w:tc>
        <w:tc>
          <w:tcPr>
            <w:tcW w:w="736" w:type="dxa"/>
            <w:vMerge/>
            <w:tcBorders>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491,441,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7,610,33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5.29</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1,282,54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7.00</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6,327,78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8.29</w:t>
            </w:r>
          </w:p>
        </w:tc>
      </w:tr>
    </w:tbl>
    <w:p>
      <w:pPr>
        <w:pStyle w:val="BodyText"/>
        <w:spacing w:line="240" w:lineRule="auto" w:before="49"/>
        <w:ind w:right="0"/>
        <w:jc w:val="left"/>
      </w:pPr>
      <w:r>
        <w:rPr/>
        <w:t>在建工程项目变动情况的说明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5"/>
        <w:gridCol w:w="1592"/>
        <w:gridCol w:w="1595"/>
        <w:gridCol w:w="1592"/>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88"/>
        <w:gridCol w:w="3192"/>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0"/>
        <w:gridCol w:w="1595"/>
        <w:gridCol w:w="1860"/>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0"/>
        <w:ind w:right="0"/>
        <w:jc w:val="left"/>
      </w:pPr>
      <w:r>
        <w:rPr/>
        <w:t>工程物资的说明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2126"/>
        <w:gridCol w:w="2524"/>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5"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49"/>
        <w:ind w:right="0"/>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726"/>
        <w:gridCol w:w="1861"/>
        <w:gridCol w:w="2126"/>
        <w:gridCol w:w="1860"/>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3"/>
        <w:rPr>
          <w:rFonts w:ascii="宋体" w:hAnsi="宋体" w:cs="宋体" w:eastAsia="宋体" w:hint="default"/>
          <w:sz w:val="28"/>
          <w:szCs w:val="28"/>
        </w:rPr>
      </w:pPr>
    </w:p>
    <w:p>
      <w:pPr>
        <w:spacing w:line="818"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0.950pt;mso-position-horizontal-relative:char;mso-position-vertical-relative:line" coordorigin="0,0" coordsize="9590,819">
            <v:group style="position:absolute;left:14;top:14;width:9561;height:394" coordorigin="14,14" coordsize="9561,394">
              <v:shape style="position:absolute;left:14;top:14;width:9561;height:394" coordorigin="14,14" coordsize="9561,394" path="m14,408l9575,408,9575,14,14,14,14,408xe" filled="true" fillcolor="#d3d3d3" stroked="false">
                <v:path arrowok="t"/>
                <v:fill type="solid"/>
              </v:shape>
            </v:group>
            <v:group style="position:absolute;left:14;top:416;width:9561;height:394" coordorigin="14,416" coordsize="9561,394">
              <v:shape style="position:absolute;left:14;top:416;width:9561;height:394" coordorigin="14,416" coordsize="9561,394" path="m14,810l9575,810,9575,416,14,416,14,810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10101">
                <v:path arrowok="t"/>
              </v:shape>
            </v:group>
            <v:group style="position:absolute;left:5;top:412;width:9580;height:2" coordorigin="5,412" coordsize="9580,2">
              <v:shape style="position:absolute;left:5;top:412;width:9580;height:2" coordorigin="5,412" coordsize="9580,0" path="m5,412l9584,412e" filled="false" stroked="true" strokeweight=".48pt" strokecolor="#010101">
                <v:path arrowok="t"/>
              </v:shape>
            </v:group>
            <v:group style="position:absolute;left:5;top:814;width:9580;height:2" coordorigin="5,814" coordsize="9580,2">
              <v:shape style="position:absolute;left:5;top:814;width:9580;height:2" coordorigin="5,814" coordsize="9580,0" path="m5,814l9584,814e" filled="false" stroked="true" strokeweight=".48pt" strokecolor="#010101">
                <v:path arrowok="t"/>
              </v:shape>
            </v:group>
            <v:group style="position:absolute;left:10;top:5;width:2;height:804" coordorigin="10,5" coordsize="2,804">
              <v:shape style="position:absolute;left:10;top:5;width:2;height:804" coordorigin="10,5" coordsize="0,804" path="m10,5l10,809e" filled="false" stroked="true" strokeweight=".48pt" strokecolor="#010101">
                <v:path arrowok="t"/>
              </v:shape>
            </v:group>
            <v:group style="position:absolute;left:9580;top:5;width:2;height:804" coordorigin="9580,5" coordsize="2,804">
              <v:shape style="position:absolute;left:9580;top:5;width:2;height:804" coordorigin="9580,5" coordsize="0,804" path="m9580,5l9580,809e" filled="false" stroked="true" strokeweight=".48pt" strokecolor="#010101">
                <v:path arrowok="t"/>
              </v:shape>
              <v:shape style="position:absolute;left:37;top:12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三、林业</w:t>
                      </w:r>
                    </w:p>
                  </w:txbxContent>
                </v:textbox>
                <w10:wrap type="none"/>
              </v:shape>
              <v:shape style="position:absolute;left:37;top:52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四、水产业</w:t>
                      </w:r>
                    </w:p>
                  </w:txbxContent>
                </v:textbox>
                <w10:wrap type="none"/>
              </v:shape>
            </v:group>
          </v:group>
        </w:pict>
      </w:r>
      <w:r>
        <w:rPr>
          <w:rFonts w:ascii="宋体" w:hAnsi="宋体" w:cs="宋体" w:eastAsia="宋体" w:hint="default"/>
          <w:position w:val="-15"/>
          <w:sz w:val="20"/>
          <w:szCs w:val="20"/>
        </w:rPr>
      </w:r>
    </w:p>
    <w:p>
      <w:pPr>
        <w:pStyle w:val="BodyText"/>
        <w:spacing w:line="240" w:lineRule="auto" w:before="50"/>
        <w:ind w:right="0"/>
        <w:jc w:val="left"/>
      </w:pPr>
      <w:r>
        <w:rPr/>
        <w:t>生产性生物资产的说明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75"/>
        <w:gridCol w:w="1709"/>
        <w:gridCol w:w="1841"/>
        <w:gridCol w:w="2104"/>
        <w:gridCol w:w="1842"/>
      </w:tblGrid>
      <w:tr>
        <w:trPr>
          <w:trHeight w:val="402" w:hRule="exact"/>
        </w:trPr>
        <w:tc>
          <w:tcPr>
            <w:tcW w:w="20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0"/>
        <w:ind w:right="0"/>
        <w:jc w:val="left"/>
      </w:pPr>
      <w:r>
        <w:rPr/>
        <w:t>油气资产的说明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42,179,348.77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4,095,786.98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46,275,135.75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38,412,787.55</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38,412,787.55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3,766,561.22</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4,095,786.98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7,862,348.20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4,446,512.69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1,611,462.92</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6,057,975.61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2,685,310.15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767,060.76</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3,452,370.91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1,761,202.54</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844,402.16</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2,605,604.70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37,732,836.08</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2,484,324.06</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40,217,160.14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35,727,477.40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34,960,416.64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2,005,358.68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5,256,743.50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37,732,836.08</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2,484,324.06</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40,217,160.14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35,727,477.40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34,960,416.64</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2,005,358.68</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5,256,743.50</w:t>
            </w:r>
          </w:p>
        </w:tc>
      </w:tr>
    </w:tbl>
    <w:p>
      <w:pPr>
        <w:pStyle w:val="BodyText"/>
        <w:spacing w:line="240" w:lineRule="auto" w:before="50"/>
        <w:ind w:right="0"/>
        <w:jc w:val="left"/>
      </w:pPr>
      <w:r>
        <w:rPr/>
        <w:t>本期摊销额</w:t>
      </w:r>
      <w:r>
        <w:rPr>
          <w:spacing w:val="-50"/>
        </w:rPr>
        <w:t> </w:t>
      </w:r>
      <w:r>
        <w:rPr>
          <w:rFonts w:ascii="Times New Roman" w:hAnsi="Times New Roman" w:cs="Times New Roman" w:eastAsia="Times New Roman" w:hint="default"/>
        </w:rPr>
        <w:t>1,611,462.92</w:t>
      </w:r>
      <w:r>
        <w:rPr>
          <w:rFonts w:ascii="Times New Roman" w:hAnsi="Times New Roman" w:cs="Times New Roman" w:eastAsia="Times New Roman" w:hint="default"/>
          <w:spacing w:val="-5"/>
        </w:rPr>
        <w:t> </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596"/>
        <w:gridCol w:w="1594"/>
        <w:gridCol w:w="1592"/>
        <w:gridCol w:w="1594"/>
        <w:gridCol w:w="1592"/>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596" w:type="dxa"/>
            <w:vMerge/>
            <w:tcBorders>
              <w:left w:val="single" w:sz="4" w:space="0" w:color="010101"/>
              <w:bottom w:val="single" w:sz="4" w:space="0" w:color="010101"/>
              <w:right w:val="single" w:sz="4" w:space="0" w:color="010101"/>
            </w:tcBorders>
            <w:shd w:val="clear" w:color="auto" w:fill="D3D3D3"/>
          </w:tcPr>
          <w:p>
            <w:pPr/>
          </w:p>
        </w:tc>
        <w:tc>
          <w:tcPr>
            <w:tcW w:w="1594" w:type="dxa"/>
            <w:vMerge/>
            <w:tcBorders>
              <w:left w:val="single" w:sz="4" w:space="0" w:color="010101"/>
              <w:bottom w:val="single" w:sz="4" w:space="0" w:color="010101"/>
              <w:right w:val="single" w:sz="4" w:space="0" w:color="010101"/>
            </w:tcBorders>
            <w:shd w:val="clear" w:color="auto" w:fill="D3D3D3"/>
          </w:tcPr>
          <w:p>
            <w:pP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2" w:type="dxa"/>
            <w:vMerge/>
            <w:tcBorders>
              <w:left w:val="single" w:sz="4" w:space="0" w:color="010101"/>
              <w:bottom w:val="single" w:sz="4" w:space="0" w:color="010101"/>
              <w:right w:val="single" w:sz="4" w:space="0" w:color="010101"/>
            </w:tcBorders>
            <w:shd w:val="clear" w:color="auto" w:fill="D3D3D3"/>
          </w:tcPr>
          <w:p>
            <w:pPr/>
          </w:p>
        </w:tc>
      </w:tr>
    </w:tbl>
    <w:p>
      <w:pPr>
        <w:pStyle w:val="BodyText"/>
        <w:spacing w:line="240" w:lineRule="auto" w:before="49"/>
        <w:ind w:right="0"/>
        <w:jc w:val="left"/>
      </w:pPr>
      <w:r>
        <w:rPr/>
        <w:t>本期开发支出占本期研究开发项目支出总额的比例。</w:t>
      </w:r>
    </w:p>
    <w:p>
      <w:pPr>
        <w:spacing w:after="0" w:line="24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通过公司内部研发形成的无形资产占无形资产期末账面价值的比例。</w:t>
      </w:r>
    </w:p>
    <w:p>
      <w:pPr>
        <w:pStyle w:val="BodyText"/>
        <w:spacing w:line="240" w:lineRule="auto" w:before="117"/>
        <w:ind w:left="113" w:right="0"/>
        <w:jc w:val="left"/>
      </w:pP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spacing w:val="-2"/>
        </w:rPr>
        <w:t>万元以上且以评估值为入账依据的，应披露评估机构名称、评估方法</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8"/>
        <w:gridCol w:w="1460"/>
        <w:gridCol w:w="1459"/>
        <w:gridCol w:w="1460"/>
        <w:gridCol w:w="1462"/>
        <w:gridCol w:w="1198"/>
      </w:tblGrid>
      <w:tr>
        <w:trPr>
          <w:trHeight w:val="714"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295,996.75</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295,996.75</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295,996.75</w:t>
            </w: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SRS2</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1,040,688.94</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1,040,688.94</w:t>
            </w:r>
          </w:p>
        </w:tc>
        <w:tc>
          <w:tcPr>
            <w:tcW w:w="119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1,336,685.69</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1,336,685.69</w:t>
            </w:r>
          </w:p>
        </w:tc>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295,996.75</w:t>
            </w:r>
          </w:p>
        </w:tc>
      </w:tr>
    </w:tbl>
    <w:p>
      <w:pPr>
        <w:pStyle w:val="BodyText"/>
        <w:spacing w:line="240" w:lineRule="auto" w:before="50"/>
        <w:ind w:right="0"/>
        <w:jc w:val="left"/>
      </w:pPr>
      <w:r>
        <w:rPr/>
        <w:t>说明商誉的减值测试方法和减值准备计提方法</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389,012.03</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150,585.36</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238,426.67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389,012.03</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150,585.36</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238,426.67</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已确认的递延所得税资产和递延所得税负债</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928,540.70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401,907.44</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121,558.24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286,493.71</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资产摊销跨期及转回差异</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20,745.09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41,794.20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1,070,844.03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730,195.35</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134,640.00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134,640.00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未确认递延所得税资产明细</w:t>
      </w:r>
    </w:p>
    <w:p>
      <w:pPr>
        <w:pStyle w:val="BodyText"/>
        <w:spacing w:line="240" w:lineRule="auto" w:before="116"/>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1,304,481.12</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1,212,277.37</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1,985,123.41</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2,164,210.16</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3,289,604.53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3,376,487.53</w:t>
            </w:r>
          </w:p>
        </w:tc>
      </w:tr>
    </w:tbl>
    <w:p>
      <w:pPr>
        <w:pStyle w:val="BodyText"/>
        <w:spacing w:line="240" w:lineRule="auto" w:before="50"/>
        <w:ind w:right="0"/>
        <w:jc w:val="left"/>
      </w:pPr>
      <w:r>
        <w:rPr/>
        <w:t>未确认递延所得税资产的可抵扣亏损将于以下年度到期</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139,413.30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234,137.65</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1,274,384.15</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1,299,309.47</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571,325.96</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630,763.04</w:t>
            </w:r>
          </w:p>
        </w:tc>
        <w:tc>
          <w:tcPr>
            <w:tcW w:w="332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1,985,123.41</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2,164,210.16</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应纳税差异和可抵扣差异项目明细</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10101"/>
              <w:bottom w:val="single" w:sz="4" w:space="0" w:color="010101"/>
              <w:right w:val="single" w:sz="4" w:space="0" w:color="010101"/>
            </w:tcBorders>
            <w:shd w:val="clear" w:color="auto" w:fill="D3D3D3"/>
          </w:tcPr>
          <w:p>
            <w:pPr/>
          </w:p>
        </w:tc>
        <w:tc>
          <w:tcPr>
            <w:tcW w:w="2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897,600.00</w:t>
            </w:r>
          </w:p>
        </w:tc>
        <w:tc>
          <w:tcPr>
            <w:tcW w:w="27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897,600.00</w:t>
            </w:r>
          </w:p>
        </w:tc>
        <w:tc>
          <w:tcPr>
            <w:tcW w:w="27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6,152,801.28</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2,645,166.91</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资产摊销跨期及转回差异</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138,300.61</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278,628.01</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486,232.95</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1,145,974.84</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6,777,334.84</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4,069,769.76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互抵后的递延所得税资产及负债的组成项目</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1026"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1,070,844.03</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730,195.35</w:t>
            </w:r>
          </w:p>
        </w:tc>
        <w:tc>
          <w:tcPr>
            <w:tcW w:w="16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134,640.00</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递延所得税资产和递延所得税负债互抵明细</w:t>
      </w:r>
    </w:p>
    <w:p>
      <w:pPr>
        <w:pStyle w:val="BodyText"/>
        <w:spacing w:line="240" w:lineRule="auto" w:before="116"/>
        <w:ind w:left="0" w:right="111"/>
        <w:jc w:val="right"/>
      </w:pPr>
      <w:r>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4;width:3848;height:394" coordorigin="14,14" coordsize="3848,394">
              <v:shape style="position:absolute;left:14;top:14;width:3848;height:394" coordorigin="14,14" coordsize="3848,394" path="m14,408l3862,408,3862,14,14,14,14,408xe" filled="true" fillcolor="#d3d3d3" stroked="false">
                <v:path arrowok="t"/>
                <v:fill type="solid"/>
              </v:shape>
            </v:group>
            <v:group style="position:absolute;left:3870;top:14;width:5704;height:394" coordorigin="3870,14" coordsize="5704,394">
              <v:shape style="position:absolute;left:3870;top:14;width:5704;height:394" coordorigin="3870,14" coordsize="5704,394" path="m3870,408l9574,408,9574,14,3870,14,3870,408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3866;top:5;width:2;height:402" coordorigin="3866,5" coordsize="2,402">
              <v:shape style="position:absolute;left:3866;top:5;width:2;height:402" coordorigin="3866,5" coordsize="0,402" path="m3866,5l3866,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758;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footerReference w:type="default" r:id="rId34"/>
          <w:pgSz w:w="11910" w:h="16840"/>
          <w:pgMar w:footer="980" w:header="747" w:top="1060" w:bottom="1160" w:left="1020" w:right="1020"/>
          <w:pgNumType w:start="1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递延所得税资产和递延所得税负债的说明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528" w:type="dxa"/>
            <w:vMerge/>
            <w:tcBorders>
              <w:left w:val="single" w:sz="4" w:space="0" w:color="010101"/>
              <w:bottom w:val="single" w:sz="4" w:space="0" w:color="010101"/>
              <w:right w:val="single" w:sz="4" w:space="0" w:color="010101"/>
            </w:tcBorders>
            <w:shd w:val="clear" w:color="auto" w:fill="D3D3D3"/>
          </w:tcPr>
          <w:p>
            <w:pPr/>
          </w:p>
        </w:tc>
        <w:tc>
          <w:tcPr>
            <w:tcW w:w="1529" w:type="dxa"/>
            <w:vMerge/>
            <w:tcBorders>
              <w:left w:val="single" w:sz="4" w:space="0" w:color="010101"/>
              <w:bottom w:val="single" w:sz="4" w:space="0" w:color="010101"/>
              <w:right w:val="single" w:sz="4" w:space="0" w:color="010101"/>
            </w:tcBorders>
            <w:shd w:val="clear" w:color="auto" w:fill="D3D3D3"/>
          </w:tcPr>
          <w:p>
            <w:pP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3,857,444.28</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3,599,838.12</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7,457,282.40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295,996.75</w:t>
            </w: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295,996.75</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4,153,441.03</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3,599,838.12</w:t>
            </w: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7,753,279.15</w:t>
            </w:r>
          </w:p>
        </w:tc>
      </w:tr>
    </w:tbl>
    <w:p>
      <w:pPr>
        <w:pStyle w:val="BodyText"/>
        <w:spacing w:line="240" w:lineRule="auto" w:before="49"/>
        <w:ind w:right="0"/>
        <w:jc w:val="left"/>
      </w:pPr>
      <w:r>
        <w:rPr/>
        <w:t>资产减值明细情况的说明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0"/>
        <w:ind w:right="0"/>
        <w:jc w:val="left"/>
      </w:pPr>
      <w:r>
        <w:rPr/>
        <w:t>其他非流动资产的说明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11,000,000.00</w:t>
            </w:r>
            <w:r>
              <w:rPr>
                <w:rFonts w:ascii="Times New Roman"/>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96,000,000.00</w:t>
            </w:r>
          </w:p>
        </w:tc>
      </w:tr>
    </w:tbl>
    <w:p>
      <w:pPr>
        <w:pStyle w:val="BodyText"/>
        <w:spacing w:line="240" w:lineRule="auto" w:before="50"/>
        <w:ind w:right="0"/>
        <w:jc w:val="left"/>
      </w:pPr>
      <w:r>
        <w:rPr/>
        <w:t>短期借款分类的说明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8"/>
        <w:gridCol w:w="1283"/>
        <w:gridCol w:w="1278"/>
        <w:gridCol w:w="1654"/>
        <w:gridCol w:w="1753"/>
        <w:gridCol w:w="1993"/>
      </w:tblGrid>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49"/>
        <w:ind w:right="3610"/>
        <w:jc w:val="left"/>
      </w:pPr>
      <w:r>
        <w:rPr/>
        <w:t>资产负债表日后已偿还金额元。 短期借款的说明，包括已到期短期借款获展期的，说明展期条件、新的到期日</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93"/>
        <w:gridCol w:w="2921"/>
        <w:gridCol w:w="3054"/>
      </w:tblGrid>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50"/>
        <w:ind w:right="112"/>
        <w:jc w:val="left"/>
      </w:pPr>
      <w:r>
        <w:rPr/>
        <w:t>交易性金融负债的说明</w:t>
      </w:r>
    </w:p>
    <w:p>
      <w:pPr>
        <w:spacing w:line="240" w:lineRule="auto" w:before="12"/>
        <w:rPr>
          <w:rFonts w:ascii="宋体" w:hAnsi="宋体" w:cs="宋体" w:eastAsia="宋体" w:hint="default"/>
          <w:sz w:val="26"/>
          <w:szCs w:val="26"/>
        </w:rPr>
      </w:pPr>
    </w:p>
    <w:p>
      <w:pPr>
        <w:pStyle w:val="Heading4"/>
        <w:spacing w:line="240" w:lineRule="auto"/>
        <w:ind w:right="112"/>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43,361,000.00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43,361,000.00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bl>
    <w:p>
      <w:pPr>
        <w:pStyle w:val="BodyText"/>
        <w:spacing w:line="338" w:lineRule="auto" w:before="50"/>
        <w:ind w:left="113" w:right="6117"/>
        <w:jc w:val="left"/>
      </w:pPr>
      <w:r>
        <w:rPr/>
        <w:t>下一会计期间将到期的金额</w:t>
      </w:r>
      <w:r>
        <w:rPr>
          <w:spacing w:val="-50"/>
        </w:rPr>
        <w:t> </w:t>
      </w:r>
      <w:r>
        <w:rPr>
          <w:rFonts w:ascii="Times New Roman" w:hAnsi="Times New Roman" w:cs="Times New Roman" w:eastAsia="Times New Roman" w:hint="default"/>
        </w:rPr>
        <w:t>43,361,000.00</w:t>
      </w:r>
      <w:r>
        <w:rPr>
          <w:rFonts w:ascii="Times New Roman" w:hAnsi="Times New Roman" w:cs="Times New Roman" w:eastAsia="Times New Roman" w:hint="default"/>
          <w:spacing w:val="-6"/>
        </w:rPr>
        <w:t> </w:t>
      </w:r>
      <w:r>
        <w:rPr/>
        <w:t>元。 应付票据的说明</w:t>
      </w:r>
    </w:p>
    <w:p>
      <w:pPr>
        <w:pStyle w:val="BodyText"/>
        <w:spacing w:line="240" w:lineRule="auto" w:before="43"/>
        <w:ind w:left="113" w:right="0"/>
        <w:jc w:val="left"/>
      </w:pPr>
      <w:r>
        <w:rPr/>
        <w:t>应付票据</w:t>
      </w:r>
      <w:r>
        <w:rPr>
          <w:rFonts w:ascii="Times New Roman" w:hAnsi="Times New Roman" w:cs="Times New Roman" w:eastAsia="Times New Roman" w:hint="default"/>
        </w:rPr>
        <w:t>2012</w:t>
      </w:r>
      <w:r>
        <w:rPr/>
        <w:t>年末余额中无应付给持本公司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）以上表决权股份的股东单位的票据，也无应付其他关联方的票据。</w:t>
      </w:r>
    </w:p>
    <w:p>
      <w:pPr>
        <w:spacing w:line="240" w:lineRule="auto" w:before="11"/>
        <w:rPr>
          <w:rFonts w:ascii="宋体" w:hAnsi="宋体" w:cs="宋体" w:eastAsia="宋体" w:hint="default"/>
          <w:sz w:val="25"/>
          <w:szCs w:val="25"/>
        </w:rPr>
      </w:pPr>
    </w:p>
    <w:p>
      <w:pPr>
        <w:pStyle w:val="Heading4"/>
        <w:spacing w:line="240" w:lineRule="auto"/>
        <w:ind w:right="112"/>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18,107,449.91</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5,582,726.82</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297,986.26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912,456.98</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549,858.79</w:t>
            </w: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18,955,294.96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6,495,183.80</w:t>
            </w:r>
          </w:p>
        </w:tc>
      </w:tr>
    </w:tbl>
    <w:p>
      <w:pPr>
        <w:spacing w:line="240" w:lineRule="auto" w:before="1"/>
        <w:rPr>
          <w:rFonts w:ascii="宋体" w:hAnsi="宋体" w:cs="宋体" w:eastAsia="宋体" w:hint="default"/>
          <w:sz w:val="19"/>
          <w:szCs w:val="19"/>
        </w:rPr>
      </w:pPr>
    </w:p>
    <w:p>
      <w:pPr>
        <w:pStyle w:val="Heading4"/>
        <w:spacing w:line="240" w:lineRule="auto" w:before="35"/>
        <w:ind w:right="112"/>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pStyle w:val="Heading4"/>
        <w:spacing w:line="240" w:lineRule="auto" w:before="35"/>
        <w:ind w:right="112"/>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639,767.13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867,417.50</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163,000.00</w:t>
            </w:r>
          </w:p>
        </w:tc>
        <w:tc>
          <w:tcPr>
            <w:tcW w:w="2922"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0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802,767.13</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867,417.50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贴和补贴</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9,242,739.87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120,547,748.24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111,278,664.09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18,511,824.02</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38,971.53</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5,566,594.43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5,605,565.96</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60,633.11</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13,057,260.70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12,977,139.44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140,754.37</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4,119,809.00</w:t>
            </w:r>
            <w:r>
              <w:rPr>
                <w:rFonts w:ascii="Times New Roman"/>
                <w:sz w:val="18"/>
              </w:rPr>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4,112,627.00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7,182.00</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124,861.23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124,861.23</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9,342,344.51</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143,416,273.60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134,098,857.72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18,659,760.39</w:t>
            </w:r>
          </w:p>
        </w:tc>
      </w:tr>
    </w:tbl>
    <w:p>
      <w:pPr>
        <w:pStyle w:val="BodyText"/>
        <w:spacing w:line="240" w:lineRule="auto" w:before="50"/>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2"/>
        <w:ind w:left="113" w:right="1190"/>
        <w:jc w:val="left"/>
      </w:pPr>
      <w:r>
        <w:rPr/>
        <w:t>工会经费和职工教育经费金额</w:t>
      </w:r>
      <w:r>
        <w:rPr>
          <w:spacing w:val="-46"/>
        </w:rPr>
        <w:t> </w:t>
      </w:r>
      <w:r>
        <w:rPr>
          <w:rFonts w:ascii="Times New Roman" w:hAnsi="Times New Roman" w:cs="Times New Roman" w:eastAsia="Times New Roman" w:hint="default"/>
        </w:rPr>
        <w:t>124,861.23</w:t>
      </w:r>
      <w:r>
        <w:rPr>
          <w:rFonts w:ascii="Times New Roman" w:hAnsi="Times New Roman" w:cs="Times New Roman" w:eastAsia="Times New Roman" w:hint="default"/>
          <w:spacing w:val="-2"/>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应付职工薪酬预计发放时间、金额等安排</w:t>
      </w:r>
    </w:p>
    <w:p>
      <w:pPr>
        <w:pStyle w:val="BodyText"/>
        <w:spacing w:line="240" w:lineRule="auto" w:before="43"/>
        <w:ind w:left="113" w:right="0"/>
        <w:jc w:val="left"/>
      </w:pPr>
      <w:r>
        <w:rPr/>
        <w:t>应付职工薪酬预计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月份发放</w:t>
      </w:r>
      <w:r>
        <w:rPr>
          <w:rFonts w:ascii="Times New Roman" w:hAnsi="Times New Roman" w:cs="Times New Roman" w:eastAsia="Times New Roman" w:hint="default"/>
        </w:rPr>
        <w:t>124,861.23</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1,633,010.25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159,962.64</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55,367.31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655,068.96</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527,983.20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2,773,117.52</w:t>
            </w:r>
            <w:r>
              <w:rPr>
                <w:rFonts w:ascii="Times New Roman"/>
                <w:sz w:val="18"/>
              </w:rPr>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340,021.19</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79,164.04</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3,875.71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33,934.98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2,768.37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23,168.71</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463,593.74</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2,563,026.03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4,188,010.59</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184,457.78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209,646.67</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184,457.78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209,646.67</w:t>
            </w:r>
          </w:p>
        </w:tc>
      </w:tr>
    </w:tbl>
    <w:p>
      <w:pPr>
        <w:pStyle w:val="BodyText"/>
        <w:spacing w:line="240" w:lineRule="auto" w:before="49"/>
        <w:ind w:right="0"/>
        <w:jc w:val="left"/>
      </w:pPr>
      <w:r>
        <w:rPr/>
        <w:t>应付利息说明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993"/>
        <w:gridCol w:w="2126"/>
        <w:gridCol w:w="2657"/>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50"/>
        <w:ind w:right="0"/>
        <w:jc w:val="left"/>
      </w:pPr>
      <w:r>
        <w:rPr/>
        <w:t>应付股利的说明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1,137,275.68</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1,859,359.24</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931,126.43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058" w:type="dxa"/>
            <w:tcBorders>
              <w:top w:val="single" w:sz="4" w:space="0" w:color="010101"/>
              <w:left w:val="single" w:sz="4" w:space="0" w:color="010101"/>
              <w:bottom w:val="single" w:sz="4" w:space="0" w:color="010101"/>
              <w:right w:val="single" w:sz="4" w:space="0" w:color="010101"/>
            </w:tcBorders>
          </w:tcPr>
          <w:p>
            <w:pPr/>
          </w:p>
        </w:tc>
        <w:tc>
          <w:tcPr>
            <w:tcW w:w="278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2,168,402.11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1,969,359.24</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7"/>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402"/>
        <w:gridCol w:w="1843"/>
        <w:gridCol w:w="2268"/>
        <w:gridCol w:w="1843"/>
      </w:tblGrid>
      <w:tr>
        <w:trPr>
          <w:trHeight w:val="349" w:hRule="exact"/>
        </w:trPr>
        <w:tc>
          <w:tcPr>
            <w:tcW w:w="3402" w:type="dxa"/>
            <w:tcBorders>
              <w:top w:val="single" w:sz="6" w:space="0" w:color="010101"/>
              <w:left w:val="single" w:sz="6" w:space="0" w:color="010101"/>
              <w:bottom w:val="single" w:sz="8" w:space="0" w:color="010101"/>
              <w:right w:val="single" w:sz="6" w:space="0" w:color="010101"/>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3" w:type="dxa"/>
            <w:tcBorders>
              <w:top w:val="single" w:sz="6" w:space="0" w:color="010101"/>
              <w:left w:val="single" w:sz="6" w:space="0" w:color="010101"/>
              <w:bottom w:val="single" w:sz="8" w:space="0" w:color="010101"/>
              <w:right w:val="single" w:sz="6" w:space="0" w:color="010101"/>
            </w:tcBorders>
          </w:tcPr>
          <w:p>
            <w:pPr>
              <w:pStyle w:val="TableParagraph"/>
              <w:spacing w:line="240" w:lineRule="auto" w:before="44"/>
              <w:ind w:left="441" w:right="0"/>
              <w:jc w:val="left"/>
              <w:rPr>
                <w:rFonts w:ascii="Times New Roman" w:hAnsi="Times New Roman" w:cs="Times New Roman" w:eastAsia="Times New Roman" w:hint="default"/>
                <w:sz w:val="21"/>
                <w:szCs w:val="21"/>
              </w:rPr>
            </w:pPr>
            <w:r>
              <w:rPr>
                <w:rFonts w:ascii="Times New Roman"/>
                <w:sz w:val="21"/>
              </w:rPr>
              <w:t>2012.12.31</w:t>
            </w:r>
          </w:p>
        </w:tc>
        <w:tc>
          <w:tcPr>
            <w:tcW w:w="2268" w:type="dxa"/>
            <w:tcBorders>
              <w:top w:val="single" w:sz="6" w:space="0" w:color="010101"/>
              <w:left w:val="single" w:sz="6" w:space="0" w:color="010101"/>
              <w:bottom w:val="single" w:sz="8" w:space="0" w:color="010101"/>
              <w:right w:val="single" w:sz="6" w:space="0" w:color="010101"/>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843" w:type="dxa"/>
            <w:tcBorders>
              <w:top w:val="single" w:sz="6" w:space="0" w:color="010101"/>
              <w:left w:val="single" w:sz="6" w:space="0" w:color="010101"/>
              <w:bottom w:val="single" w:sz="8" w:space="0" w:color="010101"/>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账龄</w:t>
            </w:r>
          </w:p>
        </w:tc>
      </w:tr>
      <w:tr>
        <w:trPr>
          <w:trHeight w:val="353" w:hRule="exact"/>
        </w:trPr>
        <w:tc>
          <w:tcPr>
            <w:tcW w:w="3402" w:type="dxa"/>
            <w:tcBorders>
              <w:top w:val="single" w:sz="8" w:space="0" w:color="010101"/>
              <w:left w:val="single" w:sz="6" w:space="0" w:color="010101"/>
              <w:bottom w:val="single" w:sz="8" w:space="0" w:color="010101"/>
              <w:right w:val="single" w:sz="6" w:space="0" w:color="010101"/>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南京重呈自控设备有限公司</w:t>
            </w:r>
          </w:p>
        </w:tc>
        <w:tc>
          <w:tcPr>
            <w:tcW w:w="1843" w:type="dxa"/>
            <w:tcBorders>
              <w:top w:val="single" w:sz="8" w:space="0" w:color="010101"/>
              <w:left w:val="single" w:sz="6" w:space="0" w:color="010101"/>
              <w:bottom w:val="single" w:sz="8" w:space="0" w:color="010101"/>
              <w:right w:val="single" w:sz="6" w:space="0" w:color="010101"/>
            </w:tcBorders>
          </w:tcPr>
          <w:p>
            <w:pPr>
              <w:pStyle w:val="TableParagraph"/>
              <w:spacing w:line="240" w:lineRule="auto" w:before="45"/>
              <w:ind w:left="882" w:right="0"/>
              <w:jc w:val="left"/>
              <w:rPr>
                <w:rFonts w:ascii="Times New Roman" w:hAnsi="Times New Roman" w:cs="Times New Roman" w:eastAsia="Times New Roman" w:hint="default"/>
                <w:sz w:val="21"/>
                <w:szCs w:val="21"/>
              </w:rPr>
            </w:pPr>
            <w:r>
              <w:rPr>
                <w:rFonts w:ascii="Times New Roman"/>
                <w:sz w:val="21"/>
              </w:rPr>
              <w:t>882,765.00</w:t>
            </w:r>
          </w:p>
        </w:tc>
        <w:tc>
          <w:tcPr>
            <w:tcW w:w="2268" w:type="dxa"/>
            <w:tcBorders>
              <w:top w:val="single" w:sz="8" w:space="0" w:color="010101"/>
              <w:left w:val="single" w:sz="6" w:space="0" w:color="010101"/>
              <w:bottom w:val="single" w:sz="8" w:space="0" w:color="010101"/>
              <w:right w:val="single" w:sz="6" w:space="0" w:color="010101"/>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写字楼出租押金</w:t>
            </w:r>
          </w:p>
        </w:tc>
        <w:tc>
          <w:tcPr>
            <w:tcW w:w="1843" w:type="dxa"/>
            <w:tcBorders>
              <w:top w:val="single" w:sz="8" w:space="0" w:color="010101"/>
              <w:left w:val="single" w:sz="6" w:space="0" w:color="010101"/>
              <w:bottom w:val="single" w:sz="8" w:space="0" w:color="010101"/>
              <w:right w:val="nil" w:sz="6" w:space="0" w:color="auto"/>
            </w:tcBorders>
          </w:tcPr>
          <w:p>
            <w:pPr>
              <w:pStyle w:val="TableParagraph"/>
              <w:spacing w:line="287" w:lineRule="exact"/>
              <w:ind w:right="6"/>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r>
    </w:tbl>
    <w:p>
      <w:pPr>
        <w:spacing w:after="0" w:line="287" w:lineRule="exact"/>
        <w:jc w:val="center"/>
        <w:rPr>
          <w:rFonts w:ascii="宋体" w:hAnsi="宋体" w:cs="宋体" w:eastAsia="宋体" w:hint="default"/>
          <w:sz w:val="21"/>
          <w:szCs w:val="21"/>
        </w:rPr>
        <w:sectPr>
          <w:pgSz w:w="11910" w:h="16840"/>
          <w:pgMar w:header="747" w:footer="980" w:top="1060" w:bottom="1160" w:left="1020" w:right="1020"/>
        </w:sectPr>
      </w:pPr>
    </w:p>
    <w:p>
      <w:pPr>
        <w:spacing w:line="240" w:lineRule="auto" w:before="11"/>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1860"/>
        <w:gridCol w:w="1861"/>
        <w:gridCol w:w="1860"/>
        <w:gridCol w:w="1992"/>
      </w:tblGrid>
      <w:tr>
        <w:trPr>
          <w:trHeight w:val="402" w:hRule="exact"/>
        </w:trPr>
        <w:tc>
          <w:tcPr>
            <w:tcW w:w="19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0"/>
        <w:jc w:val="left"/>
      </w:pPr>
      <w:r>
        <w:rPr/>
        <w:t>预计负债说明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年内到期的长期借款</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1,169,368.39</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1,298,296.82</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1,169,368.39</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1,298,296.82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一年内到期的长期借款</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90"/>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1,169,368.39</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1,298,296.82</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1,169,368.39</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1,298,296.82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360"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060" w:bottom="1160" w:left="1020" w:right="1020"/>
          <w:cols w:num="2" w:equalWidth="0">
            <w:col w:w="4795" w:space="403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6"/>
        <w:gridCol w:w="1063"/>
        <w:gridCol w:w="1062"/>
        <w:gridCol w:w="1062"/>
        <w:gridCol w:w="1062"/>
        <w:gridCol w:w="1064"/>
        <w:gridCol w:w="1064"/>
        <w:gridCol w:w="1062"/>
      </w:tblGrid>
      <w:tr>
        <w:trPr>
          <w:trHeight w:val="402" w:hRule="exact"/>
        </w:trPr>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vMerge/>
            <w:tcBorders>
              <w:left w:val="single" w:sz="4" w:space="0" w:color="010101"/>
              <w:bottom w:val="single" w:sz="4" w:space="0" w:color="010101"/>
              <w:right w:val="single" w:sz="4" w:space="0" w:color="010101"/>
            </w:tcBorders>
            <w:shd w:val="clear" w:color="auto" w:fill="D3D3D3"/>
          </w:tcPr>
          <w:p>
            <w:pP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31"/>
              <w:jc w:val="both"/>
              <w:rPr>
                <w:rFonts w:ascii="宋体" w:hAnsi="宋体" w:cs="宋体" w:eastAsia="宋体" w:hint="default"/>
                <w:sz w:val="18"/>
                <w:szCs w:val="18"/>
              </w:rPr>
            </w:pPr>
            <w:r>
              <w:rPr>
                <w:rFonts w:ascii="宋体" w:hAnsi="宋体" w:cs="宋体" w:eastAsia="宋体" w:hint="default"/>
                <w:sz w:val="18"/>
                <w:szCs w:val="18"/>
              </w:rPr>
              <w:t>興産信用金 庫人形町支 店</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日圆</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731,074.39</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811,678.82</w:t>
            </w:r>
          </w:p>
        </w:tc>
      </w:tr>
      <w:tr>
        <w:trPr>
          <w:trHeight w:val="1026" w:hRule="exact"/>
        </w:trPr>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31"/>
              <w:jc w:val="both"/>
              <w:rPr>
                <w:rFonts w:ascii="宋体" w:hAnsi="宋体" w:cs="宋体" w:eastAsia="宋体" w:hint="default"/>
                <w:sz w:val="18"/>
                <w:szCs w:val="18"/>
              </w:rPr>
            </w:pPr>
            <w:r>
              <w:rPr>
                <w:rFonts w:ascii="宋体" w:hAnsi="宋体" w:cs="宋体" w:eastAsia="宋体" w:hint="default"/>
                <w:sz w:val="18"/>
                <w:szCs w:val="18"/>
              </w:rPr>
              <w:t>興産信用金 庫人形町支 店</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日圆</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6,000,000.00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438,294.00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6,000,000.00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486,618.00</w:t>
            </w:r>
          </w:p>
        </w:tc>
      </w:tr>
      <w:tr>
        <w:trPr>
          <w:trHeight w:val="402" w:hRule="exact"/>
        </w:trPr>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1,169,368.39</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1,298,296.82</w:t>
            </w:r>
          </w:p>
        </w:tc>
      </w:tr>
    </w:tbl>
    <w:p>
      <w:pPr>
        <w:pStyle w:val="BodyText"/>
        <w:spacing w:line="240" w:lineRule="auto" w:before="49"/>
        <w:ind w:right="0"/>
        <w:jc w:val="left"/>
      </w:pPr>
      <w:r>
        <w:rPr/>
        <w:t>一年内到期的长期借款中的逾期借款</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8"/>
        <w:gridCol w:w="1367"/>
        <w:gridCol w:w="1367"/>
        <w:gridCol w:w="1368"/>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49"/>
        <w:ind w:right="7030"/>
        <w:jc w:val="left"/>
      </w:pPr>
      <w:r>
        <w:rPr/>
        <w:t>资产负债表日后已偿还的金额元。 一年内到期的长期借款说明</w:t>
      </w:r>
    </w:p>
    <w:p>
      <w:pPr>
        <w:spacing w:after="0" w:line="360" w:lineRule="auto"/>
        <w:jc w:val="left"/>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一年内到期的应付债券说明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9"/>
        <w:gridCol w:w="1367"/>
        <w:gridCol w:w="1367"/>
        <w:gridCol w:w="1369"/>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0"/>
        <w:ind w:right="0"/>
        <w:jc w:val="left"/>
      </w:pPr>
      <w:r>
        <w:rPr/>
        <w:t>一年内到期的长期应付款的说明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一年内转入利润表的政府补贴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r>
    </w:tbl>
    <w:p>
      <w:pPr>
        <w:pStyle w:val="BodyText"/>
        <w:spacing w:line="240" w:lineRule="auto" w:before="50"/>
        <w:ind w:right="0"/>
        <w:jc w:val="left"/>
      </w:pPr>
      <w:r>
        <w:rPr/>
        <w:t>其他流动负债说明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2,530,417.36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4,107,704.74</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2,530,417.36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4,107,704.74</w:t>
            </w:r>
          </w:p>
        </w:tc>
      </w:tr>
    </w:tbl>
    <w:p>
      <w:pPr>
        <w:pStyle w:val="BodyText"/>
        <w:spacing w:line="240" w:lineRule="auto" w:before="49"/>
        <w:ind w:right="0"/>
        <w:jc w:val="left"/>
      </w:pPr>
      <w:r>
        <w:rPr/>
        <w:t>长期借款分类的说明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6"/>
        <w:gridCol w:w="1063"/>
        <w:gridCol w:w="1064"/>
        <w:gridCol w:w="1064"/>
        <w:gridCol w:w="1063"/>
        <w:gridCol w:w="1064"/>
        <w:gridCol w:w="1064"/>
        <w:gridCol w:w="1057"/>
      </w:tblGrid>
      <w:tr>
        <w:trPr>
          <w:trHeight w:val="402" w:hRule="exact"/>
        </w:trPr>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10101"/>
              <w:bottom w:val="single" w:sz="4" w:space="0" w:color="010101"/>
              <w:right w:val="single" w:sz="4" w:space="0" w:color="010101"/>
            </w:tcBorders>
            <w:shd w:val="clear" w:color="auto" w:fill="D3D3D3"/>
          </w:tcPr>
          <w:p>
            <w:pPr/>
          </w:p>
        </w:tc>
        <w:tc>
          <w:tcPr>
            <w:tcW w:w="1066" w:type="dxa"/>
            <w:vMerge/>
            <w:tcBorders>
              <w:left w:val="single" w:sz="4" w:space="0" w:color="010101"/>
              <w:bottom w:val="single" w:sz="4" w:space="0" w:color="010101"/>
              <w:right w:val="single" w:sz="4" w:space="0" w:color="010101"/>
            </w:tcBorders>
            <w:shd w:val="clear" w:color="auto" w:fill="D3D3D3"/>
          </w:tcPr>
          <w:p>
            <w:pPr/>
          </w:p>
        </w:tc>
        <w:tc>
          <w:tcPr>
            <w:tcW w:w="1063"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4" w:type="dxa"/>
            <w:vMerge/>
            <w:tcBorders>
              <w:left w:val="single" w:sz="4" w:space="0" w:color="010101"/>
              <w:bottom w:val="single" w:sz="4" w:space="0" w:color="010101"/>
              <w:right w:val="single" w:sz="4" w:space="0" w:color="010101"/>
            </w:tcBorders>
            <w:shd w:val="clear" w:color="auto" w:fill="D3D3D3"/>
          </w:tcPr>
          <w:p>
            <w:pP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興産信用金 庫人形町支 店</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日圆</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1,215,535.36</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2,161,232.74</w:t>
            </w:r>
          </w:p>
        </w:tc>
      </w:tr>
      <w:tr>
        <w:trPr>
          <w:trHeight w:val="402" w:hRule="exact"/>
        </w:trPr>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興産信用金</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日圆</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62" w:right="0"/>
              <w:jc w:val="center"/>
              <w:rPr>
                <w:rFonts w:ascii="Times New Roman" w:hAnsi="Times New Roman" w:cs="Times New Roman" w:eastAsia="Times New Roman" w:hint="default"/>
                <w:sz w:val="18"/>
                <w:szCs w:val="18"/>
              </w:rPr>
            </w:pPr>
            <w:r>
              <w:rPr>
                <w:rFonts w:ascii="Times New Roman"/>
                <w:sz w:val="18"/>
              </w:rPr>
              <w:t>18,000,000.0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3" w:right="0"/>
              <w:jc w:val="center"/>
              <w:rPr>
                <w:rFonts w:ascii="Times New Roman" w:hAnsi="Times New Roman" w:cs="Times New Roman" w:eastAsia="Times New Roman" w:hint="default"/>
                <w:sz w:val="18"/>
                <w:szCs w:val="18"/>
              </w:rPr>
            </w:pPr>
            <w:r>
              <w:rPr>
                <w:rFonts w:ascii="Times New Roman"/>
                <w:sz w:val="18"/>
              </w:rPr>
              <w:t>1,314,882.00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0"/>
              <w:ind w:left="61" w:right="0"/>
              <w:jc w:val="center"/>
              <w:rPr>
                <w:rFonts w:ascii="Times New Roman" w:hAnsi="Times New Roman" w:cs="Times New Roman" w:eastAsia="Times New Roman" w:hint="default"/>
                <w:sz w:val="18"/>
                <w:szCs w:val="18"/>
              </w:rPr>
            </w:pPr>
            <w:r>
              <w:rPr>
                <w:rFonts w:ascii="Times New Roman"/>
                <w:sz w:val="18"/>
              </w:rPr>
              <w:t>24,000,000.0</w:t>
            </w:r>
          </w:p>
        </w:tc>
        <w:tc>
          <w:tcPr>
            <w:tcW w:w="1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4" w:right="0"/>
              <w:jc w:val="center"/>
              <w:rPr>
                <w:rFonts w:ascii="Times New Roman" w:hAnsi="Times New Roman" w:cs="Times New Roman" w:eastAsia="Times New Roman" w:hint="default"/>
                <w:sz w:val="18"/>
                <w:szCs w:val="18"/>
              </w:rPr>
            </w:pPr>
            <w:r>
              <w:rPr>
                <w:rFonts w:ascii="Times New Roman"/>
                <w:sz w:val="18"/>
              </w:rPr>
              <w:t>1,946,472.00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6"/>
        <w:gridCol w:w="1063"/>
        <w:gridCol w:w="1064"/>
        <w:gridCol w:w="1064"/>
        <w:gridCol w:w="1063"/>
        <w:gridCol w:w="1064"/>
        <w:gridCol w:w="1064"/>
        <w:gridCol w:w="1057"/>
      </w:tblGrid>
      <w:tr>
        <w:trPr>
          <w:trHeight w:val="674" w:hRule="exact"/>
        </w:trPr>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29"/>
              <w:ind w:left="22" w:right="128"/>
              <w:jc w:val="left"/>
              <w:rPr>
                <w:rFonts w:ascii="宋体" w:hAnsi="宋体" w:cs="宋体" w:eastAsia="宋体" w:hint="default"/>
                <w:sz w:val="18"/>
                <w:szCs w:val="18"/>
              </w:rPr>
            </w:pPr>
            <w:r>
              <w:rPr>
                <w:rFonts w:ascii="宋体" w:hAnsi="宋体" w:cs="宋体" w:eastAsia="宋体" w:hint="default"/>
                <w:sz w:val="18"/>
                <w:szCs w:val="18"/>
              </w:rPr>
              <w:t>庫人形町支 店</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10101"/>
              <w:left w:val="single" w:sz="4" w:space="0" w:color="010101"/>
              <w:bottom w:val="single" w:sz="4" w:space="0" w:color="010101"/>
              <w:right w:val="single" w:sz="4" w:space="0" w:color="010101"/>
            </w:tcBorders>
          </w:tcPr>
          <w:p>
            <w:pP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2,530,417.36</w:t>
            </w:r>
          </w:p>
        </w:tc>
        <w:tc>
          <w:tcPr>
            <w:tcW w:w="10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4,107,704.74</w:t>
            </w:r>
          </w:p>
        </w:tc>
      </w:tr>
    </w:tbl>
    <w:p>
      <w:pPr>
        <w:pStyle w:val="BodyText"/>
        <w:spacing w:line="240" w:lineRule="auto" w:before="50"/>
        <w:ind w:right="0"/>
        <w:jc w:val="left"/>
      </w:pPr>
      <w:r>
        <w:rPr/>
        <w:t>长期借款说明，因逾期借款获得展期形成的长期借款，应说明获得展期的条件、本金、利息、预计还款安排等</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应付债券说明，包括可转换公司债券的转股条件、转股时间</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7"/>
        <w:gridCol w:w="1727"/>
        <w:gridCol w:w="1726"/>
        <w:gridCol w:w="1595"/>
        <w:gridCol w:w="1594"/>
      </w:tblGrid>
      <w:tr>
        <w:trPr>
          <w:trHeight w:val="402" w:hRule="exact"/>
        </w:trPr>
        <w:tc>
          <w:tcPr>
            <w:tcW w:w="29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50"/>
        <w:ind w:right="5770"/>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327"/>
        <w:gridCol w:w="1330"/>
        <w:gridCol w:w="1195"/>
        <w:gridCol w:w="1328"/>
        <w:gridCol w:w="1994"/>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0"/>
        <w:ind w:right="0"/>
        <w:jc w:val="left"/>
      </w:pPr>
      <w:r>
        <w:rPr/>
        <w:t>专项应付款说明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790"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雨花润和软件外包园项目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1,087,500.00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1,117,500.00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润和国际软件外包研发总部基地项目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4,500,000.00</w:t>
            </w:r>
          </w:p>
        </w:tc>
        <w:tc>
          <w:tcPr>
            <w:tcW w:w="3056"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790"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企业供应链管理软件工程技术研究中心项目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企业供应链管理软件项目</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7,000,000.00</w:t>
            </w:r>
          </w:p>
        </w:tc>
        <w:tc>
          <w:tcPr>
            <w:tcW w:w="305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润和三网融合视频平台项目</w:t>
            </w:r>
          </w:p>
        </w:tc>
        <w:tc>
          <w:tcPr>
            <w:tcW w:w="2790"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企业供应链管理软件研发项目</w:t>
            </w:r>
          </w:p>
        </w:tc>
        <w:tc>
          <w:tcPr>
            <w:tcW w:w="2790"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12,687,500.00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2,417,500.00</w:t>
            </w:r>
          </w:p>
        </w:tc>
      </w:tr>
    </w:tbl>
    <w:p>
      <w:pPr>
        <w:pStyle w:val="BodyText"/>
        <w:spacing w:line="240" w:lineRule="auto" w:before="50"/>
        <w:ind w:right="0"/>
        <w:jc w:val="left"/>
      </w:pPr>
      <w:r>
        <w:rPr/>
        <w:t>其他非流动负债说明，包括本报告期取得的各类与资产相关、与收益相关的政府补助及其期末金额</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402" w:hRule="exact"/>
        </w:trPr>
        <w:tc>
          <w:tcPr>
            <w:tcW w:w="1196" w:type="dxa"/>
            <w:vMerge w:val="restart"/>
            <w:tcBorders>
              <w:top w:val="single" w:sz="4" w:space="0" w:color="010101"/>
              <w:left w:val="single" w:sz="4" w:space="0" w:color="010101"/>
              <w:right w:val="single" w:sz="4" w:space="0" w:color="010101"/>
            </w:tcBorders>
            <w:shd w:val="clear" w:color="auto" w:fill="D3D3D3"/>
          </w:tcPr>
          <w:p>
            <w:pP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10101"/>
              <w:bottom w:val="single" w:sz="4" w:space="0" w:color="010101"/>
              <w:right w:val="single" w:sz="4" w:space="0" w:color="010101"/>
            </w:tcBorders>
            <w:shd w:val="clear" w:color="auto" w:fill="D3D3D3"/>
          </w:tcPr>
          <w:p>
            <w:pPr/>
          </w:p>
        </w:tc>
        <w:tc>
          <w:tcPr>
            <w:tcW w:w="1196" w:type="dxa"/>
            <w:vMerge/>
            <w:tcBorders>
              <w:left w:val="single" w:sz="4" w:space="0" w:color="010101"/>
              <w:bottom w:val="single" w:sz="4" w:space="0" w:color="010101"/>
              <w:right w:val="single" w:sz="4" w:space="0" w:color="010101"/>
            </w:tcBorders>
            <w:shd w:val="clear" w:color="auto" w:fill="D3D3D3"/>
          </w:tcPr>
          <w:p>
            <w:pP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57,550,000.00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19,190,000.00</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19,190,000.00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76,740,000.00</w:t>
            </w:r>
          </w:p>
        </w:tc>
      </w:tr>
    </w:tbl>
    <w:p>
      <w:pPr>
        <w:pStyle w:val="BodyText"/>
        <w:spacing w:line="240" w:lineRule="auto" w:before="50"/>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库存股情况说明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专项储备情况说明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82,935,453.87</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332,624,698.67</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415,560,152.54</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82,935,453.87</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332,624,698.67</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415,560,152.54</w:t>
            </w:r>
          </w:p>
        </w:tc>
      </w:tr>
    </w:tbl>
    <w:p>
      <w:pPr>
        <w:pStyle w:val="BodyText"/>
        <w:spacing w:line="240" w:lineRule="auto" w:before="49"/>
        <w:ind w:right="0"/>
        <w:jc w:val="left"/>
      </w:pPr>
      <w:r>
        <w:rPr/>
        <w:t>资本公积说明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12,912,905.41</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6,431,143.98</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19,344,049.39</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12,912,905.41</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6,431,143.98</w:t>
            </w:r>
          </w:p>
        </w:tc>
        <w:tc>
          <w:tcPr>
            <w:tcW w:w="1726"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19,344,049.39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t>盈余公积说明，用盈余公积转增股本、弥补亏损、分派股利的，应说明有关决议</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一般风险准备情况说明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96,140,619.55</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96,140,619.55</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65,547,736.31</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6,431,143.98</w:t>
            </w:r>
          </w:p>
        </w:tc>
        <w:tc>
          <w:tcPr>
            <w:tcW w:w="21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11,511,000.00</w:t>
            </w:r>
            <w:r>
              <w:rPr>
                <w:rFonts w:ascii="Times New Roman"/>
                <w:sz w:val="18"/>
              </w:rPr>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143,746,211.88</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调整年初未分配利润明细：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5"/>
        </w:rPr>
        <w:t> </w:t>
      </w:r>
      <w:r>
        <w:rPr>
          <w:spacing w:val="-65"/>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309" w:lineRule="auto" w:before="53"/>
        <w:ind w:right="111" w:firstLine="450"/>
        <w:jc w:val="both"/>
      </w:pP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2011</w:t>
      </w:r>
      <w:r>
        <w:rPr>
          <w:spacing w:val="-2"/>
        </w:rPr>
        <w:t>年度股东大会审议通过了《关于本次发行前滚存利润分配方案的议案》，同意本次股票</w:t>
      </w:r>
      <w:r>
        <w:rPr/>
        <w:t> </w:t>
      </w:r>
      <w:r>
        <w:rPr>
          <w:spacing w:val="-2"/>
        </w:rPr>
        <w:t>发行前滚存利润分配方案为：为平等对待所有股东，兼顾新老股东的利益，公司本次公开发行前实现的未分配利润由公司本</w:t>
      </w:r>
      <w:r>
        <w:rPr>
          <w:spacing w:val="-65"/>
        </w:rPr>
        <w:t> </w:t>
      </w:r>
      <w:r>
        <w:rPr>
          <w:spacing w:val="-65"/>
        </w:rPr>
      </w:r>
      <w:r>
        <w:rPr/>
        <w:t>次发行前后的新老股东共享。</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377,412,444.20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232,187,747.64</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2,122,771.82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2,095,524.92</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229,222,712.53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126,983,897.63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计算机软件开发与咨询</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377,412,444.20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228,137,578.68</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232,187,747.64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125,911,407.98</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7" w:right="0"/>
              <w:jc w:val="left"/>
              <w:rPr>
                <w:rFonts w:ascii="Times New Roman" w:hAnsi="Times New Roman" w:cs="Times New Roman" w:eastAsia="Times New Roman" w:hint="default"/>
                <w:sz w:val="18"/>
                <w:szCs w:val="18"/>
              </w:rPr>
            </w:pPr>
            <w:r>
              <w:rPr>
                <w:rFonts w:ascii="Times New Roman"/>
                <w:sz w:val="18"/>
              </w:rPr>
              <w:t>377,412,444.20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228,137,578.68</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232,187,747.64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125,911,407.98</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140,660,246.82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75,502,666.67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103,538,286.96</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53,457,125.04</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智能终端嵌入式软件</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98,747,682.44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50,688,846.72</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64,929,112.04</w:t>
            </w:r>
            <w:r>
              <w:rPr>
                <w:rFonts w:ascii="Times New Roman"/>
                <w:sz w:val="18"/>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31,009,023.66</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智能电网应用软件</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49,955,431.20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27,979,852.70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31,731,566.00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17,701,691.82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41,890,516.52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36,589,875.59</w:t>
            </w:r>
          </w:p>
        </w:tc>
        <w:tc>
          <w:tcPr>
            <w:tcW w:w="1728"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其它软件</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25,781,018.52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17,442,248.63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19,978,174.51</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12,253,693.22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外购软硬件销售</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20,377,548.70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19,934,088.37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12,010,608.13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11,489,874.24</w:t>
            </w:r>
            <w:r>
              <w:rPr>
                <w:rFonts w:ascii="Times New Roman"/>
                <w:sz w:val="18"/>
              </w:rPr>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377,412,444.20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228,137,578.68</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232,187,747.64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125,911,407.98</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115,292,964.97</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57,175,769.15</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92,667,778.36</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44,390,351.76</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262,119,479.23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170,961,809.53</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139,519,969.28</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81,521,056.22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377,412,444.20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228,137,578.68</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232,187,747.64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125,911,407.98</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青岛海信电器股份有限公司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41,890,516.52</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11.04%</w:t>
            </w:r>
            <w:r>
              <w:rPr>
                <w:rFonts w:ascii="Times New Roman"/>
                <w:sz w:val="18"/>
              </w:rPr>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江苏方天电力技术有限公司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16,973,770.59</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15,301,181.41</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捷开通讯科技（上海）有限公司</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12,931,573.26</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tabs>
                <w:tab w:pos="1041" w:val="left" w:leader="none"/>
              </w:tabs>
              <w:spacing w:line="240" w:lineRule="auto" w:before="91"/>
              <w:ind w:left="22" w:right="0"/>
              <w:jc w:val="left"/>
              <w:rPr>
                <w:rFonts w:ascii="Times New Roman" w:hAnsi="Times New Roman" w:cs="Times New Roman" w:eastAsia="Times New Roman" w:hint="default"/>
                <w:sz w:val="18"/>
                <w:szCs w:val="18"/>
              </w:rPr>
            </w:pPr>
            <w:r>
              <w:rPr>
                <w:rFonts w:ascii="Times New Roman"/>
                <w:spacing w:val="-1"/>
                <w:sz w:val="18"/>
              </w:rPr>
              <w:t>Airbiquity</w:t>
              <w:tab/>
              <w:t>Inc</w:t>
            </w:r>
            <w:r>
              <w:rPr>
                <w:rFonts w:ascii="Times New Roman"/>
                <w:sz w:val="18"/>
              </w:rPr>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12,805,203.11</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99,902,244.89</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w:t>
            </w:r>
          </w:p>
        </w:tc>
      </w:tr>
    </w:tbl>
    <w:p>
      <w:pPr>
        <w:pStyle w:val="BodyText"/>
        <w:spacing w:line="240" w:lineRule="auto" w:before="50"/>
        <w:ind w:right="0"/>
        <w:jc w:val="left"/>
      </w:pPr>
      <w:r>
        <w:rPr/>
        <w:t>营业收入的说明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5"/>
        <w:gridCol w:w="1592"/>
        <w:gridCol w:w="1594"/>
        <w:gridCol w:w="1595"/>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42" w:right="23" w:hanging="120"/>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50"/>
        <w:ind w:right="0"/>
        <w:jc w:val="left"/>
      </w:pPr>
      <w:r>
        <w:rPr/>
        <w:t>合同项目的说明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1,647,471.26</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2,097,367.00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147,449.05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148,761.46</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108,658.68</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103,932.91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623,233.08</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551,512.10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1.2%*0.7</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2,526,812.07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2,901,573.47</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营业税金及附加的说明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12,050,015.92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8,763,191.15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3,150,663.70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3,262,613.78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8,173,183.81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2,011,276.51</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2,894,100.80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149,857.14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769,039.60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364,460.84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房租及物业</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56,375.52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182,336.42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275,100.42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359,650.75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27,368,479.77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15,093,386.59</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80" w:header="747" w:top="1060" w:bottom="1160" w:left="1020" w:right="1020"/>
          <w:pgNumType w:start="131"/>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20,981,036.88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8,538,498.19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15,319,286.35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12,545,839.20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5,594,834.17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1,992,795.48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4,837,227.33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3,453,883.47</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3,234,773.75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2,943,941.59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2,999,100.33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1,586,774.35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1,961,123.07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2,174,829.94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1,444,579.38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1,003,955.75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918,499.69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1,520,361.28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3,474,175.00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2,525,674.68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60,764,635.95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38,286,553.93</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8,194,250.50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7,153,816.65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-6,106,398.64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-2,293,526.01</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1,572,287.90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227,315.60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275,247.63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250,765.55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担保费等融资费用</w:t>
            </w: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869,612.00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3,935,387.39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6,207,983.79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897,600.00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897,600.00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897,600.00</w:t>
            </w:r>
          </w:p>
        </w:tc>
        <w:tc>
          <w:tcPr>
            <w:tcW w:w="2921"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49"/>
        <w:ind w:right="0"/>
        <w:jc w:val="left"/>
      </w:pPr>
      <w:r>
        <w:rPr/>
        <w:t>公允价值变动收益的说明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8"/>
        <w:gridCol w:w="2789"/>
        <w:gridCol w:w="2921"/>
      </w:tblGrid>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1,168,900.00</w:t>
            </w:r>
            <w:r>
              <w:rPr>
                <w:rFonts w:ascii="Times New Roman"/>
                <w:sz w:val="18"/>
              </w:rPr>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-143,906.40</w:t>
            </w:r>
          </w:p>
        </w:tc>
      </w:tr>
      <w:tr>
        <w:trPr>
          <w:trHeight w:val="402" w:hRule="exact"/>
        </w:trPr>
        <w:tc>
          <w:tcPr>
            <w:tcW w:w="38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1,168,900.00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-143,906.40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21"/>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0"/>
        <w:ind w:right="0"/>
        <w:jc w:val="left"/>
      </w:pPr>
      <w:r>
        <w:rPr/>
        <w:t>投资收益的说明，若投资收益汇回有重大限制的，应予以说明。若不存在此类重大限制，也应做出说明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3,599,838.12</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566,494.98</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3,599,838.12</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566,494.98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714"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93" w:right="84"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17,503,243.07</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9,863,935.99</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17,503,243.07</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17,503,243.07</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9,863,935.99</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17,503,243.07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after="0" w:line="240" w:lineRule="auto"/>
        <w:jc w:val="right"/>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省级基地龙头型服务外包企业奖 励（</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苏财工贸</w:t>
            </w:r>
            <w:r>
              <w:rPr>
                <w:rFonts w:ascii="Times New Roman" w:hAnsi="Times New Roman" w:cs="Times New Roman" w:eastAsia="Times New Roman" w:hint="default"/>
                <w:sz w:val="18"/>
                <w:szCs w:val="18"/>
              </w:rPr>
              <w:t>[2011]185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省级基地龙头型服务外包企业奖 励（</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苏财工贸</w:t>
            </w:r>
            <w:r>
              <w:rPr>
                <w:rFonts w:ascii="Times New Roman" w:hAnsi="Times New Roman" w:cs="Times New Roman" w:eastAsia="Times New Roman" w:hint="default"/>
                <w:sz w:val="18"/>
                <w:szCs w:val="18"/>
              </w:rPr>
              <w:t>[2011]167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软件产业发展专项补助资金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雨财</w:t>
            </w:r>
            <w:r>
              <w:rPr>
                <w:rFonts w:ascii="Times New Roman" w:hAnsi="Times New Roman" w:cs="Times New Roman" w:eastAsia="Times New Roman" w:hint="default"/>
                <w:sz w:val="18"/>
                <w:szCs w:val="18"/>
              </w:rPr>
              <w:t>[2012]8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省创新团队人才资助资金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省级人才专项资金</w:t>
            </w:r>
            <w:r>
              <w:rPr>
                <w:rFonts w:ascii="Times New Roman" w:hAnsi="Times New Roman" w:cs="Times New Roman" w:eastAsia="Times New Roman" w:hint="default"/>
                <w:sz w:val="18"/>
                <w:szCs w:val="18"/>
              </w:rPr>
              <w:t>"</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拨付的报告</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省创新团队人才资助资金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省创新团队</w:t>
            </w:r>
            <w:r>
              <w:rPr>
                <w:rFonts w:ascii="Times New Roman" w:hAnsi="Times New Roman" w:cs="Times New Roman" w:eastAsia="Times New Roman" w:hint="default"/>
                <w:sz w:val="18"/>
                <w:szCs w:val="18"/>
              </w:rPr>
              <w:t>"</w:t>
            </w:r>
            <w:r>
              <w:rPr>
                <w:rFonts w:ascii="宋体" w:hAnsi="宋体" w:cs="宋体" w:eastAsia="宋体" w:hint="default"/>
                <w:sz w:val="18"/>
                <w:szCs w:val="18"/>
              </w:rPr>
              <w:t>人才</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资助资金拨付的报告</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财政拨款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宁经信软件</w:t>
            </w:r>
            <w:r>
              <w:rPr>
                <w:rFonts w:ascii="Times New Roman" w:hAnsi="Times New Roman" w:cs="Times New Roman" w:eastAsia="Times New Roman" w:hint="default"/>
                <w:sz w:val="18"/>
                <w:szCs w:val="18"/>
              </w:rPr>
              <w:t>[2010]458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[2010]1090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省级现代服务业金融业发展引导 专项资金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苏财金</w:t>
            </w:r>
            <w:r>
              <w:rPr>
                <w:rFonts w:ascii="Times New Roman" w:hAnsi="Times New Roman" w:cs="Times New Roman" w:eastAsia="Times New Roman" w:hint="default"/>
                <w:sz w:val="18"/>
                <w:szCs w:val="18"/>
              </w:rPr>
              <w:t>[2012]45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服务外包企业新录大学生岗前培 训资助</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[2012]666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软件产业领军人物滚动补助</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宁经信软件</w:t>
            </w:r>
            <w:r>
              <w:rPr>
                <w:rFonts w:ascii="Times New Roman" w:hAnsi="Times New Roman" w:cs="Times New Roman" w:eastAsia="Times New Roman" w:hint="default"/>
                <w:sz w:val="18"/>
                <w:szCs w:val="18"/>
              </w:rPr>
              <w:t>[2012]305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[2012]581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成长型企业补助</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宁经信投资</w:t>
            </w:r>
            <w:r>
              <w:rPr>
                <w:rFonts w:ascii="Times New Roman" w:hAnsi="Times New Roman" w:cs="Times New Roman" w:eastAsia="Times New Roman" w:hint="default"/>
                <w:sz w:val="18"/>
                <w:szCs w:val="18"/>
              </w:rPr>
              <w:t>[2011]352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[2011]644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省级企业技术中心资助</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宁经信投资</w:t>
            </w:r>
            <w:r>
              <w:rPr>
                <w:rFonts w:ascii="Times New Roman" w:hAnsi="Times New Roman" w:cs="Times New Roman" w:eastAsia="Times New Roman" w:hint="default"/>
                <w:sz w:val="18"/>
                <w:szCs w:val="18"/>
              </w:rPr>
              <w:t>[2012]315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[2012]588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服务外包公共平台项目补贴资金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宁商外包</w:t>
            </w:r>
            <w:r>
              <w:rPr>
                <w:rFonts w:ascii="Times New Roman" w:hAnsi="Times New Roman" w:cs="Times New Roman" w:eastAsia="Times New Roman" w:hint="default"/>
                <w:sz w:val="18"/>
                <w:szCs w:val="18"/>
              </w:rPr>
              <w:t>[2012]2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[2012]44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省双创计划人才资助资金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省级人才专项资金</w:t>
            </w:r>
            <w:r>
              <w:rPr>
                <w:rFonts w:ascii="Times New Roman" w:hAnsi="Times New Roman" w:cs="Times New Roman" w:eastAsia="Times New Roman" w:hint="default"/>
                <w:sz w:val="18"/>
                <w:szCs w:val="18"/>
              </w:rPr>
              <w:t>"</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拨付的报告</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上市补助经费</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雨发改字</w:t>
            </w:r>
            <w:r>
              <w:rPr>
                <w:rFonts w:ascii="Times New Roman" w:hAnsi="Times New Roman" w:cs="Times New Roman" w:eastAsia="Times New Roman" w:hint="default"/>
                <w:sz w:val="18"/>
                <w:szCs w:val="18"/>
              </w:rPr>
              <w:t>[2012]39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2"/>
              <w:jc w:val="left"/>
              <w:rPr>
                <w:rFonts w:ascii="宋体" w:hAnsi="宋体" w:cs="宋体" w:eastAsia="宋体" w:hint="default"/>
                <w:sz w:val="18"/>
                <w:szCs w:val="18"/>
              </w:rPr>
            </w:pPr>
            <w:r>
              <w:rPr>
                <w:rFonts w:ascii="宋体" w:hAnsi="宋体" w:cs="宋体" w:eastAsia="宋体" w:hint="default"/>
                <w:sz w:val="18"/>
                <w:szCs w:val="18"/>
              </w:rPr>
              <w:t>入选</w:t>
            </w:r>
            <w:r>
              <w:rPr>
                <w:rFonts w:ascii="Times New Roman" w:hAnsi="Times New Roman" w:cs="Times New Roman" w:eastAsia="Times New Roman" w:hint="default"/>
                <w:sz w:val="18"/>
                <w:szCs w:val="18"/>
              </w:rPr>
              <w:t>"</w:t>
            </w:r>
            <w:r>
              <w:rPr>
                <w:rFonts w:ascii="宋体" w:hAnsi="宋体" w:cs="宋体" w:eastAsia="宋体" w:hint="default"/>
                <w:sz w:val="18"/>
                <w:szCs w:val="18"/>
              </w:rPr>
              <w:t>中国领军及百强服务外包企 业</w:t>
            </w:r>
            <w:r>
              <w:rPr>
                <w:rFonts w:ascii="Times New Roman" w:hAnsi="Times New Roman" w:cs="Times New Roman" w:eastAsia="Times New Roman" w:hint="default"/>
                <w:sz w:val="18"/>
                <w:szCs w:val="18"/>
              </w:rPr>
              <w:t>"</w:t>
            </w:r>
            <w:r>
              <w:rPr>
                <w:rFonts w:ascii="宋体" w:hAnsi="宋体" w:cs="宋体" w:eastAsia="宋体" w:hint="default"/>
                <w:sz w:val="18"/>
                <w:szCs w:val="18"/>
              </w:rPr>
              <w:t>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[2012]666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财政拨款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宁科</w:t>
            </w:r>
            <w:r>
              <w:rPr>
                <w:rFonts w:ascii="Times New Roman" w:hAnsi="Times New Roman" w:cs="Times New Roman" w:eastAsia="Times New Roman" w:hint="default"/>
                <w:sz w:val="18"/>
                <w:szCs w:val="18"/>
              </w:rPr>
              <w:t>[2011]109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宁财教</w:t>
            </w:r>
            <w:r>
              <w:rPr>
                <w:rFonts w:ascii="Times New Roman" w:hAnsi="Times New Roman" w:cs="Times New Roman" w:eastAsia="Times New Roman" w:hint="default"/>
                <w:sz w:val="18"/>
                <w:szCs w:val="18"/>
              </w:rPr>
              <w:t>[2011]453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市级科技项目经费</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宁科</w:t>
            </w:r>
            <w:r>
              <w:rPr>
                <w:rFonts w:ascii="Times New Roman" w:hAnsi="Times New Roman" w:cs="Times New Roman" w:eastAsia="Times New Roman" w:hint="default"/>
                <w:sz w:val="18"/>
                <w:szCs w:val="18"/>
              </w:rPr>
              <w:t>[2012]115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宁财教</w:t>
            </w:r>
            <w:r>
              <w:rPr>
                <w:rFonts w:ascii="Times New Roman" w:hAnsi="Times New Roman" w:cs="Times New Roman" w:eastAsia="Times New Roman" w:hint="default"/>
                <w:sz w:val="18"/>
                <w:szCs w:val="18"/>
              </w:rPr>
              <w:t>[2012]333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财政拨款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苏财建</w:t>
            </w:r>
            <w:r>
              <w:rPr>
                <w:rFonts w:ascii="Times New Roman" w:hAnsi="Times New Roman" w:cs="Times New Roman" w:eastAsia="Times New Roman" w:hint="default"/>
                <w:sz w:val="18"/>
                <w:szCs w:val="18"/>
              </w:rPr>
              <w:t>[2009]332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上市培育资助</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1" w:right="1019"/>
              <w:jc w:val="left"/>
              <w:rPr>
                <w:rFonts w:ascii="宋体" w:hAnsi="宋体" w:cs="宋体" w:eastAsia="宋体" w:hint="default"/>
                <w:sz w:val="18"/>
                <w:szCs w:val="18"/>
              </w:rPr>
            </w:pPr>
            <w:r>
              <w:rPr>
                <w:rFonts w:ascii="宋体" w:hAnsi="宋体" w:cs="宋体" w:eastAsia="宋体" w:hint="default"/>
                <w:sz w:val="18"/>
                <w:szCs w:val="18"/>
              </w:rPr>
              <w:t>宁经信软件</w:t>
            </w:r>
            <w:r>
              <w:rPr>
                <w:rFonts w:ascii="Times New Roman" w:hAnsi="Times New Roman" w:cs="Times New Roman" w:eastAsia="Times New Roman" w:hint="default"/>
                <w:sz w:val="18"/>
                <w:szCs w:val="18"/>
              </w:rPr>
              <w:t>[2011]460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宁财企</w:t>
            </w:r>
            <w:r>
              <w:rPr>
                <w:rFonts w:ascii="Times New Roman" w:hAnsi="Times New Roman" w:cs="Times New Roman" w:eastAsia="Times New Roman" w:hint="default"/>
                <w:sz w:val="18"/>
                <w:szCs w:val="18"/>
              </w:rPr>
              <w:t>[2011]955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bl>
    <w:p>
      <w:pPr>
        <w:spacing w:after="0" w:line="30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骨干型企业奖励</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[2011]1040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财政拨款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宁科</w:t>
            </w:r>
            <w:r>
              <w:rPr>
                <w:rFonts w:ascii="Times New Roman" w:hAnsi="Times New Roman" w:cs="Times New Roman" w:eastAsia="Times New Roman" w:hint="default"/>
                <w:sz w:val="18"/>
                <w:szCs w:val="18"/>
              </w:rPr>
              <w:t>[2009]198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宁财教</w:t>
            </w:r>
            <w:r>
              <w:rPr>
                <w:rFonts w:ascii="Times New Roman" w:hAnsi="Times New Roman" w:cs="Times New Roman" w:eastAsia="Times New Roman" w:hint="default"/>
                <w:sz w:val="18"/>
                <w:szCs w:val="18"/>
              </w:rPr>
              <w:t>[2009]658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宁科</w:t>
            </w:r>
            <w:r>
              <w:rPr>
                <w:rFonts w:ascii="Times New Roman" w:hAnsi="Times New Roman" w:cs="Times New Roman" w:eastAsia="Times New Roman" w:hint="default"/>
                <w:sz w:val="18"/>
                <w:szCs w:val="18"/>
              </w:rPr>
              <w:t>[2010]123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宁财教</w:t>
            </w:r>
            <w:r>
              <w:rPr>
                <w:rFonts w:ascii="Times New Roman" w:hAnsi="Times New Roman" w:cs="Times New Roman" w:eastAsia="Times New Roman" w:hint="default"/>
                <w:sz w:val="18"/>
                <w:szCs w:val="18"/>
              </w:rPr>
              <w:t>[2010]472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软件产业领军人物补助</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1" w:right="1019"/>
              <w:jc w:val="left"/>
              <w:rPr>
                <w:rFonts w:ascii="宋体" w:hAnsi="宋体" w:cs="宋体" w:eastAsia="宋体" w:hint="default"/>
                <w:sz w:val="18"/>
                <w:szCs w:val="18"/>
              </w:rPr>
            </w:pPr>
            <w:r>
              <w:rPr>
                <w:rFonts w:ascii="宋体" w:hAnsi="宋体" w:cs="宋体" w:eastAsia="宋体" w:hint="default"/>
                <w:sz w:val="18"/>
                <w:szCs w:val="18"/>
              </w:rPr>
              <w:t>宁经信软件</w:t>
            </w:r>
            <w:r>
              <w:rPr>
                <w:rFonts w:ascii="Times New Roman" w:hAnsi="Times New Roman" w:cs="Times New Roman" w:eastAsia="Times New Roman" w:hint="default"/>
                <w:sz w:val="18"/>
                <w:szCs w:val="18"/>
              </w:rPr>
              <w:t>[2011]460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宁财企</w:t>
            </w:r>
            <w:r>
              <w:rPr>
                <w:rFonts w:ascii="Times New Roman" w:hAnsi="Times New Roman" w:cs="Times New Roman" w:eastAsia="Times New Roman" w:hint="default"/>
                <w:sz w:val="18"/>
                <w:szCs w:val="18"/>
              </w:rPr>
              <w:t>[2011]955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骨干外包企业奖励</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苏财工贸</w:t>
            </w:r>
            <w:r>
              <w:rPr>
                <w:rFonts w:ascii="Times New Roman" w:hAnsi="Times New Roman" w:cs="Times New Roman" w:eastAsia="Times New Roman" w:hint="default"/>
                <w:sz w:val="18"/>
                <w:szCs w:val="18"/>
              </w:rPr>
              <w:t>[2011]136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人才培训补贴</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486,000.00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苏财办</w:t>
            </w:r>
            <w:r>
              <w:rPr>
                <w:rFonts w:ascii="Times New Roman" w:hAnsi="Times New Roman" w:cs="Times New Roman" w:eastAsia="Times New Roman" w:hint="default"/>
                <w:sz w:val="18"/>
                <w:szCs w:val="18"/>
              </w:rPr>
              <w:t>[2011]167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软件产业奖励和补助经费</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477,032.00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雨花台区科技局证明</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技术出口贴息资金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415,500.00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苏财工贸</w:t>
            </w:r>
            <w:r>
              <w:rPr>
                <w:rFonts w:ascii="Times New Roman" w:hAnsi="Times New Roman" w:cs="Times New Roman" w:eastAsia="Times New Roman" w:hint="default"/>
                <w:sz w:val="18"/>
                <w:szCs w:val="18"/>
              </w:rPr>
              <w:t>[2011]130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服务外包业务奖励</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364,500.00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入选领军及外包企业</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[2011]1040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境外接单中心资助</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274,000.00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[2011]1040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外包企业岗前培训资助</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[2011]1040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人才引进资助</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关于拨付省级人才</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专项资金的通知</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维护费用补助资金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122,000.00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宁财企</w:t>
            </w:r>
            <w:r>
              <w:rPr>
                <w:rFonts w:ascii="Times New Roman" w:hAnsi="Times New Roman" w:cs="Times New Roman" w:eastAsia="Times New Roman" w:hint="default"/>
                <w:sz w:val="18"/>
                <w:szCs w:val="18"/>
              </w:rPr>
              <w:t>[2011]1040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财政拨款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苏发改服务字</w:t>
            </w:r>
            <w:r>
              <w:rPr>
                <w:rFonts w:ascii="Times New Roman" w:hAnsi="Times New Roman" w:cs="Times New Roman" w:eastAsia="Times New Roman" w:hint="default"/>
                <w:sz w:val="18"/>
                <w:szCs w:val="18"/>
              </w:rPr>
              <w:t>[2008]600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133,243.07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154,903.99</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17,503,243.07</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9,863,935.99</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0"/>
        <w:jc w:val="left"/>
      </w:pPr>
      <w:r>
        <w:rPr/>
        <w:t>营业外收入说明</w:t>
      </w:r>
    </w:p>
    <w:p>
      <w:pPr>
        <w:pStyle w:val="BodyText"/>
        <w:spacing w:line="300" w:lineRule="auto" w:before="116"/>
        <w:ind w:left="113" w:right="86"/>
        <w:jc w:val="left"/>
      </w:pPr>
      <w:r>
        <w:rPr/>
        <w:t>注</w:t>
      </w:r>
      <w:r>
        <w:rPr>
          <w:rFonts w:ascii="Times New Roman" w:hAnsi="Times New Roman" w:cs="Times New Roman" w:eastAsia="Times New Roman" w:hint="default"/>
        </w:rPr>
        <w:t>1:</w:t>
      </w:r>
      <w:r>
        <w:rPr/>
        <w:t>系资金润和三网融合视频平台项目资金，该项目</w:t>
      </w:r>
      <w:r>
        <w:rPr>
          <w:rFonts w:ascii="Times New Roman" w:hAnsi="Times New Roman" w:cs="Times New Roman" w:eastAsia="Times New Roman" w:hint="default"/>
        </w:rPr>
        <w:t>2012</w:t>
      </w:r>
      <w:r>
        <w:rPr/>
        <w:t>年完成验收。 注</w:t>
      </w:r>
      <w:r>
        <w:rPr>
          <w:rFonts w:ascii="Times New Roman" w:hAnsi="Times New Roman" w:cs="Times New Roman" w:eastAsia="Times New Roman" w:hint="default"/>
        </w:rPr>
        <w:t>2:</w:t>
      </w:r>
      <w:r>
        <w:rPr/>
        <w:t>系企业供应链管理软件研发项目资金，该项目</w:t>
      </w:r>
      <w:r>
        <w:rPr>
          <w:rFonts w:ascii="Times New Roman" w:hAnsi="Times New Roman" w:cs="Times New Roman" w:eastAsia="Times New Roman" w:hint="default"/>
        </w:rPr>
        <w:t>2012</w:t>
      </w:r>
      <w:r>
        <w:rPr/>
        <w:t>年完成验收。 注</w:t>
      </w:r>
      <w:r>
        <w:rPr>
          <w:rFonts w:ascii="Times New Roman" w:hAnsi="Times New Roman" w:cs="Times New Roman" w:eastAsia="Times New Roman" w:hint="default"/>
        </w:rPr>
        <w:t>3:</w:t>
      </w:r>
      <w:r>
        <w:rPr/>
        <w:t>系基于</w:t>
      </w:r>
      <w:r>
        <w:rPr>
          <w:rFonts w:ascii="Times New Roman" w:hAnsi="Times New Roman" w:cs="Times New Roman" w:eastAsia="Times New Roman" w:hint="default"/>
        </w:rPr>
        <w:t>GIS</w:t>
      </w:r>
      <w:r>
        <w:rPr/>
        <w:t>技术的商圈分析应用</w:t>
      </w:r>
      <w:r>
        <w:rPr>
          <w:rFonts w:ascii="Times New Roman" w:hAnsi="Times New Roman" w:cs="Times New Roman" w:eastAsia="Times New Roman" w:hint="default"/>
        </w:rPr>
        <w:t>SaaS</w:t>
      </w:r>
      <w:r>
        <w:rPr/>
        <w:t>平台项目资金，该项目</w:t>
      </w:r>
      <w:r>
        <w:rPr>
          <w:rFonts w:ascii="Times New Roman" w:hAnsi="Times New Roman" w:cs="Times New Roman" w:eastAsia="Times New Roman" w:hint="default"/>
        </w:rPr>
        <w:t>2011</w:t>
      </w:r>
      <w:r>
        <w:rPr/>
        <w:t>年完成验收。 注</w:t>
      </w:r>
      <w:r>
        <w:rPr>
          <w:rFonts w:ascii="Times New Roman" w:hAnsi="Times New Roman" w:cs="Times New Roman" w:eastAsia="Times New Roman" w:hint="default"/>
        </w:rPr>
        <w:t>4:</w:t>
      </w:r>
      <w:r>
        <w:rPr/>
        <w:t>系软件外包接发包科技公共服务中心项目资金，该项目</w:t>
      </w:r>
      <w:r>
        <w:rPr>
          <w:rFonts w:ascii="Times New Roman" w:hAnsi="Times New Roman" w:cs="Times New Roman" w:eastAsia="Times New Roman" w:hint="default"/>
        </w:rPr>
        <w:t>2011</w:t>
      </w:r>
      <w:r>
        <w:rPr/>
        <w:t>年完成验收。 注</w:t>
      </w:r>
      <w:r>
        <w:rPr>
          <w:rFonts w:ascii="Times New Roman" w:hAnsi="Times New Roman" w:cs="Times New Roman" w:eastAsia="Times New Roman" w:hint="default"/>
        </w:rPr>
        <w:t>5:</w:t>
      </w:r>
      <w:r>
        <w:rPr/>
        <w:t>拨款总额</w:t>
      </w:r>
      <w:r>
        <w:rPr>
          <w:rFonts w:ascii="Times New Roman" w:hAnsi="Times New Roman" w:cs="Times New Roman" w:eastAsia="Times New Roman" w:hint="default"/>
        </w:rPr>
        <w:t>1,200,000.00</w:t>
      </w:r>
      <w:r>
        <w:rPr/>
        <w:t>元，公司确定为与资产有关的政府补助，随资产折旧的计提而分摊，年度分摊金额为</w:t>
      </w:r>
      <w:r>
        <w:rPr>
          <w:rFonts w:ascii="Times New Roman" w:hAnsi="Times New Roman" w:cs="Times New Roman" w:eastAsia="Times New Roman" w:hint="default"/>
        </w:rPr>
        <w:t>30,000.00</w:t>
      </w:r>
      <w:r>
        <w:rPr/>
        <w:t>元。</w:t>
      </w:r>
    </w:p>
    <w:p>
      <w:pPr>
        <w:spacing w:line="240" w:lineRule="auto" w:before="2"/>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714"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63,629.66</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63,629.66</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215,732.00</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070" w:right="0"/>
              <w:jc w:val="left"/>
              <w:rPr>
                <w:rFonts w:ascii="Times New Roman" w:hAnsi="Times New Roman" w:cs="Times New Roman" w:eastAsia="Times New Roman" w:hint="default"/>
                <w:sz w:val="18"/>
                <w:szCs w:val="18"/>
              </w:rPr>
            </w:pPr>
            <w:r>
              <w:rPr>
                <w:rFonts w:ascii="Times New Roman"/>
                <w:sz w:val="18"/>
              </w:rPr>
              <w:t>215,732.00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2"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35,315.55</w:t>
            </w:r>
          </w:p>
        </w:tc>
        <w:tc>
          <w:tcPr>
            <w:tcW w:w="1914"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78" w:right="0"/>
              <w:jc w:val="left"/>
              <w:rPr>
                <w:rFonts w:ascii="Times New Roman" w:hAnsi="Times New Roman" w:cs="Times New Roman" w:eastAsia="Times New Roman" w:hint="default"/>
                <w:sz w:val="18"/>
                <w:szCs w:val="18"/>
              </w:rPr>
            </w:pPr>
            <w:r>
              <w:rPr>
                <w:rFonts w:ascii="Times New Roman"/>
                <w:sz w:val="18"/>
              </w:rPr>
              <w:t>215,732.00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98,945.21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215,732.00</w:t>
            </w:r>
          </w:p>
        </w:tc>
      </w:tr>
    </w:tbl>
    <w:p>
      <w:pPr>
        <w:pStyle w:val="BodyText"/>
        <w:spacing w:line="240" w:lineRule="auto" w:before="50"/>
        <w:ind w:right="0"/>
        <w:jc w:val="left"/>
      </w:pPr>
      <w:r>
        <w:rPr/>
        <w:t>营业外支出说明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6"/>
        <w:gridCol w:w="2522"/>
        <w:gridCol w:w="2390"/>
      </w:tblGrid>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5,896,758.68</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6,735,375.54</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-206,008.68</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-80,118.38</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5,690,750.00</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6,655,257.16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pict>
          <v:shape style="position:absolute;margin-left:56.700001pt;margin-top:-411.086029pt;width:538.320pt;height:391.5pt;mso-position-horizontal-relative:page;mso-position-vertical-relative:paragraph;z-index:2200" type="#_x0000_t75" stroked="false">
            <v:imagedata r:id="rId37" o:title=""/>
          </v:shape>
        </w:pict>
      </w:r>
      <w:r>
        <w:rPr>
          <w:rFonts w:ascii="Times New Roman" w:hAnsi="Times New Roman" w:cs="Times New Roman" w:eastAsia="Times New Roman" w:hint="default"/>
        </w:rPr>
        <w:t>67</w:t>
      </w:r>
      <w:r>
        <w:rPr/>
        <w:t>、其他综合收益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80" w:top="1060" w:bottom="1160" w:left="1020" w:right="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652"/>
        <w:gridCol w:w="2524"/>
        <w:gridCol w:w="2393"/>
      </w:tblGrid>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141"/>
              <w:jc w:val="right"/>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-750,542.11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-357,189.11</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141"/>
              <w:jc w:val="right"/>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-750,542.11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-357,189.11</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141"/>
              <w:jc w:val="righ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-750,542.11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-357,189.11</w:t>
            </w:r>
          </w:p>
        </w:tc>
      </w:tr>
    </w:tbl>
    <w:p>
      <w:pPr>
        <w:pStyle w:val="BodyText"/>
        <w:spacing w:line="240" w:lineRule="auto" w:before="50"/>
        <w:ind w:right="0"/>
        <w:jc w:val="left"/>
      </w:pPr>
      <w:r>
        <w:rPr/>
        <w:t>其他综合收益说明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27,773,243.07</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340,021.19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28,113,264.26</w:t>
            </w:r>
          </w:p>
        </w:tc>
      </w:tr>
    </w:tbl>
    <w:p>
      <w:pPr>
        <w:pStyle w:val="BodyText"/>
        <w:spacing w:line="240" w:lineRule="auto" w:before="50"/>
        <w:ind w:right="0"/>
        <w:jc w:val="left"/>
      </w:pPr>
      <w:r>
        <w:rPr/>
        <w:t>收到的其他与经营活动有关的现金说明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业务及招待费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9,617,763.19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6,149,764.03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5,606,266.93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5,594,834.17</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4,082,962.98</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3,234,773.75</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2,894,100.80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2,704,663.72</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79,164.04</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4,334,516.02</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44,298,809.63</w:t>
            </w:r>
          </w:p>
        </w:tc>
      </w:tr>
    </w:tbl>
    <w:p>
      <w:pPr>
        <w:pStyle w:val="BodyText"/>
        <w:spacing w:line="240" w:lineRule="auto" w:before="50"/>
        <w:ind w:right="0"/>
        <w:jc w:val="left"/>
      </w:pPr>
      <w:r>
        <w:rPr/>
        <w:t>支付的其他与经营活动有关的现金说明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5576;height:394" coordorigin="14,13" coordsize="5576,394">
              <v:shape style="position:absolute;left:14;top:13;width:5576;height:394" coordorigin="14,13" coordsize="5576,394" path="m14,407l5590,407,5590,13,14,13,14,407xe" filled="true" fillcolor="#d3d3d3" stroked="false">
                <v:path arrowok="t"/>
                <v:fill type="solid"/>
              </v:shape>
            </v:group>
            <v:group style="position:absolute;left:5598;top:13;width:3976;height:394" coordorigin="5598,13" coordsize="3976,394">
              <v:shape style="position:absolute;left:5598;top:13;width:3976;height:394" coordorigin="5598,13" coordsize="3976,394" path="m5598,407l9574,407,9574,13,5598,13,5598,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5594;top:5;width:2;height:402" coordorigin="5594,5" coordsize="2,402">
              <v:shape style="position:absolute;left:5594;top:5;width:2;height:402" coordorigin="5594,5" coordsize="0,402" path="m5594,5l55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262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3,225,855.25</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远期外汇结汇合同交割收益</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1,168,900.00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4,394,755.25</w:t>
            </w:r>
          </w:p>
        </w:tc>
      </w:tr>
    </w:tbl>
    <w:p>
      <w:pPr>
        <w:pStyle w:val="BodyText"/>
        <w:spacing w:line="240" w:lineRule="auto" w:before="50"/>
        <w:ind w:right="0"/>
        <w:jc w:val="left"/>
      </w:pPr>
      <w:r>
        <w:rPr/>
        <w:t>收到的其他与投资活动有关的现金说明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50"/>
        <w:ind w:right="0"/>
        <w:jc w:val="left"/>
      </w:pPr>
      <w:r>
        <w:rPr/>
        <w:t>支付的其他与投资活动有关的现金说明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上市中介机构费用</w:t>
            </w:r>
          </w:p>
        </w:tc>
        <w:tc>
          <w:tcPr>
            <w:tcW w:w="3984"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收到的其他与筹资活动有关的现金说明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50"/>
        <w:ind w:right="0"/>
        <w:jc w:val="left"/>
      </w:pPr>
      <w:r>
        <w:rPr/>
        <w:t>支付的其他与筹资活动有关的现金说明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65,780,611.26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47,209,209.39</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3,599,838.12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566,494.98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6,507,980.72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5,562,994.17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1,611,462.92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1,514,081.63</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150,585.36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62,743.87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150,585.36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63,629.66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63,629.66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-897,600.00</w:t>
            </w: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3,660,139.76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5,957,218.24</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-1,168,900.00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143,906.40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-340,648.68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-80,118.38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134,640.00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-80,118.38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-21,156,410.06</w:t>
            </w: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-71,513,456.18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-20,359,755.69</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71,068,427.32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9,894,638.92</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71,068,427.32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9,894,638.92</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57,436,670.54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50,535,043.19</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2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2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513,711,110.43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149,348,362.22</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149,348,362.22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86,582,156.95</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364,362,748.21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62,766,205.27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513,711,110.43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149,348,362.22</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774,424.17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169,545.20</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467,442,305.88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146,752,046.89</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45,494,380.38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2,426,770.13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379" w:right="0"/>
              <w:jc w:val="left"/>
              <w:rPr>
                <w:rFonts w:ascii="Times New Roman" w:hAnsi="Times New Roman" w:cs="Times New Roman" w:eastAsia="Times New Roman" w:hint="default"/>
                <w:sz w:val="18"/>
                <w:szCs w:val="18"/>
              </w:rPr>
            </w:pPr>
            <w:r>
              <w:rPr>
                <w:rFonts w:ascii="Times New Roman"/>
                <w:sz w:val="18"/>
              </w:rPr>
              <w:t>513,711,110.43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496" w:right="0"/>
              <w:jc w:val="left"/>
              <w:rPr>
                <w:rFonts w:ascii="Times New Roman" w:hAnsi="Times New Roman" w:cs="Times New Roman" w:eastAsia="Times New Roman" w:hint="default"/>
                <w:sz w:val="18"/>
                <w:szCs w:val="18"/>
              </w:rPr>
            </w:pPr>
            <w:r>
              <w:rPr>
                <w:rFonts w:ascii="Times New Roman"/>
                <w:sz w:val="18"/>
              </w:rPr>
              <w:t>149,348,362.22</w:t>
            </w:r>
          </w:p>
        </w:tc>
      </w:tr>
    </w:tbl>
    <w:p>
      <w:pPr>
        <w:pStyle w:val="BodyText"/>
        <w:spacing w:line="240" w:lineRule="auto" w:before="50"/>
        <w:ind w:right="0"/>
        <w:jc w:val="left"/>
      </w:pPr>
      <w:r>
        <w:rPr/>
        <w:t>现金流量表补充资料的说明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5" w:hRule="exact"/>
        </w:trPr>
        <w:tc>
          <w:tcPr>
            <w:tcW w:w="874"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2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9" w:hRule="exact"/>
        </w:trPr>
        <w:tc>
          <w:tcPr>
            <w:tcW w:w="874"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356" w:hRule="exact"/>
        </w:trPr>
        <w:tc>
          <w:tcPr>
            <w:tcW w:w="874"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南京市雨</w:t>
            </w: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70" w:type="dxa"/>
            <w:tcBorders>
              <w:top w:val="single" w:sz="4" w:space="0" w:color="010101"/>
              <w:left w:val="single" w:sz="4" w:space="0" w:color="010101"/>
              <w:bottom w:val="nil" w:sz="6" w:space="0" w:color="auto"/>
              <w:right w:val="single" w:sz="4" w:space="0" w:color="010101"/>
            </w:tcBorders>
          </w:tcPr>
          <w:p>
            <w:pPr/>
          </w:p>
        </w:tc>
        <w:tc>
          <w:tcPr>
            <w:tcW w:w="860" w:type="dxa"/>
            <w:tcBorders>
              <w:top w:val="single" w:sz="4" w:space="0" w:color="010101"/>
              <w:left w:val="single" w:sz="4" w:space="0" w:color="010101"/>
              <w:bottom w:val="nil" w:sz="6" w:space="0" w:color="auto"/>
              <w:right w:val="single" w:sz="4" w:space="0" w:color="010101"/>
            </w:tcBorders>
          </w:tcPr>
          <w:p>
            <w:pPr/>
          </w:p>
        </w:tc>
      </w:tr>
      <w:tr>
        <w:trPr>
          <w:trHeight w:val="313" w:hRule="exact"/>
        </w:trPr>
        <w:tc>
          <w:tcPr>
            <w:tcW w:w="874"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花台区阅</w:t>
            </w: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60" w:type="dxa"/>
            <w:tcBorders>
              <w:top w:val="nil" w:sz="6" w:space="0" w:color="auto"/>
              <w:left w:val="single" w:sz="4" w:space="0" w:color="010101"/>
              <w:bottom w:val="nil" w:sz="6" w:space="0" w:color="auto"/>
              <w:right w:val="single" w:sz="4" w:space="0" w:color="010101"/>
            </w:tcBorders>
          </w:tcPr>
          <w:p>
            <w:pPr/>
          </w:p>
        </w:tc>
      </w:tr>
      <w:tr>
        <w:trPr>
          <w:trHeight w:val="940" w:hRule="exact"/>
        </w:trPr>
        <w:tc>
          <w:tcPr>
            <w:tcW w:w="874"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江苏润和 科技投资 有限公司</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316" w:lineRule="auto" w:before="76"/>
              <w:ind w:left="22" w:right="115"/>
              <w:jc w:val="left"/>
              <w:rPr>
                <w:rFonts w:ascii="宋体" w:hAnsi="宋体" w:cs="宋体" w:eastAsia="宋体" w:hint="default"/>
                <w:sz w:val="18"/>
                <w:szCs w:val="18"/>
              </w:rPr>
            </w:pPr>
            <w:r>
              <w:rPr>
                <w:rFonts w:ascii="宋体" w:hAnsi="宋体" w:cs="宋体" w:eastAsia="宋体" w:hint="default"/>
                <w:sz w:val="18"/>
                <w:szCs w:val="18"/>
              </w:rPr>
              <w:t>（自然人 控股）</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309"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城大道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号丰盛科 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 </w:t>
            </w:r>
            <w:r>
              <w:rPr>
                <w:rFonts w:ascii="宋体" w:hAnsi="宋体" w:cs="宋体" w:eastAsia="宋体" w:hint="default"/>
                <w:sz w:val="18"/>
                <w:szCs w:val="18"/>
              </w:rPr>
              <w:t>区</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27.17%</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27.17%</w:t>
            </w: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8"/>
                <w:sz w:val="18"/>
                <w:szCs w:val="18"/>
              </w:rPr>
              <w:t>周红卫、姚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宁</w:t>
            </w:r>
          </w:p>
        </w:tc>
        <w:tc>
          <w:tcPr>
            <w:tcW w:w="86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69464780-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874"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70" w:type="dxa"/>
            <w:tcBorders>
              <w:top w:val="nil" w:sz="6" w:space="0" w:color="auto"/>
              <w:left w:val="single" w:sz="4" w:space="0" w:color="010101"/>
              <w:bottom w:val="nil" w:sz="6" w:space="0" w:color="auto"/>
              <w:right w:val="single" w:sz="4" w:space="0" w:color="010101"/>
            </w:tcBorders>
          </w:tcPr>
          <w:p>
            <w:pPr/>
          </w:p>
        </w:tc>
        <w:tc>
          <w:tcPr>
            <w:tcW w:w="860" w:type="dxa"/>
            <w:tcBorders>
              <w:top w:val="nil" w:sz="6" w:space="0" w:color="auto"/>
              <w:left w:val="single" w:sz="4" w:space="0" w:color="010101"/>
              <w:bottom w:val="nil" w:sz="6" w:space="0" w:color="auto"/>
              <w:right w:val="single" w:sz="4" w:space="0" w:color="010101"/>
            </w:tcBorders>
          </w:tcPr>
          <w:p>
            <w:pPr/>
          </w:p>
        </w:tc>
      </w:tr>
      <w:tr>
        <w:trPr>
          <w:trHeight w:val="353" w:hRule="exact"/>
        </w:trPr>
        <w:tc>
          <w:tcPr>
            <w:tcW w:w="874"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70" w:type="dxa"/>
            <w:tcBorders>
              <w:top w:val="nil" w:sz="6" w:space="0" w:color="auto"/>
              <w:left w:val="single" w:sz="4" w:space="0" w:color="010101"/>
              <w:bottom w:val="single" w:sz="4" w:space="0" w:color="010101"/>
              <w:right w:val="single" w:sz="4" w:space="0" w:color="010101"/>
            </w:tcBorders>
          </w:tcPr>
          <w:p>
            <w:pPr/>
          </w:p>
        </w:tc>
        <w:tc>
          <w:tcPr>
            <w:tcW w:w="860" w:type="dxa"/>
            <w:tcBorders>
              <w:top w:val="nil" w:sz="6" w:space="0" w:color="auto"/>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本企业的母公司情况的说明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714" w:hRule="exact"/>
        </w:trPr>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69"/>
              <w:ind w:left="22" w:right="24"/>
              <w:jc w:val="both"/>
              <w:rPr>
                <w:rFonts w:ascii="宋体" w:hAnsi="宋体" w:cs="宋体" w:eastAsia="宋体" w:hint="default"/>
                <w:sz w:val="18"/>
                <w:szCs w:val="18"/>
              </w:rPr>
            </w:pPr>
            <w:r>
              <w:rPr>
                <w:rFonts w:ascii="宋体" w:hAnsi="宋体" w:cs="宋体" w:eastAsia="宋体" w:hint="default"/>
                <w:sz w:val="18"/>
                <w:szCs w:val="18"/>
              </w:rPr>
              <w:t>江苏润和南 京软件外包 园投资有限</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316" w:lineRule="auto" w:before="76"/>
              <w:ind w:left="22" w:right="203"/>
              <w:jc w:val="left"/>
              <w:rPr>
                <w:rFonts w:ascii="宋体" w:hAnsi="宋体" w:cs="宋体" w:eastAsia="宋体" w:hint="default"/>
                <w:sz w:val="18"/>
                <w:szCs w:val="18"/>
              </w:rPr>
            </w:pPr>
            <w:r>
              <w:rPr>
                <w:rFonts w:ascii="宋体" w:hAnsi="宋体" w:cs="宋体" w:eastAsia="宋体" w:hint="default"/>
                <w:sz w:val="18"/>
                <w:szCs w:val="18"/>
              </w:rPr>
              <w:t>（法人独 资）内资</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江苏省南京 市</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69460820-4</w:t>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980" w:header="747"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362"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9"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
        </w:tc>
        <w:tc>
          <w:tcPr>
            <w:tcW w:w="955"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西安润和软 件信息技术 有限公司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陕西省西安 市</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05712012-6</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76"/>
              <w:jc w:val="left"/>
              <w:rPr>
                <w:rFonts w:ascii="Times New Roman" w:hAnsi="Times New Roman" w:cs="Times New Roman" w:eastAsia="Times New Roman" w:hint="default"/>
                <w:sz w:val="18"/>
                <w:szCs w:val="18"/>
              </w:rPr>
            </w:pPr>
            <w:r>
              <w:rPr>
                <w:rFonts w:ascii="Times New Roman"/>
                <w:sz w:val="18"/>
              </w:rPr>
              <w:t>HopeRun </w:t>
            </w:r>
            <w:r>
              <w:rPr>
                <w:rFonts w:ascii="Times New Roman"/>
                <w:spacing w:val="-2"/>
                <w:sz w:val="18"/>
              </w:rPr>
              <w:t>Technology</w:t>
            </w:r>
            <w:r>
              <w:rPr>
                <w:rFonts w:ascii="Times New Roman"/>
                <w:spacing w:val="-1"/>
                <w:sz w:val="18"/>
              </w:rPr>
              <w:t> </w:t>
            </w:r>
            <w:r>
              <w:rPr>
                <w:rFonts w:ascii="Times New Roman"/>
                <w:sz w:val="18"/>
              </w:rPr>
              <w:t>Co., Ltd</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美国特拉华 州</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万美元</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4"/>
              <w:jc w:val="both"/>
              <w:rPr>
                <w:rFonts w:ascii="宋体" w:hAnsi="宋体" w:cs="宋体" w:eastAsia="宋体" w:hint="default"/>
                <w:sz w:val="18"/>
                <w:szCs w:val="18"/>
              </w:rPr>
            </w:pPr>
            <w:r>
              <w:rPr>
                <w:rFonts w:ascii="宋体" w:hAnsi="宋体" w:cs="宋体" w:eastAsia="宋体" w:hint="default"/>
                <w:sz w:val="18"/>
                <w:szCs w:val="18"/>
              </w:rPr>
              <w:t>株式会社潤 和ソフトウ ェア東京</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24"/>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1"/>
                <w:sz w:val="18"/>
              </w:rPr>
              <w:t> </w:t>
            </w:r>
            <w:r>
              <w:rPr>
                <w:rFonts w:ascii="Times New Roman"/>
                <w:spacing w:val="-4"/>
                <w:sz w:val="18"/>
              </w:rPr>
              <w:t>SOFTWAR</w:t>
            </w:r>
            <w:r>
              <w:rPr>
                <w:rFonts w:ascii="Times New Roman"/>
                <w:spacing w:val="-39"/>
                <w:sz w:val="18"/>
              </w:rPr>
              <w:t> </w:t>
            </w:r>
            <w:r>
              <w:rPr>
                <w:rFonts w:ascii="Times New Roman"/>
                <w:spacing w:val="-39"/>
                <w:sz w:val="18"/>
              </w:rPr>
            </w:r>
            <w:r>
              <w:rPr>
                <w:rFonts w:ascii="Times New Roman"/>
                <w:sz w:val="18"/>
              </w:rPr>
              <w:t>E SINGAPOR</w:t>
            </w:r>
            <w:r>
              <w:rPr>
                <w:rFonts w:ascii="Times New Roman"/>
                <w:sz w:val="18"/>
              </w:rPr>
              <w:t> E PTE.</w:t>
            </w:r>
            <w:r>
              <w:rPr>
                <w:rFonts w:ascii="Times New Roman"/>
                <w:spacing w:val="-3"/>
                <w:sz w:val="18"/>
              </w:rPr>
              <w:t> </w:t>
            </w:r>
            <w:r>
              <w:rPr>
                <w:rFonts w:ascii="Times New Roman"/>
                <w:spacing w:val="-6"/>
                <w:sz w:val="18"/>
              </w:rPr>
              <w:t>LTD</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万美元</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南京润和数 码有限公司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有限责任公 司（中外合 资）</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江苏省南京 市</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万美元</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55551964- X</w:t>
            </w:r>
          </w:p>
        </w:tc>
      </w:tr>
      <w:tr>
        <w:trPr>
          <w:trHeight w:val="714"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182"/>
              <w:jc w:val="left"/>
              <w:rPr>
                <w:rFonts w:ascii="Times New Roman" w:hAnsi="Times New Roman" w:cs="Times New Roman" w:eastAsia="Times New Roman" w:hint="default"/>
                <w:sz w:val="18"/>
                <w:szCs w:val="18"/>
              </w:rPr>
            </w:pPr>
            <w:r>
              <w:rPr>
                <w:rFonts w:ascii="Times New Roman"/>
                <w:sz w:val="18"/>
              </w:rPr>
              <w:t>SRS2</w:t>
            </w:r>
            <w:r>
              <w:rPr>
                <w:rFonts w:ascii="Times New Roman"/>
                <w:spacing w:val="-1"/>
                <w:sz w:val="18"/>
              </w:rPr>
              <w:t> </w:t>
            </w:r>
            <w:r>
              <w:rPr>
                <w:rFonts w:ascii="Times New Roman"/>
                <w:sz w:val="18"/>
              </w:rPr>
              <w:t>LIMITED</w:t>
            </w:r>
          </w:p>
        </w:tc>
        <w:tc>
          <w:tcPr>
            <w:tcW w:w="955" w:type="dxa"/>
            <w:tcBorders>
              <w:top w:val="single" w:sz="4" w:space="0" w:color="010101"/>
              <w:left w:val="single" w:sz="4" w:space="0" w:color="010101"/>
              <w:bottom w:val="single" w:sz="4" w:space="0" w:color="010101"/>
              <w:right w:val="single" w:sz="4" w:space="0" w:color="010101"/>
            </w:tcBorders>
          </w:tcPr>
          <w:p>
            <w:pP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515 </w:t>
            </w:r>
            <w:r>
              <w:rPr>
                <w:rFonts w:ascii="宋体" w:hAnsi="宋体" w:cs="宋体" w:eastAsia="宋体" w:hint="default"/>
                <w:sz w:val="18"/>
                <w:szCs w:val="18"/>
              </w:rPr>
              <w:t>万港币</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丝略软件</w:t>
            </w:r>
          </w:p>
          <w:p>
            <w:pPr>
              <w:pStyle w:val="TableParagraph"/>
              <w:spacing w:line="316" w:lineRule="auto" w:before="76"/>
              <w:ind w:left="22" w:right="24"/>
              <w:jc w:val="left"/>
              <w:rPr>
                <w:rFonts w:ascii="宋体" w:hAnsi="宋体" w:cs="宋体" w:eastAsia="宋体" w:hint="default"/>
                <w:sz w:val="18"/>
                <w:szCs w:val="18"/>
              </w:rPr>
            </w:pPr>
            <w:r>
              <w:rPr>
                <w:rFonts w:ascii="宋体" w:hAnsi="宋体" w:cs="宋体" w:eastAsia="宋体" w:hint="default"/>
                <w:sz w:val="18"/>
                <w:szCs w:val="18"/>
              </w:rPr>
              <w:t>（上海）有 限公司</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有限责任公 司（台港澳 法人独资）</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166"/>
              <w:jc w:val="left"/>
              <w:rPr>
                <w:rFonts w:ascii="Times New Roman" w:hAnsi="Times New Roman" w:cs="Times New Roman" w:eastAsia="Times New Roman" w:hint="default"/>
                <w:sz w:val="18"/>
                <w:szCs w:val="18"/>
              </w:rPr>
            </w:pPr>
            <w:r>
              <w:rPr>
                <w:rFonts w:ascii="Times New Roman"/>
                <w:sz w:val="18"/>
              </w:rPr>
              <w:t>HAOBO </w:t>
            </w:r>
            <w:r>
              <w:rPr>
                <w:rFonts w:ascii="Times New Roman"/>
                <w:spacing w:val="-3"/>
                <w:sz w:val="18"/>
              </w:rPr>
              <w:t>LAWREN</w:t>
            </w:r>
            <w:r>
              <w:rPr>
                <w:rFonts w:ascii="Times New Roman"/>
                <w:spacing w:val="-43"/>
                <w:sz w:val="18"/>
              </w:rPr>
              <w:t> </w:t>
            </w:r>
            <w:r>
              <w:rPr>
                <w:rFonts w:ascii="Times New Roman"/>
                <w:spacing w:val="-43"/>
                <w:sz w:val="18"/>
              </w:rPr>
            </w:r>
            <w:r>
              <w:rPr>
                <w:rFonts w:ascii="Times New Roman"/>
                <w:sz w:val="18"/>
              </w:rPr>
              <w:t>CECHEN</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万美元</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69577735- X</w:t>
            </w:r>
          </w:p>
        </w:tc>
      </w:tr>
      <w:tr>
        <w:trPr>
          <w:trHeight w:val="1026" w:hRule="exact"/>
        </w:trPr>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64"/>
              <w:jc w:val="left"/>
              <w:rPr>
                <w:rFonts w:ascii="Times New Roman" w:hAnsi="Times New Roman" w:cs="Times New Roman" w:eastAsia="Times New Roman" w:hint="default"/>
                <w:sz w:val="18"/>
                <w:szCs w:val="18"/>
              </w:rPr>
            </w:pPr>
            <w:r>
              <w:rPr>
                <w:rFonts w:ascii="Times New Roman"/>
                <w:sz w:val="18"/>
              </w:rPr>
              <w:t>SilkRoad Software &amp; Service</w:t>
            </w:r>
            <w:r>
              <w:rPr>
                <w:rFonts w:ascii="Times New Roman"/>
                <w:spacing w:val="-2"/>
                <w:sz w:val="18"/>
              </w:rPr>
              <w:t> </w:t>
            </w:r>
            <w:r>
              <w:rPr>
                <w:rFonts w:ascii="Times New Roman"/>
                <w:sz w:val="18"/>
              </w:rPr>
              <w:t>.Inc</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美国加利福 尼亚州</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55" w:hRule="exact"/>
        </w:trPr>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5"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6"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33"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02" w:right="109"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1"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0" w:hRule="exact"/>
        </w:trPr>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5"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footerReference w:type="default" r:id="rId39"/>
          <w:pgSz w:w="11910" w:h="16840"/>
          <w:pgMar w:footer="980" w:header="747" w:top="1060" w:bottom="1160" w:left="1020" w:right="1020"/>
          <w:pgNumType w:start="141"/>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金石投资有限公司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71093513-4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25000246-3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74664525-1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77702317-2</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19220382-1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华为数字技术（成都）有限公司 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66534530-2</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75567503-0</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76758041-8</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深圳市华为技术软件有限公司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华为投资控股有限公司之关联方</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78394651-2</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5140"/>
        <w:jc w:val="left"/>
      </w:pPr>
      <w:r>
        <w:rPr/>
        <w:t>本企业的其他关联方情况的说明 注</w:t>
      </w:r>
      <w:r>
        <w:rPr>
          <w:rFonts w:ascii="Times New Roman" w:hAnsi="Times New Roman" w:cs="Times New Roman" w:eastAsia="Times New Roman" w:hint="default"/>
        </w:rPr>
        <w:t>1</w:t>
      </w:r>
      <w:r>
        <w:rPr/>
        <w:t>：系成都市华为赛门铁克科技有限公司</w:t>
      </w:r>
      <w:r>
        <w:rPr>
          <w:rFonts w:ascii="Times New Roman" w:hAnsi="Times New Roman" w:cs="Times New Roman" w:eastAsia="Times New Roman" w:hint="default"/>
        </w:rPr>
        <w:t>2012</w:t>
      </w:r>
      <w:r>
        <w:rPr/>
        <w:t>年度更名。</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9"/>
        <w:jc w:val="right"/>
      </w:pPr>
      <w:r>
        <w:rPr/>
        <w:pict>
          <v:shape style="position:absolute;margin-left:409.6203pt;margin-top:-31.507391pt;width:85.4pt;height:50.9pt;mso-position-horizontal-relative:page;mso-position-vertical-relative:paragraph;z-index:-1030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087391pt;width:479.1pt;height:71.9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tcBorders>
                          <w:top w:val="single" w:sz="4" w:space="0" w:color="010101"/>
                          <w:left w:val="single" w:sz="4" w:space="0" w:color="010101"/>
                          <w:bottom w:val="nil" w:sz="6" w:space="0" w:color="auto"/>
                          <w:right w:val="single" w:sz="4" w:space="0" w:color="010101"/>
                        </w:tcBorders>
                        <w:shd w:val="clear" w:color="auto" w:fill="D3D3D3"/>
                      </w:tcPr>
                      <w:p>
                        <w:pPr/>
                      </w:p>
                    </w:tc>
                    <w:tc>
                      <w:tcPr>
                        <w:tcW w:w="1727"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9" w:hRule="exact"/>
                    </w:trPr>
                    <w:tc>
                      <w:tcPr>
                        <w:tcW w:w="159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5"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7" w:hRule="exact"/>
                    </w:trPr>
                    <w:tc>
                      <w:tcPr>
                        <w:tcW w:w="1597" w:type="dxa"/>
                        <w:tcBorders>
                          <w:top w:val="nil" w:sz="6" w:space="0" w:color="auto"/>
                          <w:left w:val="single" w:sz="4" w:space="0" w:color="010101"/>
                          <w:bottom w:val="single" w:sz="4" w:space="0" w:color="010101"/>
                          <w:right w:val="single" w:sz="4" w:space="0" w:color="010101"/>
                        </w:tcBorders>
                        <w:shd w:val="clear" w:color="auto" w:fill="D3D3D3"/>
                      </w:tcPr>
                      <w:p>
                        <w:pPr/>
                      </w:p>
                    </w:tc>
                    <w:tc>
                      <w:tcPr>
                        <w:tcW w:w="1727"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5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ind w:right="0"/>
        <w:jc w:val="left"/>
      </w:pPr>
      <w:r>
        <w:rPr/>
        <w:t>出售商品、提供劳务情况表</w:t>
      </w:r>
    </w:p>
    <w:p>
      <w:pPr>
        <w:pStyle w:val="BodyText"/>
        <w:spacing w:line="240" w:lineRule="auto" w:before="116"/>
        <w:ind w:left="0" w:right="11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9"/>
        <w:jc w:val="right"/>
      </w:pPr>
      <w:r>
        <w:rPr/>
        <w:pict>
          <v:shape style="position:absolute;margin-left:409.6203pt;margin-top:-31.507378pt;width:85.4pt;height:50.95pt;mso-position-horizontal-relative:page;mso-position-vertical-relative:paragraph;z-index:-1030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027378pt;width:479.1pt;height:250.4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402" w:hRule="exact"/>
                    </w:trPr>
                    <w:tc>
                      <w:tcPr>
                        <w:tcW w:w="159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10101"/>
                          <w:bottom w:val="single" w:sz="4" w:space="0" w:color="010101"/>
                          <w:right w:val="single" w:sz="4" w:space="0" w:color="010101"/>
                        </w:tcBorders>
                        <w:shd w:val="clear" w:color="auto" w:fill="D3D3D3"/>
                      </w:tcPr>
                      <w:p>
                        <w:pP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2"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32"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焦点科技股份有限 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826,063.00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0.35%</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华为软件技术有限 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15,301,181.41</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3,512,755.00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1.5%</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6,428,989.00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6,872,936.25</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2.93%</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华为数字技术（成 都）有限公司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509,519.50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0.22%</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6,131,746.70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2,023,398.17</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0.86%</w:t>
                        </w:r>
                        <w:r>
                          <w:rPr>
                            <w:rFonts w:ascii="Times New Roman"/>
                            <w:w w:val="95"/>
                            <w:sz w:val="18"/>
                          </w:rPr>
                        </w:r>
                      </w:p>
                    </w:tc>
                  </w:tr>
                </w:tbl>
                <w:p>
                  <w:pPr/>
                </w:p>
              </w:txbxContent>
            </v:textbox>
            <w10:wrap type="none"/>
          </v:shape>
        </w:pict>
      </w:r>
      <w:r>
        <w:rPr/>
        <w:t>）</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7"/>
        <w:gridCol w:w="1727"/>
        <w:gridCol w:w="1462"/>
        <w:gridCol w:w="1594"/>
        <w:gridCol w:w="797"/>
        <w:gridCol w:w="1595"/>
        <w:gridCol w:w="797"/>
      </w:tblGrid>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深圳市海思半导体 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724,986.00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2,472,433.00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1.06%</w:t>
            </w:r>
            <w:r>
              <w:rPr>
                <w:rFonts w:ascii="Times New Roman"/>
                <w:w w:val="95"/>
                <w:sz w:val="18"/>
              </w:rPr>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22"/>
              <w:jc w:val="left"/>
              <w:rPr>
                <w:rFonts w:ascii="宋体" w:hAnsi="宋体" w:cs="宋体" w:eastAsia="宋体" w:hint="default"/>
                <w:sz w:val="18"/>
                <w:szCs w:val="18"/>
              </w:rPr>
            </w:pPr>
            <w:r>
              <w:rPr>
                <w:rFonts w:ascii="宋体" w:hAnsi="宋体" w:cs="宋体" w:eastAsia="宋体" w:hint="default"/>
                <w:sz w:val="18"/>
                <w:szCs w:val="18"/>
              </w:rPr>
              <w:t>深圳市华为技术软 件有限公司</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5"/>
                <w:sz w:val="18"/>
                <w:szCs w:val="18"/>
              </w:rPr>
              <w:t>市场定价，股东大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会审批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719,780.00</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595" w:type="dxa"/>
            <w:tcBorders>
              <w:top w:val="single" w:sz="4" w:space="0" w:color="010101"/>
              <w:left w:val="single" w:sz="4" w:space="0" w:color="010101"/>
              <w:bottom w:val="single" w:sz="4" w:space="0" w:color="010101"/>
              <w:right w:val="single" w:sz="4" w:space="0" w:color="010101"/>
            </w:tcBorders>
          </w:tcPr>
          <w:p>
            <w:pPr/>
          </w:p>
        </w:tc>
        <w:tc>
          <w:tcPr>
            <w:tcW w:w="79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29,306,683.11</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16,217,104.92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6.92%</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1026"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30"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9" w:lineRule="auto" w:before="50"/>
              <w:ind w:left="43" w:right="43"/>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0"/>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7"/>
        <w:gridCol w:w="1372"/>
        <w:gridCol w:w="1370"/>
        <w:gridCol w:w="1369"/>
        <w:gridCol w:w="1370"/>
        <w:gridCol w:w="1358"/>
      </w:tblGrid>
      <w:tr>
        <w:trPr>
          <w:trHeight w:val="714"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496"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410"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08" w:right="43"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公司出租情况表</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714" w:hRule="exact"/>
        </w:trPr>
        <w:tc>
          <w:tcPr>
            <w:tcW w:w="13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89"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15"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0"/>
        <w:jc w:val="left"/>
      </w:pPr>
      <w:r>
        <w:rPr/>
        <w:t>公司承租情况表</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3"/>
        <w:gridCol w:w="1370"/>
        <w:gridCol w:w="1374"/>
        <w:gridCol w:w="1368"/>
        <w:gridCol w:w="1368"/>
        <w:gridCol w:w="1368"/>
        <w:gridCol w:w="1349"/>
      </w:tblGrid>
      <w:tr>
        <w:trPr>
          <w:trHeight w:val="714" w:hRule="exact"/>
        </w:trPr>
        <w:tc>
          <w:tcPr>
            <w:tcW w:w="13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0"/>
        <w:ind w:right="0"/>
        <w:jc w:val="left"/>
      </w:pPr>
      <w:r>
        <w:rPr/>
        <w:t>关联租赁情况说明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10"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周红卫</w:t>
            </w:r>
            <w:r>
              <w:rPr>
                <w:rFonts w:ascii="宋体" w:hAnsi="宋体" w:cs="宋体" w:eastAsia="宋体" w:hint="default"/>
                <w:spacing w:val="-80"/>
                <w:sz w:val="18"/>
                <w:szCs w:val="18"/>
              </w:rPr>
              <w:t>、</w:t>
            </w:r>
            <w:r>
              <w:rPr>
                <w:rFonts w:ascii="宋体" w:hAnsi="宋体" w:cs="宋体" w:eastAsia="宋体" w:hint="default"/>
                <w:sz w:val="18"/>
                <w:szCs w:val="18"/>
              </w:rPr>
              <w:t>江苏润和科</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36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技投资有限公司</w:t>
            </w: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周红卫、江苏润和科</w:t>
            </w:r>
            <w:r>
              <w:rPr>
                <w:rFonts w:ascii="宋体" w:hAnsi="宋体" w:cs="宋体" w:eastAsia="宋体" w:hint="default"/>
                <w:sz w:val="18"/>
                <w:szCs w:val="18"/>
              </w:rPr>
              <w:t> 技投资有限公司</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1,946,609.75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1,753,176.00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0"/>
        <w:jc w:val="left"/>
      </w:pPr>
      <w:r>
        <w:rPr/>
        <w:t>关联担保情况说明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8"/>
        <w:jc w:val="right"/>
      </w:pPr>
      <w:r>
        <w:rPr/>
        <w:pict>
          <v:shape style="position:absolute;margin-left:416.279999pt;margin-top:-31.507383pt;width:78.8pt;height:50.9pt;mso-position-horizontal-relative:page;mso-position-vertical-relative:paragraph;z-index:-10308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087383pt;width:479.2pt;height:71.9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2"/>
                    <w:gridCol w:w="797"/>
                  </w:tblGrid>
                  <w:tr>
                    <w:trPr>
                      <w:trHeight w:val="402" w:hRule="exact"/>
                    </w:trPr>
                    <w:tc>
                      <w:tcPr>
                        <w:tcW w:w="1333" w:type="dxa"/>
                        <w:tcBorders>
                          <w:top w:val="single" w:sz="4" w:space="0" w:color="010101"/>
                          <w:left w:val="single" w:sz="4" w:space="0" w:color="010101"/>
                          <w:bottom w:val="nil" w:sz="6" w:space="0" w:color="auto"/>
                          <w:right w:val="single" w:sz="4" w:space="0" w:color="010101"/>
                        </w:tcBorders>
                        <w:shd w:val="clear" w:color="auto" w:fill="D3D3D3"/>
                      </w:tcPr>
                      <w:p>
                        <w:pPr/>
                      </w:p>
                    </w:tc>
                    <w:tc>
                      <w:tcPr>
                        <w:tcW w:w="929" w:type="dxa"/>
                        <w:tcBorders>
                          <w:top w:val="single" w:sz="4" w:space="0" w:color="010101"/>
                          <w:left w:val="single" w:sz="4" w:space="0" w:color="010101"/>
                          <w:bottom w:val="nil" w:sz="6" w:space="0" w:color="auto"/>
                          <w:right w:val="single" w:sz="4" w:space="0" w:color="010101"/>
                        </w:tcBorders>
                        <w:shd w:val="clear" w:color="auto" w:fill="D3D3D3"/>
                      </w:tcPr>
                      <w:p>
                        <w:pP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
                    </w:tc>
                    <w:tc>
                      <w:tcPr>
                        <w:tcW w:w="1328" w:type="dxa"/>
                        <w:tcBorders>
                          <w:top w:val="single" w:sz="4" w:space="0" w:color="010101"/>
                          <w:left w:val="single" w:sz="4" w:space="0" w:color="010101"/>
                          <w:bottom w:val="nil" w:sz="6" w:space="0" w:color="auto"/>
                          <w:right w:val="single" w:sz="4" w:space="0" w:color="010101"/>
                        </w:tcBorders>
                        <w:shd w:val="clear" w:color="auto" w:fill="D3D3D3"/>
                      </w:tcPr>
                      <w:p>
                        <w:pP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9" w:hRule="exact"/>
                    </w:trPr>
                    <w:tc>
                      <w:tcPr>
                        <w:tcW w:w="133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279" w:right="9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9"/>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462"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316" w:lineRule="auto" w:before="50"/>
                          <w:ind w:left="32"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7" w:hRule="exact"/>
                    </w:trPr>
                    <w:tc>
                      <w:tcPr>
                        <w:tcW w:w="1333" w:type="dxa"/>
                        <w:tcBorders>
                          <w:top w:val="nil" w:sz="6" w:space="0" w:color="auto"/>
                          <w:left w:val="single" w:sz="4" w:space="0" w:color="010101"/>
                          <w:bottom w:val="single" w:sz="4" w:space="0" w:color="010101"/>
                          <w:right w:val="single" w:sz="4" w:space="0" w:color="010101"/>
                        </w:tcBorders>
                        <w:shd w:val="clear" w:color="auto" w:fill="D3D3D3"/>
                      </w:tcPr>
                      <w:p>
                        <w:pPr/>
                      </w:p>
                    </w:tc>
                    <w:tc>
                      <w:tcPr>
                        <w:tcW w:w="929"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1328" w:type="dxa"/>
                        <w:tcBorders>
                          <w:top w:val="nil" w:sz="6" w:space="0" w:color="auto"/>
                          <w:left w:val="single" w:sz="4" w:space="0" w:color="010101"/>
                          <w:bottom w:val="single" w:sz="4" w:space="0" w:color="010101"/>
                          <w:right w:val="single" w:sz="4" w:space="0" w:color="010101"/>
                        </w:tcBorders>
                        <w:shd w:val="clear" w:color="auto" w:fill="D3D3D3"/>
                      </w:tcPr>
                      <w:p>
                        <w:pP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c>
                      <w:tcPr>
                        <w:tcW w:w="1462" w:type="dxa"/>
                        <w:tcBorders>
                          <w:top w:val="nil" w:sz="6" w:space="0" w:color="auto"/>
                          <w:left w:val="single" w:sz="4" w:space="0" w:color="010101"/>
                          <w:bottom w:val="single" w:sz="4" w:space="0" w:color="010101"/>
                          <w:right w:val="single" w:sz="4" w:space="0" w:color="010101"/>
                        </w:tcBorders>
                        <w:shd w:val="clear" w:color="auto" w:fill="D3D3D3"/>
                      </w:tcPr>
                      <w:p>
                        <w:pPr/>
                      </w:p>
                    </w:tc>
                    <w:tc>
                      <w:tcPr>
                        <w:tcW w:w="797"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bl>
                <w:p>
                  <w:pPr/>
                </w:p>
              </w:txbxContent>
            </v:textbox>
            <w10:wrap type="none"/>
          </v:shape>
        </w:pict>
      </w:r>
      <w:r>
        <w:rPr/>
        <w:t>）</w:t>
      </w:r>
    </w:p>
    <w:p>
      <w:pPr>
        <w:spacing w:line="240" w:lineRule="auto" w:before="1"/>
        <w:rPr>
          <w:rFonts w:ascii="宋体" w:hAnsi="宋体" w:cs="宋体" w:eastAsia="宋体" w:hint="default"/>
          <w:sz w:val="28"/>
          <w:szCs w:val="2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上市公司应收关联方款项</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402" w:hRule="exact"/>
        </w:trPr>
        <w:tc>
          <w:tcPr>
            <w:tcW w:w="205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10101"/>
              <w:bottom w:val="single" w:sz="4" w:space="0" w:color="010101"/>
              <w:right w:val="single" w:sz="4" w:space="0" w:color="010101"/>
            </w:tcBorders>
            <w:shd w:val="clear" w:color="auto" w:fill="D3D3D3"/>
          </w:tcPr>
          <w:p>
            <w:pPr/>
          </w:p>
        </w:tc>
        <w:tc>
          <w:tcPr>
            <w:tcW w:w="1668"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焦点科技股份有限 公司</w:t>
            </w: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111,963.00</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5,598.15</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华为软件技术有限 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10,149,412.41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507,470.62</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2,530,336.90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126,516.85</w:t>
            </w:r>
          </w:p>
        </w:tc>
      </w:tr>
      <w:tr>
        <w:trPr>
          <w:trHeight w:val="402"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4,553,039.25</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227,651.96</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4,159,936.25</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207,996.81</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华为数字技术（成 都）有限公司</w:t>
            </w:r>
          </w:p>
        </w:tc>
        <w:tc>
          <w:tcPr>
            <w:tcW w:w="1460"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145,000.00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7,250.00</w:t>
            </w:r>
          </w:p>
        </w:tc>
      </w:tr>
      <w:tr>
        <w:trPr>
          <w:trHeight w:val="402"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2,175,397.66</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108,769.89</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1,602,692.66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80,134.63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深圳市海思半导体 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521,354.00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26,067.70</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989,943.00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49,497.15</w:t>
            </w:r>
          </w:p>
        </w:tc>
      </w:tr>
      <w:tr>
        <w:trPr>
          <w:trHeight w:val="714"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93"/>
              <w:jc w:val="left"/>
              <w:rPr>
                <w:rFonts w:ascii="宋体" w:hAnsi="宋体" w:cs="宋体" w:eastAsia="宋体" w:hint="default"/>
                <w:sz w:val="18"/>
                <w:szCs w:val="18"/>
              </w:rPr>
            </w:pPr>
            <w:r>
              <w:rPr>
                <w:rFonts w:ascii="宋体" w:hAnsi="宋体" w:cs="宋体" w:eastAsia="宋体" w:hint="default"/>
                <w:sz w:val="18"/>
                <w:szCs w:val="18"/>
              </w:rPr>
              <w:t>深圳市华为技术软 件有限公司</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64,000.00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w:t>
            </w:r>
          </w:p>
        </w:tc>
        <w:tc>
          <w:tcPr>
            <w:tcW w:w="1459"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8" w:type="dxa"/>
            <w:tcBorders>
              <w:top w:val="single" w:sz="4" w:space="0" w:color="010101"/>
              <w:left w:val="single" w:sz="4" w:space="0" w:color="010101"/>
              <w:bottom w:val="single" w:sz="4" w:space="0" w:color="010101"/>
              <w:right w:val="single" w:sz="4" w:space="0" w:color="010101"/>
            </w:tcBorders>
          </w:tcPr>
          <w:p>
            <w:pP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17,463,203.32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873,160.17</w:t>
            </w:r>
          </w:p>
        </w:tc>
        <w:tc>
          <w:tcPr>
            <w:tcW w:w="14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9,539,871.81</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476,993.59</w:t>
            </w:r>
          </w:p>
        </w:tc>
      </w:tr>
    </w:tbl>
    <w:p>
      <w:pPr>
        <w:pStyle w:val="BodyText"/>
        <w:spacing w:line="240" w:lineRule="auto" w:before="50"/>
        <w:ind w:right="0"/>
        <w:jc w:val="left"/>
      </w:pPr>
      <w:r>
        <w:rPr/>
        <w:t>上市公司应付关联方款项</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5"/>
        <w:gridCol w:w="2257"/>
        <w:gridCol w:w="2258"/>
        <w:gridCol w:w="2258"/>
      </w:tblGrid>
      <w:tr>
        <w:trPr>
          <w:trHeight w:val="402" w:hRule="exact"/>
        </w:trPr>
        <w:tc>
          <w:tcPr>
            <w:tcW w:w="27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spacing w:line="240" w:lineRule="auto" w:before="0"/>
        <w:rPr>
          <w:rFonts w:ascii="宋体" w:hAnsi="宋体" w:cs="宋体" w:eastAsia="宋体" w:hint="default"/>
          <w:b/>
          <w:bCs/>
          <w:sz w:val="18"/>
          <w:szCs w:val="18"/>
        </w:rPr>
      </w:pPr>
    </w:p>
    <w:p>
      <w:pPr>
        <w:pStyle w:val="BodyText"/>
        <w:spacing w:line="240" w:lineRule="auto" w:before="160"/>
        <w:ind w:left="113" w:right="0"/>
        <w:jc w:val="left"/>
      </w:pPr>
      <w:r>
        <w:rPr/>
        <w:t>股份支付情况的说明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95"/>
        </w:rPr>
        <w:t>2</w:t>
      </w:r>
      <w:r>
        <w:rPr>
          <w:w w:val="95"/>
        </w:rPr>
        <w:t>、以权益结算的股份支付情况</w:t>
      </w:r>
      <w:r>
        <w:rPr>
          <w:b w:val="0"/>
          <w:bCs w:val="0"/>
        </w:rPr>
      </w:r>
    </w:p>
    <w:p>
      <w:pPr>
        <w:pStyle w:val="BodyText"/>
        <w:spacing w:line="240" w:lineRule="auto"/>
        <w:ind w:left="113" w:right="0"/>
        <w:jc w:val="left"/>
      </w:pPr>
      <w:r>
        <w:rPr/>
        <w:br w:type="column"/>
      </w:r>
      <w:r>
        <w:rPr/>
        <w:t>单位： 元</w:t>
      </w:r>
    </w:p>
    <w:p>
      <w:pPr>
        <w:spacing w:after="0" w:line="240" w:lineRule="auto"/>
        <w:jc w:val="left"/>
        <w:sectPr>
          <w:type w:val="continuous"/>
          <w:pgSz w:w="11910" w:h="16840"/>
          <w:pgMar w:top="1060" w:bottom="1160" w:left="1020" w:right="1020"/>
          <w:cols w:num="2" w:equalWidth="0">
            <w:col w:w="2951" w:space="5877"/>
            <w:col w:w="1042"/>
          </w:cols>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以权益结算的股份支付的说明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95"/>
        </w:rPr>
        <w:t>3</w:t>
      </w:r>
      <w:r>
        <w:rPr>
          <w:w w:val="95"/>
        </w:rPr>
        <w:t>、以现金结算的股份支付情况</w:t>
      </w:r>
      <w:r>
        <w:rPr>
          <w:b w:val="0"/>
          <w:bCs w:val="0"/>
        </w:rPr>
      </w:r>
    </w:p>
    <w:p>
      <w:pPr>
        <w:pStyle w:val="BodyText"/>
        <w:spacing w:line="240" w:lineRule="auto"/>
        <w:ind w:left="113" w:right="0"/>
        <w:jc w:val="left"/>
      </w:pPr>
      <w:r>
        <w:rPr/>
        <w:br w:type="column"/>
      </w:r>
      <w:r>
        <w:rPr/>
        <w:t>单位： 元</w:t>
      </w:r>
    </w:p>
    <w:p>
      <w:pPr>
        <w:spacing w:after="0" w:line="240" w:lineRule="auto"/>
        <w:jc w:val="left"/>
        <w:sectPr>
          <w:type w:val="continuous"/>
          <w:pgSz w:w="11910" w:h="16840"/>
          <w:pgMar w:top="1060" w:bottom="1160" w:left="1020" w:right="1020"/>
          <w:cols w:num="2" w:equalWidth="0">
            <w:col w:w="2951" w:space="5877"/>
            <w:col w:w="1042"/>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240" w:lineRule="auto" w:before="0"/>
        <w:rPr>
          <w:rFonts w:ascii="宋体" w:hAnsi="宋体" w:cs="宋体" w:eastAsia="宋体" w:hint="default"/>
          <w:sz w:val="18"/>
          <w:szCs w:val="18"/>
        </w:rPr>
      </w:pPr>
    </w:p>
    <w:p>
      <w:pPr>
        <w:pStyle w:val="BodyText"/>
        <w:spacing w:line="240" w:lineRule="auto" w:before="160"/>
        <w:ind w:left="113" w:right="-19"/>
        <w:jc w:val="left"/>
      </w:pPr>
      <w:r>
        <w:rPr/>
        <w:t>以现金结算的股份支付的说明</w:t>
      </w:r>
    </w:p>
    <w:p>
      <w:pPr>
        <w:spacing w:line="240" w:lineRule="auto" w:before="12"/>
        <w:rPr>
          <w:rFonts w:ascii="宋体" w:hAnsi="宋体" w:cs="宋体" w:eastAsia="宋体" w:hint="default"/>
          <w:sz w:val="26"/>
          <w:szCs w:val="26"/>
        </w:rPr>
      </w:pPr>
    </w:p>
    <w:p>
      <w:pPr>
        <w:pStyle w:val="Heading4"/>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left="113" w:right="0"/>
        <w:jc w:val="left"/>
      </w:pPr>
      <w:r>
        <w:rPr/>
        <w:br w:type="column"/>
      </w:r>
      <w:r>
        <w:rPr/>
        <w:t>单位： 元</w:t>
      </w:r>
    </w:p>
    <w:p>
      <w:pPr>
        <w:spacing w:after="0" w:line="240" w:lineRule="auto"/>
        <w:jc w:val="left"/>
        <w:sectPr>
          <w:type w:val="continuous"/>
          <w:pgSz w:w="11910" w:h="16840"/>
          <w:pgMar w:top="1060" w:bottom="1160" w:left="1020" w:right="1020"/>
          <w:cols w:num="2" w:equalWidth="0">
            <w:col w:w="2454" w:space="6374"/>
            <w:col w:w="1042"/>
          </w:cols>
        </w:sectPr>
      </w:pPr>
    </w:p>
    <w:p>
      <w:pPr>
        <w:spacing w:line="240" w:lineRule="auto" w:before="1"/>
        <w:rPr>
          <w:rFonts w:ascii="宋体" w:hAnsi="宋体" w:cs="宋体" w:eastAsia="宋体" w:hint="default"/>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24"/>
          <w:szCs w:val="24"/>
        </w:rPr>
      </w:pPr>
    </w:p>
    <w:p>
      <w:pPr>
        <w:pStyle w:val="Heading4"/>
        <w:spacing w:line="487" w:lineRule="auto" w:before="35"/>
        <w:ind w:right="5231"/>
        <w:jc w:val="left"/>
        <w:rPr>
          <w:b w:val="0"/>
          <w:bCs w:val="0"/>
        </w:rPr>
      </w:pPr>
      <w:r>
        <w:rPr>
          <w:rFonts w:ascii="Times New Roman" w:hAnsi="Times New Roman" w:cs="Times New Roman" w:eastAsia="Times New Roman" w:hint="default"/>
        </w:rPr>
        <w:t>5</w:t>
      </w:r>
      <w:r>
        <w:rPr/>
        <w:t>、股份支付的修改、终止情况</w:t>
      </w:r>
      <w:r>
        <w:rPr>
          <w:w w:val="99"/>
        </w:rPr>
        <w:t> </w:t>
      </w:r>
      <w:r>
        <w:rPr>
          <w:sz w:val="24"/>
          <w:szCs w:val="24"/>
        </w:rPr>
        <w:t>十一、或有事项</w:t>
      </w:r>
      <w:r>
        <w:rPr>
          <w:w w:val="99"/>
          <w:sz w:val="24"/>
          <w:szCs w:val="24"/>
        </w:rPr>
        <w:t> </w:t>
      </w:r>
      <w:r>
        <w:rPr>
          <w:rFonts w:ascii="Times New Roman" w:hAnsi="Times New Roman" w:cs="Times New Roman" w:eastAsia="Times New Roman" w:hint="default"/>
          <w:w w:val="95"/>
        </w:rPr>
        <w:t>1</w:t>
      </w:r>
      <w:r>
        <w:rPr>
          <w:w w:val="95"/>
        </w:rPr>
        <w:t>、未决诉讼或仲裁形成的或有负债及其财务影响</w:t>
      </w:r>
      <w:r>
        <w:rPr>
          <w:b w:val="0"/>
          <w:bCs w:val="0"/>
        </w:rPr>
      </w:r>
    </w:p>
    <w:p>
      <w:pPr>
        <w:pStyle w:val="Heading4"/>
        <w:spacing w:line="240" w:lineRule="auto" w:before="83"/>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其他或有负债及其财务影响</w:t>
      </w:r>
    </w:p>
    <w:p>
      <w:pPr>
        <w:spacing w:after="0" w:line="240" w:lineRule="auto"/>
        <w:jc w:val="left"/>
        <w:sectPr>
          <w:type w:val="continuous"/>
          <w:pgSz w:w="11910" w:h="16840"/>
          <w:pgMar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十二、承诺事项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5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、重要的资产负债表日后事项说明</w:t>
      </w:r>
      <w:r>
        <w:rPr>
          <w:rFonts w:ascii="宋体" w:hAnsi="宋体" w:cs="宋体" w:eastAsia="宋体" w:hint="default"/>
          <w:sz w:val="21"/>
          <w:szCs w:val="21"/>
        </w:rPr>
      </w:r>
    </w:p>
    <w:p>
      <w:pPr>
        <w:pStyle w:val="BodyText"/>
        <w:spacing w:line="240" w:lineRule="auto" w:before="106"/>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55"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公司子公司江苏润和南京软</w:t>
            </w:r>
          </w:p>
        </w:tc>
        <w:tc>
          <w:tcPr>
            <w:tcW w:w="2392" w:type="dxa"/>
            <w:vMerge w:val="restart"/>
            <w:tcBorders>
              <w:top w:val="single" w:sz="4" w:space="0" w:color="010101"/>
              <w:left w:val="single" w:sz="4" w:space="0" w:color="010101"/>
              <w:right w:val="single" w:sz="4" w:space="0" w:color="010101"/>
            </w:tcBorders>
          </w:tcPr>
          <w:p>
            <w:pPr/>
          </w:p>
        </w:tc>
        <w:tc>
          <w:tcPr>
            <w:tcW w:w="2393" w:type="dxa"/>
            <w:tcBorders>
              <w:top w:val="single" w:sz="4" w:space="0" w:color="010101"/>
              <w:left w:val="single" w:sz="4" w:space="0" w:color="010101"/>
              <w:bottom w:val="nil" w:sz="6" w:space="0" w:color="auto"/>
              <w:right w:val="single" w:sz="4" w:space="0" w:color="010101"/>
            </w:tcBorders>
          </w:tcPr>
          <w:p>
            <w:pPr/>
          </w:p>
        </w:tc>
      </w:tr>
      <w:tr>
        <w:trPr>
          <w:trHeight w:val="317" w:hRule="exact"/>
        </w:trPr>
        <w:tc>
          <w:tcPr>
            <w:tcW w:w="2393" w:type="dxa"/>
            <w:tcBorders>
              <w:top w:val="nil" w:sz="6" w:space="0" w:color="auto"/>
              <w:left w:val="single" w:sz="4" w:space="0" w:color="010101"/>
              <w:bottom w:val="nil" w:sz="6" w:space="0" w:color="auto"/>
              <w:right w:val="single" w:sz="4" w:space="0" w:color="010101"/>
            </w:tcBorders>
          </w:tcPr>
          <w:p>
            <w:pP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件外包园投资有限公司投资</w:t>
            </w:r>
            <w:r>
              <w:rPr>
                <w:rFonts w:ascii="Times New Roman" w:hAnsi="Times New Roman" w:cs="Times New Roman" w:eastAsia="Times New Roman" w:hint="default"/>
                <w:sz w:val="18"/>
                <w:szCs w:val="18"/>
              </w:rPr>
              <w:t>"</w:t>
            </w:r>
          </w:p>
        </w:tc>
        <w:tc>
          <w:tcPr>
            <w:tcW w:w="2392" w:type="dxa"/>
            <w:vMerge/>
            <w:tcBorders>
              <w:left w:val="single" w:sz="4" w:space="0" w:color="010101"/>
              <w:right w:val="single" w:sz="4" w:space="0" w:color="010101"/>
            </w:tcBorders>
          </w:tcPr>
          <w:p>
            <w:pPr/>
          </w:p>
        </w:tc>
        <w:tc>
          <w:tcPr>
            <w:tcW w:w="2393" w:type="dxa"/>
            <w:tcBorders>
              <w:top w:val="nil" w:sz="6" w:space="0" w:color="auto"/>
              <w:left w:val="single" w:sz="4" w:space="0" w:color="010101"/>
              <w:bottom w:val="nil" w:sz="6" w:space="0" w:color="auto"/>
              <w:right w:val="single" w:sz="4" w:space="0" w:color="010101"/>
            </w:tcBorders>
          </w:tcPr>
          <w:p>
            <w:pPr/>
          </w:p>
        </w:tc>
      </w:tr>
      <w:tr>
        <w:trPr>
          <w:trHeight w:val="3431"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2" w:right="198"/>
              <w:jc w:val="left"/>
              <w:rPr>
                <w:rFonts w:ascii="宋体" w:hAnsi="宋体" w:cs="宋体" w:eastAsia="宋体" w:hint="default"/>
                <w:sz w:val="18"/>
                <w:szCs w:val="18"/>
              </w:rPr>
            </w:pPr>
            <w:r>
              <w:rPr>
                <w:rFonts w:ascii="宋体" w:hAnsi="宋体" w:cs="宋体" w:eastAsia="宋体" w:hint="default"/>
                <w:sz w:val="18"/>
                <w:szCs w:val="18"/>
              </w:rPr>
              <w:t>润和国际软件外包研发总部 基地项目</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309"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润和国际软件外包研发总部 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规划总占地面积 </w:t>
            </w:r>
            <w:r>
              <w:rPr>
                <w:rFonts w:ascii="Times New Roman" w:hAnsi="Times New Roman" w:cs="Times New Roman" w:eastAsia="Times New Roman" w:hint="default"/>
                <w:sz w:val="18"/>
                <w:szCs w:val="18"/>
              </w:rPr>
              <w:t>37261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平方米，总建筑面积</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124494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平方米，预计总投资为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49144.1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万元，其中建设投资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47179.1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万元，建设期利息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万元；项目建设期：预计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个月；项目资金来源：自有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万元，银行贷款</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万元。该项目投资已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日经公司</w:t>
            </w:r>
          </w:p>
        </w:tc>
        <w:tc>
          <w:tcPr>
            <w:tcW w:w="2392" w:type="dxa"/>
            <w:vMerge/>
            <w:tcBorders>
              <w:left w:val="single" w:sz="4" w:space="0" w:color="010101"/>
              <w:right w:val="single" w:sz="4" w:space="0" w:color="010101"/>
            </w:tcBorders>
          </w:tcPr>
          <w:p>
            <w:pPr/>
          </w:p>
        </w:tc>
        <w:tc>
          <w:tcPr>
            <w:tcW w:w="2393" w:type="dxa"/>
            <w:tcBorders>
              <w:top w:val="nil" w:sz="6" w:space="0" w:color="auto"/>
              <w:left w:val="single" w:sz="4" w:space="0" w:color="010101"/>
              <w:bottom w:val="nil" w:sz="6" w:space="0" w:color="auto"/>
              <w:right w:val="single" w:sz="4" w:space="0" w:color="010101"/>
            </w:tcBorders>
          </w:tcPr>
          <w:p>
            <w:pPr>
              <w:pStyle w:val="TableParagraph"/>
              <w:spacing w:line="312" w:lineRule="auto" w:before="161"/>
              <w:ind w:left="22" w:right="23"/>
              <w:jc w:val="left"/>
              <w:rPr>
                <w:rFonts w:ascii="宋体" w:hAnsi="宋体" w:cs="宋体" w:eastAsia="宋体" w:hint="default"/>
                <w:sz w:val="18"/>
                <w:szCs w:val="18"/>
              </w:rPr>
            </w:pPr>
            <w:r>
              <w:rPr>
                <w:rFonts w:ascii="宋体" w:hAnsi="宋体" w:cs="宋体" w:eastAsia="宋体" w:hint="default"/>
                <w:sz w:val="18"/>
                <w:szCs w:val="18"/>
              </w:rPr>
              <w:t>项目的收益主要来源于建成 后房屋出租的租金，其中公司 的使用率不低于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，且按市</w:t>
            </w:r>
            <w:r>
              <w:rPr>
                <w:rFonts w:ascii="宋体" w:hAnsi="宋体" w:cs="宋体" w:eastAsia="宋体" w:hint="default"/>
                <w:sz w:val="18"/>
                <w:szCs w:val="18"/>
              </w:rPr>
              <w:t> 场原则结算租金。按项目投资 开始后的未来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年作为计算 周期，预计年均营业收入 </w:t>
            </w:r>
            <w:r>
              <w:rPr>
                <w:rFonts w:ascii="Times New Roman" w:hAnsi="Times New Roman" w:cs="Times New Roman" w:eastAsia="Times New Roman" w:hint="default"/>
                <w:spacing w:val="-2"/>
                <w:sz w:val="18"/>
                <w:szCs w:val="18"/>
              </w:rPr>
              <w:t>8611.2</w:t>
            </w:r>
            <w:r>
              <w:rPr>
                <w:rFonts w:ascii="Times New Roman" w:hAnsi="Times New Roman" w:cs="Times New Roman" w:eastAsia="Times New Roman" w:hint="default"/>
                <w:spacing w:val="13"/>
                <w:sz w:val="18"/>
                <w:szCs w:val="18"/>
              </w:rPr>
              <w:t> </w:t>
            </w:r>
            <w:r>
              <w:rPr>
                <w:rFonts w:ascii="宋体" w:hAnsi="宋体" w:cs="宋体" w:eastAsia="宋体" w:hint="default"/>
                <w:spacing w:val="-17"/>
                <w:sz w:val="18"/>
                <w:szCs w:val="18"/>
              </w:rPr>
              <w:t>万元（不含建设期），年</w:t>
            </w:r>
          </w:p>
          <w:p>
            <w:pPr>
              <w:pStyle w:val="TableParagraph"/>
              <w:spacing w:line="300"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均利润总额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4720.5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万元（不含</w:t>
            </w:r>
            <w:r>
              <w:rPr>
                <w:rFonts w:ascii="宋体" w:hAnsi="宋体" w:cs="宋体" w:eastAsia="宋体" w:hint="default"/>
                <w:sz w:val="18"/>
                <w:szCs w:val="18"/>
              </w:rPr>
              <w:t> </w:t>
            </w:r>
            <w:r>
              <w:rPr>
                <w:rFonts w:ascii="宋体" w:hAnsi="宋体" w:cs="宋体" w:eastAsia="宋体" w:hint="default"/>
                <w:spacing w:val="-7"/>
                <w:sz w:val="18"/>
                <w:szCs w:val="18"/>
              </w:rPr>
              <w:t>建设期），项目投资回收期为</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3" w:hRule="exact"/>
        </w:trPr>
        <w:tc>
          <w:tcPr>
            <w:tcW w:w="2393" w:type="dxa"/>
            <w:tcBorders>
              <w:top w:val="nil" w:sz="6" w:space="0" w:color="auto"/>
              <w:left w:val="single" w:sz="4" w:space="0" w:color="010101"/>
              <w:bottom w:val="nil" w:sz="6" w:space="0" w:color="auto"/>
              <w:right w:val="single" w:sz="4" w:space="0" w:color="010101"/>
            </w:tcBorders>
          </w:tcPr>
          <w:p>
            <w:pP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2" w:type="dxa"/>
            <w:vMerge/>
            <w:tcBorders>
              <w:left w:val="single" w:sz="4" w:space="0" w:color="010101"/>
              <w:right w:val="single" w:sz="4" w:space="0" w:color="010101"/>
            </w:tcBorders>
          </w:tcPr>
          <w:p>
            <w:pPr/>
          </w:p>
        </w:tc>
        <w:tc>
          <w:tcPr>
            <w:tcW w:w="2393" w:type="dxa"/>
            <w:tcBorders>
              <w:top w:val="nil" w:sz="6" w:space="0" w:color="auto"/>
              <w:left w:val="single" w:sz="4" w:space="0" w:color="010101"/>
              <w:bottom w:val="nil" w:sz="6" w:space="0" w:color="auto"/>
              <w:right w:val="single" w:sz="4" w:space="0" w:color="010101"/>
            </w:tcBorders>
          </w:tcPr>
          <w:p>
            <w:pPr/>
          </w:p>
        </w:tc>
      </w:tr>
      <w:tr>
        <w:trPr>
          <w:trHeight w:val="354"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审议批准。</w:t>
            </w:r>
          </w:p>
        </w:tc>
        <w:tc>
          <w:tcPr>
            <w:tcW w:w="2392" w:type="dxa"/>
            <w:vMerge/>
            <w:tcBorders>
              <w:left w:val="single" w:sz="4" w:space="0" w:color="010101"/>
              <w:bottom w:val="single" w:sz="4" w:space="0" w:color="010101"/>
              <w:right w:val="single" w:sz="4" w:space="0" w:color="010101"/>
            </w:tcBorders>
          </w:tcPr>
          <w:p>
            <w:pPr/>
          </w:p>
        </w:tc>
        <w:tc>
          <w:tcPr>
            <w:tcW w:w="2393" w:type="dxa"/>
            <w:tcBorders>
              <w:top w:val="nil" w:sz="6" w:space="0" w:color="auto"/>
              <w:left w:val="single" w:sz="4" w:space="0" w:color="010101"/>
              <w:bottom w:val="single" w:sz="4" w:space="0" w:color="010101"/>
              <w:right w:val="single" w:sz="4" w:space="0" w:color="010101"/>
            </w:tcBorders>
          </w:tcPr>
          <w:p>
            <w:pPr/>
          </w:p>
        </w:tc>
      </w:tr>
      <w:tr>
        <w:trPr>
          <w:trHeight w:val="355"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公司注销杭州分公司，该事项</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624"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注销杭州分公司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300" w:lineRule="auto" w:before="10"/>
              <w:ind w:left="22" w:right="21" w:hanging="1"/>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 第四届董事会第二次会议审</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59"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议批准。</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r>
        <w:trPr>
          <w:trHeight w:val="355"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公司注销武汉分公司，该事项</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624"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注销武汉分公司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300" w:lineRule="auto" w:before="10"/>
              <w:ind w:left="22" w:right="21" w:hanging="1"/>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 第四届董事会第二次会议审</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59"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议批准。</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r>
        <w:trPr>
          <w:trHeight w:val="355"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公司注销北京分公司，该事项</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624"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注销北京分公司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300" w:lineRule="auto" w:before="10"/>
              <w:ind w:left="22" w:right="21" w:hanging="1"/>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 第四届董事会第二次会议审</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59"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议批准。</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r>
        <w:trPr>
          <w:trHeight w:val="346"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公司设立北京子公司，该事项</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326"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设立北京子公司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14"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第四届董事会第二次会议审</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362" w:hRule="exact"/>
        </w:trPr>
        <w:tc>
          <w:tcPr>
            <w:tcW w:w="2393" w:type="dxa"/>
            <w:tcBorders>
              <w:top w:val="single" w:sz="4" w:space="0" w:color="010101"/>
              <w:left w:val="single" w:sz="4" w:space="0" w:color="010101"/>
              <w:bottom w:val="single" w:sz="4" w:space="0" w:color="010101"/>
              <w:right w:val="single" w:sz="4" w:space="0" w:color="010101"/>
            </w:tcBorders>
          </w:tcPr>
          <w:p>
            <w:pP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议批准。</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357"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公司控股子公司润和数码设</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312" w:hRule="exact"/>
        </w:trPr>
        <w:tc>
          <w:tcPr>
            <w:tcW w:w="2393" w:type="dxa"/>
            <w:tcBorders>
              <w:top w:val="nil" w:sz="6" w:space="0" w:color="auto"/>
              <w:left w:val="single" w:sz="4" w:space="0" w:color="010101"/>
              <w:bottom w:val="nil" w:sz="6" w:space="0" w:color="auto"/>
              <w:right w:val="single" w:sz="4" w:space="0" w:color="010101"/>
            </w:tcBorders>
          </w:tcPr>
          <w:p>
            <w:pP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立深圳子公司，该事项已于</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16"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控股子公司设立深圳子公司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08" w:hRule="exact"/>
        </w:trPr>
        <w:tc>
          <w:tcPr>
            <w:tcW w:w="2393" w:type="dxa"/>
            <w:tcBorders>
              <w:top w:val="nil" w:sz="6" w:space="0" w:color="auto"/>
              <w:left w:val="single" w:sz="4" w:space="0" w:color="010101"/>
              <w:bottom w:val="nil" w:sz="6" w:space="0" w:color="auto"/>
              <w:right w:val="single" w:sz="4" w:space="0" w:color="010101"/>
            </w:tcBorders>
          </w:tcPr>
          <w:p>
            <w:pP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届董事会第二次会议审议批</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57"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r>
        <w:trPr>
          <w:trHeight w:val="357" w:hRule="exact"/>
        </w:trPr>
        <w:tc>
          <w:tcPr>
            <w:tcW w:w="2393" w:type="dxa"/>
            <w:tcBorders>
              <w:top w:val="single" w:sz="4" w:space="0" w:color="010101"/>
              <w:left w:val="single" w:sz="4" w:space="0" w:color="010101"/>
              <w:bottom w:val="nil" w:sz="6" w:space="0" w:color="auto"/>
              <w:right w:val="single" w:sz="4" w:space="0" w:color="010101"/>
            </w:tcBorders>
          </w:tcPr>
          <w:p>
            <w:pPr/>
          </w:p>
        </w:tc>
        <w:tc>
          <w:tcPr>
            <w:tcW w:w="23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公司控股子公司润和数码设</w:t>
            </w:r>
          </w:p>
        </w:tc>
        <w:tc>
          <w:tcPr>
            <w:tcW w:w="2392" w:type="dxa"/>
            <w:vMerge w:val="restart"/>
            <w:tcBorders>
              <w:top w:val="single" w:sz="4" w:space="0" w:color="010101"/>
              <w:left w:val="single" w:sz="4" w:space="0" w:color="010101"/>
              <w:right w:val="single" w:sz="4" w:space="0" w:color="010101"/>
            </w:tcBorders>
          </w:tcPr>
          <w:p>
            <w:pPr/>
          </w:p>
        </w:tc>
        <w:tc>
          <w:tcPr>
            <w:tcW w:w="2393" w:type="dxa"/>
            <w:vMerge w:val="restart"/>
            <w:tcBorders>
              <w:top w:val="single" w:sz="4" w:space="0" w:color="010101"/>
              <w:left w:val="single" w:sz="4" w:space="0" w:color="010101"/>
              <w:right w:val="single" w:sz="4" w:space="0" w:color="010101"/>
            </w:tcBorders>
          </w:tcPr>
          <w:p>
            <w:pPr/>
          </w:p>
        </w:tc>
      </w:tr>
      <w:tr>
        <w:trPr>
          <w:trHeight w:val="936" w:hRule="exact"/>
        </w:trPr>
        <w:tc>
          <w:tcPr>
            <w:tcW w:w="239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98"/>
              <w:jc w:val="left"/>
              <w:rPr>
                <w:rFonts w:ascii="宋体" w:hAnsi="宋体" w:cs="宋体" w:eastAsia="宋体" w:hint="default"/>
                <w:sz w:val="18"/>
                <w:szCs w:val="18"/>
              </w:rPr>
            </w:pPr>
            <w:r>
              <w:rPr>
                <w:rFonts w:ascii="宋体" w:hAnsi="宋体" w:cs="宋体" w:eastAsia="宋体" w:hint="default"/>
                <w:sz w:val="18"/>
                <w:szCs w:val="18"/>
              </w:rPr>
              <w:t>控股子公司设立新加坡子公 司</w:t>
            </w:r>
          </w:p>
        </w:tc>
        <w:tc>
          <w:tcPr>
            <w:tcW w:w="2392" w:type="dxa"/>
            <w:tcBorders>
              <w:top w:val="nil" w:sz="6" w:space="0" w:color="auto"/>
              <w:left w:val="single" w:sz="4" w:space="0" w:color="010101"/>
              <w:bottom w:val="nil" w:sz="6" w:space="0" w:color="auto"/>
              <w:right w:val="single" w:sz="4" w:space="0" w:color="010101"/>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立新加坡子公司，该事项已于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 届董事会第二次会议审议批</w:t>
            </w:r>
          </w:p>
        </w:tc>
        <w:tc>
          <w:tcPr>
            <w:tcW w:w="2392" w:type="dxa"/>
            <w:vMerge/>
            <w:tcBorders>
              <w:left w:val="single" w:sz="4" w:space="0" w:color="010101"/>
              <w:right w:val="single" w:sz="4" w:space="0" w:color="010101"/>
            </w:tcBorders>
          </w:tcPr>
          <w:p>
            <w:pPr/>
          </w:p>
        </w:tc>
        <w:tc>
          <w:tcPr>
            <w:tcW w:w="2393" w:type="dxa"/>
            <w:vMerge/>
            <w:tcBorders>
              <w:left w:val="single" w:sz="4" w:space="0" w:color="010101"/>
              <w:right w:val="single" w:sz="4" w:space="0" w:color="010101"/>
            </w:tcBorders>
          </w:tcPr>
          <w:p>
            <w:pPr/>
          </w:p>
        </w:tc>
      </w:tr>
      <w:tr>
        <w:trPr>
          <w:trHeight w:val="357" w:hRule="exact"/>
        </w:trPr>
        <w:tc>
          <w:tcPr>
            <w:tcW w:w="2393" w:type="dxa"/>
            <w:tcBorders>
              <w:top w:val="nil" w:sz="6" w:space="0" w:color="auto"/>
              <w:left w:val="single" w:sz="4" w:space="0" w:color="010101"/>
              <w:bottom w:val="single" w:sz="4" w:space="0" w:color="010101"/>
              <w:right w:val="single" w:sz="4" w:space="0" w:color="010101"/>
            </w:tcBorders>
          </w:tcPr>
          <w:p>
            <w:pPr/>
          </w:p>
        </w:tc>
        <w:tc>
          <w:tcPr>
            <w:tcW w:w="23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w:t>
            </w:r>
          </w:p>
        </w:tc>
        <w:tc>
          <w:tcPr>
            <w:tcW w:w="2392" w:type="dxa"/>
            <w:vMerge/>
            <w:tcBorders>
              <w:left w:val="single" w:sz="4" w:space="0" w:color="010101"/>
              <w:bottom w:val="single" w:sz="4" w:space="0" w:color="010101"/>
              <w:right w:val="single" w:sz="4" w:space="0" w:color="010101"/>
            </w:tcBorders>
          </w:tcPr>
          <w:p>
            <w:pPr/>
          </w:p>
        </w:tc>
        <w:tc>
          <w:tcPr>
            <w:tcW w:w="2393" w:type="dxa"/>
            <w:vMerge/>
            <w:tcBorders>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4776;height:394" coordorigin="14,13" coordsize="4776,394">
              <v:shape style="position:absolute;left:14;top:13;width:4776;height:394" coordorigin="14,13" coordsize="4776,394" path="m14,407l4790,407,4790,13,14,13,14,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4794;top:5;width:2;height:402" coordorigin="4794,5" coordsize="2,402">
              <v:shape style="position:absolute;left:4794;top:5;width:2;height:402" coordorigin="4794,5" coordsize="0,402" path="m4794,5l4794,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0;top:10;width:4785;height:402"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794;top:10;width:4785;height:402" type="#_x0000_t202" filled="false" stroked="false">
                <v:textbox inset="0,0,0,0">
                  <w:txbxContent>
                    <w:p>
                      <w:pPr>
                        <w:spacing w:before="94"/>
                        <w:ind w:left="0" w:right="26" w:firstLine="0"/>
                        <w:jc w:val="right"/>
                        <w:rPr>
                          <w:rFonts w:ascii="Times New Roman" w:hAnsi="Times New Roman" w:cs="Times New Roman" w:eastAsia="Times New Roman" w:hint="default"/>
                          <w:sz w:val="18"/>
                          <w:szCs w:val="18"/>
                        </w:rPr>
                      </w:pPr>
                      <w:r>
                        <w:rPr>
                          <w:rFonts w:ascii="Times New Roman"/>
                          <w:sz w:val="18"/>
                        </w:rPr>
                        <w:t>15,348,000.00</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9"/>
          <w:szCs w:val="19"/>
        </w:rPr>
      </w:pPr>
    </w:p>
    <w:p>
      <w:pPr>
        <w:pStyle w:val="Heading4"/>
        <w:spacing w:line="496" w:lineRule="auto" w:before="35"/>
        <w:ind w:right="3250"/>
        <w:jc w:val="left"/>
        <w:rPr>
          <w:b w:val="0"/>
          <w:bCs w:val="0"/>
          <w:sz w:val="24"/>
          <w:szCs w:val="24"/>
        </w:rPr>
      </w:pPr>
      <w:r>
        <w:rPr>
          <w:rFonts w:ascii="Times New Roman" w:hAnsi="Times New Roman" w:cs="Times New Roman" w:eastAsia="Times New Roman" w:hint="default"/>
        </w:rPr>
        <w:t>3</w:t>
      </w:r>
      <w:r>
        <w:rPr/>
        <w:t>、其他资产负债表日后事项说明</w:t>
      </w:r>
      <w:r>
        <w:rPr>
          <w:w w:val="99"/>
        </w:rPr>
        <w:t> </w:t>
      </w:r>
      <w:r>
        <w:rPr>
          <w:w w:val="95"/>
        </w:rPr>
        <w:t>截至</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18</w:t>
      </w:r>
      <w:r>
        <w:rPr>
          <w:w w:val="95"/>
        </w:rPr>
        <w:t>日止，本公司无需要披露的其他资产负债表日后事项。</w:t>
      </w:r>
      <w:r>
        <w:rPr>
          <w:spacing w:val="7"/>
          <w:w w:val="95"/>
        </w:rPr>
        <w:t> </w:t>
      </w:r>
      <w:r>
        <w:rPr>
          <w:spacing w:val="7"/>
          <w:w w:val="95"/>
        </w:rPr>
      </w:r>
      <w:r>
        <w:rPr>
          <w:sz w:val="24"/>
          <w:szCs w:val="24"/>
        </w:rPr>
        <w:t>十四、其他重要事项</w:t>
      </w:r>
      <w:r>
        <w:rPr>
          <w:b w:val="0"/>
          <w:bCs w:val="0"/>
          <w:sz w:val="24"/>
          <w:szCs w:val="24"/>
        </w:rPr>
      </w:r>
    </w:p>
    <w:p>
      <w:pPr>
        <w:pStyle w:val="Heading4"/>
        <w:spacing w:line="240" w:lineRule="auto" w:before="66"/>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62"/>
        <w:gridCol w:w="1519"/>
        <w:gridCol w:w="1523"/>
        <w:gridCol w:w="1522"/>
        <w:gridCol w:w="1522"/>
        <w:gridCol w:w="1523"/>
      </w:tblGrid>
      <w:tr>
        <w:trPr>
          <w:trHeight w:val="714"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76"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4"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70"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9"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897,600.00</w:t>
            </w: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897,600.00</w:t>
            </w: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897,600.00</w:t>
            </w: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897,600.00</w:t>
            </w:r>
          </w:p>
        </w:tc>
      </w:tr>
      <w:tr>
        <w:trPr>
          <w:trHeight w:val="402" w:hRule="exact"/>
        </w:trPr>
        <w:tc>
          <w:tcPr>
            <w:tcW w:w="19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2"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1517"/>
        <w:gridCol w:w="1518"/>
        <w:gridCol w:w="1517"/>
        <w:gridCol w:w="1517"/>
        <w:gridCol w:w="1517"/>
      </w:tblGrid>
      <w:tr>
        <w:trPr>
          <w:trHeight w:val="714"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573" w:right="32"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02" w:right="32"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5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10101"/>
              <w:right w:val="single" w:sz="4" w:space="0" w:color="010101"/>
            </w:tcBorders>
            <w:shd w:val="clear" w:color="auto" w:fill="D3D3D3"/>
          </w:tcPr>
          <w:p>
            <w:pP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10101"/>
              <w:bottom w:val="single" w:sz="4" w:space="0" w:color="010101"/>
              <w:right w:val="single" w:sz="4" w:space="0" w:color="010101"/>
            </w:tcBorders>
            <w:shd w:val="clear" w:color="auto" w:fill="D3D3D3"/>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64"/>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117,868,831.14</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6,007,960.23</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52,181,938.06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2,609,096.90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117,868,831.14</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6,007,960.23</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52,181,938.06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2,609,096.90</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117,868,831.14</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6,007,960.23</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52,181,938.06</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2,609,096.90</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357" w:lineRule="auto" w:before="50"/>
        <w:ind w:right="-20"/>
        <w:jc w:val="left"/>
      </w:pPr>
      <w:r>
        <w:rPr/>
        <w:t>应收账款种类的说明 期末单项金额重大并单项计提坏账准备的应收账款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13" w:right="0"/>
        <w:jc w:val="left"/>
      </w:pPr>
      <w:r>
        <w:rPr/>
        <w:t>单位： 元</w:t>
      </w:r>
    </w:p>
    <w:p>
      <w:pPr>
        <w:spacing w:after="0" w:line="240" w:lineRule="auto"/>
        <w:jc w:val="left"/>
        <w:sectPr>
          <w:type w:val="continuous"/>
          <w:pgSz w:w="11910" w:h="16840"/>
          <w:pgMar w:top="1060" w:bottom="116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10101"/>
              <w:right w:val="single" w:sz="4" w:space="0" w:color="010101"/>
            </w:tcBorders>
            <w:shd w:val="clear" w:color="auto" w:fill="D3D3D3"/>
          </w:tcPr>
          <w:p>
            <w:pPr/>
          </w:p>
        </w:tc>
        <w:tc>
          <w:tcPr>
            <w:tcW w:w="26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10101"/>
              <w:bottom w:val="single" w:sz="4" w:space="0" w:color="010101"/>
              <w:right w:val="single" w:sz="4" w:space="0" w:color="010101"/>
            </w:tcBorders>
            <w:shd w:val="clear" w:color="auto" w:fill="D3D3D3"/>
          </w:tcPr>
          <w:p>
            <w:pP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5" w:type="dxa"/>
            <w:vMerge/>
            <w:tcBorders>
              <w:left w:val="single" w:sz="4" w:space="0" w:color="010101"/>
              <w:bottom w:val="single" w:sz="4" w:space="0" w:color="010101"/>
              <w:right w:val="single" w:sz="4" w:space="0" w:color="010101"/>
            </w:tcBorders>
            <w:shd w:val="clear" w:color="auto" w:fill="D3D3D3"/>
          </w:tcPr>
          <w:p>
            <w:pPr/>
          </w:p>
        </w:tc>
      </w:tr>
    </w:tbl>
    <w:p>
      <w:pPr>
        <w:spacing w:after="0"/>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115,578,457.78</w:t>
            </w:r>
            <w:r>
              <w:rPr>
                <w:rFonts w:ascii="Times New Roman"/>
                <w:sz w:val="18"/>
              </w:rPr>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98.06%</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5,778,922.89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52,181,938.06</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2,609,096.90</w:t>
            </w:r>
          </w:p>
        </w:tc>
      </w:tr>
      <w:tr>
        <w:trPr>
          <w:trHeight w:val="714"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 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115,578,457.78</w:t>
            </w:r>
            <w:r>
              <w:rPr>
                <w:rFonts w:ascii="Times New Roman"/>
                <w:sz w:val="18"/>
              </w:rPr>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98.06%</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5,778,922.89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52,181,938.06</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2,609,096.90</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2,290,373.36</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1.94%</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229,037.34</w:t>
            </w:r>
          </w:p>
        </w:tc>
        <w:tc>
          <w:tcPr>
            <w:tcW w:w="2126" w:type="dxa"/>
            <w:tcBorders>
              <w:top w:val="single" w:sz="4" w:space="0" w:color="010101"/>
              <w:left w:val="single" w:sz="4" w:space="0" w:color="010101"/>
              <w:bottom w:val="single" w:sz="4" w:space="0" w:color="010101"/>
              <w:right w:val="single" w:sz="4" w:space="0" w:color="010101"/>
            </w:tcBorders>
          </w:tcPr>
          <w:p>
            <w:pPr/>
          </w:p>
        </w:tc>
        <w:tc>
          <w:tcPr>
            <w:tcW w:w="664" w:type="dxa"/>
            <w:tcBorders>
              <w:top w:val="single" w:sz="4" w:space="0" w:color="010101"/>
              <w:left w:val="single" w:sz="4" w:space="0" w:color="010101"/>
              <w:bottom w:val="single" w:sz="4" w:space="0" w:color="010101"/>
              <w:right w:val="single" w:sz="4" w:space="0" w:color="010101"/>
            </w:tcBorders>
          </w:tcPr>
          <w:p>
            <w:pPr/>
          </w:p>
        </w:tc>
        <w:tc>
          <w:tcPr>
            <w:tcW w:w="159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117,868,831.14</w:t>
            </w:r>
            <w:r>
              <w:rPr>
                <w:rFonts w:ascii="Times New Roman"/>
                <w:sz w:val="18"/>
              </w:rPr>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6,007,960.23</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52,181,938.06</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2,609,096.90</w:t>
            </w:r>
          </w:p>
        </w:tc>
      </w:tr>
    </w:tbl>
    <w:p>
      <w:pPr>
        <w:pStyle w:val="BodyText"/>
        <w:spacing w:line="240" w:lineRule="auto" w:before="50"/>
        <w:ind w:right="0"/>
        <w:jc w:val="left"/>
      </w:pPr>
      <w:r>
        <w:rPr/>
        <w:t>组合中，采用余额百分比法计提坏账准备的应收账款</w:t>
      </w:r>
    </w:p>
    <w:p>
      <w:pPr>
        <w:pStyle w:val="BodyText"/>
        <w:spacing w:line="340" w:lineRule="auto" w:before="116"/>
        <w:ind w:right="59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pStyle w:val="BodyText"/>
        <w:spacing w:line="338" w:lineRule="auto" w:before="40"/>
        <w:ind w:right="5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3"/>
        <w:gridCol w:w="1934"/>
        <w:gridCol w:w="1933"/>
        <w:gridCol w:w="1933"/>
        <w:gridCol w:w="1834"/>
      </w:tblGrid>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单项金额不重大但按信用风险特征组合后该组合的风险较大的应收账款的说明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0"/>
        <w:ind w:right="0"/>
        <w:jc w:val="left"/>
      </w:pPr>
      <w:r>
        <w:rPr/>
        <w:t>应收账款核销说明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594"/>
        <w:gridCol w:w="1861"/>
        <w:gridCol w:w="1860"/>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727"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2" w:right="0"/>
              <w:jc w:val="left"/>
              <w:rPr>
                <w:rFonts w:ascii="Times New Roman" w:hAnsi="Times New Roman" w:cs="Times New Roman" w:eastAsia="Times New Roman" w:hint="default"/>
                <w:sz w:val="18"/>
                <w:szCs w:val="18"/>
              </w:rPr>
            </w:pPr>
            <w:r>
              <w:rPr>
                <w:rFonts w:ascii="Times New Roman"/>
                <w:spacing w:val="-3"/>
                <w:sz w:val="18"/>
              </w:rPr>
              <w:t>111,963.00</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5,598.15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6"/>
              <w:jc w:val="center"/>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10,149,412.41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株式会社アイティ</w:t>
            </w:r>
            <w:r>
              <w:rPr>
                <w:rFonts w:ascii="Times New Roman" w:hAnsi="Times New Roman" w:cs="Times New Roman" w:eastAsia="Times New Roman" w:hint="default"/>
                <w:sz w:val="18"/>
                <w:szCs w:val="18"/>
              </w:rPr>
              <w:t>.</w:t>
            </w:r>
            <w:r>
              <w:rPr>
                <w:rFonts w:ascii="宋体" w:hAnsi="宋体" w:cs="宋体" w:eastAsia="宋体" w:hint="default"/>
                <w:sz w:val="18"/>
                <w:szCs w:val="18"/>
              </w:rPr>
              <w:t>フォ レスト</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6,128,811.10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533"/>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2"/>
                <w:sz w:val="18"/>
              </w:rPr>
              <w:t> </w:t>
            </w:r>
            <w:r>
              <w:rPr>
                <w:rFonts w:ascii="Times New Roman"/>
                <w:sz w:val="18"/>
              </w:rPr>
              <w:t>Software</w:t>
            </w:r>
            <w:r>
              <w:rPr>
                <w:rFonts w:ascii="Times New Roman"/>
                <w:sz w:val="18"/>
              </w:rPr>
              <w:t> Singapore Pte.</w:t>
            </w:r>
            <w:r>
              <w:rPr>
                <w:rFonts w:ascii="Times New Roman"/>
                <w:spacing w:val="-3"/>
                <w:sz w:val="18"/>
              </w:rPr>
              <w:t> </w:t>
            </w:r>
            <w:r>
              <w:rPr>
                <w:rFonts w:ascii="Times New Roman"/>
                <w:sz w:val="18"/>
              </w:rPr>
              <w:t>Ltd</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全资子公司的控股公司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5,734,026.76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江苏方天电力技术有限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140"/>
              <w:jc w:val="left"/>
              <w:rPr>
                <w:rFonts w:ascii="宋体" w:hAnsi="宋体" w:cs="宋体" w:eastAsia="宋体" w:hint="default"/>
                <w:sz w:val="18"/>
                <w:szCs w:val="18"/>
              </w:rPr>
            </w:pPr>
            <w:r>
              <w:rPr>
                <w:rFonts w:ascii="宋体" w:hAnsi="宋体" w:cs="宋体" w:eastAsia="宋体" w:hint="default"/>
                <w:sz w:val="18"/>
                <w:szCs w:val="18"/>
              </w:rPr>
              <w:t>百胜咨询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5,430,496.06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32,982,746.33</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参股股东</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10,149,412.41</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8.61%</w:t>
            </w:r>
            <w:r>
              <w:rPr>
                <w:rFonts w:ascii="Times New Roman"/>
                <w:w w:val="95"/>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143"/>
              <w:jc w:val="left"/>
              <w:rPr>
                <w:rFonts w:ascii="Times New Roman" w:hAnsi="Times New Roman" w:cs="Times New Roman" w:eastAsia="Times New Roman" w:hint="default"/>
                <w:sz w:val="18"/>
                <w:szCs w:val="18"/>
              </w:rPr>
            </w:pPr>
            <w:r>
              <w:rPr>
                <w:rFonts w:ascii="Times New Roman"/>
                <w:sz w:val="18"/>
              </w:rPr>
              <w:t>Hoperun Software</w:t>
            </w:r>
            <w:r>
              <w:rPr>
                <w:rFonts w:ascii="Times New Roman"/>
                <w:spacing w:val="-4"/>
                <w:sz w:val="18"/>
              </w:rPr>
              <w:t> </w:t>
            </w:r>
            <w:r>
              <w:rPr>
                <w:rFonts w:ascii="Times New Roman"/>
                <w:sz w:val="18"/>
              </w:rPr>
              <w:t>Singapore</w:t>
            </w:r>
            <w:r>
              <w:rPr>
                <w:rFonts w:ascii="Times New Roman"/>
                <w:sz w:val="18"/>
              </w:rPr>
              <w:t> Pte.</w:t>
            </w:r>
            <w:r>
              <w:rPr>
                <w:rFonts w:ascii="Times New Roman"/>
                <w:spacing w:val="-2"/>
                <w:sz w:val="18"/>
              </w:rPr>
              <w:t> </w:t>
            </w:r>
            <w:r>
              <w:rPr>
                <w:rFonts w:ascii="Times New Roman"/>
                <w:sz w:val="18"/>
              </w:rPr>
              <w:t>Ltd</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全资子公司的控股公司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5,734,026.76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4.86%</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4,553,039.25</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3.86%</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2,175,397.66</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1.85%</w:t>
            </w:r>
            <w:r>
              <w:rPr>
                <w:rFonts w:ascii="Times New Roman"/>
                <w:w w:val="95"/>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株式会社潤和ソフトウェア 東京</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2,162,120.15</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1.83%</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深圳市海思半导体有限公司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521,354.00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0.44%</w:t>
            </w:r>
            <w:r>
              <w:rPr>
                <w:rFonts w:ascii="Times New Roman"/>
                <w:w w:val="95"/>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深圳市华为技术软件有限公 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参股股东的关联方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0.06%</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25,359,350.23</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w:t>
            </w:r>
            <w:r>
              <w:rPr>
                <w:rFonts w:ascii="Times New Roman"/>
                <w:sz w:val="18"/>
              </w:rPr>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不符合终止确认条件的应收账款的转移金额为</w:t>
      </w:r>
      <w:r>
        <w:rPr>
          <w:spacing w:val="-46"/>
        </w:rPr>
        <w:t> </w:t>
      </w:r>
      <w:r>
        <w:rPr>
          <w:rFonts w:ascii="Times New Roman" w:hAnsi="Times New Roman" w:cs="Times New Roman" w:eastAsia="Times New Roman" w:hint="default"/>
        </w:rPr>
        <w:t>0.00 </w:t>
      </w:r>
      <w:r>
        <w:rPr/>
        <w:t>元。</w:t>
      </w:r>
    </w:p>
    <w:p>
      <w:pPr>
        <w:spacing w:after="0" w:line="240" w:lineRule="auto"/>
        <w:jc w:val="left"/>
        <w:sectPr>
          <w:footerReference w:type="default" r:id="rId40"/>
          <w:pgSz w:w="11910" w:h="16840"/>
          <w:pgMar w:footer="980" w:header="747"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1"/>
        <w:gridCol w:w="1453"/>
        <w:gridCol w:w="528"/>
        <w:gridCol w:w="1321"/>
        <w:gridCol w:w="528"/>
        <w:gridCol w:w="1322"/>
        <w:gridCol w:w="528"/>
        <w:gridCol w:w="1189"/>
        <w:gridCol w:w="527"/>
      </w:tblGrid>
      <w:tr>
        <w:trPr>
          <w:trHeight w:val="402" w:hRule="exact"/>
        </w:trPr>
        <w:tc>
          <w:tcPr>
            <w:tcW w:w="21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1" w:type="dxa"/>
            <w:vMerge/>
            <w:tcBorders>
              <w:left w:val="single" w:sz="4" w:space="0" w:color="010101"/>
              <w:right w:val="single" w:sz="4" w:space="0" w:color="010101"/>
            </w:tcBorders>
            <w:shd w:val="clear" w:color="auto" w:fill="D3D3D3"/>
          </w:tcPr>
          <w:p>
            <w:pP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1" w:type="dxa"/>
            <w:vMerge/>
            <w:tcBorders>
              <w:left w:val="single" w:sz="4" w:space="0" w:color="010101"/>
              <w:bottom w:val="single" w:sz="4" w:space="0" w:color="010101"/>
              <w:right w:val="single" w:sz="4" w:space="0" w:color="010101"/>
            </w:tcBorders>
            <w:shd w:val="clear" w:color="auto" w:fill="D3D3D3"/>
          </w:tcPr>
          <w:p>
            <w:pPr/>
          </w:p>
        </w:tc>
        <w:tc>
          <w:tcPr>
            <w:tcW w:w="14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56"/>
              <w:jc w:val="left"/>
              <w:rPr>
                <w:rFonts w:ascii="宋体" w:hAnsi="宋体" w:cs="宋体" w:eastAsia="宋体" w:hint="default"/>
                <w:sz w:val="18"/>
                <w:szCs w:val="18"/>
              </w:rPr>
            </w:pPr>
            <w:r>
              <w:rPr>
                <w:rFonts w:ascii="宋体" w:hAnsi="宋体" w:cs="宋体" w:eastAsia="宋体" w:hint="default"/>
                <w:sz w:val="18"/>
                <w:szCs w:val="18"/>
              </w:rPr>
              <w:t>以账龄作为信用风险特征 组合</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67,793,066.68</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3,762,809.61</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5.55%</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59,509,841.46</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2,991,742.08</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67,793,066.68</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3,762,809.61</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5.55%</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59,509,841.46</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2,991,742.08</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67,793,066.68</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3,762,809.61</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59,509,841.46</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2,991,742.08</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41"/>
          <w:pgSz w:w="11910" w:h="16840"/>
          <w:pgMar w:footer="980" w:header="747" w:top="1060" w:bottom="1160" w:left="1020" w:right="1020"/>
          <w:pgNumType w:start="151"/>
        </w:sectPr>
      </w:pPr>
    </w:p>
    <w:p>
      <w:pPr>
        <w:pStyle w:val="BodyText"/>
        <w:spacing w:line="357" w:lineRule="auto" w:before="50"/>
        <w:ind w:right="-20"/>
        <w:jc w:val="left"/>
      </w:pPr>
      <w:r>
        <w:rPr/>
        <w:t>其他应收款种类的说明 期末单项金额重大并单项计提坏账准备的其他应收款</w:t>
      </w:r>
    </w:p>
    <w:p>
      <w:pPr>
        <w:pStyle w:val="BodyText"/>
        <w:spacing w:line="340" w:lineRule="auto" w:before="2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单位： 元</w:t>
      </w:r>
    </w:p>
    <w:p>
      <w:pPr>
        <w:spacing w:after="0" w:line="240" w:lineRule="auto"/>
        <w:jc w:val="left"/>
        <w:sectPr>
          <w:type w:val="continuous"/>
          <w:pgSz w:w="11910" w:h="16840"/>
          <w:pgMar w:top="1060" w:bottom="1160" w:left="1020" w:right="1020"/>
          <w:cols w:num="2" w:equalWidth="0">
            <w:col w:w="4255" w:space="457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10101"/>
              <w:right w:val="single" w:sz="4" w:space="0" w:color="010101"/>
            </w:tcBorders>
            <w:shd w:val="clear" w:color="auto" w:fill="D3D3D3"/>
          </w:tcPr>
          <w:p>
            <w:pPr/>
          </w:p>
        </w:tc>
        <w:tc>
          <w:tcPr>
            <w:tcW w:w="24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10101"/>
              <w:bottom w:val="single" w:sz="4" w:space="0" w:color="010101"/>
              <w:right w:val="single" w:sz="4" w:space="0" w:color="010101"/>
            </w:tcBorders>
            <w:shd w:val="clear" w:color="auto" w:fill="D3D3D3"/>
          </w:tcPr>
          <w:p>
            <w:pP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10101"/>
              <w:bottom w:val="single" w:sz="4" w:space="0" w:color="010101"/>
              <w:right w:val="single" w:sz="4" w:space="0" w:color="010101"/>
            </w:tcBorders>
            <w:shd w:val="clear" w:color="auto" w:fill="D3D3D3"/>
          </w:tcPr>
          <w:p>
            <w:pP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60,409,941.23</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89.11%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3,020,497.06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59,464,841.46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99.92%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2,973,242.08</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60,409,941.23</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89.11%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3,020,497.06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59,464,841.46</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99.92%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2,973,242.08</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7,373,125.45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10.88%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737,312.55</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17,500.00</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67,793,066.68</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3,762,809.61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59,509,841.46</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2,991,742.08</w:t>
            </w:r>
          </w:p>
        </w:tc>
      </w:tr>
    </w:tbl>
    <w:p>
      <w:pPr>
        <w:pStyle w:val="BodyText"/>
        <w:spacing w:line="240" w:lineRule="auto" w:before="50"/>
        <w:ind w:right="0"/>
        <w:jc w:val="left"/>
      </w:pPr>
      <w:r>
        <w:rPr/>
        <w:t>组合中，采用余额百分比法计提坏账准备的其他应收款</w:t>
      </w:r>
    </w:p>
    <w:p>
      <w:pPr>
        <w:pStyle w:val="BodyText"/>
        <w:spacing w:line="338" w:lineRule="auto" w:before="116"/>
        <w:ind w:right="5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340" w:lineRule="auto" w:before="42"/>
        <w:ind w:right="5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期末单项金额虽不重大但单项计提坏账准备的其他应收款</w:t>
      </w:r>
    </w:p>
    <w:p>
      <w:pPr>
        <w:spacing w:after="0" w:line="340" w:lineRule="auto"/>
        <w:jc w:val="left"/>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单项金额不重大但按信用风险特征组合后该组合的风险较大的其他应收款的说明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57,625,754.85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西安润和软件信息技术 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972,250.00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丝略软件（上海）有限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控股子公司的子公司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506,030.19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车辆出租人</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无锡市政府采购中心</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379,000.00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59,883,035.04</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88.33%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江苏润和南京软件外包园投 资有限公司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57,625,754.85</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西安润和软件信息技术有限 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972,250.00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1.43%</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丝略软件（上海）有限公司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控股子公司的子公司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506,030.19</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0.75%</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13,214.88</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0.02%</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59,117,249.92</w:t>
            </w:r>
            <w:r>
              <w:rPr>
                <w:rFonts w:ascii="Times New Roman"/>
                <w:sz w:val="18"/>
              </w:rPr>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87.2%</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不符合终止确认条件的其他应收款项的转移金额为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5" w:hRule="exact"/>
        </w:trPr>
        <w:tc>
          <w:tcPr>
            <w:tcW w:w="794"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c>
          <w:tcPr>
            <w:tcW w:w="798"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1252" w:hRule="exact"/>
        </w:trPr>
        <w:tc>
          <w:tcPr>
            <w:tcW w:w="79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4" w:hRule="exact"/>
        </w:trPr>
        <w:tc>
          <w:tcPr>
            <w:tcW w:w="794"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c>
          <w:tcPr>
            <w:tcW w:w="798"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364"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HopeRun</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r>
      <w:tr>
        <w:trPr>
          <w:trHeight w:val="624"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62" w:lineRule="auto" w:before="42"/>
              <w:ind w:left="22" w:right="92"/>
              <w:jc w:val="left"/>
              <w:rPr>
                <w:rFonts w:ascii="Times New Roman" w:hAnsi="Times New Roman" w:cs="Times New Roman" w:eastAsia="Times New Roman" w:hint="default"/>
                <w:sz w:val="18"/>
                <w:szCs w:val="18"/>
              </w:rPr>
            </w:pPr>
            <w:r>
              <w:rPr>
                <w:rFonts w:ascii="Times New Roman"/>
                <w:spacing w:val="-3"/>
                <w:sz w:val="18"/>
              </w:rPr>
              <w:t>Technolo</w:t>
            </w:r>
            <w:r>
              <w:rPr>
                <w:rFonts w:ascii="Times New Roman"/>
                <w:spacing w:val="-39"/>
                <w:sz w:val="18"/>
              </w:rPr>
              <w:t> </w:t>
            </w:r>
            <w:r>
              <w:rPr>
                <w:rFonts w:ascii="Times New Roman"/>
                <w:spacing w:val="-39"/>
                <w:sz w:val="18"/>
              </w:rPr>
            </w:r>
            <w:r>
              <w:rPr>
                <w:rFonts w:ascii="Times New Roman"/>
                <w:sz w:val="18"/>
              </w:rPr>
              <w:t>gy Co.,</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6,589,850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3,420,400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3,169,450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6,589,850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r>
      <w:tr>
        <w:trPr>
          <w:trHeight w:val="350"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Ltd.</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r>
      <w:tr>
        <w:trPr>
          <w:trHeight w:val="1650"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z w:val="18"/>
                <w:szCs w:val="18"/>
              </w:rPr>
              <w:t>株式会社 潤和ソフ トウェア 東京</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4,856,001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4,856,001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4,856,001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东京润和 持有 </w:t>
            </w:r>
            <w:r>
              <w:rPr>
                <w:rFonts w:ascii="Times New Roman" w:hAnsi="Times New Roman" w:cs="Times New Roman" w:eastAsia="Times New Roman" w:hint="default"/>
                <w:sz w:val="18"/>
                <w:szCs w:val="18"/>
              </w:rPr>
              <w:t>8.33%</w:t>
            </w:r>
            <w:r>
              <w:rPr>
                <w:rFonts w:ascii="宋体" w:hAnsi="宋体" w:cs="宋体" w:eastAsia="宋体" w:hint="default"/>
                <w:sz w:val="18"/>
                <w:szCs w:val="18"/>
              </w:rPr>
              <w:t>的</w:t>
            </w: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库存股股 权</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355"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江苏润和</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r>
      <w:tr>
        <w:trPr>
          <w:trHeight w:val="936"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南京软件 外包园投 资有限公</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91,097,60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91,097,60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10101"/>
              <w:right w:val="single" w:sz="4" w:space="0" w:color="010101"/>
            </w:tcBorders>
          </w:tcPr>
          <w:p>
            <w:pP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91,097,60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r>
      <w:tr>
        <w:trPr>
          <w:trHeight w:val="359"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1"/>
              <w:ind w:left="22" w:right="149"/>
              <w:jc w:val="left"/>
              <w:rPr>
                <w:rFonts w:ascii="Times New Roman" w:hAnsi="Times New Roman" w:cs="Times New Roman" w:eastAsia="Times New Roman" w:hint="default"/>
                <w:sz w:val="18"/>
                <w:szCs w:val="18"/>
              </w:rPr>
            </w:pPr>
            <w:r>
              <w:rPr>
                <w:rFonts w:ascii="Times New Roman"/>
                <w:sz w:val="18"/>
              </w:rPr>
              <w:t>SRS2</w:t>
            </w:r>
            <w:r>
              <w:rPr>
                <w:rFonts w:ascii="Times New Roman"/>
                <w:spacing w:val="-1"/>
                <w:sz w:val="18"/>
              </w:rPr>
              <w:t> </w:t>
            </w:r>
            <w:r>
              <w:rPr>
                <w:rFonts w:ascii="Times New Roman"/>
                <w:sz w:val="18"/>
              </w:rPr>
              <w:t>LIMITE</w:t>
            </w:r>
            <w:r>
              <w:rPr>
                <w:rFonts w:ascii="Times New Roman"/>
                <w:sz w:val="18"/>
              </w:rPr>
              <w:t> D</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2,084,594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2,084,594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2,084,594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7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南京润和 数码有限 公司</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5,320,755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1,826,220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3,494,535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5,320,755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r>
        <w:trPr>
          <w:trHeight w:val="357" w:hRule="exact"/>
        </w:trPr>
        <w:tc>
          <w:tcPr>
            <w:tcW w:w="79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tcBorders>
              <w:top w:val="single" w:sz="4" w:space="0" w:color="010101"/>
              <w:left w:val="single" w:sz="4" w:space="0" w:color="010101"/>
              <w:bottom w:val="nil" w:sz="6" w:space="0" w:color="auto"/>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c>
          <w:tcPr>
            <w:tcW w:w="798" w:type="dxa"/>
            <w:vMerge w:val="restart"/>
            <w:tcBorders>
              <w:top w:val="single" w:sz="4" w:space="0" w:color="010101"/>
              <w:left w:val="single" w:sz="4" w:space="0" w:color="010101"/>
              <w:right w:val="single" w:sz="4" w:space="0" w:color="010101"/>
            </w:tcBorders>
          </w:tcPr>
          <w:p>
            <w:pPr/>
          </w:p>
        </w:tc>
      </w:tr>
      <w:tr>
        <w:trPr>
          <w:trHeight w:val="628" w:hRule="exact"/>
        </w:trPr>
        <w:tc>
          <w:tcPr>
            <w:tcW w:w="794"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软件信息 技术有限</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10101"/>
              <w:right w:val="single" w:sz="4" w:space="0" w:color="010101"/>
            </w:tcBorders>
          </w:tcPr>
          <w:p>
            <w:pP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c>
          <w:tcPr>
            <w:tcW w:w="798" w:type="dxa"/>
            <w:vMerge/>
            <w:tcBorders>
              <w:left w:val="single" w:sz="4" w:space="0" w:color="010101"/>
              <w:right w:val="single" w:sz="4" w:space="0" w:color="010101"/>
            </w:tcBorders>
          </w:tcPr>
          <w:p>
            <w:pPr/>
          </w:p>
        </w:tc>
      </w:tr>
      <w:tr>
        <w:trPr>
          <w:trHeight w:val="353" w:hRule="exact"/>
        </w:trPr>
        <w:tc>
          <w:tcPr>
            <w:tcW w:w="79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tcBorders>
              <w:top w:val="nil" w:sz="6" w:space="0" w:color="auto"/>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c>
          <w:tcPr>
            <w:tcW w:w="798" w:type="dxa"/>
            <w:vMerge/>
            <w:tcBorders>
              <w:left w:val="single" w:sz="4" w:space="0" w:color="010101"/>
              <w:bottom w:val="single" w:sz="4" w:space="0" w:color="010101"/>
              <w:right w:val="single" w:sz="4" w:space="0" w:color="010101"/>
            </w:tcBorders>
          </w:tcPr>
          <w:p>
            <w:pPr/>
          </w:p>
        </w:tc>
      </w:tr>
      <w:tr>
        <w:trPr>
          <w:trHeight w:val="714" w:hRule="exact"/>
        </w:trPr>
        <w:tc>
          <w:tcPr>
            <w:tcW w:w="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129,948,8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103,284,8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15.40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26,663,98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129,948,8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00.40</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c>
          <w:tcPr>
            <w:tcW w:w="798"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长期股权投资的说明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260,901,991.50</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178,959,315.71</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260,901,991.50</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178,959,315.71</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146,480,470.16</w:t>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98,801,753.07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计算机软件开发与咨询</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260,901,991.50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146,480,470.16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178,959,315.71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98,801,753.07</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260,901,991.50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146,480,470.16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178,959,315.71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98,801,753.07</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91,171,079.66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51,327,891.51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60,000,454.29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31,677,922.42</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智能终端嵌入式软件</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92,148,737.55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47,794,273.97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62,344,632.04</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32,051,840.92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智能电网应用软件</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49,955,431.20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28,381,825.09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31,731,566.00</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18,175,850.42</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外购产品销售</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1,845,724.57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1,575,753.50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4,904,488.87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4,464,036.76</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25,781,018.52</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17,400,726.09</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19,978,174.51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12,432,102.55</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260,901,991.50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146,480,470.16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178,959,315.71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98,801,753.07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200,727,710.26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113,716,727.18</w:t>
            </w:r>
            <w:r>
              <w:rPr>
                <w:rFonts w:ascii="Times New Roman"/>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130,443,802.57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74,522,745.20</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60,174,281.24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32,763,742.98</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48,515,513.14</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24,279,007.87</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260,901,991.50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146,480,470.16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178,959,315.71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98,801,753.07</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714"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13" w:right="25"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株式会社潤和ソフトウェア東京</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25,737,590.77</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江苏方天电力技术有限公司</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16,973,770.59</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15,301,181.41</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捷开通讯科技（上海）有限公司</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12,931,573.26</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百胜咨询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12,767,124.73</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83,711,240.76</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w:t>
            </w:r>
          </w:p>
        </w:tc>
      </w:tr>
    </w:tbl>
    <w:p>
      <w:pPr>
        <w:pStyle w:val="BodyText"/>
        <w:spacing w:line="240" w:lineRule="auto" w:before="50"/>
        <w:ind w:right="0"/>
        <w:jc w:val="left"/>
      </w:pPr>
      <w:r>
        <w:rPr/>
        <w:t>营业收入的说明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23"/>
        <w:gridCol w:w="2522"/>
        <w:gridCol w:w="2524"/>
      </w:tblGrid>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1,168,900.00</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-143,906.40</w:t>
            </w:r>
          </w:p>
        </w:tc>
      </w:tr>
      <w:tr>
        <w:trPr>
          <w:trHeight w:val="402" w:hRule="exact"/>
        </w:trPr>
        <w:tc>
          <w:tcPr>
            <w:tcW w:w="4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1,168,900.00</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-143,906.40</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5"/>
        <w:gridCol w:w="2921"/>
      </w:tblGrid>
      <w:tr>
        <w:trPr>
          <w:trHeight w:val="402" w:hRule="exact"/>
        </w:trPr>
        <w:tc>
          <w:tcPr>
            <w:tcW w:w="33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64,311,439.76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44,786,361.71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4,169,930.86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647,772.55</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3,353,196.89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2,535,413.16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823,327.24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730,488.71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150,585.36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62,743.87</w:t>
            </w:r>
          </w:p>
        </w:tc>
      </w:tr>
      <w:tr>
        <w:trPr>
          <w:trHeight w:val="714"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10101"/>
              <w:left w:val="single" w:sz="4" w:space="0" w:color="010101"/>
              <w:bottom w:val="single" w:sz="4" w:space="0" w:color="010101"/>
              <w:right w:val="single" w:sz="4" w:space="0" w:color="010101"/>
            </w:tcBorders>
          </w:tcPr>
          <w:p>
            <w:pP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62,088.52</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-897,600.00</w:t>
            </w: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3,046,344.89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5,741,183.48</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-1,168,900.00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143,906.40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-604,440.50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-208,765.76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134,640.00</w:t>
            </w: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-21,156,410.06</w:t>
            </w:r>
          </w:p>
        </w:tc>
        <w:tc>
          <w:tcPr>
            <w:tcW w:w="225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-73,253,531.87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-13,049,832.30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41,372,904.16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5,721,823.67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20,281,486.73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47,173,184.01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443,519,902.14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139,670,945.30</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139,670,945.30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76,648,976.65</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303,848,956.84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63,021,968.65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40" w:lineRule="auto" w:before="35"/>
        <w:ind w:right="212"/>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212"/>
        <w:jc w:val="left"/>
      </w:pPr>
      <w:r>
        <w:rPr/>
        <w:t>反向购买下以公允价值入账的资产、负债情况</w:t>
      </w:r>
    </w:p>
    <w:p>
      <w:pPr>
        <w:pStyle w:val="BodyText"/>
        <w:spacing w:line="240" w:lineRule="auto" w:before="117"/>
        <w:ind w:left="0" w:right="23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50"/>
        <w:ind w:right="212"/>
        <w:jc w:val="left"/>
      </w:pPr>
      <w:r>
        <w:rPr/>
        <w:t>反向购买形成长期股权投资的情况</w:t>
      </w:r>
    </w:p>
    <w:p>
      <w:pPr>
        <w:pStyle w:val="BodyText"/>
        <w:spacing w:line="240" w:lineRule="auto" w:before="116"/>
        <w:ind w:left="0" w:right="23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ind w:right="212"/>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12"/>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2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0" w:type="dxa"/>
            <w:vMerge/>
            <w:tcBorders>
              <w:left w:val="single" w:sz="4" w:space="0" w:color="010101"/>
              <w:bottom w:val="single" w:sz="4" w:space="0" w:color="010101"/>
              <w:right w:val="single" w:sz="4" w:space="0" w:color="010101"/>
            </w:tcBorders>
            <w:shd w:val="clear" w:color="auto" w:fill="D3D3D3"/>
          </w:tcPr>
          <w:p>
            <w:pPr/>
          </w:p>
        </w:tc>
        <w:tc>
          <w:tcPr>
            <w:tcW w:w="2178" w:type="dxa"/>
            <w:vMerge/>
            <w:tcBorders>
              <w:left w:val="single" w:sz="4" w:space="0" w:color="010101"/>
              <w:bottom w:val="single" w:sz="4" w:space="0" w:color="010101"/>
              <w:right w:val="single" w:sz="4" w:space="0" w:color="010101"/>
            </w:tcBorders>
            <w:shd w:val="clear" w:color="auto" w:fill="D3D3D3"/>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16.52%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11.86%</w:t>
            </w:r>
            <w:r>
              <w:rPr>
                <w:rFonts w:ascii="Times New Roman"/>
                <w:sz w:val="18"/>
              </w:rPr>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0.72</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0.72</w:t>
            </w:r>
          </w:p>
        </w:tc>
      </w:tr>
    </w:tbl>
    <w:p>
      <w:pPr>
        <w:spacing w:line="240" w:lineRule="auto" w:before="1"/>
        <w:rPr>
          <w:rFonts w:ascii="宋体" w:hAnsi="宋体" w:cs="宋体" w:eastAsia="宋体" w:hint="default"/>
          <w:sz w:val="19"/>
          <w:szCs w:val="19"/>
        </w:rPr>
      </w:pPr>
    </w:p>
    <w:p>
      <w:pPr>
        <w:pStyle w:val="Heading4"/>
        <w:spacing w:line="240" w:lineRule="auto" w:before="35"/>
        <w:ind w:right="212"/>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2"/>
        <w:rPr>
          <w:rFonts w:ascii="宋体" w:hAnsi="宋体" w:cs="宋体" w:eastAsia="宋体" w:hint="default"/>
          <w:b/>
          <w:bCs/>
          <w:sz w:val="22"/>
          <w:szCs w:val="22"/>
        </w:rPr>
      </w:pPr>
    </w:p>
    <w:p>
      <w:pPr>
        <w:pStyle w:val="Heading3"/>
        <w:spacing w:line="312" w:lineRule="auto"/>
        <w:ind w:left="593" w:right="213" w:hanging="480"/>
        <w:jc w:val="left"/>
      </w:pPr>
      <w:r>
        <w:rPr/>
        <w:t>（</w:t>
      </w:r>
      <w:r>
        <w:rPr>
          <w:rFonts w:ascii="Times New Roman" w:hAnsi="Times New Roman" w:cs="Times New Roman" w:eastAsia="Times New Roman" w:hint="default"/>
        </w:rPr>
        <w:t>1</w:t>
      </w:r>
      <w:r>
        <w:rPr/>
        <w:t>）资产类项目异常情况及原因说明： 货币资金年末较年初增加</w:t>
      </w:r>
      <w:r>
        <w:rPr>
          <w:rFonts w:ascii="Times New Roman" w:hAnsi="Times New Roman" w:cs="Times New Roman" w:eastAsia="Times New Roman" w:hint="default"/>
        </w:rPr>
        <w:t>243.97%</w:t>
      </w:r>
      <w:r>
        <w:rPr/>
        <w:t>，主要系公司本年度在创业板上市募集资金到位。 </w:t>
      </w:r>
      <w:r>
        <w:rPr>
          <w:spacing w:val="-1"/>
        </w:rPr>
        <w:t>交易性金融资产年末较年初增加</w:t>
      </w:r>
      <w:r>
        <w:rPr>
          <w:rFonts w:ascii="Times New Roman" w:hAnsi="Times New Roman" w:cs="Times New Roman" w:eastAsia="Times New Roman" w:hint="default"/>
          <w:spacing w:val="-1"/>
        </w:rPr>
        <w:t>100%</w:t>
      </w:r>
      <w:r>
        <w:rPr>
          <w:spacing w:val="-1"/>
        </w:rPr>
        <w:t>，主要系</w:t>
      </w:r>
      <w:r>
        <w:rPr>
          <w:rFonts w:ascii="Times New Roman" w:hAnsi="Times New Roman" w:cs="Times New Roman" w:eastAsia="Times New Roman" w:hint="default"/>
          <w:spacing w:val="-1"/>
        </w:rPr>
        <w:t>2012</w:t>
      </w:r>
      <w:r>
        <w:rPr>
          <w:spacing w:val="-1"/>
        </w:rPr>
        <w:t>年末公司持有的尚未交割的远期外汇</w:t>
      </w:r>
    </w:p>
    <w:p>
      <w:pPr>
        <w:pStyle w:val="Heading3"/>
        <w:spacing w:line="214" w:lineRule="exact"/>
        <w:ind w:left="113" w:right="212"/>
        <w:jc w:val="left"/>
      </w:pPr>
      <w:r>
        <w:rPr/>
        <w:t>结汇合同产生的浮动盈利。</w:t>
      </w:r>
    </w:p>
    <w:p>
      <w:pPr>
        <w:pStyle w:val="Heading3"/>
        <w:spacing w:line="312" w:lineRule="auto" w:before="118"/>
        <w:ind w:left="593" w:right="92"/>
        <w:jc w:val="left"/>
      </w:pPr>
      <w:r>
        <w:rPr/>
        <w:t>应收票据年末较年初增加</w:t>
      </w:r>
      <w:r>
        <w:rPr>
          <w:rFonts w:ascii="Times New Roman" w:hAnsi="Times New Roman" w:cs="Times New Roman" w:eastAsia="Times New Roman" w:hint="default"/>
        </w:rPr>
        <w:t>100%</w:t>
      </w:r>
      <w:r>
        <w:rPr/>
        <w:t>，主要系部分客户采用商业汇票结算货款。 </w:t>
      </w:r>
      <w:r>
        <w:rPr>
          <w:spacing w:val="-3"/>
        </w:rPr>
        <w:t>应收账款年末较年初增加</w:t>
      </w:r>
      <w:r>
        <w:rPr>
          <w:rFonts w:ascii="Times New Roman" w:hAnsi="Times New Roman" w:cs="Times New Roman" w:eastAsia="Times New Roman" w:hint="default"/>
          <w:spacing w:val="-3"/>
        </w:rPr>
        <w:t>92.20%</w:t>
      </w:r>
      <w:r>
        <w:rPr>
          <w:spacing w:val="-3"/>
        </w:rPr>
        <w:t>，主要系公司业务增长，合同账期内应收款项相应增长。</w:t>
      </w:r>
      <w:r>
        <w:rPr>
          <w:spacing w:val="-97"/>
        </w:rPr>
        <w:t> </w:t>
      </w:r>
      <w:r>
        <w:rPr>
          <w:spacing w:val="-97"/>
        </w:rPr>
      </w:r>
      <w:r>
        <w:rPr/>
        <w:t>预付款项年末较年初增加</w:t>
      </w:r>
      <w:r>
        <w:rPr>
          <w:rFonts w:ascii="Times New Roman" w:hAnsi="Times New Roman" w:cs="Times New Roman" w:eastAsia="Times New Roman" w:hint="default"/>
        </w:rPr>
        <w:t>50.87%</w:t>
      </w:r>
      <w:r>
        <w:rPr/>
        <w:t>，主要系预付房租、车辆租赁款增加。 应收利息年末较年初增加</w:t>
      </w:r>
      <w:r>
        <w:rPr>
          <w:rFonts w:ascii="Times New Roman" w:hAnsi="Times New Roman" w:cs="Times New Roman" w:eastAsia="Times New Roman" w:hint="default"/>
        </w:rPr>
        <w:t>320.77%</w:t>
      </w:r>
      <w:r>
        <w:rPr/>
        <w:t>，主要期末未到期的定期存款增加而计提的利息。 其他应收款年末较年初增加</w:t>
      </w:r>
      <w:r>
        <w:rPr>
          <w:rFonts w:ascii="Times New Roman" w:hAnsi="Times New Roman" w:cs="Times New Roman" w:eastAsia="Times New Roman" w:hint="default"/>
        </w:rPr>
        <w:t>37.57%</w:t>
      </w:r>
      <w:r>
        <w:rPr/>
        <w:t>，主要系质量保证金、租赁押金及员工备用金增加。 存货年末较年初增加</w:t>
      </w:r>
      <w:r>
        <w:rPr>
          <w:rFonts w:ascii="Times New Roman" w:hAnsi="Times New Roman" w:cs="Times New Roman" w:eastAsia="Times New Roman" w:hint="default"/>
        </w:rPr>
        <w:t>100%</w:t>
      </w:r>
      <w:r>
        <w:rPr/>
        <w:t>，主要系公司外购的以备出售的软件产品增加。 在建工程年末较年初增加</w:t>
      </w:r>
      <w:r>
        <w:rPr>
          <w:rFonts w:ascii="Times New Roman" w:hAnsi="Times New Roman" w:cs="Times New Roman" w:eastAsia="Times New Roman" w:hint="default"/>
        </w:rPr>
        <w:t>100%</w:t>
      </w:r>
      <w:r>
        <w:rPr/>
        <w:t>，主要系子公司外包园公司</w:t>
      </w:r>
      <w:r>
        <w:rPr>
          <w:rFonts w:ascii="Times New Roman" w:hAnsi="Times New Roman" w:cs="Times New Roman" w:eastAsia="Times New Roman" w:hint="default"/>
        </w:rPr>
        <w:t>“</w:t>
      </w:r>
      <w:r>
        <w:rPr/>
        <w:t>润和国际软件外包研发总部</w:t>
      </w:r>
    </w:p>
    <w:p>
      <w:pPr>
        <w:pStyle w:val="Heading3"/>
        <w:spacing w:line="232" w:lineRule="exact"/>
        <w:ind w:left="113" w:right="212"/>
        <w:jc w:val="left"/>
      </w:pPr>
      <w:r>
        <w:rPr/>
        <w:t>基地</w:t>
      </w:r>
      <w:r>
        <w:rPr>
          <w:rFonts w:ascii="Times New Roman" w:hAnsi="Times New Roman" w:cs="Times New Roman" w:eastAsia="Times New Roman" w:hint="default"/>
        </w:rPr>
        <w:t>”</w:t>
      </w:r>
      <w:r>
        <w:rPr/>
        <w:t>项目前期投入。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3"/>
        <w:spacing w:line="312" w:lineRule="auto"/>
        <w:ind w:left="593" w:right="231" w:hanging="480"/>
        <w:jc w:val="left"/>
      </w:pPr>
      <w:r>
        <w:rPr/>
        <w:t>（</w:t>
      </w:r>
      <w:r>
        <w:rPr>
          <w:rFonts w:ascii="Times New Roman" w:hAnsi="Times New Roman" w:cs="Times New Roman" w:eastAsia="Times New Roman" w:hint="default"/>
        </w:rPr>
        <w:t>2</w:t>
      </w:r>
      <w:r>
        <w:rPr/>
        <w:t>）负债类项目异常情况及原因说明： 应付票据年末较年初增加</w:t>
      </w:r>
      <w:r>
        <w:rPr>
          <w:rFonts w:ascii="Times New Roman" w:hAnsi="Times New Roman" w:cs="Times New Roman" w:eastAsia="Times New Roman" w:hint="default"/>
        </w:rPr>
        <w:t>1686.78%</w:t>
      </w:r>
      <w:r>
        <w:rPr/>
        <w:t>，主要系公司采用银行承兑汇票与部分供应商结算。</w:t>
      </w:r>
    </w:p>
    <w:p>
      <w:pPr>
        <w:spacing w:after="0" w:line="312" w:lineRule="auto"/>
        <w:jc w:val="left"/>
        <w:sectPr>
          <w:pgSz w:w="11910" w:h="16840"/>
          <w:pgMar w:header="747" w:footer="980" w:top="1060" w:bottom="1160" w:left="1020" w:right="900"/>
        </w:sectPr>
      </w:pPr>
    </w:p>
    <w:p>
      <w:pPr>
        <w:spacing w:line="240" w:lineRule="auto" w:before="9"/>
        <w:rPr>
          <w:rFonts w:ascii="宋体" w:hAnsi="宋体" w:cs="宋体" w:eastAsia="宋体" w:hint="default"/>
          <w:sz w:val="23"/>
          <w:szCs w:val="23"/>
        </w:rPr>
      </w:pPr>
    </w:p>
    <w:p>
      <w:pPr>
        <w:pStyle w:val="Heading3"/>
        <w:spacing w:line="312" w:lineRule="auto" w:before="26"/>
        <w:ind w:left="593" w:right="111"/>
        <w:jc w:val="left"/>
      </w:pPr>
      <w:r>
        <w:rPr/>
        <w:t>应付账款年末较年初增加</w:t>
      </w:r>
      <w:r>
        <w:rPr>
          <w:rFonts w:ascii="Times New Roman" w:hAnsi="Times New Roman" w:cs="Times New Roman" w:eastAsia="Times New Roman" w:hint="default"/>
        </w:rPr>
        <w:t>191.84%</w:t>
      </w:r>
      <w:r>
        <w:rPr/>
        <w:t>，主要系业务规模扩大，应付采购货款增加。 应付职工薪酬年末较年初增加</w:t>
      </w:r>
      <w:r>
        <w:rPr>
          <w:rFonts w:ascii="Times New Roman" w:hAnsi="Times New Roman" w:cs="Times New Roman" w:eastAsia="Times New Roman" w:hint="default"/>
        </w:rPr>
        <w:t>99.73%</w:t>
      </w:r>
      <w:r>
        <w:rPr/>
        <w:t>，主要系随着公司业务规模的扩大，人员增加，期</w:t>
      </w:r>
    </w:p>
    <w:p>
      <w:pPr>
        <w:pStyle w:val="Heading3"/>
        <w:spacing w:line="214" w:lineRule="exact"/>
        <w:ind w:left="113" w:right="0"/>
        <w:jc w:val="left"/>
      </w:pPr>
      <w:r>
        <w:rPr/>
        <w:t>末应付职工薪酬余额相应增加。</w:t>
      </w:r>
    </w:p>
    <w:p>
      <w:pPr>
        <w:pStyle w:val="Heading3"/>
        <w:spacing w:line="312" w:lineRule="exact" w:before="148"/>
        <w:ind w:left="113" w:right="0" w:firstLine="480"/>
        <w:jc w:val="left"/>
      </w:pPr>
      <w:r>
        <w:rPr>
          <w:spacing w:val="-2"/>
        </w:rPr>
        <w:t>应交税费年末较年初下降</w:t>
      </w:r>
      <w:r>
        <w:rPr>
          <w:rFonts w:ascii="Times New Roman" w:hAnsi="Times New Roman" w:cs="Times New Roman" w:eastAsia="Times New Roman" w:hint="default"/>
          <w:spacing w:val="-2"/>
        </w:rPr>
        <w:t>38.80%</w:t>
      </w:r>
      <w:r>
        <w:rPr>
          <w:spacing w:val="-2"/>
        </w:rPr>
        <w:t>，主要系公司取得</w:t>
      </w:r>
      <w:r>
        <w:rPr>
          <w:rFonts w:ascii="Times New Roman" w:hAnsi="Times New Roman" w:cs="Times New Roman" w:eastAsia="Times New Roman" w:hint="default"/>
          <w:spacing w:val="-2"/>
        </w:rPr>
        <w:t>2011-2012</w:t>
      </w:r>
      <w:r>
        <w:rPr>
          <w:spacing w:val="-2"/>
        </w:rPr>
        <w:t>年度国家规划布局内重点软</w:t>
      </w:r>
      <w:r>
        <w:rPr/>
        <w:t> 件企业认证，</w:t>
      </w:r>
      <w:r>
        <w:rPr>
          <w:rFonts w:ascii="Times New Roman" w:hAnsi="Times New Roman" w:cs="Times New Roman" w:eastAsia="Times New Roman" w:hint="default"/>
        </w:rPr>
        <w:t>2012</w:t>
      </w:r>
      <w:r>
        <w:rPr/>
        <w:t>年度应交企业所得税减少。</w:t>
      </w:r>
    </w:p>
    <w:p>
      <w:pPr>
        <w:pStyle w:val="Heading3"/>
        <w:spacing w:line="240" w:lineRule="auto" w:before="89"/>
        <w:ind w:left="593" w:right="0"/>
        <w:jc w:val="left"/>
      </w:pPr>
      <w:r>
        <w:rPr/>
        <w:t>长期借款年末交年初下降</w:t>
      </w:r>
      <w:r>
        <w:rPr>
          <w:rFonts w:ascii="Times New Roman" w:hAnsi="Times New Roman" w:cs="Times New Roman" w:eastAsia="Times New Roman" w:hint="default"/>
        </w:rPr>
        <w:t>38.40%</w:t>
      </w:r>
      <w:r>
        <w:rPr/>
        <w:t>，公司子公司东京润和分期归还长期借款。</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3"/>
        <w:spacing w:line="312" w:lineRule="auto"/>
        <w:ind w:left="593" w:right="0" w:hanging="480"/>
        <w:jc w:val="left"/>
      </w:pPr>
      <w:r>
        <w:rPr/>
        <w:t>（</w:t>
      </w:r>
      <w:r>
        <w:rPr>
          <w:rFonts w:ascii="Times New Roman" w:hAnsi="Times New Roman" w:cs="Times New Roman" w:eastAsia="Times New Roman" w:hint="default"/>
        </w:rPr>
        <w:t>3</w:t>
      </w:r>
      <w:r>
        <w:rPr/>
        <w:t>）所有者权益类项目异常情况及原因说明： </w:t>
      </w:r>
      <w:r>
        <w:rPr>
          <w:spacing w:val="7"/>
        </w:rPr>
        <w:t>股本年末较年初增加</w:t>
      </w:r>
      <w:r>
        <w:rPr>
          <w:rFonts w:ascii="Times New Roman" w:hAnsi="Times New Roman" w:cs="Times New Roman" w:eastAsia="Times New Roman" w:hint="default"/>
          <w:spacing w:val="7"/>
        </w:rPr>
        <w:t>33.34%,</w:t>
      </w:r>
      <w:r>
        <w:rPr>
          <w:spacing w:val="7"/>
        </w:rPr>
        <w:t>主要系公司</w:t>
      </w:r>
      <w:r>
        <w:rPr>
          <w:rFonts w:ascii="Times New Roman" w:hAnsi="Times New Roman" w:cs="Times New Roman" w:eastAsia="Times New Roman" w:hint="default"/>
          <w:spacing w:val="7"/>
        </w:rPr>
        <w:t>2012</w:t>
      </w:r>
      <w:r>
        <w:rPr>
          <w:spacing w:val="7"/>
        </w:rPr>
        <w:t>年</w:t>
      </w:r>
      <w:r>
        <w:rPr>
          <w:rFonts w:ascii="Times New Roman" w:hAnsi="Times New Roman" w:cs="Times New Roman" w:eastAsia="Times New Roman" w:hint="default"/>
          <w:spacing w:val="7"/>
        </w:rPr>
        <w:t>7</w:t>
      </w:r>
      <w:r>
        <w:rPr>
          <w:spacing w:val="7"/>
        </w:rPr>
        <w:t>月首次向社会公开发行人民币普通股</w:t>
      </w:r>
      <w:r>
        <w:rPr/>
      </w:r>
    </w:p>
    <w:p>
      <w:pPr>
        <w:pStyle w:val="Heading3"/>
        <w:spacing w:line="232" w:lineRule="exact"/>
        <w:ind w:right="0"/>
        <w:jc w:val="left"/>
      </w:pPr>
      <w:r>
        <w:rPr>
          <w:rFonts w:ascii="Times New Roman" w:hAnsi="Times New Roman" w:cs="Times New Roman" w:eastAsia="Times New Roman" w:hint="default"/>
        </w:rPr>
        <w:t>1,919</w:t>
      </w:r>
      <w:r>
        <w:rPr/>
        <w:t>万股。</w:t>
      </w:r>
    </w:p>
    <w:p>
      <w:pPr>
        <w:pStyle w:val="Heading3"/>
        <w:spacing w:line="312" w:lineRule="exact" w:before="130"/>
        <w:ind w:right="110" w:firstLine="480"/>
        <w:jc w:val="left"/>
      </w:pPr>
      <w:r>
        <w:rPr/>
        <w:t>资本公积年末较年初增加</w:t>
      </w:r>
      <w:r>
        <w:rPr>
          <w:rFonts w:ascii="Times New Roman" w:hAnsi="Times New Roman" w:cs="Times New Roman" w:eastAsia="Times New Roman" w:hint="default"/>
        </w:rPr>
        <w:t>401.06%</w:t>
      </w:r>
      <w:r>
        <w:rPr/>
        <w:t>，主要系本公司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月公开发行普通股时，股东投 入形成的股本溢价。</w:t>
      </w:r>
    </w:p>
    <w:p>
      <w:pPr>
        <w:pStyle w:val="Heading3"/>
        <w:spacing w:line="312" w:lineRule="exact" w:before="120"/>
        <w:ind w:right="110" w:firstLine="480"/>
        <w:jc w:val="left"/>
      </w:pPr>
      <w:r>
        <w:rPr/>
        <w:t>盈余公积年末较年初增加</w:t>
      </w:r>
      <w:r>
        <w:rPr>
          <w:rFonts w:ascii="Times New Roman" w:hAnsi="Times New Roman" w:cs="Times New Roman" w:eastAsia="Times New Roman" w:hint="default"/>
        </w:rPr>
        <w:t>49.80%</w:t>
      </w:r>
      <w:r>
        <w:rPr/>
        <w:t>，主要系本公司根据《公司法》及公司章程有关规定， 按本年净利润</w:t>
      </w:r>
      <w:r>
        <w:rPr>
          <w:rFonts w:ascii="Times New Roman" w:hAnsi="Times New Roman" w:cs="Times New Roman" w:eastAsia="Times New Roman" w:hint="default"/>
        </w:rPr>
        <w:t>10%</w:t>
      </w:r>
      <w:r>
        <w:rPr/>
        <w:t>提取的法定盈余公积金。</w:t>
      </w:r>
    </w:p>
    <w:p>
      <w:pPr>
        <w:spacing w:line="240" w:lineRule="auto" w:before="0"/>
        <w:rPr>
          <w:rFonts w:ascii="宋体" w:hAnsi="宋体" w:cs="宋体" w:eastAsia="宋体" w:hint="default"/>
          <w:sz w:val="24"/>
          <w:szCs w:val="24"/>
        </w:rPr>
      </w:pPr>
    </w:p>
    <w:p>
      <w:pPr>
        <w:pStyle w:val="Heading3"/>
        <w:spacing w:line="312" w:lineRule="auto" w:before="207"/>
        <w:ind w:left="594" w:right="110" w:hanging="480"/>
        <w:jc w:val="left"/>
      </w:pPr>
      <w:r>
        <w:rPr/>
        <w:t>（</w:t>
      </w:r>
      <w:r>
        <w:rPr>
          <w:rFonts w:ascii="Times New Roman" w:hAnsi="Times New Roman" w:cs="Times New Roman" w:eastAsia="Times New Roman" w:hint="default"/>
        </w:rPr>
        <w:t>4</w:t>
      </w:r>
      <w:r>
        <w:rPr/>
        <w:t>）损益类项目异常情况及原因说明： 报告期营业收入较上年同期增幅为</w:t>
      </w:r>
      <w:r>
        <w:rPr>
          <w:rFonts w:ascii="Times New Roman" w:hAnsi="Times New Roman" w:cs="Times New Roman" w:eastAsia="Times New Roman" w:hint="default"/>
        </w:rPr>
        <w:t>62.00%</w:t>
      </w:r>
      <w:r>
        <w:rPr/>
        <w:t>，主要系公司加强市场开拓力度，在保持原有</w:t>
      </w:r>
    </w:p>
    <w:p>
      <w:pPr>
        <w:pStyle w:val="Heading3"/>
        <w:spacing w:line="214" w:lineRule="exact"/>
        <w:ind w:right="0"/>
        <w:jc w:val="left"/>
      </w:pPr>
      <w:r>
        <w:rPr/>
        <w:t>专业领域业务持续增长的同时，积极开拓智能终端产品新业务。</w:t>
      </w:r>
    </w:p>
    <w:p>
      <w:pPr>
        <w:pStyle w:val="Heading3"/>
        <w:spacing w:line="312" w:lineRule="auto" w:before="118"/>
        <w:ind w:left="594" w:right="110"/>
        <w:jc w:val="left"/>
      </w:pPr>
      <w:r>
        <w:rPr/>
        <w:t>报告期营业成本较上年同期增幅为</w:t>
      </w:r>
      <w:r>
        <w:rPr>
          <w:rFonts w:ascii="Times New Roman" w:hAnsi="Times New Roman" w:cs="Times New Roman" w:eastAsia="Times New Roman" w:hint="default"/>
        </w:rPr>
        <w:t>80.51%</w:t>
      </w:r>
      <w:r>
        <w:rPr/>
        <w:t>，主要系主营业务增长，营业成本相应增加。 报告期销售费用较上年同期增长</w:t>
      </w:r>
      <w:r>
        <w:rPr>
          <w:rFonts w:ascii="Times New Roman" w:hAnsi="Times New Roman" w:cs="Times New Roman" w:eastAsia="Times New Roman" w:hint="default"/>
        </w:rPr>
        <w:t>81.33%</w:t>
      </w:r>
      <w:r>
        <w:rPr/>
        <w:t>，主要系随着公司规模的扩大，销售人员增加，</w:t>
      </w:r>
    </w:p>
    <w:p>
      <w:pPr>
        <w:pStyle w:val="Heading3"/>
        <w:spacing w:line="214" w:lineRule="exact"/>
        <w:ind w:right="0"/>
        <w:jc w:val="left"/>
      </w:pPr>
      <w:r>
        <w:rPr/>
        <w:t>人员工资、业务费、差旅费相应增长；同时为扩大公司知名度，广告宣传费增加。</w:t>
      </w:r>
    </w:p>
    <w:p>
      <w:pPr>
        <w:pStyle w:val="Heading3"/>
        <w:spacing w:line="312" w:lineRule="exact" w:before="148"/>
        <w:ind w:right="110" w:firstLine="480"/>
        <w:jc w:val="left"/>
      </w:pPr>
      <w:r>
        <w:rPr/>
        <w:t>报告期管理费用较上年同期增长</w:t>
      </w:r>
      <w:r>
        <w:rPr>
          <w:rFonts w:ascii="Times New Roman" w:hAnsi="Times New Roman" w:cs="Times New Roman" w:eastAsia="Times New Roman" w:hint="default"/>
        </w:rPr>
        <w:t>58.71%</w:t>
      </w:r>
      <w:r>
        <w:rPr/>
        <w:t>，主要系随着公司研发投入的增加，研发费用、 职工培训费用、差旅费等相应增长。</w:t>
      </w:r>
    </w:p>
    <w:p>
      <w:pPr>
        <w:pStyle w:val="Heading3"/>
        <w:spacing w:line="312" w:lineRule="exact" w:before="120"/>
        <w:ind w:right="110" w:firstLine="480"/>
        <w:jc w:val="left"/>
      </w:pPr>
      <w:r>
        <w:rPr/>
        <w:t>报告期财务费用较上年同期减少</w:t>
      </w:r>
      <w:r>
        <w:rPr>
          <w:rFonts w:ascii="Times New Roman" w:hAnsi="Times New Roman" w:cs="Times New Roman" w:eastAsia="Times New Roman" w:hint="default"/>
        </w:rPr>
        <w:t>36.61%</w:t>
      </w:r>
      <w:r>
        <w:rPr/>
        <w:t>，主要系随着公司本年度募集资金到位，利息收 入增加。</w:t>
      </w:r>
    </w:p>
    <w:p>
      <w:pPr>
        <w:pStyle w:val="Heading3"/>
        <w:spacing w:line="312" w:lineRule="exact" w:before="120"/>
        <w:ind w:right="0" w:firstLine="480"/>
        <w:jc w:val="left"/>
      </w:pPr>
      <w:r>
        <w:rPr>
          <w:spacing w:val="-3"/>
        </w:rPr>
        <w:t>报告期资产减值损失交上年同期增加</w:t>
      </w:r>
      <w:r>
        <w:rPr>
          <w:rFonts w:ascii="Times New Roman" w:hAnsi="Times New Roman" w:cs="Times New Roman" w:eastAsia="Times New Roman" w:hint="default"/>
          <w:spacing w:val="-3"/>
        </w:rPr>
        <w:t>535.46%</w:t>
      </w:r>
      <w:r>
        <w:rPr>
          <w:spacing w:val="-3"/>
        </w:rPr>
        <w:t>，主要系公司业务增长，合同账期内应收账</w:t>
      </w:r>
      <w:r>
        <w:rPr/>
        <w:t> 款增加。</w:t>
      </w:r>
    </w:p>
    <w:p>
      <w:pPr>
        <w:pStyle w:val="Heading3"/>
        <w:spacing w:line="312" w:lineRule="exact" w:before="120"/>
        <w:ind w:right="0" w:firstLine="480"/>
        <w:jc w:val="left"/>
      </w:pPr>
      <w:r>
        <w:rPr>
          <w:spacing w:val="-2"/>
        </w:rPr>
        <w:t>报告期公允价值变动收益较上年同期增加</w:t>
      </w:r>
      <w:r>
        <w:rPr>
          <w:rFonts w:ascii="Times New Roman" w:hAnsi="Times New Roman" w:cs="Times New Roman" w:eastAsia="Times New Roman" w:hint="default"/>
          <w:spacing w:val="-2"/>
        </w:rPr>
        <w:t>100%</w:t>
      </w:r>
      <w:r>
        <w:rPr>
          <w:spacing w:val="-2"/>
        </w:rPr>
        <w:t>，主要系公司为规避外币应收账款因汇率</w:t>
      </w:r>
      <w:r>
        <w:rPr/>
        <w:t> 变动产生的风险，开展的远期外汇结汇业务确认的合同浮动盈亏。</w:t>
      </w:r>
    </w:p>
    <w:p>
      <w:pPr>
        <w:pStyle w:val="Heading3"/>
        <w:spacing w:line="312" w:lineRule="exact" w:before="120"/>
        <w:ind w:left="113" w:right="0" w:firstLine="480"/>
        <w:jc w:val="left"/>
      </w:pPr>
      <w:r>
        <w:rPr>
          <w:spacing w:val="-3"/>
        </w:rPr>
        <w:t>报告期投资收益较上年同期增加</w:t>
      </w:r>
      <w:r>
        <w:rPr>
          <w:rFonts w:ascii="Times New Roman" w:hAnsi="Times New Roman" w:cs="Times New Roman" w:eastAsia="Times New Roman" w:hint="default"/>
          <w:spacing w:val="-3"/>
        </w:rPr>
        <w:t>912.26%</w:t>
      </w:r>
      <w:r>
        <w:rPr>
          <w:spacing w:val="-3"/>
        </w:rPr>
        <w:t>，主要系远期外汇结汇业务交割产生的汇率收益</w:t>
      </w:r>
      <w:r>
        <w:rPr/>
        <w:t> 增加。</w:t>
      </w:r>
    </w:p>
    <w:p>
      <w:pPr>
        <w:pStyle w:val="Heading3"/>
        <w:spacing w:line="312" w:lineRule="auto" w:before="89"/>
        <w:ind w:left="593" w:right="231"/>
        <w:jc w:val="left"/>
      </w:pPr>
      <w:r>
        <w:rPr/>
        <w:t>报告期营业外收入较上年同期增加</w:t>
      </w:r>
      <w:r>
        <w:rPr>
          <w:rFonts w:ascii="Times New Roman" w:hAnsi="Times New Roman" w:cs="Times New Roman" w:eastAsia="Times New Roman" w:hint="default"/>
        </w:rPr>
        <w:t>77.45%</w:t>
      </w:r>
      <w:r>
        <w:rPr/>
        <w:t>，主要系计入当期损益的政府补贴增加。 报告期营业外支出较上年同期增加</w:t>
      </w:r>
      <w:r>
        <w:rPr>
          <w:rFonts w:ascii="Times New Roman" w:hAnsi="Times New Roman" w:cs="Times New Roman" w:eastAsia="Times New Roman" w:hint="default"/>
        </w:rPr>
        <w:t>118.03%</w:t>
      </w:r>
      <w:r>
        <w:rPr/>
        <w:t>，主要主要系公司本年度公益性捐赠增加。</w:t>
      </w:r>
    </w:p>
    <w:p>
      <w:pPr>
        <w:spacing w:line="240" w:lineRule="auto" w:before="7"/>
        <w:rPr>
          <w:rFonts w:ascii="宋体" w:hAnsi="宋体" w:cs="宋体" w:eastAsia="宋体" w:hint="default"/>
          <w:sz w:val="34"/>
          <w:szCs w:val="34"/>
        </w:rPr>
      </w:pPr>
    </w:p>
    <w:p>
      <w:pPr>
        <w:pStyle w:val="Heading3"/>
        <w:spacing w:line="240" w:lineRule="auto"/>
        <w:ind w:left="113" w:right="0"/>
        <w:jc w:val="left"/>
      </w:pPr>
      <w:r>
        <w:rPr/>
        <w:t>（</w:t>
      </w:r>
      <w:r>
        <w:rPr>
          <w:rFonts w:ascii="Times New Roman" w:hAnsi="Times New Roman" w:cs="Times New Roman" w:eastAsia="Times New Roman" w:hint="default"/>
        </w:rPr>
        <w:t>5</w:t>
      </w:r>
      <w:r>
        <w:rPr/>
        <w:t>）现金流量类项目异常情况及原因说明：</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3"/>
        <w:spacing w:line="240" w:lineRule="auto" w:before="26"/>
        <w:ind w:left="594" w:right="0"/>
        <w:jc w:val="left"/>
      </w:pPr>
      <w:r>
        <w:rPr/>
        <w:t>报告期内，筹资活动产生的现金流量净额较上年增加</w:t>
      </w:r>
      <w:r>
        <w:rPr>
          <w:rFonts w:ascii="Times New Roman" w:hAnsi="Times New Roman" w:cs="Times New Roman" w:eastAsia="Times New Roman" w:hint="default"/>
        </w:rPr>
        <w:t>1049.77%</w:t>
      </w:r>
      <w:r>
        <w:rPr/>
        <w:t>，主要系募集资金到位。</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745" w:right="2741"/>
        <w:jc w:val="center"/>
        <w:rPr>
          <w:b w:val="0"/>
          <w:bCs w:val="0"/>
        </w:rPr>
      </w:pPr>
      <w:bookmarkStart w:name="_TOC_250000" w:id="10"/>
      <w:r>
        <w:rPr/>
        <w:t>第十节</w:t>
      </w:r>
      <w:r>
        <w:rPr>
          <w:spacing w:val="-2"/>
        </w:rPr>
        <w:t> </w:t>
      </w:r>
      <w:r>
        <w:rPr/>
        <w:t>备查文件目录</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2170"/>
        <w:jc w:val="left"/>
      </w:pPr>
      <w:r>
        <w:rPr/>
        <w:t>一、载有公司法定代表人、主管会计工作负责人、公司会计机构负责人签名并盖章的财务报表。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2012</w:t>
      </w:r>
      <w:r>
        <w:rPr/>
        <w:t>年年度报告文本原件。</w:t>
      </w:r>
    </w:p>
    <w:p>
      <w:pPr>
        <w:pStyle w:val="BodyText"/>
        <w:spacing w:line="316" w:lineRule="auto" w:before="0"/>
        <w:ind w:left="113" w:right="6131"/>
        <w:jc w:val="left"/>
      </w:pPr>
      <w:r>
        <w:rPr/>
        <w:t>五、其他相关资料。 以上备查文件的备置地点：公司证券事务部。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477" w:lineRule="auto" w:before="0"/>
        <w:ind w:left="5244" w:right="2800"/>
        <w:jc w:val="left"/>
      </w:pPr>
      <w:r>
        <w:rPr/>
        <w:t>法定代表人：周红卫 江苏润和软件股份公司</w:t>
      </w:r>
    </w:p>
    <w:p>
      <w:pPr>
        <w:pStyle w:val="BodyText"/>
        <w:spacing w:line="240" w:lineRule="auto" w:before="54"/>
        <w:ind w:left="5473" w:right="0"/>
        <w:jc w:val="left"/>
      </w:pPr>
      <w:r>
        <w:rPr/>
        <w:t>2013年3月18日</w:t>
      </w:r>
    </w:p>
    <w:sectPr>
      <w:footerReference w:type="default" r:id="rId42"/>
      <w:pgSz w:w="11910" w:h="16840"/>
      <w:pgMar w:footer="980" w:header="747"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577637pt;width:6.5pt;height:11pt;mso-position-horizontal-relative:page;mso-position-vertical-relative:page;z-index:-10322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9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196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9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192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8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18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8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18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8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17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73pt;margin-top:782.017639pt;width:8.5pt;height:11pt;mso-position-horizontal-relative:page;mso-position-vertical-relative:page;z-index:-10321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17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103172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10317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17639pt;width:17.2pt;height:11pt;mso-position-horizontal-relative:page;mso-position-vertical-relative:page;z-index:-10316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10316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10316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130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10316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10315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140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10315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103153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150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21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1031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10314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160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21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21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20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206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10320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103201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19995pt;margin-top:36.325325pt;width:186.5pt;height:11.45pt;mso-position-horizontal-relative:page;mso-position-vertical-relative:page;z-index:-1032232" type="#_x0000_t202" filled="false" stroked="false">
          <v:textbox inset="0,0,0,0">
            <w:txbxContent>
              <w:p>
                <w:pPr>
                  <w:pStyle w:val="BodyText"/>
                  <w:spacing w:line="214" w:lineRule="exact" w:before="0"/>
                  <w:ind w:left="20" w:right="0"/>
                  <w:jc w:val="left"/>
                </w:pPr>
                <w:r>
                  <w:rPr/>
                  <w:t>江苏润和软件股份有限公司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
    </w:pPr>
    <w:rPr>
      <w:rFonts w:ascii="宋体" w:hAnsi="宋体" w:eastAsia="宋体"/>
      <w:sz w:val="18"/>
      <w:szCs w:val="18"/>
    </w:rPr>
  </w:style>
  <w:style w:styleId="BodyText" w:type="paragraph">
    <w:name w:val="Body Text"/>
    <w:basedOn w:val="Normal"/>
    <w:uiPriority w:val="1"/>
    <w:qFormat/>
    <w:pPr>
      <w:spacing w:before="44"/>
      <w:ind w:left="114"/>
    </w:pPr>
    <w:rPr>
      <w:rFonts w:ascii="宋体" w:hAnsi="宋体" w:eastAsia="宋体"/>
      <w:sz w:val="18"/>
      <w:szCs w:val="18"/>
    </w:rPr>
  </w:style>
  <w:style w:styleId="Heading1" w:type="paragraph">
    <w:name w:val="Heading 1"/>
    <w:basedOn w:val="Normal"/>
    <w:uiPriority w:val="1"/>
    <w:qFormat/>
    <w:pPr>
      <w:spacing w:before="1"/>
      <w:ind w:left="2742"/>
      <w:outlineLvl w:val="1"/>
    </w:pPr>
    <w:rPr>
      <w:rFonts w:ascii="宋体" w:hAnsi="宋体" w:eastAsia="宋体"/>
      <w:b/>
      <w:bCs/>
      <w:sz w:val="32"/>
      <w:szCs w:val="32"/>
    </w:rPr>
  </w:style>
  <w:style w:styleId="Heading2" w:type="paragraph">
    <w:name w:val="Heading 2"/>
    <w:basedOn w:val="Normal"/>
    <w:uiPriority w:val="1"/>
    <w:qFormat/>
    <w:pPr>
      <w:spacing w:before="26"/>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Heading5" w:type="paragraph">
    <w:name w:val="Heading 5"/>
    <w:basedOn w:val="Normal"/>
    <w:uiPriority w:val="1"/>
    <w:qFormat/>
    <w:pPr>
      <w:spacing w:before="18"/>
      <w:ind w:left="113" w:firstLine="420"/>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operun.com/" TargetMode="External"/><Relationship Id="rId9" Type="http://schemas.openxmlformats.org/officeDocument/2006/relationships/hyperlink" Target="mailto:company@hoperun.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1.png"/><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2.jpeg"/><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image" Target="media/image3.png"/><Relationship Id="rId38" Type="http://schemas.openxmlformats.org/officeDocument/2006/relationships/footer" Target="footer27.xml"/><Relationship Id="rId39" Type="http://schemas.openxmlformats.org/officeDocument/2006/relationships/footer" Target="footer28.xml"/><Relationship Id="rId40" Type="http://schemas.openxmlformats.org/officeDocument/2006/relationships/footer" Target="footer29.xml"/><Relationship Id="rId41" Type="http://schemas.openxmlformats.org/officeDocument/2006/relationships/footer" Target="footer30.xml"/><Relationship Id="rId42"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C:\Documents and Settings\Administrator\桌面\新股\AR2012300339b定期报告全文(Word中文版).doc</dc:title>
  <dcterms:created xsi:type="dcterms:W3CDTF">2020-05-04T02:16:58Z</dcterms:created>
  <dcterms:modified xsi:type="dcterms:W3CDTF">2020-05-04T02:16:58Z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PScript5.dll Version 5.2.2</vt:lpwstr>
  </property>
  <property fmtid="{D5CDD505-2E9C-101B-9397-08002B2CF9AE}" pid="4" name="LastSaved">
    <vt:filetime>2020-05-03T00:00:00Z</vt:filetime>
  </property>
</Properties>
</file>