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2"/>
          <w:szCs w:val="42"/>
        </w:rPr>
      </w:pPr>
      <w:r>
        <w:rPr>
          <w:rFonts w:ascii="Arial" w:eastAsia="Arial" w:hAnsi="Arial" w:cs="Arial"/>
          <w:color w:val="055EAB"/>
          <w:spacing w:val="0"/>
          <w:w w:val="100"/>
          <w:position w:val="0"/>
          <w:sz w:val="42"/>
          <w:szCs w:val="42"/>
        </w:rPr>
        <w:t>HDPcFIUri</w:t>
      </w:r>
    </w:p>
    <w:p>
      <w:pPr>
        <w:pStyle w:val="Style2"/>
        <w:keepNext w:val="0"/>
        <w:keepLines w:val="0"/>
        <w:widowControl w:val="0"/>
        <w:shd w:val="clear" w:color="auto" w:fill="auto"/>
        <w:bidi w:val="0"/>
        <w:spacing w:before="0" w:after="0" w:line="180" w:lineRule="auto"/>
        <w:ind w:left="0" w:right="0" w:firstLine="0"/>
        <w:jc w:val="center"/>
      </w:pPr>
      <w:r>
        <w:rPr>
          <w:rFonts w:ascii="Times New Roman" w:eastAsia="Times New Roman" w:hAnsi="Times New Roman" w:cs="Times New Roman"/>
          <w:color w:val="969EA7"/>
          <w:spacing w:val="0"/>
          <w:w w:val="100"/>
          <w:position w:val="0"/>
        </w:rPr>
        <w:t xml:space="preserve">InFcnnalion </w:t>
      </w:r>
      <w:r>
        <w:rPr>
          <w:rFonts w:ascii="Times New Roman" w:eastAsia="Times New Roman" w:hAnsi="Times New Roman" w:cs="Times New Roman"/>
          <w:color w:val="BCBCBC"/>
          <w:spacing w:val="0"/>
          <w:w w:val="100"/>
          <w:position w:val="0"/>
        </w:rPr>
        <w:t>lechnology</w:t>
      </w:r>
    </w:p>
    <w:p>
      <w:pPr>
        <w:pStyle w:val="Style2"/>
        <w:keepNext w:val="0"/>
        <w:keepLines w:val="0"/>
        <w:widowControl w:val="0"/>
        <w:shd w:val="clear" w:color="auto" w:fill="auto"/>
        <w:bidi w:val="0"/>
        <w:spacing w:before="0" w:after="120" w:line="240" w:lineRule="auto"/>
        <w:ind w:left="4600" w:right="0" w:firstLine="0"/>
        <w:jc w:val="left"/>
        <w:rPr>
          <w:sz w:val="32"/>
          <w:szCs w:val="32"/>
        </w:rPr>
      </w:pPr>
      <w:r>
        <w:rPr>
          <w:color w:val="626061"/>
          <w:spacing w:val="0"/>
          <w:w w:val="100"/>
          <w:position w:val="0"/>
          <w:sz w:val="32"/>
          <w:szCs w:val="32"/>
        </w:rPr>
        <w:t>润和款件</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江苏润和软件股份有限公司</w:t>
      </w:r>
    </w:p>
    <w:p>
      <w:pPr>
        <w:pStyle w:val="Style2"/>
        <w:keepNext w:val="0"/>
        <w:keepLines w:val="0"/>
        <w:widowControl w:val="0"/>
        <w:shd w:val="clear" w:color="auto" w:fill="auto"/>
        <w:bidi w:val="0"/>
        <w:spacing w:before="0" w:after="3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2014-022</w:t>
      </w:r>
    </w:p>
    <w:p>
      <w:pPr>
        <w:pStyle w:val="Style2"/>
        <w:keepNext w:val="0"/>
        <w:keepLines w:val="0"/>
        <w:widowControl w:val="0"/>
        <w:shd w:val="clear" w:color="auto" w:fill="auto"/>
        <w:bidi w:val="0"/>
        <w:spacing w:before="0" w:after="38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45" w:right="1104" w:bottom="2545" w:left="110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6"/>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after="400" w:line="622" w:lineRule="exact"/>
        <w:ind w:left="0" w:right="0" w:firstLine="580"/>
        <w:jc w:val="both"/>
        <w:rPr>
          <w:sz w:val="28"/>
          <w:szCs w:val="28"/>
        </w:rPr>
      </w:pPr>
      <w:bookmarkStart w:id="3" w:name="bookmark3"/>
      <w:r>
        <w:rPr>
          <w:b/>
          <w:bCs/>
          <w:color w:val="000000"/>
          <w:spacing w:val="0"/>
          <w:w w:val="100"/>
          <w:position w:val="0"/>
          <w:sz w:val="28"/>
          <w:szCs w:val="28"/>
        </w:rPr>
        <w:t>本公司董事会、监事会及董事、监事、高级管理人员保证本报告所载资料 不存在任何虚假记载、误导性陈述或者重大遗漏，并对其内容的真实性、准确 性和完整性承担个别及连带责任。</w:t>
      </w:r>
      <w:bookmarkEnd w:id="3"/>
    </w:p>
    <w:p>
      <w:pPr>
        <w:pStyle w:val="Style19"/>
        <w:keepNext w:val="0"/>
        <w:keepLines w:val="0"/>
        <w:widowControl w:val="0"/>
        <w:shd w:val="clear" w:color="auto" w:fill="auto"/>
        <w:bidi w:val="0"/>
        <w:spacing w:before="0" w:after="0" w:line="240" w:lineRule="auto"/>
        <w:ind w:left="566"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shd w:val="clear" w:color="auto" w:fill="auto"/>
        <w:bidi w:val="0"/>
        <w:spacing w:before="0" w:after="220" w:line="240" w:lineRule="auto"/>
        <w:ind w:left="0" w:right="0" w:firstLine="580"/>
        <w:jc w:val="both"/>
        <w:rPr>
          <w:sz w:val="28"/>
          <w:szCs w:val="28"/>
        </w:rPr>
      </w:pPr>
      <w:r>
        <w:rPr>
          <w:b/>
          <w:bCs/>
          <w:color w:val="000000"/>
          <w:spacing w:val="0"/>
          <w:w w:val="100"/>
          <w:position w:val="0"/>
          <w:sz w:val="28"/>
          <w:szCs w:val="28"/>
        </w:rPr>
        <w:t>公司负责人周红卫、主管会计工作负责人朱祖龙及会计机构负责人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会计主</w:t>
      </w:r>
    </w:p>
    <w:p>
      <w:pPr>
        <w:pStyle w:val="Style2"/>
        <w:keepNext w:val="0"/>
        <w:keepLines w:val="0"/>
        <w:widowControl w:val="0"/>
        <w:shd w:val="clear" w:color="auto" w:fill="auto"/>
        <w:bidi w:val="0"/>
        <w:spacing w:before="0" w:after="300" w:line="240" w:lineRule="auto"/>
        <w:ind w:left="0" w:right="0" w:firstLine="0"/>
        <w:jc w:val="left"/>
        <w:rPr>
          <w:sz w:val="28"/>
          <w:szCs w:val="28"/>
        </w:rPr>
        <w:sectPr>
          <w:headerReference w:type="default" r:id="rId7"/>
          <w:footerReference w:type="default" r:id="rId8"/>
          <w:footnotePr>
            <w:pos w:val="pageBottom"/>
            <w:numFmt w:val="decimal"/>
            <w:numRestart w:val="continuous"/>
          </w:footnotePr>
          <w:pgSz w:w="11900" w:h="16840"/>
          <w:pgMar w:top="1940" w:right="1104" w:bottom="1940" w:left="1109" w:header="0" w:footer="3" w:gutter="0"/>
          <w:cols w:space="720"/>
          <w:noEndnote/>
          <w:rtlGutter w:val="0"/>
          <w:docGrid w:linePitch="360"/>
        </w:sectPr>
      </w:pPr>
      <w:r>
        <w:rPr>
          <w:b/>
          <w:bCs/>
          <w:color w:val="000000"/>
          <w:spacing w:val="0"/>
          <w:w w:val="100"/>
          <w:position w:val="0"/>
          <w:sz w:val="28"/>
          <w:szCs w:val="28"/>
        </w:rPr>
        <w:t>管人员</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朱祖龙声明：保证年度报告中财务报告的真实、准确、完整。</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pos="723" w:val="left"/>
          <w:tab w:leader="dot" w:pos="9611"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pPr>
      <w:hyperlink w:anchor="bookmark5"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pPr>
      <w:hyperlink w:anchor="bookmark23"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3"/>
        <w:keepNext w:val="0"/>
        <w:keepLines w:val="0"/>
        <w:widowControl w:val="0"/>
        <w:shd w:val="clear" w:color="auto" w:fill="auto"/>
        <w:tabs>
          <w:tab w:pos="723" w:val="left"/>
          <w:tab w:leader="dot" w:pos="9611" w:val="right"/>
        </w:tabs>
        <w:bidi w:val="0"/>
        <w:spacing w:before="0" w:line="240" w:lineRule="auto"/>
        <w:ind w:left="0" w:right="0" w:firstLine="0"/>
        <w:jc w:val="left"/>
      </w:pPr>
      <w:hyperlink w:anchor="bookmark69" w:tooltip="Current Document">
        <w:r>
          <w:rPr>
            <w:color w:val="000000"/>
            <w:spacing w:val="0"/>
            <w:w w:val="100"/>
            <w:position w:val="0"/>
          </w:rPr>
          <w:t>第四节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pPr>
      <w:hyperlink w:anchor="bookmark169"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pPr>
      <w:hyperlink w:anchor="bookmark335"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pPr>
      <w:hyperlink w:anchor="bookmark388"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pPr>
      <w:hyperlink w:anchor="bookmark443"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pPr>
      <w:hyperlink w:anchor="bookmark481"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3"/>
        <w:keepNext w:val="0"/>
        <w:keepLines w:val="0"/>
        <w:widowControl w:val="0"/>
        <w:shd w:val="clear" w:color="auto" w:fill="auto"/>
        <w:tabs>
          <w:tab w:pos="723" w:val="left"/>
          <w:tab w:leader="dot" w:pos="9611" w:val="right"/>
        </w:tabs>
        <w:bidi w:val="0"/>
        <w:spacing w:before="0" w:line="240" w:lineRule="auto"/>
        <w:ind w:left="0" w:right="0" w:firstLine="0"/>
        <w:jc w:val="left"/>
      </w:pPr>
      <w:hyperlink w:anchor="bookmark2123"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172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江苏润和科技投资集团有限公司，原江苏润和科技投资有限公司，系 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金石投资有限公司，系公司法人股东。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焦点科技股份有限公司，系公司法人股东。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华为投资控股有限公司，系公司法人股东。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江苏润和软件股份有限公司北京分公司，已注销。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江苏润和软件股份有限公司武汉分公司，已注销。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江苏润和软件股份有限公司杭州分公司，已注销。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江苏润和软件股份有限公司西安分公司，已注销。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江苏润和南京软件外包园投资有限公司，系公司全资子公司。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株式会社润和京，系公司全资子公司。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HopeRun Software Singapore Pte. Ltd</w:t>
            </w:r>
            <w:r>
              <w:rPr>
                <w:color w:val="000000"/>
                <w:spacing w:val="0"/>
                <w:w w:val="100"/>
                <w:position w:val="0"/>
              </w:rPr>
              <w:t>，系东京润和控股子公司。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润和数码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南京润和数码有限公司，系公司控股子公司。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波士顿润和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HopeRun Technology Co., Ltd.</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SRS2 Limited</w:t>
            </w:r>
            <w:r>
              <w:rPr>
                <w:color w:val="000000"/>
                <w:spacing w:val="0"/>
                <w:w w:val="100"/>
                <w:position w:val="0"/>
              </w:rPr>
              <w:t>，系公司控股子公司。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SilkRoad Software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Service.Inc</w:t>
            </w:r>
            <w:r>
              <w:rPr>
                <w:color w:val="000000"/>
                <w:spacing w:val="0"/>
                <w:w w:val="100"/>
                <w:position w:val="0"/>
              </w:rPr>
              <w:t xml:space="preserve">，系香港 </w:t>
            </w:r>
            <w:r>
              <w:rPr>
                <w:rFonts w:ascii="Times New Roman" w:eastAsia="Times New Roman" w:hAnsi="Times New Roman" w:cs="Times New Roman"/>
                <w:color w:val="000000"/>
                <w:spacing w:val="0"/>
                <w:w w:val="100"/>
                <w:position w:val="0"/>
              </w:rPr>
              <w:t xml:space="preserve">SRS2 </w:t>
            </w:r>
            <w:r>
              <w:rPr>
                <w:color w:val="000000"/>
                <w:spacing w:val="0"/>
                <w:w w:val="100"/>
                <w:position w:val="0"/>
              </w:rPr>
              <w:t>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上海丝略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丝略软件（上海）有限公司，系香港</w:t>
            </w:r>
            <w:r>
              <w:rPr>
                <w:rFonts w:ascii="Times New Roman" w:eastAsia="Times New Roman" w:hAnsi="Times New Roman" w:cs="Times New Roman"/>
                <w:color w:val="000000"/>
                <w:spacing w:val="0"/>
                <w:w w:val="100"/>
                <w:position w:val="0"/>
              </w:rPr>
              <w:t>SRS2</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西安润和软件信息技术有限公司，系公司全资子公司。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北京润和汇智信息技术有限公司，系公司全资子公司。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深圳市润和创新信息科技有限公司，系公司控股子公司润和数码在深 圳设立的全资子公司。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新加坡数码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HOPERUN MMAX DIGITAL PTE. LTD.</w:t>
            </w:r>
            <w:r>
              <w:rPr>
                <w:color w:val="000000"/>
                <w:spacing w:val="0"/>
                <w:w w:val="100"/>
                <w:position w:val="0"/>
              </w:rPr>
              <w:t>，</w:t>
            </w:r>
            <w:r>
              <w:rPr>
                <w:color w:val="000000"/>
                <w:spacing w:val="0"/>
                <w:w w:val="100"/>
                <w:position w:val="0"/>
              </w:rPr>
              <w:t>系公司控股子公司润和数码 在新加坡设立的全资子公司。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江苏开拓信息与系统有限公司，系公司</w:t>
            </w:r>
            <w:r>
              <w:rPr>
                <w:rFonts w:ascii="Times New Roman" w:eastAsia="Times New Roman" w:hAnsi="Times New Roman" w:cs="Times New Roman"/>
                <w:color w:val="000000"/>
                <w:spacing w:val="0"/>
                <w:w w:val="100"/>
                <w:position w:val="0"/>
              </w:rPr>
              <w:t>2013</w:t>
            </w:r>
            <w:r>
              <w:rPr>
                <w:color w:val="000000"/>
                <w:spacing w:val="0"/>
                <w:w w:val="100"/>
                <w:position w:val="0"/>
              </w:rPr>
              <w:t>年通过并购获取的控股 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华为技术有限公司，为全球领先的电信解决方案供应商，世界</w:t>
            </w:r>
            <w:r>
              <w:rPr>
                <w:rFonts w:ascii="Times New Roman" w:eastAsia="Times New Roman" w:hAnsi="Times New Roman" w:cs="Times New Roman"/>
                <w:color w:val="000000"/>
                <w:spacing w:val="0"/>
                <w:w w:val="100"/>
                <w:position w:val="0"/>
              </w:rPr>
              <w:t>500</w:t>
            </w:r>
            <w:r>
              <w:rPr>
                <w:color w:val="000000"/>
                <w:spacing w:val="0"/>
                <w:w w:val="100"/>
                <w:position w:val="0"/>
              </w:rPr>
              <w:t>强 企业，系公司主要客户之一。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丰通</w:t>
            </w:r>
            <w:r>
              <w:rPr>
                <w:rFonts w:ascii="Times New Roman" w:eastAsia="Times New Roman" w:hAnsi="Times New Roman" w:cs="Times New Roman"/>
                <w:color w:val="000000"/>
                <w:spacing w:val="0"/>
                <w:w w:val="100"/>
                <w:position w:val="0"/>
              </w:rPr>
              <w:t>Syscom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株式会社兽通，英文名：</w:t>
            </w:r>
            <w:r>
              <w:rPr>
                <w:rFonts w:ascii="Times New Roman" w:eastAsia="Times New Roman" w:hAnsi="Times New Roman" w:cs="Times New Roman"/>
                <w:color w:val="000000"/>
                <w:spacing w:val="0"/>
                <w:w w:val="100"/>
                <w:position w:val="0"/>
              </w:rPr>
              <w:t>Toyotsu Syscom Corporation</w:t>
            </w:r>
            <w:r>
              <w:rPr>
                <w:color w:val="000000"/>
                <w:spacing w:val="0"/>
                <w:w w:val="100"/>
                <w:position w:val="0"/>
              </w:rPr>
              <w:t>，</w:t>
            </w:r>
            <w:r>
              <w:rPr>
                <w:color w:val="000000"/>
                <w:spacing w:val="0"/>
                <w:w w:val="100"/>
                <w:position w:val="0"/>
              </w:rPr>
              <w:t>为世 界</w:t>
            </w:r>
            <w:r>
              <w:rPr>
                <w:rFonts w:ascii="Times New Roman" w:eastAsia="Times New Roman" w:hAnsi="Times New Roman" w:cs="Times New Roman"/>
                <w:color w:val="000000"/>
                <w:spacing w:val="0"/>
                <w:w w:val="100"/>
                <w:position w:val="0"/>
              </w:rPr>
              <w:t>500</w:t>
            </w:r>
            <w:r>
              <w:rPr>
                <w:color w:val="000000"/>
                <w:spacing w:val="0"/>
                <w:w w:val="100"/>
                <w:position w:val="0"/>
              </w:rPr>
              <w:t>强企业丰田通商株式会社的子公司，系公司主要客户之一。</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丰田汽车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卜</w:t>
            </w:r>
            <w:r>
              <w:rPr>
                <w:rFonts w:ascii="Times New Roman" w:eastAsia="Times New Roman" w:hAnsi="Times New Roman" w:cs="Times New Roman"/>
                <w:color w:val="000000"/>
                <w:spacing w:val="0"/>
                <w:w w:val="100"/>
                <w:position w:val="0"/>
              </w:rPr>
              <w:t>m</w:t>
            </w:r>
            <w:r>
              <w:rPr>
                <w:color w:val="000000"/>
                <w:spacing w:val="0"/>
                <w:w w:val="100"/>
                <w:position w:val="0"/>
              </w:rPr>
              <w:t>夕自勤卓株式会社，英文名</w:t>
            </w:r>
            <w:r>
              <w:rPr>
                <w:rFonts w:ascii="Times New Roman" w:eastAsia="Times New Roman" w:hAnsi="Times New Roman" w:cs="Times New Roman"/>
                <w:color w:val="000000"/>
                <w:spacing w:val="0"/>
                <w:w w:val="100"/>
                <w:position w:val="0"/>
              </w:rPr>
              <w:t>Toyota Motor Corporation</w:t>
            </w:r>
            <w:r>
              <w:rPr>
                <w:color w:val="000000"/>
                <w:spacing w:val="0"/>
                <w:w w:val="100"/>
                <w:position w:val="0"/>
              </w:rPr>
              <w:t>，</w:t>
            </w:r>
            <w:r>
              <w:rPr>
                <w:color w:val="000000"/>
                <w:spacing w:val="0"/>
                <w:w w:val="100"/>
                <w:position w:val="0"/>
              </w:rPr>
              <w:t>为全球领</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先的汽车制造商，世界</w:t>
            </w:r>
            <w:r>
              <w:rPr>
                <w:rFonts w:ascii="Times New Roman" w:eastAsia="Times New Roman" w:hAnsi="Times New Roman" w:cs="Times New Roman"/>
                <w:color w:val="000000"/>
                <w:spacing w:val="0"/>
                <w:w w:val="100"/>
                <w:position w:val="0"/>
              </w:rPr>
              <w:t>500</w:t>
            </w:r>
            <w:r>
              <w:rPr>
                <w:color w:val="000000"/>
                <w:spacing w:val="0"/>
                <w:w w:val="100"/>
                <w:position w:val="0"/>
              </w:rPr>
              <w:t>强企业，系公司主要客户之一。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日本丰田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丰田财团，其旗下拥有</w:t>
            </w:r>
            <w:r>
              <w:rPr>
                <w:rFonts w:ascii="Times New Roman" w:eastAsia="Times New Roman" w:hAnsi="Times New Roman" w:cs="Times New Roman"/>
                <w:color w:val="000000"/>
                <w:spacing w:val="0"/>
                <w:w w:val="100"/>
                <w:position w:val="0"/>
              </w:rPr>
              <w:t>5</w:t>
            </w:r>
            <w:r>
              <w:rPr>
                <w:color w:val="000000"/>
                <w:spacing w:val="0"/>
                <w:w w:val="100"/>
                <w:position w:val="0"/>
              </w:rPr>
              <w:t>家世界</w:t>
            </w:r>
            <w:r>
              <w:rPr>
                <w:rFonts w:ascii="Times New Roman" w:eastAsia="Times New Roman" w:hAnsi="Times New Roman" w:cs="Times New Roman"/>
                <w:color w:val="000000"/>
                <w:spacing w:val="0"/>
                <w:w w:val="100"/>
                <w:position w:val="0"/>
              </w:rPr>
              <w:t>500</w:t>
            </w:r>
            <w:r>
              <w:rPr>
                <w:color w:val="000000"/>
                <w:spacing w:val="0"/>
                <w:w w:val="100"/>
                <w:position w:val="0"/>
              </w:rPr>
              <w:t xml:space="preserve">强企业，分别是丰田汽车、丰田 自动织机、丰田通商、爱信精机、日本电装，是公司主要客户丰通 </w:t>
            </w:r>
            <w:r>
              <w:rPr>
                <w:rFonts w:ascii="Times New Roman" w:eastAsia="Times New Roman" w:hAnsi="Times New Roman" w:cs="Times New Roman"/>
                <w:color w:val="000000"/>
                <w:spacing w:val="0"/>
                <w:w w:val="100"/>
                <w:position w:val="0"/>
              </w:rPr>
              <w:t>Syscom</w:t>
            </w:r>
            <w:r>
              <w:rPr>
                <w:color w:val="000000"/>
                <w:spacing w:val="0"/>
                <w:w w:val="100"/>
                <w:position w:val="0"/>
              </w:rPr>
              <w:t>、</w:t>
            </w:r>
            <w:r>
              <w:rPr>
                <w:color w:val="000000"/>
                <w:spacing w:val="0"/>
                <w:w w:val="100"/>
                <w:position w:val="0"/>
              </w:rPr>
              <w:t>丰田汽车的实际控制人。</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江苏电力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江苏省电力公司，为江苏省规模最大的国有企业，也是国家电网公司 系统规模最大的省级电力公司，其子公司江苏方天电力技术有限公司 和江苏电力信息技术有限公司均系公司主要客户。</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南瑞集团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南京南瑞集团公司，为国网电力科学研究院与中国电力科学研究院、 国网信息通信有限公司的主要产业公司重组整合而成高新技术企业， 为上海证券交易所上市公司国电南瑞（股票代码：</w:t>
            </w:r>
            <w:r>
              <w:rPr>
                <w:rFonts w:ascii="Times New Roman" w:eastAsia="Times New Roman" w:hAnsi="Times New Roman" w:cs="Times New Roman"/>
                <w:color w:val="000000"/>
                <w:spacing w:val="0"/>
                <w:w w:val="100"/>
                <w:position w:val="0"/>
              </w:rPr>
              <w:t>600406</w:t>
            </w:r>
            <w:r>
              <w:rPr>
                <w:color w:val="000000"/>
                <w:spacing w:val="0"/>
                <w:w w:val="100"/>
                <w:position w:val="0"/>
              </w:rPr>
              <w:t>）之第一大 股东，系公司主要客户之一。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百胜咨询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百胜咨询（上海）有限公司，为全球最大的餐饮集团</w:t>
            </w:r>
            <w:r>
              <w:rPr>
                <w:color w:val="000000"/>
                <w:spacing w:val="0"/>
                <w:w w:val="100"/>
                <w:position w:val="0"/>
              </w:rPr>
              <w:t>（</w:t>
            </w:r>
            <w:r>
              <w:rPr>
                <w:rFonts w:ascii="Times New Roman" w:eastAsia="Times New Roman" w:hAnsi="Times New Roman" w:cs="Times New Roman"/>
                <w:color w:val="000000"/>
                <w:spacing w:val="0"/>
                <w:w w:val="100"/>
                <w:position w:val="0"/>
              </w:rPr>
              <w:t>Yum!Brands Inc.</w:t>
            </w:r>
            <w:r>
              <w:rPr>
                <w:color w:val="000000"/>
                <w:spacing w:val="0"/>
                <w:w w:val="100"/>
                <w:position w:val="0"/>
              </w:rPr>
              <w:t xml:space="preserve">） </w:t>
            </w:r>
            <w:r>
              <w:rPr>
                <w:color w:val="000000"/>
                <w:spacing w:val="0"/>
                <w:w w:val="100"/>
                <w:position w:val="0"/>
              </w:rPr>
              <w:t>设在中国的管理咨询机构，系公司主要客户之一。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无锡市医院管理中心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为公司控股子公司江苏开拓的主要客户之一。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ITF</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株式会社 </w:t>
            </w:r>
            <w:r>
              <w:rPr>
                <w:rFonts w:ascii="Times New Roman" w:eastAsia="Times New Roman" w:hAnsi="Times New Roman" w:cs="Times New Roman"/>
                <w:color w:val="000000"/>
                <w:spacing w:val="0"/>
                <w:w w:val="100"/>
                <w:position w:val="0"/>
              </w:rPr>
              <w:t xml:space="preserve">7^r^?7 </w:t>
            </w:r>
            <w:r>
              <w:rPr>
                <w:color w:val="000000"/>
                <w:spacing w:val="0"/>
                <w:w w:val="100"/>
                <w:position w:val="0"/>
              </w:rPr>
              <w:t xml:space="preserve">才 </w:t>
            </w:r>
            <w:r>
              <w:rPr>
                <w:rFonts w:ascii="Times New Roman" w:eastAsia="Times New Roman" w:hAnsi="Times New Roman" w:cs="Times New Roman"/>
                <w:color w:val="000000"/>
                <w:spacing w:val="0"/>
                <w:w w:val="100"/>
                <w:position w:val="0"/>
              </w:rPr>
              <w:t>1^7</w:t>
            </w:r>
            <w:r>
              <w:rPr>
                <w:color w:val="000000"/>
                <w:spacing w:val="0"/>
                <w:w w:val="100"/>
                <w:position w:val="0"/>
              </w:rPr>
              <w:t>,卜，英文名：</w:t>
            </w:r>
            <w:r>
              <w:rPr>
                <w:rFonts w:ascii="Times New Roman" w:eastAsia="Times New Roman" w:hAnsi="Times New Roman" w:cs="Times New Roman"/>
                <w:color w:val="000000"/>
                <w:spacing w:val="0"/>
                <w:w w:val="100"/>
                <w:position w:val="0"/>
              </w:rPr>
              <w:t>IT-FOREST Corporation</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系公司主要客户之一</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海信电器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青岛海信电器股份有限公司，为上交所上市公司，股票代码：</w:t>
            </w:r>
            <w:r>
              <w:rPr>
                <w:rFonts w:ascii="Times New Roman" w:eastAsia="Times New Roman" w:hAnsi="Times New Roman" w:cs="Times New Roman"/>
                <w:color w:val="000000"/>
                <w:spacing w:val="0"/>
                <w:w w:val="100"/>
                <w:position w:val="0"/>
              </w:rPr>
              <w:t>600060</w:t>
            </w:r>
            <w:r>
              <w:rPr>
                <w:color w:val="000000"/>
                <w:spacing w:val="0"/>
                <w:w w:val="100"/>
                <w:position w:val="0"/>
              </w:rPr>
              <w:t>, 系公司控股子公司润和数码的主要客户之一。</w:t>
            </w:r>
          </w:p>
        </w:tc>
      </w:tr>
    </w:tbl>
    <w:p>
      <w:pPr>
        <w:sectPr>
          <w:footnotePr>
            <w:pos w:val="pageBottom"/>
            <w:numFmt w:val="decimal"/>
            <w:numRestart w:val="continuous"/>
          </w:footnotePr>
          <w:pgSz w:w="11900" w:h="16840"/>
          <w:pgMar w:top="1441" w:right="1137" w:bottom="1623" w:left="1085" w:header="0" w:footer="3" w:gutter="0"/>
          <w:cols w:space="720"/>
          <w:noEndnote/>
          <w:rtlGutter w:val="0"/>
          <w:docGrid w:linePitch="360"/>
        </w:sectPr>
      </w:pPr>
    </w:p>
    <w:p>
      <w:pPr>
        <w:pStyle w:val="Style16"/>
        <w:keepNext/>
        <w:keepLines/>
        <w:widowControl w:val="0"/>
        <w:shd w:val="clear" w:color="auto" w:fill="auto"/>
        <w:bidi w:val="0"/>
        <w:spacing w:before="52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第二节公司基本情况简介</w:t>
      </w:r>
      <w:bookmarkEnd w:id="4"/>
      <w:bookmarkEnd w:id="5"/>
      <w:bookmarkEnd w:id="6"/>
    </w:p>
    <w:p>
      <w:pPr>
        <w:pStyle w:val="Style31"/>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938"/>
        <w:gridCol w:w="2318"/>
        <w:gridCol w:w="2141"/>
        <w:gridCol w:w="218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Jiangsu Hoperun Software 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南京市雨花台区铁心桥工业园</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南京市雨花台区铁心桥工业园</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"http://www.hoperun.com" </w:instrText>
            </w:r>
            <w:r>
              <w:fldChar w:fldCharType="separate"/>
            </w:r>
            <w:r>
              <w:rPr>
                <w:rFonts w:ascii="Times New Roman" w:eastAsia="Times New Roman" w:hAnsi="Times New Roman" w:cs="Times New Roman"/>
                <w:color w:val="000000"/>
                <w:spacing w:val="0"/>
                <w:w w:val="100"/>
                <w:position w:val="0"/>
              </w:rPr>
              <w:t>http://www.hoperun.com</w:t>
            </w:r>
            <w:r>
              <w:fldChar w:fldCharType="end"/>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company@hoperun. com</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w:t>
            </w:r>
            <w:r>
              <w:rPr>
                <w:color w:val="000000"/>
                <w:spacing w:val="0"/>
                <w:w w:val="100"/>
                <w:position w:val="0"/>
              </w:rPr>
              <w:t>层</w:t>
            </w:r>
            <w:r>
              <w:rPr>
                <w:rFonts w:ascii="Times New Roman" w:eastAsia="Times New Roman" w:hAnsi="Times New Roman" w:cs="Times New Roman"/>
                <w:color w:val="000000"/>
                <w:spacing w:val="0"/>
                <w:w w:val="100"/>
                <w:position w:val="0"/>
              </w:rPr>
              <w:t>922-926</w:t>
            </w:r>
            <w:r>
              <w:rPr>
                <w:color w:val="000000"/>
                <w:spacing w:val="0"/>
                <w:w w:val="100"/>
                <w:position w:val="0"/>
              </w:rPr>
              <w:t>室</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、联系人和联系方式</w:t>
      </w:r>
      <w:bookmarkEnd w:id="11"/>
      <w:bookmarkEnd w:id="12"/>
      <w:bookmarkEnd w:id="1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南京市雨花台区铁心桥工业园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南京市雨花台区铁心桥工业园</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025-25668518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025-25668518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company@hoperun.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850"/>
        <w:gridCol w:w="57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公司证券事务部办公室</w:t>
            </w:r>
          </w:p>
        </w:tc>
      </w:tr>
    </w:tbl>
    <w:p>
      <w:pPr>
        <w:spacing w:lineRule="exact" w:line="1"/>
        <w:rPr>
          <w:sz w:val="2"/>
          <w:szCs w:val="2"/>
        </w:rPr>
      </w:pPr>
      <w:r>
        <w:br w:type="page"/>
      </w:r>
    </w:p>
    <w:p>
      <w:pPr>
        <w:pStyle w:val="Style31"/>
        <w:keepNext/>
        <w:keepLines/>
        <w:widowControl w:val="0"/>
        <w:shd w:val="clear" w:color="auto" w:fill="auto"/>
        <w:bidi w:val="0"/>
        <w:spacing w:before="0" w:after="30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、公司历史沿革</w:t>
      </w:r>
      <w:bookmarkEnd w:id="18"/>
      <w:bookmarkEnd w:id="19"/>
      <w:bookmarkEnd w:id="21"/>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南京市鼓楼区江东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北路</w:t>
            </w:r>
            <w:r>
              <w:rPr>
                <w:rFonts w:ascii="Times New Roman" w:eastAsia="Times New Roman" w:hAnsi="Times New Roman" w:cs="Times New Roman"/>
                <w:color w:val="000000"/>
                <w:spacing w:val="0"/>
                <w:w w:val="100"/>
                <w:position w:val="0"/>
              </w:rPr>
              <w:t>101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3200002103799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实收资本变更至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南京市鼓楼区江东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北路</w:t>
            </w:r>
            <w:r>
              <w:rPr>
                <w:rFonts w:ascii="Times New Roman" w:eastAsia="Times New Roman" w:hAnsi="Times New Roman" w:cs="Times New Roman"/>
                <w:color w:val="000000"/>
                <w:spacing w:val="0"/>
                <w:w w:val="100"/>
                <w:position w:val="0"/>
              </w:rPr>
              <w:t>101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3200002103799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南京市鼓楼区江东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北路</w:t>
            </w:r>
            <w:r>
              <w:rPr>
                <w:rFonts w:ascii="Times New Roman" w:eastAsia="Times New Roman" w:hAnsi="Times New Roman" w:cs="Times New Roman"/>
                <w:color w:val="000000"/>
                <w:spacing w:val="0"/>
                <w:w w:val="100"/>
                <w:position w:val="0"/>
              </w:rPr>
              <w:t>101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3200002103799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实收资本变更至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南京市鼓楼区江东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北路</w:t>
            </w:r>
            <w:r>
              <w:rPr>
                <w:rFonts w:ascii="Times New Roman" w:eastAsia="Times New Roman" w:hAnsi="Times New Roman" w:cs="Times New Roman"/>
                <w:color w:val="000000"/>
                <w:spacing w:val="0"/>
                <w:w w:val="100"/>
                <w:position w:val="0"/>
              </w:rPr>
              <w:t>101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3200002103799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注册住所变更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3200002103799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注册资本变更至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3200002103799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注册号变更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注册资本变更至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注册资本变更至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注册资本变更至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注册资本变更至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5755</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首次发行股票、注册 资本变更至</w:t>
            </w:r>
            <w:r>
              <w:rPr>
                <w:rFonts w:ascii="Times New Roman" w:eastAsia="Times New Roman" w:hAnsi="Times New Roman" w:cs="Times New Roman"/>
                <w:color w:val="000000"/>
                <w:spacing w:val="0"/>
                <w:w w:val="100"/>
                <w:position w:val="0"/>
              </w:rPr>
              <w:t>7674</w:t>
            </w:r>
            <w:r>
              <w:rPr>
                <w:color w:val="000000"/>
                <w:spacing w:val="0"/>
                <w:w w:val="100"/>
                <w:position w:val="0"/>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资本公积转增，注册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资本变更至</w:t>
            </w:r>
            <w:r>
              <w:rPr>
                <w:rFonts w:ascii="Times New Roman" w:eastAsia="Times New Roman" w:hAnsi="Times New Roman" w:cs="Times New Roman"/>
                <w:color w:val="000000"/>
                <w:spacing w:val="0"/>
                <w:w w:val="100"/>
                <w:position w:val="0"/>
              </w:rPr>
              <w:t>15348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南京市雨花台区铁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心桥工业园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320000000058203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320106788865869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78886586-9</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第三节会计数据和财务指标摘要</w:t>
      </w:r>
      <w:bookmarkEnd w:id="22"/>
      <w:bookmarkEnd w:id="23"/>
      <w:bookmarkEnd w:id="24"/>
    </w:p>
    <w:p>
      <w:pPr>
        <w:pStyle w:val="Style31"/>
        <w:keepNext/>
        <w:keepLines/>
        <w:widowControl w:val="0"/>
        <w:shd w:val="clear" w:color="auto" w:fill="auto"/>
        <w:bidi w:val="0"/>
        <w:spacing w:before="0" w:after="220" w:line="240" w:lineRule="auto"/>
        <w:ind w:left="0" w:right="0" w:firstLine="240"/>
        <w:jc w:val="left"/>
      </w:pPr>
      <w:bookmarkStart w:id="25" w:name="bookmark25"/>
      <w:bookmarkStart w:id="26" w:name="bookmark26"/>
      <w:bookmarkStart w:id="27" w:name="bookmark27"/>
      <w:bookmarkStart w:id="28" w:name="bookmark28"/>
      <w:r>
        <w:rPr>
          <w:color w:val="000000"/>
          <w:spacing w:val="0"/>
          <w:w w:val="100"/>
          <w:position w:val="0"/>
          <w:sz w:val="24"/>
          <w:szCs w:val="24"/>
        </w:rPr>
        <w:t>、主要会计数据和财务指标</w:t>
      </w:r>
      <w:bookmarkEnd w:id="26"/>
      <w:bookmarkEnd w:id="27"/>
      <w:bookmarkEnd w:id="28"/>
      <w:bookmarkEnd w:id="25"/>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476,797,826.03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379,535,216.02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234,283,272.56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291,261,872.48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229,222,712.53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126,983,897.63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57,174,139.05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54,183,850.19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44,099,475.77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85,835,806.04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71,471,361.26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53,864,466.55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77,167,961.05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65,547,736.31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46,385,012.19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52,027,697.24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47,073,695.49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37,966,609.04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24,300,211.61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57,436,670.54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50,535,043.19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153,480,000.00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76,740,000.00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57,550,000.00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1,093,508,526.09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849,497,061.38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382,421,689.08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351,337,232.14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188,246,634.15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129,352,234.00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712,588,129.42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654,740,876.57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249,659,506.74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w:t>
            </w:r>
          </w:p>
        </w:tc>
      </w:tr>
    </w:tbl>
    <w:p>
      <w:pPr>
        <w:spacing w:lineRule="exact" w:line="1"/>
        <w:rPr>
          <w:sz w:val="2"/>
          <w:szCs w:val="2"/>
        </w:rPr>
      </w:pPr>
      <w:r>
        <w:br w:type="page"/>
      </w:r>
    </w:p>
    <w:p>
      <w:pPr>
        <w:pStyle w:val="Style31"/>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、境内外会计准则下会计数据差异</w:t>
      </w:r>
      <w:bookmarkEnd w:id="29"/>
      <w:bookmarkEnd w:id="30"/>
      <w:bookmarkEnd w:id="32"/>
    </w:p>
    <w:p>
      <w:pPr>
        <w:pStyle w:val="Style33"/>
        <w:keepNext/>
        <w:keepLines/>
        <w:widowControl w:val="0"/>
        <w:shd w:val="clear" w:color="auto" w:fill="auto"/>
        <w:bidi w:val="0"/>
        <w:spacing w:before="0" w:after="36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、同时按照国际会计准则与按中国会计准则披露的财务报告中净利润和净资产差异情况</w:t>
      </w:r>
      <w:bookmarkEnd w:id="33"/>
      <w:bookmarkEnd w:id="34"/>
      <w:bookmarkEnd w:id="3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77,167,961.05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65,547,736.31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712,588,129.42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654,740,876.57</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、同时按照境外会计准则与按中国会计准则披露的财务报告中净利润和净资产差异情况</w:t>
      </w:r>
      <w:bookmarkEnd w:id="37"/>
      <w:bookmarkEnd w:id="38"/>
      <w:bookmarkEnd w:id="4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77,167,961.05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65,547,736.31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712,588,129.42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654,740,876.57</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3</w:t>
      </w:r>
      <w:bookmarkEnd w:id="43"/>
      <w:r>
        <w:rPr>
          <w:color w:val="000000"/>
          <w:spacing w:val="0"/>
          <w:w w:val="100"/>
          <w:position w:val="0"/>
        </w:rPr>
        <w:t>、境内外会计准则下会计数据差异说明</w:t>
      </w:r>
      <w:bookmarkEnd w:id="41"/>
      <w:bookmarkEnd w:id="42"/>
      <w:bookmarkEnd w:id="44"/>
    </w:p>
    <w:p>
      <w:pPr>
        <w:pStyle w:val="Style31"/>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三</w:t>
      </w:r>
      <w:bookmarkEnd w:id="47"/>
      <w:r>
        <w:rPr>
          <w:color w:val="000000"/>
          <w:spacing w:val="0"/>
          <w:w w:val="100"/>
          <w:position w:val="0"/>
          <w:sz w:val="24"/>
          <w:szCs w:val="24"/>
        </w:rPr>
        <w:t>、非经常性损益的项目及金额</w:t>
      </w:r>
      <w:bookmarkEnd w:id="45"/>
      <w:bookmarkEnd w:id="46"/>
      <w:bookmarkEnd w:id="4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6"/>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-31,419.68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-63,629.66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27,749,413.50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17,503,243.07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9,863,935.99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745,930.00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2,066,500.00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-143,906.40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-35,315.55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1,176,662.75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2,049,088.88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1,195,965.19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25,140,263.81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18,474,040.82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8,418,403.15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四</w:t>
      </w:r>
      <w:bookmarkEnd w:id="51"/>
      <w:r>
        <w:rPr>
          <w:color w:val="000000"/>
          <w:spacing w:val="0"/>
          <w:w w:val="100"/>
          <w:position w:val="0"/>
          <w:sz w:val="24"/>
          <w:szCs w:val="24"/>
        </w:rPr>
        <w:t>、重大风险提示</w:t>
      </w:r>
      <w:bookmarkEnd w:id="49"/>
      <w:bookmarkEnd w:id="50"/>
      <w:bookmarkEnd w:id="52"/>
    </w:p>
    <w:p>
      <w:pPr>
        <w:pStyle w:val="Style28"/>
        <w:keepNext w:val="0"/>
        <w:keepLines w:val="0"/>
        <w:widowControl w:val="0"/>
        <w:numPr>
          <w:ilvl w:val="0"/>
          <w:numId w:val="1"/>
        </w:numPr>
        <w:shd w:val="clear" w:color="auto" w:fill="auto"/>
        <w:tabs>
          <w:tab w:pos="260" w:val="left"/>
        </w:tabs>
        <w:bidi w:val="0"/>
        <w:spacing w:before="0" w:after="0"/>
        <w:ind w:left="0" w:right="0" w:firstLine="0"/>
        <w:jc w:val="both"/>
      </w:pPr>
      <w:bookmarkStart w:id="53" w:name="bookmark53"/>
      <w:bookmarkEnd w:id="53"/>
      <w:r>
        <w:rPr>
          <w:color w:val="000000"/>
          <w:spacing w:val="0"/>
          <w:w w:val="100"/>
          <w:position w:val="0"/>
        </w:rPr>
        <w:t>经营风险</w:t>
      </w:r>
    </w:p>
    <w:p>
      <w:pPr>
        <w:pStyle w:val="Style28"/>
        <w:keepNext w:val="0"/>
        <w:keepLines w:val="0"/>
        <w:widowControl w:val="0"/>
        <w:numPr>
          <w:ilvl w:val="0"/>
          <w:numId w:val="3"/>
        </w:numPr>
        <w:shd w:val="clear" w:color="auto" w:fill="auto"/>
        <w:tabs>
          <w:tab w:pos="313" w:val="left"/>
        </w:tabs>
        <w:bidi w:val="0"/>
        <w:spacing w:before="0" w:after="0" w:line="313" w:lineRule="exact"/>
        <w:ind w:left="0" w:right="0" w:firstLine="0"/>
        <w:jc w:val="both"/>
      </w:pPr>
      <w:bookmarkStart w:id="54" w:name="bookmark54"/>
      <w:bookmarkEnd w:id="54"/>
      <w:r>
        <w:rPr>
          <w:color w:val="000000"/>
          <w:spacing w:val="0"/>
          <w:w w:val="100"/>
          <w:position w:val="0"/>
        </w:rPr>
        <w:t>市场风险。</w:t>
      </w:r>
    </w:p>
    <w:p>
      <w:pPr>
        <w:pStyle w:val="Style28"/>
        <w:keepNext w:val="0"/>
        <w:keepLines w:val="0"/>
        <w:widowControl w:val="0"/>
        <w:shd w:val="clear" w:color="auto" w:fill="auto"/>
        <w:bidi w:val="0"/>
        <w:spacing w:before="0" w:after="0" w:line="313" w:lineRule="exact"/>
        <w:ind w:left="0" w:right="0" w:firstLine="600"/>
        <w:jc w:val="left"/>
      </w:pPr>
      <w:r>
        <w:rPr>
          <w:color w:val="000000"/>
          <w:spacing w:val="0"/>
          <w:w w:val="100"/>
          <w:position w:val="0"/>
        </w:rPr>
        <w:t>公司主营业务是软件和信息技术服务，从国内市场到海外市场，经营环境复杂，市场变动较大，特别是海外市场环 境的变化可能会对公司产生重大影响。公司将持续关注海外市场的各国政治、经济、社会、法制状况等方面的变化信息， 加大国际市场布局，除日本市场外，积极开拓欧美中小企业市场，在布局国际市场的同时，加强培育潜力巨大的国内市场， 分散市场风险，提高公司的抗风险能力。</w:t>
      </w:r>
    </w:p>
    <w:p>
      <w:pPr>
        <w:pStyle w:val="Style28"/>
        <w:keepNext w:val="0"/>
        <w:keepLines w:val="0"/>
        <w:widowControl w:val="0"/>
        <w:numPr>
          <w:ilvl w:val="0"/>
          <w:numId w:val="3"/>
        </w:numPr>
        <w:shd w:val="clear" w:color="auto" w:fill="auto"/>
        <w:tabs>
          <w:tab w:pos="313" w:val="left"/>
        </w:tabs>
        <w:bidi w:val="0"/>
        <w:spacing w:before="0" w:after="0" w:line="313" w:lineRule="exact"/>
        <w:ind w:left="0" w:right="0" w:firstLine="0"/>
        <w:jc w:val="left"/>
      </w:pPr>
      <w:bookmarkStart w:id="55" w:name="bookmark55"/>
      <w:bookmarkEnd w:id="55"/>
      <w:r>
        <w:rPr>
          <w:color w:val="000000"/>
          <w:spacing w:val="0"/>
          <w:w w:val="100"/>
          <w:position w:val="0"/>
        </w:rPr>
        <w:t>行业内竞争加剧风险。</w:t>
      </w:r>
    </w:p>
    <w:p>
      <w:pPr>
        <w:pStyle w:val="Style2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目前，在中国提供软件和信息技术服务的企业数量虽然不断增加，但中国的软件和信息技术服务行业正经历了一系列 重要而意义深远的变化，</w:t>
      </w:r>
      <w:r>
        <w:rPr>
          <w:rFonts w:ascii="Times New Roman" w:eastAsia="Times New Roman" w:hAnsi="Times New Roman" w:cs="Times New Roman"/>
          <w:color w:val="000000"/>
          <w:spacing w:val="0"/>
          <w:w w:val="100"/>
          <w:position w:val="0"/>
        </w:rPr>
        <w:t>“</w:t>
      </w:r>
      <w:r>
        <w:rPr>
          <w:color w:val="000000"/>
          <w:spacing w:val="0"/>
          <w:w w:val="100"/>
          <w:position w:val="0"/>
        </w:rPr>
        <w:t>行业整合</w:t>
      </w:r>
      <w:r>
        <w:rPr>
          <w:rFonts w:ascii="Times New Roman" w:eastAsia="Times New Roman" w:hAnsi="Times New Roman" w:cs="Times New Roman"/>
          <w:color w:val="000000"/>
          <w:spacing w:val="0"/>
          <w:w w:val="100"/>
          <w:position w:val="0"/>
        </w:rPr>
        <w:t>”</w:t>
      </w:r>
      <w:r>
        <w:rPr>
          <w:color w:val="000000"/>
          <w:spacing w:val="0"/>
          <w:w w:val="100"/>
          <w:position w:val="0"/>
        </w:rPr>
        <w:t>已经成为发展趋势，并逐渐向广度和深度延伸，拥有整合能力的企业，将在这一轮整合 期逐渐占有先机。软件外包的市场竞争格局正在从分散走向相对集中的过程，若公司不能在产品研发、技术创新、人力资源、 融资能力、市场营销、客户服务等方面进一步增强实力，未来将面临更大的竞争压力，给本公司带来不利影响。公司经过 数年的发展，在技术开发、人才储备、业务积累、经营管理等方面均取得了长足的发展，具备参与高端市场竞争的能力，这 也为公司进一步开拓高端市场提供了坚实的基础，提高公司核心竞争力。公司正在进行市场调研和发展规划，适时通过</w:t>
      </w:r>
      <w:r>
        <w:rPr>
          <w:rFonts w:ascii="Times New Roman" w:eastAsia="Times New Roman" w:hAnsi="Times New Roman" w:cs="Times New Roman"/>
          <w:color w:val="000000"/>
          <w:spacing w:val="0"/>
          <w:w w:val="100"/>
          <w:position w:val="0"/>
        </w:rPr>
        <w:t>“</w:t>
      </w:r>
      <w:r>
        <w:rPr>
          <w:color w:val="000000"/>
          <w:spacing w:val="0"/>
          <w:w w:val="100"/>
          <w:position w:val="0"/>
        </w:rPr>
        <w:t>行 业整合</w:t>
      </w:r>
      <w:r>
        <w:rPr>
          <w:rFonts w:ascii="Times New Roman" w:eastAsia="Times New Roman" w:hAnsi="Times New Roman" w:cs="Times New Roman"/>
          <w:color w:val="000000"/>
          <w:spacing w:val="0"/>
          <w:w w:val="100"/>
          <w:position w:val="0"/>
        </w:rPr>
        <w:t>”</w:t>
      </w:r>
      <w:r>
        <w:rPr>
          <w:color w:val="000000"/>
          <w:spacing w:val="0"/>
          <w:w w:val="100"/>
          <w:position w:val="0"/>
        </w:rPr>
        <w:t>来提高公司的综合竞争能力。</w:t>
      </w:r>
    </w:p>
    <w:p>
      <w:pPr>
        <w:pStyle w:val="Style28"/>
        <w:keepNext w:val="0"/>
        <w:keepLines w:val="0"/>
        <w:widowControl w:val="0"/>
        <w:numPr>
          <w:ilvl w:val="0"/>
          <w:numId w:val="3"/>
        </w:numPr>
        <w:shd w:val="clear" w:color="auto" w:fill="auto"/>
        <w:tabs>
          <w:tab w:pos="313" w:val="left"/>
        </w:tabs>
        <w:bidi w:val="0"/>
        <w:spacing w:before="0" w:after="0" w:line="313" w:lineRule="exact"/>
        <w:ind w:left="0" w:right="0" w:firstLine="0"/>
        <w:jc w:val="left"/>
      </w:pPr>
      <w:bookmarkStart w:id="56" w:name="bookmark56"/>
      <w:bookmarkEnd w:id="56"/>
      <w:r>
        <w:rPr>
          <w:color w:val="000000"/>
          <w:spacing w:val="0"/>
          <w:w w:val="100"/>
          <w:position w:val="0"/>
        </w:rPr>
        <w:t>国家产业政策变动风险。</w:t>
      </w:r>
    </w:p>
    <w:p>
      <w:pPr>
        <w:pStyle w:val="Style28"/>
        <w:keepNext w:val="0"/>
        <w:keepLines w:val="0"/>
        <w:widowControl w:val="0"/>
        <w:shd w:val="clear" w:color="auto" w:fill="auto"/>
        <w:bidi w:val="0"/>
        <w:spacing w:before="0" w:after="0" w:line="313" w:lineRule="exact"/>
        <w:ind w:left="0" w:right="0" w:firstLine="520"/>
        <w:jc w:val="left"/>
      </w:pPr>
      <w:r>
        <w:rPr>
          <w:color w:val="000000"/>
          <w:spacing w:val="0"/>
          <w:w w:val="100"/>
          <w:position w:val="0"/>
        </w:rPr>
        <w:t>自</w:t>
      </w:r>
      <w:r>
        <w:rPr>
          <w:rFonts w:ascii="Times New Roman" w:eastAsia="Times New Roman" w:hAnsi="Times New Roman" w:cs="Times New Roman"/>
          <w:color w:val="000000"/>
          <w:spacing w:val="0"/>
          <w:w w:val="100"/>
          <w:position w:val="0"/>
        </w:rPr>
        <w:t>2000</w:t>
      </w:r>
      <w:r>
        <w:rPr>
          <w:color w:val="000000"/>
          <w:spacing w:val="0"/>
          <w:w w:val="100"/>
          <w:position w:val="0"/>
        </w:rPr>
        <w:t>年国务院正式颁布《鼓励软件产业和集成电路产业发展的若干政策》（国发</w:t>
      </w:r>
      <w:r>
        <w:rPr>
          <w:rFonts w:ascii="Times New Roman" w:eastAsia="Times New Roman" w:hAnsi="Times New Roman" w:cs="Times New Roman"/>
          <w:color w:val="000000"/>
          <w:spacing w:val="0"/>
          <w:w w:val="100"/>
          <w:position w:val="0"/>
        </w:rPr>
        <w:t>[2000]18</w:t>
      </w:r>
      <w:r>
        <w:rPr>
          <w:color w:val="000000"/>
          <w:spacing w:val="0"/>
          <w:w w:val="100"/>
          <w:position w:val="0"/>
        </w:rPr>
        <w:t>号，国发</w:t>
      </w:r>
      <w:r>
        <w:rPr>
          <w:rFonts w:ascii="Times New Roman" w:eastAsia="Times New Roman" w:hAnsi="Times New Roman" w:cs="Times New Roman"/>
          <w:color w:val="000000"/>
          <w:spacing w:val="0"/>
          <w:w w:val="100"/>
          <w:position w:val="0"/>
        </w:rPr>
        <w:t>[2011]4</w:t>
      </w:r>
      <w:r>
        <w:rPr>
          <w:color w:val="000000"/>
          <w:spacing w:val="0"/>
          <w:w w:val="100"/>
          <w:position w:val="0"/>
        </w:rPr>
        <w:t>号）以来, 软件和信息技术服务行业作为国家鼓励发展的战略性、基础性和先导性支柱产业的地位得以确立，软件企业长期以来受益于 各级政府的一系列优惠政策。这些政策从税收优惠、软件出口、人才吸引与培养、知识产权保护、行业组织与管理等多方面 为软件产业发展提供了政策保障和扶持。可以说，我国软件外包企业近年来的飞速发展与国家的产业政策扶持息息相关，一 旦未来国家对软件和信息技术服务行业的产业政策发生不利变化，将有可能对公司的生产经营造成不利影响。受益于税收 政策及当地政府对软件和信息技术服务业务给予的各种补贴政策，公司在业务规模的扩张和综合实力的增强方面得到了快速 提升，同时，随着业务的发展，公司对政策的依赖风险逐年下降，发展动力已转变为依靠公司自身的市场竞争力，随着公司 的继续发展，对国家产业政策的依赖风险将得到适当的控制。</w:t>
      </w:r>
    </w:p>
    <w:p>
      <w:pPr>
        <w:pStyle w:val="Style28"/>
        <w:keepNext w:val="0"/>
        <w:keepLines w:val="0"/>
        <w:widowControl w:val="0"/>
        <w:numPr>
          <w:ilvl w:val="0"/>
          <w:numId w:val="3"/>
        </w:numPr>
        <w:shd w:val="clear" w:color="auto" w:fill="auto"/>
        <w:tabs>
          <w:tab w:pos="313" w:val="left"/>
        </w:tabs>
        <w:bidi w:val="0"/>
        <w:spacing w:before="0" w:after="0" w:line="313" w:lineRule="exact"/>
        <w:ind w:left="0" w:right="0" w:firstLine="0"/>
        <w:jc w:val="left"/>
      </w:pPr>
      <w:bookmarkStart w:id="57" w:name="bookmark57"/>
      <w:bookmarkEnd w:id="57"/>
      <w:r>
        <w:rPr>
          <w:color w:val="000000"/>
          <w:spacing w:val="0"/>
          <w:w w:val="100"/>
          <w:position w:val="0"/>
        </w:rPr>
        <w:t>人力成本上升的风险</w:t>
      </w:r>
    </w:p>
    <w:p>
      <w:pPr>
        <w:pStyle w:val="Style28"/>
        <w:keepNext w:val="0"/>
        <w:keepLines w:val="0"/>
        <w:widowControl w:val="0"/>
        <w:shd w:val="clear" w:color="auto" w:fill="auto"/>
        <w:bidi w:val="0"/>
        <w:spacing w:before="0" w:after="80" w:line="313" w:lineRule="exact"/>
        <w:ind w:left="0" w:right="0" w:firstLine="520"/>
        <w:jc w:val="both"/>
      </w:pPr>
      <w:r>
        <w:rPr>
          <w:color w:val="000000"/>
          <w:spacing w:val="0"/>
          <w:w w:val="100"/>
          <w:position w:val="0"/>
        </w:rPr>
        <w:t>作为知识密集和人才密集型企业，公司最主要的经营成本是人力成本。随着中国经济的快速发展，城市生活成本的上 升，社会平均工资逐年递增，尤其是大中城市，具有丰富业务经验的中高端人才工资薪酬呈上升趋势。随着生活水平的提高 以及社会工资水平的上涨，公司面临人力成本上升导致利润水平下降的风险。公司将通过扩大业务规模，提高项目外包在业 务结构中的比例，提高员工利用效率等方法来保障公司利润水平的增长。</w:t>
      </w:r>
    </w:p>
    <w:p>
      <w:pPr>
        <w:pStyle w:val="Style28"/>
        <w:keepNext w:val="0"/>
        <w:keepLines w:val="0"/>
        <w:widowControl w:val="0"/>
        <w:numPr>
          <w:ilvl w:val="0"/>
          <w:numId w:val="1"/>
        </w:numPr>
        <w:shd w:val="clear" w:color="auto" w:fill="auto"/>
        <w:tabs>
          <w:tab w:pos="279" w:val="left"/>
        </w:tabs>
        <w:bidi w:val="0"/>
        <w:spacing w:before="0" w:after="0"/>
        <w:ind w:left="0" w:right="0" w:firstLine="0"/>
        <w:jc w:val="left"/>
      </w:pPr>
      <w:bookmarkStart w:id="58" w:name="bookmark58"/>
      <w:bookmarkEnd w:id="58"/>
      <w:r>
        <w:rPr>
          <w:color w:val="000000"/>
          <w:spacing w:val="0"/>
          <w:w w:val="100"/>
          <w:position w:val="0"/>
        </w:rPr>
        <w:t>研发及技术风险</w:t>
      </w:r>
    </w:p>
    <w:p>
      <w:pPr>
        <w:pStyle w:val="Style28"/>
        <w:keepNext w:val="0"/>
        <w:keepLines w:val="0"/>
        <w:widowControl w:val="0"/>
        <w:numPr>
          <w:ilvl w:val="0"/>
          <w:numId w:val="5"/>
        </w:numPr>
        <w:shd w:val="clear" w:color="auto" w:fill="auto"/>
        <w:tabs>
          <w:tab w:pos="313" w:val="left"/>
        </w:tabs>
        <w:bidi w:val="0"/>
        <w:spacing w:before="0" w:after="0" w:line="313" w:lineRule="exact"/>
        <w:ind w:left="0" w:right="0" w:firstLine="0"/>
        <w:jc w:val="left"/>
      </w:pPr>
      <w:bookmarkStart w:id="59" w:name="bookmark59"/>
      <w:bookmarkEnd w:id="59"/>
      <w:r>
        <w:rPr>
          <w:color w:val="000000"/>
          <w:spacing w:val="0"/>
          <w:w w:val="100"/>
          <w:position w:val="0"/>
        </w:rPr>
        <w:t>新产品开发风险。</w:t>
      </w:r>
    </w:p>
    <w:p>
      <w:pPr>
        <w:pStyle w:val="Style28"/>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新产品开发对公司的市场竞争力和未来发展具有重要影响。软件和信息技术服务技术发展日新月异，更新换代很快， 公司和其他优秀的软件公司一样，始终利用成熟、先进的技术作为开发和应用平台，但如果公司错误预测软件技术的发展趋 势，使用落后的技术开发新产品，或新产品开发失败，则会给公司造成较大的影响。公司将进一步加强对国家政策、行业 政策的研究，进一步加强对市场的调研，收集客户当前和未来的需求信息，做好新产品研发的可行性分析；其次，将进一步 完善激励机制，鼓励技术人员知识更新、技术进步和产品创新；同时，公司将继续保持并加大研发投入，扩大研发规模，提 前研究前瞻性软件技术和行业业务模式，保证公司研发的软件产品开发保持国内领先，争取进入国际领先。</w:t>
      </w:r>
    </w:p>
    <w:p>
      <w:pPr>
        <w:pStyle w:val="Style28"/>
        <w:keepNext w:val="0"/>
        <w:keepLines w:val="0"/>
        <w:widowControl w:val="0"/>
        <w:numPr>
          <w:ilvl w:val="0"/>
          <w:numId w:val="5"/>
        </w:numPr>
        <w:shd w:val="clear" w:color="auto" w:fill="auto"/>
        <w:tabs>
          <w:tab w:pos="313" w:val="left"/>
        </w:tabs>
        <w:bidi w:val="0"/>
        <w:spacing w:before="0" w:after="180" w:line="313" w:lineRule="exact"/>
        <w:ind w:left="0" w:right="0" w:firstLine="0"/>
        <w:jc w:val="left"/>
      </w:pPr>
      <w:bookmarkStart w:id="60" w:name="bookmark60"/>
      <w:bookmarkEnd w:id="60"/>
      <w:r>
        <w:rPr>
          <w:color w:val="000000"/>
          <w:spacing w:val="0"/>
          <w:w w:val="100"/>
          <w:position w:val="0"/>
        </w:rPr>
        <w:t>核心技术泄密或被侵权的风险。</w:t>
      </w:r>
    </w:p>
    <w:p>
      <w:pPr>
        <w:pStyle w:val="Style28"/>
        <w:keepNext w:val="0"/>
        <w:keepLines w:val="0"/>
        <w:widowControl w:val="0"/>
        <w:shd w:val="clear" w:color="auto" w:fill="auto"/>
        <w:bidi w:val="0"/>
        <w:spacing w:before="0" w:after="80" w:line="311" w:lineRule="exact"/>
        <w:ind w:left="0" w:right="0" w:firstLine="520"/>
        <w:jc w:val="both"/>
      </w:pPr>
      <w:r>
        <w:rPr>
          <w:color w:val="000000"/>
          <w:spacing w:val="0"/>
          <w:w w:val="100"/>
          <w:position w:val="0"/>
        </w:rPr>
        <w:t>技术优势是公司在行业中保持竞争优势的最主要因素之一，目前，公司拥有</w:t>
      </w:r>
      <w:r>
        <w:rPr>
          <w:rFonts w:ascii="Times New Roman" w:eastAsia="Times New Roman" w:hAnsi="Times New Roman" w:cs="Times New Roman"/>
          <w:color w:val="000000"/>
          <w:spacing w:val="0"/>
          <w:w w:val="100"/>
          <w:position w:val="0"/>
        </w:rPr>
        <w:t>30</w:t>
      </w:r>
      <w:r>
        <w:rPr>
          <w:color w:val="000000"/>
          <w:spacing w:val="0"/>
          <w:w w:val="100"/>
          <w:position w:val="0"/>
        </w:rPr>
        <w:t>多项计算机软件著作权，属于公司的核 心技术，上述核心技术是公司平稳快速发展的基础，如果公司核心技术泄密或计算机软件著作权被侵权，则会对公司生产经 营造成较大负面影响。为控制核心技术泄密，公司在与员工签订劳动合同的同时签订保密协议书，要求员工严格遵守公司制 定的保密制度；为防范软件著作权被侵权，公司及时将已开发的软件产品进行计算机软件著作权登记，通过法律手段保护公 司的知识产权。</w:t>
      </w:r>
    </w:p>
    <w:p>
      <w:pPr>
        <w:pStyle w:val="Style28"/>
        <w:keepNext w:val="0"/>
        <w:keepLines w:val="0"/>
        <w:widowControl w:val="0"/>
        <w:numPr>
          <w:ilvl w:val="0"/>
          <w:numId w:val="1"/>
        </w:numPr>
        <w:shd w:val="clear" w:color="auto" w:fill="auto"/>
        <w:tabs>
          <w:tab w:pos="270" w:val="left"/>
        </w:tabs>
        <w:bidi w:val="0"/>
        <w:spacing w:before="0" w:after="0"/>
        <w:ind w:left="0" w:right="0" w:firstLine="0"/>
        <w:jc w:val="left"/>
      </w:pPr>
      <w:bookmarkStart w:id="61" w:name="bookmark61"/>
      <w:bookmarkEnd w:id="61"/>
      <w:r>
        <w:rPr>
          <w:color w:val="000000"/>
          <w:spacing w:val="0"/>
          <w:w w:val="100"/>
          <w:position w:val="0"/>
        </w:rPr>
        <w:t>管理风险</w:t>
      </w:r>
    </w:p>
    <w:p>
      <w:pPr>
        <w:pStyle w:val="Style28"/>
        <w:keepNext w:val="0"/>
        <w:keepLines w:val="0"/>
        <w:widowControl w:val="0"/>
        <w:numPr>
          <w:ilvl w:val="0"/>
          <w:numId w:val="7"/>
        </w:numPr>
        <w:shd w:val="clear" w:color="auto" w:fill="auto"/>
        <w:tabs>
          <w:tab w:pos="313" w:val="left"/>
        </w:tabs>
        <w:bidi w:val="0"/>
        <w:spacing w:before="0" w:after="0" w:line="311" w:lineRule="exact"/>
        <w:ind w:left="0" w:right="0" w:firstLine="0"/>
        <w:jc w:val="left"/>
      </w:pPr>
      <w:bookmarkStart w:id="62" w:name="bookmark62"/>
      <w:bookmarkEnd w:id="62"/>
      <w:r>
        <w:rPr>
          <w:color w:val="000000"/>
          <w:spacing w:val="0"/>
          <w:w w:val="100"/>
          <w:position w:val="0"/>
        </w:rPr>
        <w:t>公司规模扩大引致的管理风险</w:t>
      </w:r>
    </w:p>
    <w:p>
      <w:pPr>
        <w:pStyle w:val="Style28"/>
        <w:keepNext w:val="0"/>
        <w:keepLines w:val="0"/>
        <w:widowControl w:val="0"/>
        <w:shd w:val="clear" w:color="auto" w:fill="auto"/>
        <w:bidi w:val="0"/>
        <w:spacing w:before="0" w:after="0" w:line="311" w:lineRule="exact"/>
        <w:ind w:left="0" w:right="0" w:firstLine="520"/>
        <w:jc w:val="both"/>
      </w:pPr>
      <w:r>
        <w:rPr>
          <w:color w:val="000000"/>
          <w:spacing w:val="0"/>
          <w:w w:val="100"/>
          <w:position w:val="0"/>
        </w:rPr>
        <w:t>随着募集资金投资项目的陆续实施，公司的规模将会逐步扩张，而且公司子公司的数量正逐渐增加，从而对公司现有 的管理架构及管理能力形成一定的挑战。公司管理层将面临着公司规模扩大而导致的管理风险。公司通过不断完善细化各项 管理制度，引进管理人才，推行科学的管理办法，降低管理风险产生的可能性。对于公司子公司，特别是海外子公司，公司 通过不断加强子公司的管理治理，并加强对子公司的内部考核和财务管控，降低管理风险。</w:t>
      </w:r>
    </w:p>
    <w:p>
      <w:pPr>
        <w:pStyle w:val="Style28"/>
        <w:keepNext w:val="0"/>
        <w:keepLines w:val="0"/>
        <w:widowControl w:val="0"/>
        <w:numPr>
          <w:ilvl w:val="0"/>
          <w:numId w:val="7"/>
        </w:numPr>
        <w:shd w:val="clear" w:color="auto" w:fill="auto"/>
        <w:tabs>
          <w:tab w:pos="313" w:val="left"/>
        </w:tabs>
        <w:bidi w:val="0"/>
        <w:spacing w:before="0" w:after="0" w:line="311" w:lineRule="exact"/>
        <w:ind w:left="0" w:right="0" w:firstLine="0"/>
        <w:jc w:val="left"/>
      </w:pPr>
      <w:bookmarkStart w:id="63" w:name="bookmark63"/>
      <w:bookmarkEnd w:id="63"/>
      <w:r>
        <w:rPr>
          <w:color w:val="000000"/>
          <w:spacing w:val="0"/>
          <w:w w:val="100"/>
          <w:position w:val="0"/>
        </w:rPr>
        <w:t>核心员工流失的管理风险</w:t>
      </w:r>
    </w:p>
    <w:p>
      <w:pPr>
        <w:pStyle w:val="Style28"/>
        <w:keepNext w:val="0"/>
        <w:keepLines w:val="0"/>
        <w:widowControl w:val="0"/>
        <w:shd w:val="clear" w:color="auto" w:fill="auto"/>
        <w:bidi w:val="0"/>
        <w:spacing w:before="0" w:after="80" w:line="311" w:lineRule="exact"/>
        <w:ind w:left="0" w:right="0" w:firstLine="520"/>
        <w:jc w:val="left"/>
      </w:pPr>
      <w:r>
        <w:rPr>
          <w:color w:val="000000"/>
          <w:spacing w:val="0"/>
          <w:w w:val="100"/>
          <w:position w:val="0"/>
        </w:rPr>
        <w:t>公司的属于人才密集型行业，企业发展高度依赖人力资源，近些年来人力资源成本快速上涨，而行业竞争的日趋激烈， 对人才的争夺亦趋于白热化，企业间的高薪招聘等因素都为核心员工的流动提供了客观条件。公司为了避免核心人员流失， 稳定员工团队，公司一直重点关注人力资源体系的建设，通过多年的建设和实践已建成一个高效的人力资源体系，包括建立 以人为本的企业文化、员工职业生涯发展规划、渐进式的培训体系、技术人员任职资格鉴定、科学合理的薪酬及绩效体系、 优秀人才特别奖励办法等。同时也开拓了多种人才引进渠道，建立系统的人才梯队，强化自身造血的能力以满足企业发展的 需要。</w:t>
      </w:r>
    </w:p>
    <w:p>
      <w:pPr>
        <w:pStyle w:val="Style28"/>
        <w:keepNext w:val="0"/>
        <w:keepLines w:val="0"/>
        <w:widowControl w:val="0"/>
        <w:numPr>
          <w:ilvl w:val="0"/>
          <w:numId w:val="1"/>
        </w:numPr>
        <w:shd w:val="clear" w:color="auto" w:fill="auto"/>
        <w:tabs>
          <w:tab w:pos="279" w:val="left"/>
        </w:tabs>
        <w:bidi w:val="0"/>
        <w:spacing w:before="0" w:after="0"/>
        <w:ind w:left="0" w:right="0" w:firstLine="0"/>
        <w:jc w:val="left"/>
      </w:pPr>
      <w:bookmarkStart w:id="64" w:name="bookmark64"/>
      <w:bookmarkEnd w:id="64"/>
      <w:r>
        <w:rPr>
          <w:color w:val="000000"/>
          <w:spacing w:val="0"/>
          <w:w w:val="100"/>
          <w:position w:val="0"/>
        </w:rPr>
        <w:t>财务风险</w:t>
      </w:r>
    </w:p>
    <w:p>
      <w:pPr>
        <w:pStyle w:val="Style28"/>
        <w:keepNext w:val="0"/>
        <w:keepLines w:val="0"/>
        <w:widowControl w:val="0"/>
        <w:numPr>
          <w:ilvl w:val="0"/>
          <w:numId w:val="9"/>
        </w:numPr>
        <w:shd w:val="clear" w:color="auto" w:fill="auto"/>
        <w:tabs>
          <w:tab w:pos="313" w:val="left"/>
        </w:tabs>
        <w:bidi w:val="0"/>
        <w:spacing w:before="0" w:after="0" w:line="311" w:lineRule="exact"/>
        <w:ind w:left="0" w:right="0" w:firstLine="0"/>
        <w:jc w:val="left"/>
      </w:pPr>
      <w:bookmarkStart w:id="65" w:name="bookmark65"/>
      <w:bookmarkEnd w:id="65"/>
      <w:r>
        <w:rPr>
          <w:color w:val="000000"/>
          <w:spacing w:val="0"/>
          <w:w w:val="100"/>
          <w:position w:val="0"/>
        </w:rPr>
        <w:t>应收账款回收风险。</w:t>
      </w:r>
    </w:p>
    <w:p>
      <w:pPr>
        <w:pStyle w:val="Style28"/>
        <w:keepNext w:val="0"/>
        <w:keepLines w:val="0"/>
        <w:widowControl w:val="0"/>
        <w:shd w:val="clear" w:color="auto" w:fill="auto"/>
        <w:bidi w:val="0"/>
        <w:spacing w:before="0" w:after="0" w:line="311" w:lineRule="exact"/>
        <w:ind w:left="0" w:right="0" w:firstLine="520"/>
        <w:jc w:val="left"/>
      </w:pPr>
      <w:r>
        <w:rPr>
          <w:color w:val="000000"/>
          <w:spacing w:val="0"/>
          <w:w w:val="100"/>
          <w:position w:val="0"/>
        </w:rPr>
        <w:t>公司开发的软件项目从合同签订到验收需要经历部署、开发、测试和上线试运行阶段，周期较长，项目会分阶段验收, 项目验收与客户付款之间存在时间差，同时，随着新客户的开发和业务规模的扩大，在原有的回款政策不变的情形下，应收 账款余额会不断增加，虽然期末应收账款都在结算期内，公司也已按照坏账准备政策提取了坏账准备，但仍不排除因客户信 用恶化导致坏账准备提取不足和应收款项发生坏账损失的风险。公司不断建立和完善信用审批前的信用调查、建立并有效执 行了谨慎合理的坏账准备计提政策、严格的应收账款催收制度以及应收账款回收率与销售业绩挂钩的业务考核机制，将应收 账款发生坏账的风险降低到可承受的水平。</w:t>
      </w:r>
    </w:p>
    <w:p>
      <w:pPr>
        <w:pStyle w:val="Style28"/>
        <w:keepNext w:val="0"/>
        <w:keepLines w:val="0"/>
        <w:widowControl w:val="0"/>
        <w:numPr>
          <w:ilvl w:val="0"/>
          <w:numId w:val="9"/>
        </w:numPr>
        <w:shd w:val="clear" w:color="auto" w:fill="auto"/>
        <w:tabs>
          <w:tab w:pos="313" w:val="left"/>
        </w:tabs>
        <w:bidi w:val="0"/>
        <w:spacing w:before="0" w:after="0" w:line="311" w:lineRule="exact"/>
        <w:ind w:left="0" w:right="0" w:firstLine="0"/>
        <w:jc w:val="both"/>
      </w:pPr>
      <w:bookmarkStart w:id="66" w:name="bookmark66"/>
      <w:bookmarkEnd w:id="66"/>
      <w:r>
        <w:rPr>
          <w:color w:val="000000"/>
          <w:spacing w:val="0"/>
          <w:w w:val="100"/>
          <w:position w:val="0"/>
        </w:rPr>
        <w:t>汇率变动风险</w:t>
      </w:r>
    </w:p>
    <w:p>
      <w:pPr>
        <w:pStyle w:val="Style28"/>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国际软件外包业务在公司经营业务中一直占据较大的比重，而公司国际软件外包业务的市场以日本为主体，兼顾欧美， 使得以日元、美元等外汇形式结算的收入保持较高比例，近年来，国际外汇市场汇率大幅波动，直接影响公司外汇收入结算 后以人民币计价的会计收入。随着国际经济环境的不断变化，汇率的持续变动产生汇兑损益，从而对公司的财务状况造成影 响。不仅如此，人民币升值还将造成国际软件外包项目经营成本上升，减弱公司软件外包服务出口的成本优势，对公司国际 业务开拓形成压力。因此，公司存在着因汇率变动而导致公司业绩波动的风险。公司已经针对汇率风险采用相关财务与经营 手段予以化解。在财务上，根据公司《远期结售汇业务内控管理制度》，公司签订远期结汇合同锁定汇率，降低公司面临的 汇率风险。在经营上，公司一方面通过签订合同时考虑汇率变动因素，加快资金周转速度，减少外汇资金沉淀等方式，降低 汇率变动对公司业绩造成的不利影响；另一方面，公司正着手合理布局国际市场，在巩固日本市场的同时，扩大对欧美市场 和东南亚市场的业务开拓，采用多种货币结算以分散汇率风险。</w:t>
      </w:r>
    </w:p>
    <w:p>
      <w:pPr>
        <w:pStyle w:val="Style28"/>
        <w:keepNext w:val="0"/>
        <w:keepLines w:val="0"/>
        <w:widowControl w:val="0"/>
        <w:numPr>
          <w:ilvl w:val="0"/>
          <w:numId w:val="9"/>
        </w:numPr>
        <w:shd w:val="clear" w:color="auto" w:fill="auto"/>
        <w:tabs>
          <w:tab w:pos="313" w:val="left"/>
        </w:tabs>
        <w:bidi w:val="0"/>
        <w:spacing w:before="0" w:after="0" w:line="311" w:lineRule="exact"/>
        <w:ind w:left="0" w:right="0" w:firstLine="0"/>
        <w:jc w:val="left"/>
      </w:pPr>
      <w:bookmarkStart w:id="67" w:name="bookmark67"/>
      <w:bookmarkEnd w:id="67"/>
      <w:r>
        <w:rPr>
          <w:color w:val="000000"/>
          <w:spacing w:val="0"/>
          <w:w w:val="100"/>
          <w:position w:val="0"/>
        </w:rPr>
        <w:t>税收优惠政策变化风险</w:t>
      </w:r>
    </w:p>
    <w:p>
      <w:pPr>
        <w:pStyle w:val="Style28"/>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报告期内，公司按国家规划布局内重点软件企业的税收优惠政策享受减按</w:t>
      </w:r>
      <w:r>
        <w:rPr>
          <w:rFonts w:ascii="Times New Roman" w:eastAsia="Times New Roman" w:hAnsi="Times New Roman" w:cs="Times New Roman"/>
          <w:color w:val="000000"/>
          <w:spacing w:val="0"/>
          <w:w w:val="100"/>
          <w:position w:val="0"/>
        </w:rPr>
        <w:t>10%</w:t>
      </w:r>
      <w:r>
        <w:rPr>
          <w:color w:val="000000"/>
          <w:spacing w:val="0"/>
          <w:w w:val="100"/>
          <w:position w:val="0"/>
        </w:rPr>
        <w:t>的企业所得税税率，该优惠政策需每两 年申报一次，</w:t>
      </w:r>
      <w:r>
        <w:rPr>
          <w:rFonts w:ascii="Times New Roman" w:eastAsia="Times New Roman" w:hAnsi="Times New Roman" w:cs="Times New Roman"/>
          <w:color w:val="000000"/>
          <w:spacing w:val="0"/>
          <w:w w:val="100"/>
          <w:position w:val="0"/>
        </w:rPr>
        <w:t>2014</w:t>
      </w:r>
      <w:r>
        <w:rPr>
          <w:color w:val="000000"/>
          <w:spacing w:val="0"/>
          <w:w w:val="100"/>
          <w:position w:val="0"/>
        </w:rPr>
        <w:t>年是公司减按</w:t>
      </w:r>
      <w:r>
        <w:rPr>
          <w:rFonts w:ascii="Times New Roman" w:eastAsia="Times New Roman" w:hAnsi="Times New Roman" w:cs="Times New Roman"/>
          <w:color w:val="000000"/>
          <w:spacing w:val="0"/>
          <w:w w:val="100"/>
          <w:position w:val="0"/>
        </w:rPr>
        <w:t>10%</w:t>
      </w:r>
      <w:r>
        <w:rPr>
          <w:color w:val="000000"/>
          <w:spacing w:val="0"/>
          <w:w w:val="100"/>
          <w:position w:val="0"/>
        </w:rPr>
        <w:t>有效期的最后一年，如果公司未来不能被认定为</w:t>
      </w:r>
      <w:r>
        <w:rPr>
          <w:rFonts w:ascii="Times New Roman" w:eastAsia="Times New Roman" w:hAnsi="Times New Roman" w:cs="Times New Roman"/>
          <w:color w:val="000000"/>
          <w:spacing w:val="0"/>
          <w:w w:val="100"/>
          <w:position w:val="0"/>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，相应 的税收优惠政策发生变化，所得税税率的提高将对公司经营业绩产生一定影响。公司将积极开展按照相关法规规定的</w:t>
      </w:r>
      <w:r>
        <w:rPr>
          <w:rFonts w:ascii="Times New Roman" w:eastAsia="Times New Roman" w:hAnsi="Times New Roman" w:cs="Times New Roman"/>
          <w:color w:val="000000"/>
          <w:spacing w:val="0"/>
          <w:w w:val="100"/>
          <w:position w:val="0"/>
        </w:rPr>
        <w:t>“</w:t>
      </w:r>
      <w:r>
        <w:rPr>
          <w:color w:val="000000"/>
          <w:spacing w:val="0"/>
          <w:w w:val="100"/>
          <w:position w:val="0"/>
        </w:rPr>
        <w:t>高新 技术企业</w:t>
      </w:r>
      <w:r>
        <w:rPr>
          <w:rFonts w:ascii="Times New Roman" w:eastAsia="Times New Roman" w:hAnsi="Times New Roman" w:cs="Times New Roman"/>
          <w:color w:val="000000"/>
          <w:spacing w:val="0"/>
          <w:w w:val="100"/>
          <w:position w:val="0"/>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申报工作，同时努力保持持续稳定的盈利水平，以不断降低税收优惠占利润的 比重。</w:t>
      </w:r>
    </w:p>
    <w:p>
      <w:pPr>
        <w:pStyle w:val="Style16"/>
        <w:keepNext/>
        <w:keepLines/>
        <w:widowControl w:val="0"/>
        <w:shd w:val="clear" w:color="auto" w:fill="auto"/>
        <w:bidi w:val="0"/>
        <w:spacing w:before="0" w:after="520" w:line="240" w:lineRule="auto"/>
        <w:ind w:left="0" w:right="0" w:firstLine="0"/>
        <w:jc w:val="center"/>
      </w:pPr>
      <w:bookmarkStart w:id="68" w:name="bookmark68"/>
      <w:bookmarkStart w:id="69" w:name="bookmark69"/>
      <w:bookmarkStart w:id="70" w:name="bookmark70"/>
      <w:r>
        <w:rPr>
          <w:color w:val="000000"/>
          <w:spacing w:val="0"/>
          <w:w w:val="100"/>
          <w:position w:val="0"/>
        </w:rPr>
        <w:t>第四节董事会报告</w:t>
      </w:r>
      <w:bookmarkEnd w:id="68"/>
      <w:bookmarkEnd w:id="69"/>
      <w:bookmarkEnd w:id="70"/>
    </w:p>
    <w:p>
      <w:pPr>
        <w:pStyle w:val="Style31"/>
        <w:keepNext/>
        <w:keepLines/>
        <w:widowControl w:val="0"/>
        <w:shd w:val="clear" w:color="auto" w:fill="auto"/>
        <w:bidi w:val="0"/>
        <w:spacing w:before="0" w:after="340" w:line="240" w:lineRule="auto"/>
        <w:ind w:left="0" w:right="0" w:firstLine="0"/>
        <w:jc w:val="left"/>
      </w:pPr>
      <w:bookmarkStart w:id="71" w:name="bookmark71"/>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、管理层讨论与分析</w:t>
      </w:r>
      <w:bookmarkEnd w:id="72"/>
      <w:bookmarkEnd w:id="73"/>
      <w:bookmarkEnd w:id="75"/>
      <w:bookmarkEnd w:id="71"/>
    </w:p>
    <w:p>
      <w:pPr>
        <w:pStyle w:val="Style33"/>
        <w:keepNext/>
        <w:keepLines/>
        <w:widowControl w:val="0"/>
        <w:shd w:val="clear" w:color="auto" w:fill="auto"/>
        <w:bidi w:val="0"/>
        <w:spacing w:before="0" w:after="30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、报告期内主要业务回顾</w:t>
      </w:r>
      <w:bookmarkEnd w:id="76"/>
      <w:bookmarkEnd w:id="77"/>
      <w:bookmarkEnd w:id="79"/>
    </w:p>
    <w:p>
      <w:pPr>
        <w:pStyle w:val="Style28"/>
        <w:keepNext w:val="0"/>
        <w:keepLines w:val="0"/>
        <w:widowControl w:val="0"/>
        <w:shd w:val="clear" w:color="auto" w:fill="auto"/>
        <w:bidi w:val="0"/>
        <w:spacing w:before="0" w:after="300" w:line="317" w:lineRule="exact"/>
        <w:ind w:left="0" w:right="0"/>
        <w:jc w:val="both"/>
      </w:pPr>
      <w:r>
        <w:rPr>
          <w:color w:val="000000"/>
          <w:spacing w:val="0"/>
          <w:w w:val="100"/>
          <w:position w:val="0"/>
        </w:rPr>
        <w:t>根据中国证监会《上市公司行业分类指引》（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年修订），公司所处行业的编码为</w:t>
      </w:r>
      <w:r>
        <w:rPr>
          <w:rFonts w:ascii="Times New Roman" w:eastAsia="Times New Roman" w:hAnsi="Times New Roman" w:cs="Times New Roman"/>
          <w:color w:val="000000"/>
          <w:spacing w:val="0"/>
          <w:w w:val="100"/>
          <w:position w:val="0"/>
        </w:rPr>
        <w:t>165</w:t>
      </w:r>
      <w:r>
        <w:rPr>
          <w:color w:val="000000"/>
          <w:spacing w:val="0"/>
          <w:w w:val="100"/>
          <w:position w:val="0"/>
        </w:rPr>
        <w:t>,为</w:t>
      </w:r>
      <w:r>
        <w:rPr>
          <w:rFonts w:ascii="Times New Roman" w:eastAsia="Times New Roman" w:hAnsi="Times New Roman" w:cs="Times New Roman"/>
          <w:color w:val="000000"/>
          <w:spacing w:val="0"/>
          <w:w w:val="100"/>
          <w:position w:val="0"/>
        </w:rPr>
        <w:t>“</w:t>
      </w:r>
      <w:r>
        <w:rPr>
          <w:color w:val="000000"/>
          <w:spacing w:val="0"/>
          <w:w w:val="100"/>
          <w:position w:val="0"/>
        </w:rPr>
        <w:t>信息传输、软件和信息技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软件和信息技术服务业匚报告期内，公司的主营业务为向国际国内客户提供软件产品及软件服务、智能终 端产品、系统集成服务等软件和信息技术服务业务。其中报告期内新增系统集成服务业务系公司通过并购江苏开拓获取。</w:t>
      </w:r>
    </w:p>
    <w:p>
      <w:pPr>
        <w:pStyle w:val="Style28"/>
        <w:keepNext w:val="0"/>
        <w:keepLines w:val="0"/>
        <w:widowControl w:val="0"/>
        <w:shd w:val="clear" w:color="auto" w:fill="auto"/>
        <w:bidi w:val="0"/>
        <w:spacing w:before="0" w:after="340" w:line="308" w:lineRule="exact"/>
        <w:ind w:left="0" w:right="0"/>
        <w:jc w:val="both"/>
      </w:pPr>
      <w:r>
        <w:rPr>
          <w:color w:val="000000"/>
          <w:spacing w:val="0"/>
          <w:w w:val="100"/>
          <w:position w:val="0"/>
        </w:rPr>
        <w:t>信息产业是国家先导、支柱与战略性产业，软件是信息产业的核心，是信息技术应用与国家信息化建设的基石。软件服 务行业作为推进两化融合、转变经济发展方式、提升现代服务业和软件产业国际竞争力、扩大软件出口的重要支撑，受到国 家政策的大力支持，已形成有利发展的政策环境与日益完善的规范架构。据工信部发布数据显示，</w:t>
      </w:r>
      <w:r>
        <w:rPr>
          <w:rFonts w:ascii="Times New Roman" w:eastAsia="Times New Roman" w:hAnsi="Times New Roman" w:cs="Times New Roman"/>
          <w:color w:val="000000"/>
          <w:spacing w:val="0"/>
          <w:w w:val="100"/>
          <w:position w:val="0"/>
        </w:rPr>
        <w:t>2013</w:t>
      </w:r>
      <w:r>
        <w:rPr>
          <w:color w:val="000000"/>
          <w:spacing w:val="0"/>
          <w:w w:val="100"/>
          <w:position w:val="0"/>
        </w:rPr>
        <w:t>年，我国电子信息产 业销售收入总规模达到</w:t>
      </w:r>
      <w:r>
        <w:rPr>
          <w:rFonts w:ascii="Times New Roman" w:eastAsia="Times New Roman" w:hAnsi="Times New Roman" w:cs="Times New Roman"/>
          <w:color w:val="000000"/>
          <w:spacing w:val="0"/>
          <w:w w:val="100"/>
          <w:position w:val="0"/>
        </w:rPr>
        <w:t>12.4</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12.7%</w:t>
      </w:r>
      <w:r>
        <w:rPr>
          <w:color w:val="000000"/>
          <w:spacing w:val="0"/>
          <w:w w:val="100"/>
          <w:position w:val="0"/>
        </w:rPr>
        <w:t>；其中，规模以上电子信息制造业实现主营业务收入</w:t>
      </w:r>
      <w:r>
        <w:rPr>
          <w:rFonts w:ascii="Times New Roman" w:eastAsia="Times New Roman" w:hAnsi="Times New Roman" w:cs="Times New Roman"/>
          <w:color w:val="000000"/>
          <w:spacing w:val="0"/>
          <w:w w:val="100"/>
          <w:position w:val="0"/>
        </w:rPr>
        <w:t>9.3</w:t>
      </w:r>
      <w:r>
        <w:rPr>
          <w:color w:val="000000"/>
          <w:spacing w:val="0"/>
          <w:w w:val="100"/>
          <w:position w:val="0"/>
        </w:rPr>
        <w:t>万亿元，同比增 长</w:t>
      </w:r>
      <w:r>
        <w:rPr>
          <w:rFonts w:ascii="Times New Roman" w:eastAsia="Times New Roman" w:hAnsi="Times New Roman" w:cs="Times New Roman"/>
          <w:color w:val="000000"/>
          <w:spacing w:val="0"/>
          <w:w w:val="100"/>
          <w:position w:val="0"/>
        </w:rPr>
        <w:t>10.4%</w:t>
      </w:r>
      <w:r>
        <w:rPr>
          <w:color w:val="000000"/>
          <w:spacing w:val="0"/>
          <w:w w:val="100"/>
          <w:position w:val="0"/>
        </w:rPr>
        <w:t>；软件和信息技术服务业实现软件业务收入</w:t>
      </w:r>
      <w:r>
        <w:rPr>
          <w:rFonts w:ascii="Times New Roman" w:eastAsia="Times New Roman" w:hAnsi="Times New Roman" w:cs="Times New Roman"/>
          <w:color w:val="000000"/>
          <w:spacing w:val="0"/>
          <w:w w:val="100"/>
          <w:position w:val="0"/>
        </w:rPr>
        <w:t>3.1</w:t>
      </w:r>
      <w:r>
        <w:rPr>
          <w:color w:val="000000"/>
          <w:spacing w:val="0"/>
          <w:w w:val="100"/>
          <w:position w:val="0"/>
        </w:rPr>
        <w:t>万亿元（快报数据），同比增长</w:t>
      </w:r>
      <w:r>
        <w:rPr>
          <w:rFonts w:ascii="Times New Roman" w:eastAsia="Times New Roman" w:hAnsi="Times New Roman" w:cs="Times New Roman"/>
          <w:color w:val="000000"/>
          <w:spacing w:val="0"/>
          <w:w w:val="100"/>
          <w:position w:val="0"/>
        </w:rPr>
        <w:t>24.6%</w:t>
      </w:r>
      <w:r>
        <w:rPr>
          <w:color w:val="000000"/>
          <w:spacing w:val="0"/>
          <w:w w:val="100"/>
          <w:position w:val="0"/>
        </w:rPr>
        <w:t>。</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报告期内，公司坚持</w:t>
      </w:r>
      <w:r>
        <w:rPr>
          <w:rFonts w:ascii="Times New Roman" w:eastAsia="Times New Roman" w:hAnsi="Times New Roman" w:cs="Times New Roman"/>
          <w:color w:val="000000"/>
          <w:spacing w:val="0"/>
          <w:w w:val="100"/>
          <w:position w:val="0"/>
        </w:rPr>
        <w:t>“</w:t>
      </w:r>
      <w:r>
        <w:rPr>
          <w:color w:val="000000"/>
          <w:spacing w:val="0"/>
          <w:w w:val="100"/>
          <w:position w:val="0"/>
        </w:rPr>
        <w:t>国际化、专业化、高端化</w:t>
      </w:r>
      <w:r>
        <w:rPr>
          <w:rFonts w:ascii="Times New Roman" w:eastAsia="Times New Roman" w:hAnsi="Times New Roman" w:cs="Times New Roman"/>
          <w:color w:val="000000"/>
          <w:spacing w:val="0"/>
          <w:w w:val="100"/>
          <w:position w:val="0"/>
        </w:rPr>
        <w:t>”</w:t>
      </w:r>
      <w:r>
        <w:rPr>
          <w:color w:val="000000"/>
          <w:spacing w:val="0"/>
          <w:w w:val="100"/>
          <w:position w:val="0"/>
        </w:rPr>
        <w:t>的发展战略，通过募集资金投资项目的建设，利用公司多年积累起来的 技术优势、人才优势、成本优势和专业化优势，抓住国际、国内软件和信息技术服务产业快速发展的市场机会，实现了销售 收入和经营业绩的稳定增长，进一步巩固了市场地位，同时通过并购等资本运作开拓了新的业务增长点。</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报告期内，公司不断完善内控体系的建设，通过健全管理制度，提升了服务品质和管控水平，提高了公司整体运营效率。 同时主动布局公司未来发展，加大创新和研发投入，将公司在国际化、专业化、高端化过程中积累的经验解决方案化、产品 化，提升了的公司核心竞争力。</w:t>
      </w:r>
    </w:p>
    <w:p>
      <w:pPr>
        <w:pStyle w:val="Style28"/>
        <w:keepNext w:val="0"/>
        <w:keepLines w:val="0"/>
        <w:widowControl w:val="0"/>
        <w:shd w:val="clear" w:color="auto" w:fill="auto"/>
        <w:bidi w:val="0"/>
        <w:spacing w:before="0" w:after="98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47679.78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25.63%</w:t>
      </w:r>
      <w:r>
        <w:rPr>
          <w:color w:val="000000"/>
          <w:spacing w:val="0"/>
          <w:w w:val="100"/>
          <w:position w:val="0"/>
        </w:rPr>
        <w:t>；实现净利润</w:t>
      </w:r>
      <w:r>
        <w:rPr>
          <w:rFonts w:ascii="Times New Roman" w:eastAsia="Times New Roman" w:hAnsi="Times New Roman" w:cs="Times New Roman"/>
          <w:color w:val="000000"/>
          <w:spacing w:val="0"/>
          <w:w w:val="100"/>
          <w:position w:val="0"/>
        </w:rPr>
        <w:t>7804.37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18.64%</w:t>
      </w:r>
      <w:r>
        <w:rPr>
          <w:color w:val="000000"/>
          <w:spacing w:val="0"/>
          <w:w w:val="100"/>
          <w:position w:val="0"/>
        </w:rPr>
        <w:t>； 归属母公司所有者的净利润</w:t>
      </w:r>
      <w:r>
        <w:rPr>
          <w:rFonts w:ascii="Times New Roman" w:eastAsia="Times New Roman" w:hAnsi="Times New Roman" w:cs="Times New Roman"/>
          <w:color w:val="000000"/>
          <w:spacing w:val="0"/>
          <w:w w:val="100"/>
          <w:position w:val="0"/>
        </w:rPr>
        <w:t>7716.80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17.73%</w:t>
      </w:r>
      <w:r>
        <w:rPr>
          <w:color w:val="000000"/>
          <w:spacing w:val="0"/>
          <w:w w:val="100"/>
          <w:position w:val="0"/>
        </w:rPr>
        <w:t>。公司营业收入中，主营业务收入</w:t>
      </w:r>
      <w:r>
        <w:rPr>
          <w:rFonts w:ascii="Times New Roman" w:eastAsia="Times New Roman" w:hAnsi="Times New Roman" w:cs="Times New Roman"/>
          <w:color w:val="000000"/>
          <w:spacing w:val="0"/>
          <w:w w:val="100"/>
          <w:position w:val="0"/>
        </w:rPr>
        <w:t>47490.32</w:t>
      </w:r>
      <w:r>
        <w:rPr>
          <w:color w:val="000000"/>
          <w:spacing w:val="0"/>
          <w:w w:val="100"/>
          <w:position w:val="0"/>
        </w:rPr>
        <w:t>万元，较上年 同期增长</w:t>
      </w:r>
      <w:r>
        <w:rPr>
          <w:rFonts w:ascii="Times New Roman" w:eastAsia="Times New Roman" w:hAnsi="Times New Roman" w:cs="Times New Roman"/>
          <w:color w:val="000000"/>
          <w:spacing w:val="0"/>
          <w:w w:val="100"/>
          <w:position w:val="0"/>
        </w:rPr>
        <w:t xml:space="preserve">25.83% </w:t>
      </w:r>
      <w:r>
        <w:rPr>
          <w:color w:val="000000"/>
          <w:spacing w:val="0"/>
          <w:w w:val="100"/>
          <w:position w:val="0"/>
        </w:rPr>
        <w:t>；其它业务收入</w:t>
      </w:r>
      <w:r>
        <w:rPr>
          <w:rFonts w:ascii="Times New Roman" w:eastAsia="Times New Roman" w:hAnsi="Times New Roman" w:cs="Times New Roman"/>
          <w:color w:val="000000"/>
          <w:spacing w:val="0"/>
          <w:w w:val="100"/>
          <w:position w:val="0"/>
        </w:rPr>
        <w:t>189.46</w:t>
      </w:r>
      <w:r>
        <w:rPr>
          <w:color w:val="000000"/>
          <w:spacing w:val="0"/>
          <w:w w:val="100"/>
          <w:position w:val="0"/>
        </w:rPr>
        <w:t>万元系公司全资子公司外包园公司的房屋出租及物业收入，较上年同期减少</w:t>
      </w:r>
      <w:r>
        <w:rPr>
          <w:rFonts w:ascii="Times New Roman" w:eastAsia="Times New Roman" w:hAnsi="Times New Roman" w:cs="Times New Roman"/>
          <w:color w:val="000000"/>
          <w:spacing w:val="0"/>
          <w:w w:val="100"/>
          <w:position w:val="0"/>
        </w:rPr>
        <w:t>10.75%</w:t>
      </w:r>
      <w:r>
        <w:rPr>
          <w:color w:val="000000"/>
          <w:spacing w:val="0"/>
          <w:w w:val="100"/>
          <w:position w:val="0"/>
        </w:rPr>
        <w:t>。</w:t>
      </w:r>
    </w:p>
    <w:p>
      <w:pPr>
        <w:pStyle w:val="Style33"/>
        <w:keepNext/>
        <w:keepLines/>
        <w:widowControl w:val="0"/>
        <w:shd w:val="clear" w:color="auto" w:fill="auto"/>
        <w:bidi w:val="0"/>
        <w:spacing w:before="0" w:line="240" w:lineRule="auto"/>
        <w:ind w:left="0" w:right="0" w:firstLine="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、报告期内主要经营情况</w:t>
      </w:r>
      <w:bookmarkEnd w:id="80"/>
      <w:bookmarkEnd w:id="81"/>
      <w:bookmarkEnd w:id="83"/>
    </w:p>
    <w:p>
      <w:pPr>
        <w:pStyle w:val="Style36"/>
        <w:keepNext/>
        <w:keepLines/>
        <w:widowControl w:val="0"/>
        <w:shd w:val="clear" w:color="auto" w:fill="auto"/>
        <w:bidi w:val="0"/>
        <w:spacing w:before="0" w:after="34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rPr>
        <w:t>（</w:t>
      </w:r>
      <w:bookmarkEnd w:id="86"/>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84"/>
      <w:bookmarkEnd w:id="85"/>
      <w:bookmarkEnd w:id="87"/>
    </w:p>
    <w:p>
      <w:pPr>
        <w:pStyle w:val="Style28"/>
        <w:keepNext w:val="0"/>
        <w:keepLines w:val="0"/>
        <w:widowControl w:val="0"/>
        <w:shd w:val="clear" w:color="auto" w:fill="auto"/>
        <w:bidi w:val="0"/>
        <w:spacing w:before="0" w:after="0"/>
        <w:ind w:left="0" w:right="0" w:firstLine="0"/>
        <w:jc w:val="both"/>
      </w:pPr>
      <w:bookmarkStart w:id="88" w:name="bookmark88"/>
      <w:r>
        <w:rPr>
          <w:rFonts w:ascii="Times New Roman" w:eastAsia="Times New Roman" w:hAnsi="Times New Roman" w:cs="Times New Roman"/>
          <w:color w:val="000000"/>
          <w:spacing w:val="0"/>
          <w:w w:val="100"/>
          <w:position w:val="0"/>
        </w:rPr>
        <w:t>1</w:t>
      </w:r>
      <w:bookmarkEnd w:id="88"/>
      <w:r>
        <w:rPr>
          <w:rFonts w:ascii="Times New Roman" w:eastAsia="Times New Roman" w:hAnsi="Times New Roman" w:cs="Times New Roman"/>
          <w:color w:val="000000"/>
          <w:spacing w:val="0"/>
          <w:w w:val="100"/>
          <w:position w:val="0"/>
        </w:rPr>
        <w:t>）</w:t>
      </w:r>
      <w:r>
        <w:rPr>
          <w:color w:val="000000"/>
          <w:spacing w:val="0"/>
          <w:w w:val="100"/>
          <w:position w:val="0"/>
        </w:rPr>
        <w:t>概述</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报告期内，公司的主营业务为向国际国内客户提供软件产品及软件服务、智能终端产品、系统集成服务等软件和信息技 术服务业务。其中报告期内新增系统集成服务业务系公司通过并购江苏开拓获取。</w:t>
      </w:r>
    </w:p>
    <w:p>
      <w:pPr>
        <w:pStyle w:val="Style28"/>
        <w:keepNext w:val="0"/>
        <w:keepLines w:val="0"/>
        <w:widowControl w:val="0"/>
        <w:shd w:val="clear" w:color="auto" w:fill="auto"/>
        <w:bidi w:val="0"/>
        <w:spacing w:before="0" w:after="300" w:line="326" w:lineRule="exact"/>
        <w:ind w:left="0" w:right="0"/>
        <w:jc w:val="both"/>
      </w:pPr>
      <w:r>
        <w:rPr>
          <w:color w:val="000000"/>
          <w:spacing w:val="0"/>
          <w:w w:val="100"/>
          <w:position w:val="0"/>
        </w:rPr>
        <w:t>报告期内，公司主营业务收入为</w:t>
      </w:r>
      <w:r>
        <w:rPr>
          <w:rFonts w:ascii="Times New Roman" w:eastAsia="Times New Roman" w:hAnsi="Times New Roman" w:cs="Times New Roman"/>
          <w:color w:val="000000"/>
          <w:spacing w:val="0"/>
          <w:w w:val="100"/>
          <w:position w:val="0"/>
        </w:rPr>
        <w:t>47490.3</w:t>
      </w:r>
      <w:r>
        <w:rPr>
          <w:rFonts w:ascii="Times New Roman" w:eastAsia="Times New Roman" w:hAnsi="Times New Roman" w:cs="Times New Roman"/>
          <w:color w:val="000000"/>
          <w:spacing w:val="0"/>
          <w:w w:val="100"/>
          <w:position w:val="0"/>
        </w:rPr>
        <w:t>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25.83%</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99.60%</w:t>
      </w:r>
      <w:r>
        <w:rPr>
          <w:color w:val="000000"/>
          <w:spacing w:val="0"/>
          <w:w w:val="100"/>
          <w:position w:val="0"/>
        </w:rPr>
        <w:t>。主营业务收入增 长的主要原因要是公司原有业务持续增长，以及新增非同一控制下企业合并子公司江苏开拓的系统集成服务业务所致。</w:t>
      </w:r>
    </w:p>
    <w:p>
      <w:pPr>
        <w:pStyle w:val="Style28"/>
        <w:keepNext w:val="0"/>
        <w:keepLines w:val="0"/>
        <w:widowControl w:val="0"/>
        <w:shd w:val="clear" w:color="auto" w:fill="auto"/>
        <w:bidi w:val="0"/>
        <w:spacing w:before="0" w:after="300" w:line="319" w:lineRule="exact"/>
        <w:ind w:left="0" w:right="0"/>
        <w:jc w:val="both"/>
      </w:pPr>
      <w:r>
        <w:rPr>
          <w:color w:val="000000"/>
          <w:spacing w:val="0"/>
          <w:w w:val="100"/>
          <w:position w:val="0"/>
        </w:rPr>
        <w:t>报告期内，公司主营业务的成本为</w:t>
      </w:r>
      <w:r>
        <w:rPr>
          <w:rFonts w:ascii="Times New Roman" w:eastAsia="Times New Roman" w:hAnsi="Times New Roman" w:cs="Times New Roman"/>
          <w:color w:val="000000"/>
          <w:spacing w:val="0"/>
          <w:w w:val="100"/>
          <w:position w:val="0"/>
        </w:rPr>
        <w:t>29005.55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27.14%</w:t>
      </w:r>
      <w:r>
        <w:rPr>
          <w:color w:val="000000"/>
          <w:spacing w:val="0"/>
          <w:w w:val="100"/>
          <w:position w:val="0"/>
        </w:rPr>
        <w:t xml:space="preserve">。公司主营业务成本增长的原因为公司原有业 </w:t>
      </w:r>
      <w:r>
        <w:rPr>
          <w:color w:val="000000"/>
          <w:spacing w:val="0"/>
          <w:w w:val="100"/>
          <w:position w:val="0"/>
        </w:rPr>
        <w:t>务持续增长，营业成本相应增加，以及新增非同一控制下企业合并子公司江苏开拓的系统集成服务业务所对应的成本。</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报告期内，公司主营业务的营业利润为</w:t>
      </w:r>
      <w:r>
        <w:rPr>
          <w:rFonts w:ascii="Times New Roman" w:eastAsia="Times New Roman" w:hAnsi="Times New Roman" w:cs="Times New Roman"/>
          <w:color w:val="000000"/>
          <w:spacing w:val="0"/>
          <w:w w:val="100"/>
          <w:position w:val="0"/>
        </w:rPr>
        <w:t>18484.77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23.83%</w:t>
      </w:r>
      <w:r>
        <w:rPr>
          <w:color w:val="000000"/>
          <w:spacing w:val="0"/>
          <w:w w:val="100"/>
          <w:position w:val="0"/>
        </w:rPr>
        <w:t>。</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报告期内，公司主营业务毛利率为</w:t>
      </w:r>
      <w:r>
        <w:rPr>
          <w:rFonts w:ascii="Times New Roman" w:eastAsia="Times New Roman" w:hAnsi="Times New Roman" w:cs="Times New Roman"/>
          <w:color w:val="000000"/>
          <w:spacing w:val="0"/>
          <w:w w:val="100"/>
          <w:position w:val="0"/>
        </w:rPr>
        <w:t>38.92%</w:t>
      </w:r>
      <w:r>
        <w:rPr>
          <w:color w:val="000000"/>
          <w:spacing w:val="0"/>
          <w:w w:val="100"/>
          <w:position w:val="0"/>
        </w:rPr>
        <w:t>，较上年同期下降</w:t>
      </w:r>
      <w:r>
        <w:rPr>
          <w:rFonts w:ascii="Times New Roman" w:eastAsia="Times New Roman" w:hAnsi="Times New Roman" w:cs="Times New Roman"/>
          <w:color w:val="000000"/>
          <w:spacing w:val="0"/>
          <w:w w:val="100"/>
          <w:position w:val="0"/>
        </w:rPr>
        <w:t>0.63%</w:t>
      </w:r>
      <w:r>
        <w:rPr>
          <w:color w:val="000000"/>
          <w:spacing w:val="0"/>
          <w:w w:val="100"/>
          <w:position w:val="0"/>
        </w:rPr>
        <w:t>。</w:t>
      </w:r>
    </w:p>
    <w:p>
      <w:pPr>
        <w:pStyle w:val="Style28"/>
        <w:keepNext w:val="0"/>
        <w:keepLines w:val="0"/>
        <w:widowControl w:val="0"/>
        <w:shd w:val="clear" w:color="auto" w:fill="auto"/>
        <w:bidi w:val="0"/>
        <w:spacing w:before="0" w:after="300" w:line="307" w:lineRule="exact"/>
        <w:ind w:left="0" w:right="0"/>
        <w:jc w:val="both"/>
      </w:pPr>
      <w:r>
        <w:rPr>
          <w:color w:val="000000"/>
          <w:spacing w:val="0"/>
          <w:w w:val="100"/>
          <w:position w:val="0"/>
        </w:rPr>
        <w:t>报告期内，公司的主营业务主要分国际、国内两部分，其中国际业务收入为</w:t>
      </w:r>
      <w:r>
        <w:rPr>
          <w:rFonts w:ascii="Times New Roman" w:eastAsia="Times New Roman" w:hAnsi="Times New Roman" w:cs="Times New Roman"/>
          <w:color w:val="000000"/>
          <w:spacing w:val="0"/>
          <w:w w:val="100"/>
          <w:position w:val="0"/>
        </w:rPr>
        <w:t>12960.44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12.41%</w:t>
      </w:r>
      <w:r>
        <w:rPr>
          <w:color w:val="000000"/>
          <w:spacing w:val="0"/>
          <w:w w:val="100"/>
          <w:position w:val="0"/>
        </w:rPr>
        <w:t>，占 营业收入的比重为</w:t>
      </w:r>
      <w:r>
        <w:rPr>
          <w:rFonts w:ascii="Times New Roman" w:eastAsia="Times New Roman" w:hAnsi="Times New Roman" w:cs="Times New Roman"/>
          <w:color w:val="000000"/>
          <w:spacing w:val="0"/>
          <w:w w:val="100"/>
          <w:position w:val="0"/>
        </w:rPr>
        <w:t>27.18%</w:t>
      </w:r>
      <w:r>
        <w:rPr>
          <w:color w:val="000000"/>
          <w:spacing w:val="0"/>
          <w:w w:val="100"/>
          <w:position w:val="0"/>
        </w:rPr>
        <w:t>；国内业务收入为</w:t>
      </w:r>
      <w:r>
        <w:rPr>
          <w:rFonts w:ascii="Times New Roman" w:eastAsia="Times New Roman" w:hAnsi="Times New Roman" w:cs="Times New Roman"/>
          <w:color w:val="000000"/>
          <w:spacing w:val="0"/>
          <w:w w:val="100"/>
          <w:position w:val="0"/>
        </w:rPr>
        <w:t>34529.88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31.73%</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72.42%</w:t>
      </w:r>
      <w:r>
        <w:rPr>
          <w:color w:val="000000"/>
          <w:spacing w:val="0"/>
          <w:w w:val="100"/>
          <w:position w:val="0"/>
        </w:rPr>
        <w:t>。</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报告期内，公司主营业务收入中，软件业务收入为</w:t>
      </w:r>
      <w:r>
        <w:rPr>
          <w:rFonts w:ascii="Times New Roman" w:eastAsia="Times New Roman" w:hAnsi="Times New Roman" w:cs="Times New Roman"/>
          <w:color w:val="000000"/>
          <w:spacing w:val="0"/>
          <w:w w:val="100"/>
          <w:position w:val="0"/>
        </w:rPr>
        <w:t>34586.52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9.75%</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72.54%</w:t>
      </w:r>
      <w:r>
        <w:rPr>
          <w:color w:val="000000"/>
          <w:spacing w:val="0"/>
          <w:w w:val="100"/>
          <w:position w:val="0"/>
        </w:rPr>
        <w:t>； 智能终端产品业务收入为</w:t>
      </w:r>
      <w:r>
        <w:rPr>
          <w:rFonts w:ascii="Times New Roman" w:eastAsia="Times New Roman" w:hAnsi="Times New Roman" w:cs="Times New Roman"/>
          <w:color w:val="000000"/>
          <w:spacing w:val="0"/>
          <w:w w:val="100"/>
          <w:position w:val="0"/>
        </w:rPr>
        <w:t>4088.7</w:t>
      </w:r>
      <w:r>
        <w:rPr>
          <w:rFonts w:ascii="Times New Roman" w:eastAsia="Times New Roman" w:hAnsi="Times New Roman" w:cs="Times New Roman"/>
          <w:color w:val="000000"/>
          <w:spacing w:val="0"/>
          <w:w w:val="100"/>
          <w:position w:val="0"/>
        </w:rPr>
        <w:t>1</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2.40%</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8.58%</w:t>
      </w:r>
      <w:r>
        <w:rPr>
          <w:color w:val="000000"/>
          <w:spacing w:val="0"/>
          <w:w w:val="100"/>
          <w:position w:val="0"/>
        </w:rPr>
        <w:t>；外购软硬件业务收入为</w:t>
      </w:r>
      <w:r>
        <w:rPr>
          <w:rFonts w:ascii="Times New Roman" w:eastAsia="Times New Roman" w:hAnsi="Times New Roman" w:cs="Times New Roman"/>
          <w:color w:val="000000"/>
          <w:spacing w:val="0"/>
          <w:w w:val="100"/>
          <w:position w:val="0"/>
        </w:rPr>
        <w:t xml:space="preserve">3026.35 </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48.51%</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 xml:space="preserve">6.35% </w:t>
      </w:r>
      <w:r>
        <w:rPr>
          <w:color w:val="000000"/>
          <w:spacing w:val="0"/>
          <w:w w:val="100"/>
          <w:position w:val="0"/>
        </w:rPr>
        <w:t>；系统集成服务业务收入</w:t>
      </w:r>
      <w:r>
        <w:rPr>
          <w:rFonts w:ascii="Times New Roman" w:eastAsia="Times New Roman" w:hAnsi="Times New Roman" w:cs="Times New Roman"/>
          <w:color w:val="000000"/>
          <w:spacing w:val="0"/>
          <w:w w:val="100"/>
          <w:position w:val="0"/>
        </w:rPr>
        <w:t>5788.74</w:t>
      </w:r>
      <w:r>
        <w:rPr>
          <w:color w:val="000000"/>
          <w:spacing w:val="0"/>
          <w:w w:val="100"/>
          <w:position w:val="0"/>
        </w:rPr>
        <w:t>万元，占营业收入的比重为</w:t>
      </w:r>
      <w:r>
        <w:rPr>
          <w:rFonts w:ascii="Times New Roman" w:eastAsia="Times New Roman" w:hAnsi="Times New Roman" w:cs="Times New Roman"/>
          <w:color w:val="000000"/>
          <w:spacing w:val="0"/>
          <w:w w:val="100"/>
          <w:position w:val="0"/>
        </w:rPr>
        <w:t>12.14%</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报告期内，公司的主营业务中的软件业务主要聚焦在</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 xml:space="preserve">” </w:t>
      </w:r>
      <w:r>
        <w:rPr>
          <w:color w:val="000000"/>
          <w:spacing w:val="0"/>
          <w:w w:val="100"/>
          <w:position w:val="0"/>
        </w:rPr>
        <w:t>等三大专业领域，三大专业领域的业务收入总额为</w:t>
      </w:r>
      <w:r>
        <w:rPr>
          <w:rFonts w:ascii="Times New Roman" w:eastAsia="Times New Roman" w:hAnsi="Times New Roman" w:cs="Times New Roman"/>
          <w:color w:val="000000"/>
          <w:spacing w:val="0"/>
          <w:w w:val="100"/>
          <w:position w:val="0"/>
        </w:rPr>
        <w:t>33537.74</w:t>
      </w:r>
      <w:r>
        <w:rPr>
          <w:color w:val="000000"/>
          <w:spacing w:val="0"/>
          <w:w w:val="100"/>
          <w:position w:val="0"/>
        </w:rPr>
        <w:t>万元，占营业收入的比重为</w:t>
      </w:r>
      <w:r>
        <w:rPr>
          <w:rFonts w:ascii="Times New Roman" w:eastAsia="Times New Roman" w:hAnsi="Times New Roman" w:cs="Times New Roman"/>
          <w:color w:val="000000"/>
          <w:spacing w:val="0"/>
          <w:w w:val="100"/>
          <w:position w:val="0"/>
        </w:rPr>
        <w:t>70.34%</w:t>
      </w:r>
      <w:r>
        <w:rPr>
          <w:color w:val="000000"/>
          <w:spacing w:val="0"/>
          <w:w w:val="100"/>
          <w:position w:val="0"/>
        </w:rPr>
        <w:t xml:space="preserve">，占软件业务收入的比重为 </w:t>
      </w:r>
      <w:r>
        <w:rPr>
          <w:rFonts w:ascii="Times New Roman" w:eastAsia="Times New Roman" w:hAnsi="Times New Roman" w:cs="Times New Roman"/>
          <w:color w:val="000000"/>
          <w:spacing w:val="0"/>
          <w:w w:val="100"/>
          <w:position w:val="0"/>
        </w:rPr>
        <w:t>96.97%</w:t>
      </w:r>
      <w:r>
        <w:rPr>
          <w:color w:val="000000"/>
          <w:spacing w:val="0"/>
          <w:w w:val="100"/>
          <w:position w:val="0"/>
        </w:rPr>
        <w:t>。</w:t>
      </w:r>
    </w:p>
    <w:p>
      <w:pPr>
        <w:pStyle w:val="Style28"/>
        <w:keepNext w:val="0"/>
        <w:keepLines w:val="0"/>
        <w:widowControl w:val="0"/>
        <w:shd w:val="clear" w:color="auto" w:fill="auto"/>
        <w:bidi w:val="0"/>
        <w:spacing w:before="0" w:after="300" w:line="310" w:lineRule="exact"/>
        <w:ind w:left="0" w:right="0"/>
        <w:jc w:val="both"/>
      </w:pPr>
      <w:r>
        <w:rPr>
          <w:color w:val="000000"/>
          <w:spacing w:val="0"/>
          <w:w w:val="100"/>
          <w:position w:val="0"/>
        </w:rPr>
        <w:t>报告期内，公司软件业务收入中，供应链管理软件业务收入</w:t>
      </w:r>
      <w:r>
        <w:rPr>
          <w:rFonts w:ascii="Times New Roman" w:eastAsia="Times New Roman" w:hAnsi="Times New Roman" w:cs="Times New Roman"/>
          <w:color w:val="000000"/>
          <w:spacing w:val="0"/>
          <w:w w:val="100"/>
          <w:position w:val="0"/>
        </w:rPr>
        <w:t>17372.08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23.5%</w:t>
      </w:r>
      <w:r>
        <w:rPr>
          <w:color w:val="000000"/>
          <w:spacing w:val="0"/>
          <w:w w:val="100"/>
          <w:position w:val="0"/>
        </w:rPr>
        <w:t>，占营业收入的比重 为</w:t>
      </w:r>
      <w:r>
        <w:rPr>
          <w:rFonts w:ascii="Times New Roman" w:eastAsia="Times New Roman" w:hAnsi="Times New Roman" w:cs="Times New Roman"/>
          <w:color w:val="000000"/>
          <w:spacing w:val="0"/>
          <w:w w:val="100"/>
          <w:position w:val="0"/>
        </w:rPr>
        <w:t>36.43%</w:t>
      </w:r>
      <w:r>
        <w:rPr>
          <w:color w:val="000000"/>
          <w:spacing w:val="0"/>
          <w:w w:val="100"/>
          <w:position w:val="0"/>
        </w:rPr>
        <w:t>；智能终端嵌入式软件业务收入</w:t>
      </w:r>
      <w:r>
        <w:rPr>
          <w:rFonts w:ascii="Times New Roman" w:eastAsia="Times New Roman" w:hAnsi="Times New Roman" w:cs="Times New Roman"/>
          <w:color w:val="000000"/>
          <w:spacing w:val="0"/>
          <w:w w:val="100"/>
          <w:position w:val="0"/>
        </w:rPr>
        <w:t>10135.27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2.64%</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21.26%</w:t>
      </w:r>
      <w:r>
        <w:rPr>
          <w:color w:val="000000"/>
          <w:spacing w:val="0"/>
          <w:w w:val="100"/>
          <w:position w:val="0"/>
        </w:rPr>
        <w:t>；智能电网信 息化软件业务收入</w:t>
      </w:r>
      <w:r>
        <w:rPr>
          <w:rFonts w:ascii="Times New Roman" w:eastAsia="Times New Roman" w:hAnsi="Times New Roman" w:cs="Times New Roman"/>
          <w:color w:val="000000"/>
          <w:spacing w:val="0"/>
          <w:w w:val="100"/>
          <w:position w:val="0"/>
        </w:rPr>
        <w:t>6030.39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20.72%</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12.65%</w:t>
      </w:r>
      <w:r>
        <w:rPr>
          <w:color w:val="000000"/>
          <w:spacing w:val="0"/>
          <w:w w:val="100"/>
          <w:position w:val="0"/>
        </w:rPr>
        <w:t>；其它领域软件业务收入</w:t>
      </w:r>
      <w:r>
        <w:rPr>
          <w:rFonts w:ascii="Times New Roman" w:eastAsia="Times New Roman" w:hAnsi="Times New Roman" w:cs="Times New Roman"/>
          <w:color w:val="000000"/>
          <w:spacing w:val="0"/>
          <w:w w:val="100"/>
          <w:position w:val="0"/>
        </w:rPr>
        <w:t>1048.78</w:t>
      </w:r>
      <w:r>
        <w:rPr>
          <w:color w:val="000000"/>
          <w:spacing w:val="0"/>
          <w:w w:val="100"/>
          <w:position w:val="0"/>
        </w:rPr>
        <w:t>万 元，较上年同期减少</w:t>
      </w:r>
      <w:r>
        <w:rPr>
          <w:rFonts w:ascii="Times New Roman" w:eastAsia="Times New Roman" w:hAnsi="Times New Roman" w:cs="Times New Roman"/>
          <w:color w:val="000000"/>
          <w:spacing w:val="0"/>
          <w:w w:val="100"/>
          <w:position w:val="0"/>
        </w:rPr>
        <w:t>59.32%</w:t>
      </w:r>
      <w:r>
        <w:rPr>
          <w:color w:val="000000"/>
          <w:spacing w:val="0"/>
          <w:w w:val="100"/>
          <w:position w:val="0"/>
        </w:rPr>
        <w:t>。</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报告期内，公司前五大客户累计收入为</w:t>
      </w:r>
      <w:r>
        <w:rPr>
          <w:rFonts w:ascii="Times New Roman" w:eastAsia="Times New Roman" w:hAnsi="Times New Roman" w:cs="Times New Roman"/>
          <w:color w:val="000000"/>
          <w:spacing w:val="0"/>
          <w:w w:val="100"/>
          <w:position w:val="0"/>
        </w:rPr>
        <w:t>14930.99</w:t>
      </w:r>
      <w:r>
        <w:rPr>
          <w:color w:val="000000"/>
          <w:spacing w:val="0"/>
          <w:w w:val="100"/>
          <w:position w:val="0"/>
        </w:rPr>
        <w:t>万元</w:t>
      </w:r>
      <w:r>
        <w:rPr>
          <w:color w:val="000000"/>
          <w:spacing w:val="0"/>
          <w:w w:val="100"/>
          <w:position w:val="0"/>
        </w:rPr>
        <w:t>，</w:t>
      </w:r>
      <w:r>
        <w:rPr>
          <w:color w:val="000000"/>
          <w:spacing w:val="0"/>
          <w:w w:val="100"/>
          <w:position w:val="0"/>
        </w:rPr>
        <w:t>占营业收入的比重为</w:t>
      </w:r>
      <w:r>
        <w:rPr>
          <w:rFonts w:ascii="Times New Roman" w:eastAsia="Times New Roman" w:hAnsi="Times New Roman" w:cs="Times New Roman"/>
          <w:color w:val="000000"/>
          <w:spacing w:val="0"/>
          <w:w w:val="100"/>
          <w:position w:val="0"/>
        </w:rPr>
        <w:t>31.32%</w:t>
      </w:r>
      <w:r>
        <w:rPr>
          <w:color w:val="000000"/>
          <w:spacing w:val="0"/>
          <w:w w:val="100"/>
          <w:position w:val="0"/>
        </w:rPr>
        <w:t>,前五大客户分别为：海信电器（含青 岛海信电器股份有限公司、</w:t>
      </w:r>
      <w:r>
        <w:rPr>
          <w:rFonts w:ascii="Times New Roman" w:eastAsia="Times New Roman" w:hAnsi="Times New Roman" w:cs="Times New Roman"/>
          <w:color w:val="000000"/>
          <w:spacing w:val="0"/>
          <w:w w:val="100"/>
          <w:position w:val="0"/>
        </w:rPr>
        <w:t>Hisense International Co.,LTD</w:t>
      </w:r>
      <w:r>
        <w:rPr>
          <w:color w:val="000000"/>
          <w:spacing w:val="0"/>
          <w:w w:val="100"/>
          <w:position w:val="0"/>
        </w:rPr>
        <w:t>同一控制人下的相关企业合并统计）、日本丰田</w:t>
      </w:r>
      <w:r>
        <w:rPr>
          <w:rFonts w:ascii="Times New Roman" w:eastAsia="Times New Roman" w:hAnsi="Times New Roman" w:cs="Times New Roman"/>
          <w:color w:val="000000"/>
          <w:spacing w:val="0"/>
          <w:w w:val="100"/>
          <w:position w:val="0"/>
        </w:rPr>
        <w:t>（</w:t>
      </w:r>
      <w:r>
        <w:rPr>
          <w:color w:val="000000"/>
          <w:spacing w:val="0"/>
          <w:w w:val="100"/>
          <w:position w:val="0"/>
        </w:rPr>
        <w:t>含丰田汽车、丰田 通商等日本丰田同一控制人下的相关企业合并统计</w:t>
      </w:r>
      <w:r>
        <w:rPr>
          <w:rFonts w:ascii="Times New Roman" w:eastAsia="Times New Roman" w:hAnsi="Times New Roman" w:cs="Times New Roman"/>
          <w:color w:val="000000"/>
          <w:spacing w:val="0"/>
          <w:w w:val="100"/>
          <w:position w:val="0"/>
        </w:rPr>
        <w:t>）</w:t>
      </w:r>
      <w:r>
        <w:rPr>
          <w:color w:val="000000"/>
          <w:spacing w:val="0"/>
          <w:w w:val="100"/>
          <w:position w:val="0"/>
        </w:rPr>
        <w:t>、江苏电力（含江苏方天电力技术有限公司、江苏电力信息技术有限公 司等江苏电力同一控制人下的相关企业合并统计）、南瑞集团、百胜咨询（含百胜咨询</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有限公司、百胜（中国）投资 有限公司同一控制人下的相关企业合并统计）；日本丰田、百胜咨询为公司供应链管理软件业务的主要客户，海信电器为公 司智能终端嵌入式产品业务的主要客户，江苏电力、南瑞集团为公司智能电网信息化软件业务的主要客户。上述客户不存在 单一客户收入占公司营业收入</w:t>
      </w:r>
      <w:r>
        <w:rPr>
          <w:rFonts w:ascii="Times New Roman" w:eastAsia="Times New Roman" w:hAnsi="Times New Roman" w:cs="Times New Roman"/>
          <w:color w:val="000000"/>
          <w:spacing w:val="0"/>
          <w:w w:val="100"/>
          <w:position w:val="0"/>
        </w:rPr>
        <w:t>30%</w:t>
      </w:r>
      <w:r>
        <w:rPr>
          <w:color w:val="000000"/>
          <w:spacing w:val="0"/>
          <w:w w:val="100"/>
          <w:position w:val="0"/>
        </w:rPr>
        <w:t>以上的情况。</w:t>
      </w:r>
    </w:p>
    <w:p>
      <w:pPr>
        <w:pStyle w:val="Style28"/>
        <w:keepNext w:val="0"/>
        <w:keepLines w:val="0"/>
        <w:widowControl w:val="0"/>
        <w:shd w:val="clear" w:color="auto" w:fill="auto"/>
        <w:bidi w:val="0"/>
        <w:spacing w:before="0" w:after="0" w:line="324" w:lineRule="exact"/>
        <w:ind w:left="0" w:right="0"/>
        <w:jc w:val="both"/>
      </w:pPr>
      <w:r>
        <w:rPr>
          <w:color w:val="000000"/>
          <w:spacing w:val="0"/>
          <w:w w:val="100"/>
          <w:position w:val="0"/>
        </w:rPr>
        <w:t>报告期内，销售费用金额为</w:t>
      </w:r>
      <w:r>
        <w:rPr>
          <w:rFonts w:ascii="Times New Roman" w:eastAsia="Times New Roman" w:hAnsi="Times New Roman" w:cs="Times New Roman"/>
          <w:color w:val="000000"/>
          <w:spacing w:val="0"/>
          <w:w w:val="100"/>
          <w:position w:val="0"/>
        </w:rPr>
        <w:t>3159.53</w:t>
      </w:r>
      <w:r>
        <w:rPr>
          <w:color w:val="000000"/>
          <w:spacing w:val="0"/>
          <w:w w:val="100"/>
          <w:position w:val="0"/>
        </w:rPr>
        <w:t>万元，较上年同期金额增长</w:t>
      </w:r>
      <w:r>
        <w:rPr>
          <w:rFonts w:ascii="Times New Roman" w:eastAsia="Times New Roman" w:hAnsi="Times New Roman" w:cs="Times New Roman"/>
          <w:color w:val="000000"/>
          <w:spacing w:val="0"/>
          <w:w w:val="100"/>
          <w:position w:val="0"/>
        </w:rPr>
        <w:t>422.69</w:t>
      </w:r>
      <w:r>
        <w:rPr>
          <w:color w:val="000000"/>
          <w:spacing w:val="0"/>
          <w:w w:val="100"/>
          <w:position w:val="0"/>
        </w:rPr>
        <w:t>万元，增幅</w:t>
      </w:r>
      <w:r>
        <w:rPr>
          <w:rFonts w:ascii="Times New Roman" w:eastAsia="Times New Roman" w:hAnsi="Times New Roman" w:cs="Times New Roman"/>
          <w:color w:val="000000"/>
          <w:spacing w:val="0"/>
          <w:w w:val="100"/>
          <w:position w:val="0"/>
        </w:rPr>
        <w:t>15.44%</w:t>
      </w:r>
      <w:r>
        <w:rPr>
          <w:color w:val="000000"/>
          <w:spacing w:val="0"/>
          <w:w w:val="100"/>
          <w:position w:val="0"/>
        </w:rPr>
        <w:t>,主要是公司市场规模扩大，销 售人员增加，工资、业务费、差旅费相应增长所致。</w:t>
      </w:r>
    </w:p>
    <w:p>
      <w:pPr>
        <w:pStyle w:val="Style28"/>
        <w:keepNext w:val="0"/>
        <w:keepLines w:val="0"/>
        <w:widowControl w:val="0"/>
        <w:shd w:val="clear" w:color="auto" w:fill="auto"/>
        <w:bidi w:val="0"/>
        <w:spacing w:before="0" w:after="300" w:line="324" w:lineRule="exact"/>
        <w:ind w:left="0" w:right="0"/>
        <w:jc w:val="both"/>
      </w:pPr>
      <w:r>
        <w:rPr>
          <w:color w:val="000000"/>
          <w:spacing w:val="0"/>
          <w:w w:val="100"/>
          <w:position w:val="0"/>
        </w:rPr>
        <w:t>报告期内，管理费用金额为</w:t>
      </w:r>
      <w:r>
        <w:rPr>
          <w:rFonts w:ascii="Times New Roman" w:eastAsia="Times New Roman" w:hAnsi="Times New Roman" w:cs="Times New Roman"/>
          <w:color w:val="000000"/>
          <w:spacing w:val="0"/>
          <w:w w:val="100"/>
          <w:position w:val="0"/>
        </w:rPr>
        <w:t>8828.43</w:t>
      </w:r>
      <w:r>
        <w:rPr>
          <w:color w:val="000000"/>
          <w:spacing w:val="0"/>
          <w:w w:val="100"/>
          <w:position w:val="0"/>
        </w:rPr>
        <w:t>万元，较上年同期金额增长</w:t>
      </w:r>
      <w:r>
        <w:rPr>
          <w:rFonts w:ascii="Times New Roman" w:eastAsia="Times New Roman" w:hAnsi="Times New Roman" w:cs="Times New Roman"/>
          <w:color w:val="000000"/>
          <w:spacing w:val="0"/>
          <w:w w:val="100"/>
          <w:position w:val="0"/>
        </w:rPr>
        <w:t>2751.96</w:t>
      </w:r>
      <w:r>
        <w:rPr>
          <w:color w:val="000000"/>
          <w:spacing w:val="0"/>
          <w:w w:val="100"/>
          <w:position w:val="0"/>
        </w:rPr>
        <w:t>万元，增幅</w:t>
      </w:r>
      <w:r>
        <w:rPr>
          <w:rFonts w:ascii="Times New Roman" w:eastAsia="Times New Roman" w:hAnsi="Times New Roman" w:cs="Times New Roman"/>
          <w:color w:val="000000"/>
          <w:spacing w:val="0"/>
          <w:w w:val="100"/>
          <w:position w:val="0"/>
        </w:rPr>
        <w:t>45.29%</w:t>
      </w:r>
      <w:r>
        <w:rPr>
          <w:color w:val="000000"/>
          <w:spacing w:val="0"/>
          <w:w w:val="100"/>
          <w:position w:val="0"/>
        </w:rPr>
        <w:t>，主要是随着公司研发投入的 增加，研发费用相应增长所致。</w:t>
      </w:r>
    </w:p>
    <w:p>
      <w:pPr>
        <w:pStyle w:val="Style28"/>
        <w:keepNext w:val="0"/>
        <w:keepLines w:val="0"/>
        <w:widowControl w:val="0"/>
        <w:shd w:val="clear" w:color="auto" w:fill="auto"/>
        <w:bidi w:val="0"/>
        <w:spacing w:before="0" w:after="300" w:line="314" w:lineRule="exact"/>
        <w:ind w:left="0" w:right="0"/>
        <w:jc w:val="both"/>
      </w:pPr>
      <w:r>
        <w:rPr>
          <w:color w:val="000000"/>
          <w:spacing w:val="0"/>
          <w:w w:val="100"/>
          <w:position w:val="0"/>
        </w:rPr>
        <w:t>报告期内，财务费用金额为</w:t>
      </w:r>
      <w:r>
        <w:rPr>
          <w:rFonts w:ascii="Times New Roman" w:eastAsia="Times New Roman" w:hAnsi="Times New Roman" w:cs="Times New Roman"/>
          <w:color w:val="000000"/>
          <w:spacing w:val="0"/>
          <w:w w:val="100"/>
          <w:position w:val="0"/>
        </w:rPr>
        <w:t>388.81</w:t>
      </w:r>
      <w:r>
        <w:rPr>
          <w:color w:val="000000"/>
          <w:spacing w:val="0"/>
          <w:w w:val="100"/>
          <w:position w:val="0"/>
        </w:rPr>
        <w:t>万元，较上年同期金额减少</w:t>
      </w:r>
      <w:r>
        <w:rPr>
          <w:rFonts w:ascii="Times New Roman" w:eastAsia="Times New Roman" w:hAnsi="Times New Roman" w:cs="Times New Roman"/>
          <w:color w:val="000000"/>
          <w:spacing w:val="0"/>
          <w:w w:val="100"/>
          <w:position w:val="0"/>
        </w:rPr>
        <w:t>4.73</w:t>
      </w:r>
      <w:r>
        <w:rPr>
          <w:color w:val="000000"/>
          <w:spacing w:val="0"/>
          <w:w w:val="100"/>
          <w:position w:val="0"/>
        </w:rPr>
        <w:t>万元，降幅</w:t>
      </w:r>
      <w:r>
        <w:rPr>
          <w:rFonts w:ascii="Times New Roman" w:eastAsia="Times New Roman" w:hAnsi="Times New Roman" w:cs="Times New Roman"/>
          <w:color w:val="000000"/>
          <w:spacing w:val="0"/>
          <w:w w:val="100"/>
          <w:position w:val="0"/>
        </w:rPr>
        <w:t>1.2%</w:t>
      </w:r>
      <w:r>
        <w:rPr>
          <w:color w:val="000000"/>
          <w:spacing w:val="0"/>
          <w:w w:val="100"/>
          <w:position w:val="0"/>
        </w:rPr>
        <w:t>,主要原因是公司利息收入增加所致。</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报告期内，研发投入金额为</w:t>
      </w:r>
      <w:r>
        <w:rPr>
          <w:rFonts w:ascii="Times New Roman" w:eastAsia="Times New Roman" w:hAnsi="Times New Roman" w:cs="Times New Roman"/>
          <w:color w:val="000000"/>
          <w:spacing w:val="0"/>
          <w:w w:val="100"/>
          <w:position w:val="0"/>
        </w:rPr>
        <w:t>4,311.95</w:t>
      </w:r>
      <w:r>
        <w:rPr>
          <w:color w:val="000000"/>
          <w:spacing w:val="0"/>
          <w:w w:val="100"/>
          <w:position w:val="0"/>
        </w:rPr>
        <w:t>万元，较上年同期金额增加</w:t>
      </w:r>
      <w:r>
        <w:rPr>
          <w:rFonts w:ascii="Times New Roman" w:eastAsia="Times New Roman" w:hAnsi="Times New Roman" w:cs="Times New Roman"/>
          <w:color w:val="000000"/>
          <w:spacing w:val="0"/>
          <w:w w:val="100"/>
          <w:position w:val="0"/>
        </w:rPr>
        <w:t>2,103.84</w:t>
      </w:r>
      <w:r>
        <w:rPr>
          <w:color w:val="000000"/>
          <w:spacing w:val="0"/>
          <w:w w:val="100"/>
          <w:position w:val="0"/>
        </w:rPr>
        <w:t>万元，增幅</w:t>
      </w:r>
      <w:r>
        <w:rPr>
          <w:rFonts w:ascii="Times New Roman" w:eastAsia="Times New Roman" w:hAnsi="Times New Roman" w:cs="Times New Roman"/>
          <w:color w:val="000000"/>
          <w:spacing w:val="0"/>
          <w:w w:val="100"/>
          <w:position w:val="0"/>
        </w:rPr>
        <w:t>95.28%</w:t>
      </w:r>
      <w:r>
        <w:rPr>
          <w:color w:val="000000"/>
          <w:spacing w:val="0"/>
          <w:w w:val="100"/>
          <w:position w:val="0"/>
        </w:rPr>
        <w:t>,主要原因是公司加大研发投 入，研发费用增加所致。</w:t>
      </w:r>
    </w:p>
    <w:p>
      <w:pPr>
        <w:pStyle w:val="Style28"/>
        <w:keepNext w:val="0"/>
        <w:keepLines w:val="0"/>
        <w:widowControl w:val="0"/>
        <w:shd w:val="clear" w:color="auto" w:fill="auto"/>
        <w:bidi w:val="0"/>
        <w:spacing w:before="0" w:after="300" w:line="326"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2,430.02</w:t>
      </w:r>
      <w:r>
        <w:rPr>
          <w:color w:val="000000"/>
          <w:spacing w:val="0"/>
          <w:w w:val="100"/>
          <w:position w:val="0"/>
        </w:rPr>
        <w:t>万元，较上年同期金额减少</w:t>
      </w:r>
      <w:r>
        <w:rPr>
          <w:rFonts w:ascii="Times New Roman" w:eastAsia="Times New Roman" w:hAnsi="Times New Roman" w:cs="Times New Roman"/>
          <w:color w:val="000000"/>
          <w:spacing w:val="0"/>
          <w:w w:val="100"/>
          <w:position w:val="0"/>
        </w:rPr>
        <w:t>3,313.65</w:t>
      </w:r>
      <w:r>
        <w:rPr>
          <w:color w:val="000000"/>
          <w:spacing w:val="0"/>
          <w:w w:val="100"/>
          <w:position w:val="0"/>
        </w:rPr>
        <w:t>万元，降幅</w:t>
      </w:r>
      <w:r>
        <w:rPr>
          <w:rFonts w:ascii="Times New Roman" w:eastAsia="Times New Roman" w:hAnsi="Times New Roman" w:cs="Times New Roman"/>
          <w:color w:val="000000"/>
          <w:spacing w:val="0"/>
          <w:w w:val="100"/>
          <w:position w:val="0"/>
        </w:rPr>
        <w:t>57.69%</w:t>
      </w:r>
      <w:r>
        <w:rPr>
          <w:color w:val="000000"/>
          <w:spacing w:val="0"/>
          <w:w w:val="100"/>
          <w:position w:val="0"/>
        </w:rPr>
        <w:t>,主要是 公司支付到期银行承兑汇票、以及职工薪酬较上年增加所致。</w:t>
      </w:r>
    </w:p>
    <w:p>
      <w:pPr>
        <w:pStyle w:val="Style28"/>
        <w:keepNext w:val="0"/>
        <w:keepLines w:val="0"/>
        <w:widowControl w:val="0"/>
        <w:shd w:val="clear" w:color="auto" w:fill="auto"/>
        <w:bidi w:val="0"/>
        <w:spacing w:before="0" w:after="300" w:line="326" w:lineRule="exact"/>
        <w:ind w:left="0" w:right="0"/>
        <w:jc w:val="both"/>
      </w:pPr>
      <w:r>
        <w:rPr>
          <w:color w:val="000000"/>
          <w:spacing w:val="0"/>
          <w:w w:val="100"/>
          <w:position w:val="0"/>
        </w:rPr>
        <w:t>报告期内，公司投资活动产生的现金流量净额为</w:t>
      </w:r>
      <w:r>
        <w:rPr>
          <w:rFonts w:ascii="Times New Roman" w:eastAsia="Times New Roman" w:hAnsi="Times New Roman" w:cs="Times New Roman"/>
          <w:color w:val="000000"/>
          <w:spacing w:val="0"/>
          <w:w w:val="100"/>
          <w:position w:val="0"/>
        </w:rPr>
        <w:t>-18,815.22</w:t>
      </w:r>
      <w:r>
        <w:rPr>
          <w:color w:val="000000"/>
          <w:spacing w:val="0"/>
          <w:w w:val="100"/>
          <w:position w:val="0"/>
        </w:rPr>
        <w:t>万元，较上年同期金额减少</w:t>
      </w:r>
      <w:r>
        <w:rPr>
          <w:rFonts w:ascii="Times New Roman" w:eastAsia="Times New Roman" w:hAnsi="Times New Roman" w:cs="Times New Roman"/>
          <w:color w:val="000000"/>
          <w:spacing w:val="0"/>
          <w:w w:val="100"/>
          <w:position w:val="0"/>
        </w:rPr>
        <w:t>17,293.6</w:t>
      </w:r>
      <w:r>
        <w:rPr>
          <w:rFonts w:ascii="Times New Roman" w:eastAsia="Times New Roman" w:hAnsi="Times New Roman" w:cs="Times New Roman"/>
          <w:color w:val="000000"/>
          <w:spacing w:val="0"/>
          <w:w w:val="100"/>
          <w:position w:val="0"/>
        </w:rPr>
        <w:t>2</w:t>
      </w:r>
      <w:r>
        <w:rPr>
          <w:color w:val="000000"/>
          <w:spacing w:val="0"/>
          <w:w w:val="100"/>
          <w:position w:val="0"/>
        </w:rPr>
        <w:t>万元，降幅</w:t>
      </w:r>
      <w:r>
        <w:rPr>
          <w:rFonts w:ascii="Times New Roman" w:eastAsia="Times New Roman" w:hAnsi="Times New Roman" w:cs="Times New Roman"/>
          <w:color w:val="000000"/>
          <w:spacing w:val="0"/>
          <w:w w:val="100"/>
          <w:position w:val="0"/>
        </w:rPr>
        <w:t>1136.54%</w:t>
      </w:r>
      <w:r>
        <w:rPr>
          <w:color w:val="000000"/>
          <w:spacing w:val="0"/>
          <w:w w:val="100"/>
          <w:position w:val="0"/>
        </w:rPr>
        <w:t>，主 要是全资子公司外包园公司</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项目投入所致；</w:t>
      </w:r>
    </w:p>
    <w:p>
      <w:pPr>
        <w:pStyle w:val="Style28"/>
        <w:keepNext w:val="0"/>
        <w:keepLines w:val="0"/>
        <w:widowControl w:val="0"/>
        <w:shd w:val="clear" w:color="auto" w:fill="auto"/>
        <w:bidi w:val="0"/>
        <w:spacing w:before="0" w:after="360" w:line="307" w:lineRule="exact"/>
        <w:ind w:left="0" w:right="0"/>
        <w:jc w:val="left"/>
      </w:pPr>
      <w:r>
        <w:rPr>
          <w:color w:val="000000"/>
          <w:spacing w:val="0"/>
          <w:w w:val="100"/>
          <w:position w:val="0"/>
        </w:rPr>
        <w:t>报告期内，筹资活动产生的现金流量净额为</w:t>
      </w:r>
      <w:r>
        <w:rPr>
          <w:rFonts w:ascii="Times New Roman" w:eastAsia="Times New Roman" w:hAnsi="Times New Roman" w:cs="Times New Roman"/>
          <w:color w:val="000000"/>
          <w:spacing w:val="0"/>
          <w:w w:val="100"/>
          <w:position w:val="0"/>
        </w:rPr>
        <w:t>9,068.80</w:t>
      </w:r>
      <w:r>
        <w:rPr>
          <w:color w:val="000000"/>
          <w:spacing w:val="0"/>
          <w:w w:val="100"/>
          <w:position w:val="0"/>
        </w:rPr>
        <w:t>万元，较上年同期金额减少</w:t>
      </w:r>
      <w:r>
        <w:rPr>
          <w:rFonts w:ascii="Times New Roman" w:eastAsia="Times New Roman" w:hAnsi="Times New Roman" w:cs="Times New Roman"/>
          <w:color w:val="000000"/>
          <w:spacing w:val="0"/>
          <w:w w:val="100"/>
          <w:position w:val="0"/>
        </w:rPr>
        <w:t>23,293.59</w:t>
      </w:r>
      <w:r>
        <w:rPr>
          <w:color w:val="000000"/>
          <w:spacing w:val="0"/>
          <w:w w:val="100"/>
          <w:position w:val="0"/>
        </w:rPr>
        <w:t>万元，降幅</w:t>
      </w:r>
      <w:r>
        <w:rPr>
          <w:rFonts w:ascii="Times New Roman" w:eastAsia="Times New Roman" w:hAnsi="Times New Roman" w:cs="Times New Roman"/>
          <w:color w:val="000000"/>
          <w:spacing w:val="0"/>
          <w:w w:val="100"/>
          <w:position w:val="0"/>
        </w:rPr>
        <w:t>72.02%</w:t>
      </w:r>
      <w:r>
        <w:rPr>
          <w:color w:val="000000"/>
          <w:spacing w:val="0"/>
          <w:w w:val="100"/>
          <w:position w:val="0"/>
        </w:rPr>
        <w:t>，主要是公 司上年同期募集资金到账和</w:t>
      </w:r>
      <w:r>
        <w:rPr>
          <w:rFonts w:ascii="Times New Roman" w:eastAsia="Times New Roman" w:hAnsi="Times New Roman" w:cs="Times New Roman"/>
          <w:color w:val="000000"/>
          <w:spacing w:val="0"/>
          <w:w w:val="100"/>
          <w:position w:val="0"/>
        </w:rPr>
        <w:t>2013</w:t>
      </w:r>
      <w:r>
        <w:rPr>
          <w:color w:val="000000"/>
          <w:spacing w:val="0"/>
          <w:w w:val="100"/>
          <w:position w:val="0"/>
        </w:rPr>
        <w:t>年现金分红</w:t>
      </w:r>
      <w:r>
        <w:rPr>
          <w:rFonts w:ascii="Times New Roman" w:eastAsia="Times New Roman" w:hAnsi="Times New Roman" w:cs="Times New Roman"/>
          <w:color w:val="000000"/>
          <w:spacing w:val="0"/>
          <w:w w:val="100"/>
          <w:position w:val="0"/>
        </w:rPr>
        <w:t>1,534.80</w:t>
      </w:r>
      <w:r>
        <w:rPr>
          <w:color w:val="000000"/>
          <w:spacing w:val="0"/>
          <w:w w:val="100"/>
          <w:position w:val="0"/>
        </w:rPr>
        <w:t>万元所致。</w:t>
      </w:r>
    </w:p>
    <w:p>
      <w:pPr>
        <w:pStyle w:val="Style28"/>
        <w:keepNext w:val="0"/>
        <w:keepLines w:val="0"/>
        <w:widowControl w:val="0"/>
        <w:shd w:val="clear" w:color="auto" w:fill="auto"/>
        <w:tabs>
          <w:tab w:pos="349" w:val="left"/>
        </w:tabs>
        <w:bidi w:val="0"/>
        <w:spacing w:before="0" w:after="0" w:line="307" w:lineRule="exact"/>
        <w:ind w:left="0" w:right="0" w:firstLine="0"/>
        <w:jc w:val="left"/>
      </w:pPr>
      <w:bookmarkStart w:id="89" w:name="bookmark89"/>
      <w:r>
        <w:rPr>
          <w:rFonts w:ascii="Times New Roman" w:eastAsia="Times New Roman" w:hAnsi="Times New Roman" w:cs="Times New Roman"/>
          <w:color w:val="000000"/>
          <w:spacing w:val="0"/>
          <w:w w:val="100"/>
          <w:position w:val="0"/>
        </w:rPr>
        <w:t>2</w:t>
      </w:r>
      <w:bookmarkEnd w:id="89"/>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28"/>
        <w:keepNext w:val="0"/>
        <w:keepLines w:val="0"/>
        <w:widowControl w:val="0"/>
        <w:shd w:val="clear" w:color="auto" w:fill="auto"/>
        <w:bidi w:val="0"/>
        <w:spacing w:before="0" w:after="480" w:line="307" w:lineRule="exact"/>
        <w:ind w:left="0" w:right="0" w:firstLine="0"/>
        <w:jc w:val="left"/>
      </w:pPr>
      <w:r>
        <w:rPr>
          <w:color w:val="000000"/>
          <w:spacing w:val="0"/>
          <w:w w:val="100"/>
          <w:position w:val="0"/>
        </w:rPr>
        <w:t>报告期内，因公司收购了江苏开拓，新增系统集成服务业务，增加了利润来源，对公司</w:t>
      </w:r>
      <w:r>
        <w:rPr>
          <w:rFonts w:ascii="Times New Roman" w:eastAsia="Times New Roman" w:hAnsi="Times New Roman" w:cs="Times New Roman"/>
          <w:color w:val="000000"/>
          <w:spacing w:val="0"/>
          <w:w w:val="100"/>
          <w:position w:val="0"/>
        </w:rPr>
        <w:t>2013</w:t>
      </w:r>
      <w:r>
        <w:rPr>
          <w:color w:val="000000"/>
          <w:spacing w:val="0"/>
          <w:w w:val="100"/>
          <w:position w:val="0"/>
        </w:rPr>
        <w:t>年的利润产生了积极影响。</w:t>
      </w:r>
    </w:p>
    <w:p>
      <w:pPr>
        <w:pStyle w:val="Style2"/>
        <w:keepNext w:val="0"/>
        <w:keepLines w:val="0"/>
        <w:widowControl w:val="0"/>
        <w:shd w:val="clear" w:color="auto" w:fill="auto"/>
        <w:tabs>
          <w:tab w:pos="349" w:val="left"/>
        </w:tabs>
        <w:bidi w:val="0"/>
        <w:spacing w:before="0" w:after="0"/>
        <w:ind w:left="0" w:right="0" w:firstLine="0"/>
        <w:jc w:val="left"/>
      </w:pPr>
      <w:bookmarkStart w:id="90" w:name="bookmark90"/>
      <w:r>
        <w:rPr>
          <w:rFonts w:ascii="Times New Roman" w:eastAsia="Times New Roman" w:hAnsi="Times New Roman" w:cs="Times New Roman"/>
          <w:color w:val="000000"/>
          <w:spacing w:val="0"/>
          <w:w w:val="100"/>
          <w:position w:val="0"/>
        </w:rPr>
        <w:t>3</w:t>
      </w:r>
      <w:bookmarkEnd w:id="90"/>
      <w:r>
        <w:rPr>
          <w:rFonts w:ascii="Times New Roman" w:eastAsia="Times New Roman" w:hAnsi="Times New Roman" w:cs="Times New Roman"/>
          <w:color w:val="000000"/>
          <w:spacing w:val="0"/>
          <w:w w:val="100"/>
          <w:position w:val="0"/>
        </w:rPr>
        <w:t>）</w:t>
        <w:tab/>
      </w:r>
      <w:r>
        <w:rPr>
          <w:color w:val="000000"/>
          <w:spacing w:val="0"/>
          <w:w w:val="100"/>
          <w:position w:val="0"/>
        </w:rPr>
        <w:t>收入</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476,797,826.03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379,535,216.02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驱动收入变化的因素</w:t>
      </w:r>
    </w:p>
    <w:p>
      <w:pPr>
        <w:pStyle w:val="Style28"/>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公司营业收入变化的主要原因为原有业务持续增长，以及新增非同一控制下企业合并子公司江苏开拓的系统集成服务业务。</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公司重大的在手订单情况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数量分散的订单情况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540" w:line="312" w:lineRule="exact"/>
        <w:ind w:left="0" w:right="0" w:firstLine="0"/>
        <w:jc w:val="left"/>
      </w:pPr>
      <w:r>
        <w:rPr>
          <w:color w:val="000000"/>
          <w:spacing w:val="0"/>
          <w:w w:val="100"/>
          <w:position w:val="0"/>
        </w:rPr>
        <w:t>报告期内，公司的主营业务为向国际国内客户提供软件产品及软件服务、智能终端产品、系统集成服务等软件和信息技术服 务业务，其中报告期内新增系统集成服务业务系公司通过并购江苏开拓获取。系统集成服务业务与公司现有软件服务业务高 度互补，本次并购提高了公司在软件和信息技术服务业务的核心竞争力。</w:t>
      </w:r>
    </w:p>
    <w:p>
      <w:pPr>
        <w:pStyle w:val="Style28"/>
        <w:keepNext w:val="0"/>
        <w:keepLines w:val="0"/>
        <w:widowControl w:val="0"/>
        <w:shd w:val="clear" w:color="auto" w:fill="auto"/>
        <w:bidi w:val="0"/>
        <w:spacing w:before="0" w:after="120" w:line="240" w:lineRule="auto"/>
        <w:ind w:left="0" w:right="0" w:firstLine="0"/>
        <w:jc w:val="left"/>
      </w:pPr>
      <w:bookmarkStart w:id="91" w:name="bookmark91"/>
      <w:r>
        <w:rPr>
          <w:rFonts w:ascii="Times New Roman" w:eastAsia="Times New Roman" w:hAnsi="Times New Roman" w:cs="Times New Roman"/>
          <w:color w:val="000000"/>
          <w:spacing w:val="0"/>
          <w:w w:val="100"/>
          <w:position w:val="0"/>
        </w:rPr>
        <w:t>4</w:t>
      </w:r>
      <w:bookmarkEnd w:id="91"/>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118,895,352.05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96,936,825.86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149,992,295.30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101,131,911.66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）外包成本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32,058,430.58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45,434,788.21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）软硬件成本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117,933,864.72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55,697,123.45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、项目实施费用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21,167,807.70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31,153,975.01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290,055,455.05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229,222,712.53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9"/>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31,595,339.08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27,368,479.77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88,284,280.30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60,764,635.95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主要是随着公司研发投入的增加，研 发费用相应增长所致。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3,888,066.26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3,935,387.39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7,792,152.08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5,690,750.00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主要是公司利润增长所致。</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作为高新技术企业，公司一直高度重视研发，每年都投入资金进行自主知识产权的软件产品的研发，通过自主知识产权 软件产品的研发，提高了整体解决方案的提供能力，保障了公司的</w:t>
      </w:r>
      <w:r>
        <w:rPr>
          <w:rFonts w:ascii="Times New Roman" w:eastAsia="Times New Roman" w:hAnsi="Times New Roman" w:cs="Times New Roman"/>
          <w:color w:val="000000"/>
          <w:spacing w:val="0"/>
          <w:w w:val="100"/>
          <w:position w:val="0"/>
        </w:rPr>
        <w:t>“</w:t>
      </w:r>
      <w:r>
        <w:rPr>
          <w:color w:val="000000"/>
          <w:spacing w:val="0"/>
          <w:w w:val="100"/>
          <w:position w:val="0"/>
        </w:rPr>
        <w:t>国际化、专业化、高端化</w:t>
      </w:r>
      <w:r>
        <w:rPr>
          <w:rFonts w:ascii="Times New Roman" w:eastAsia="Times New Roman" w:hAnsi="Times New Roman" w:cs="Times New Roman"/>
          <w:color w:val="000000"/>
          <w:spacing w:val="0"/>
          <w:w w:val="100"/>
          <w:position w:val="0"/>
        </w:rPr>
        <w:t>”</w:t>
      </w:r>
      <w:r>
        <w:rPr>
          <w:color w:val="000000"/>
          <w:spacing w:val="0"/>
          <w:w w:val="100"/>
          <w:position w:val="0"/>
        </w:rPr>
        <w:t>战略的实施。</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报告期内，公司研发投入为</w:t>
      </w:r>
      <w:r>
        <w:rPr>
          <w:rFonts w:ascii="Times New Roman" w:eastAsia="Times New Roman" w:hAnsi="Times New Roman" w:cs="Times New Roman"/>
          <w:color w:val="000000"/>
          <w:spacing w:val="0"/>
          <w:w w:val="100"/>
          <w:position w:val="0"/>
        </w:rPr>
        <w:t>43,119,451.49</w:t>
      </w:r>
      <w:r>
        <w:rPr>
          <w:color w:val="000000"/>
          <w:spacing w:val="0"/>
          <w:w w:val="100"/>
          <w:position w:val="0"/>
        </w:rPr>
        <w:t>元，占营业收入的比重为</w:t>
      </w:r>
      <w:r>
        <w:rPr>
          <w:rFonts w:ascii="Times New Roman" w:eastAsia="Times New Roman" w:hAnsi="Times New Roman" w:cs="Times New Roman"/>
          <w:color w:val="000000"/>
          <w:spacing w:val="0"/>
          <w:w w:val="100"/>
          <w:position w:val="0"/>
        </w:rPr>
        <w:t>9.04%</w:t>
      </w:r>
      <w:r>
        <w:rPr>
          <w:color w:val="000000"/>
          <w:spacing w:val="0"/>
          <w:w w:val="100"/>
          <w:position w:val="0"/>
        </w:rPr>
        <w:t>,主要用于</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智能终端嵌入 式软件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等专业领域的自主知识产权软件产品的研发。报告期内，公司共获取</w:t>
      </w:r>
      <w:r>
        <w:rPr>
          <w:rFonts w:ascii="Times New Roman" w:eastAsia="Times New Roman" w:hAnsi="Times New Roman" w:cs="Times New Roman"/>
          <w:color w:val="000000"/>
          <w:spacing w:val="0"/>
          <w:w w:val="100"/>
          <w:position w:val="0"/>
        </w:rPr>
        <w:t>29</w:t>
      </w:r>
      <w:r>
        <w:rPr>
          <w:color w:val="000000"/>
          <w:spacing w:val="0"/>
          <w:w w:val="100"/>
          <w:position w:val="0"/>
        </w:rPr>
        <w:t>项软件著作权、</w:t>
      </w:r>
      <w:r>
        <w:rPr>
          <w:rFonts w:ascii="Times New Roman" w:eastAsia="Times New Roman" w:hAnsi="Times New Roman" w:cs="Times New Roman"/>
          <w:color w:val="000000"/>
          <w:spacing w:val="0"/>
          <w:w w:val="100"/>
          <w:position w:val="0"/>
        </w:rPr>
        <w:t xml:space="preserve">10 </w:t>
      </w:r>
      <w:r>
        <w:rPr>
          <w:color w:val="000000"/>
          <w:spacing w:val="0"/>
          <w:w w:val="100"/>
          <w:position w:val="0"/>
        </w:rPr>
        <w:t>项软件产品登记证书、</w:t>
      </w:r>
      <w:r>
        <w:rPr>
          <w:rFonts w:ascii="Times New Roman" w:eastAsia="Times New Roman" w:hAnsi="Times New Roman" w:cs="Times New Roman"/>
          <w:color w:val="000000"/>
          <w:spacing w:val="0"/>
          <w:w w:val="100"/>
          <w:position w:val="0"/>
        </w:rPr>
        <w:t>1</w:t>
      </w:r>
      <w:r>
        <w:rPr>
          <w:color w:val="000000"/>
          <w:spacing w:val="0"/>
          <w:w w:val="100"/>
          <w:position w:val="0"/>
        </w:rPr>
        <w:t>项发明专利授权、</w:t>
      </w:r>
      <w:r>
        <w:rPr>
          <w:rFonts w:ascii="Times New Roman" w:eastAsia="Times New Roman" w:hAnsi="Times New Roman" w:cs="Times New Roman"/>
          <w:color w:val="000000"/>
          <w:spacing w:val="0"/>
          <w:w w:val="100"/>
          <w:position w:val="0"/>
        </w:rPr>
        <w:t>2</w:t>
      </w:r>
      <w:r>
        <w:rPr>
          <w:color w:val="000000"/>
          <w:spacing w:val="0"/>
          <w:w w:val="100"/>
          <w:position w:val="0"/>
        </w:rPr>
        <w:t>项外观设计专利，申请</w:t>
      </w:r>
      <w:r>
        <w:rPr>
          <w:rFonts w:ascii="Times New Roman" w:eastAsia="Times New Roman" w:hAnsi="Times New Roman" w:cs="Times New Roman"/>
          <w:color w:val="000000"/>
          <w:spacing w:val="0"/>
          <w:w w:val="100"/>
          <w:position w:val="0"/>
        </w:rPr>
        <w:t>4</w:t>
      </w:r>
      <w:r>
        <w:rPr>
          <w:color w:val="000000"/>
          <w:spacing w:val="0"/>
          <w:w w:val="100"/>
          <w:position w:val="0"/>
        </w:rPr>
        <w:t>项发明专利、</w:t>
      </w:r>
      <w:r>
        <w:rPr>
          <w:rFonts w:ascii="Times New Roman" w:eastAsia="Times New Roman" w:hAnsi="Times New Roman" w:cs="Times New Roman"/>
          <w:color w:val="000000"/>
          <w:spacing w:val="0"/>
          <w:w w:val="100"/>
          <w:position w:val="0"/>
        </w:rPr>
        <w:t>3</w:t>
      </w:r>
      <w:r>
        <w:rPr>
          <w:color w:val="000000"/>
          <w:spacing w:val="0"/>
          <w:w w:val="100"/>
          <w:position w:val="0"/>
        </w:rPr>
        <w:t>项实用新型专利。</w:t>
      </w:r>
    </w:p>
    <w:p>
      <w:pPr>
        <w:pStyle w:val="Style28"/>
        <w:keepNext w:val="0"/>
        <w:keepLines w:val="0"/>
        <w:widowControl w:val="0"/>
        <w:shd w:val="clear" w:color="auto" w:fill="auto"/>
        <w:bidi w:val="0"/>
        <w:spacing w:before="0" w:after="440" w:line="312" w:lineRule="exact"/>
        <w:ind w:left="0" w:right="0" w:firstLine="380"/>
        <w:jc w:val="both"/>
      </w:pPr>
      <w:r>
        <w:rPr>
          <w:color w:val="000000"/>
          <w:spacing w:val="0"/>
          <w:w w:val="100"/>
          <w:position w:val="0"/>
        </w:rPr>
        <w:t>报告期内公司的研发投入较上年明显增加，增加的主要原因为公司主动布局未来发展，加大研发创新的投入，将公司多 年积累的专业知识与技术优势进行产品化、解决方案化，以适应和满足产业升级背景下信息化、智能化发展对软件服务的广 阔市场需求，集中力量提升公司的核心竞争力，研发投入按公司的年度经营计划实施。</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43,119,451.49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22,081,148.68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10,268,700.00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both"/>
      </w:pPr>
      <w:bookmarkStart w:id="92" w:name="bookmark92"/>
      <w:r>
        <w:rPr>
          <w:rFonts w:ascii="Times New Roman" w:eastAsia="Times New Roman" w:hAnsi="Times New Roman" w:cs="Times New Roman"/>
          <w:color w:val="000000"/>
          <w:spacing w:val="0"/>
          <w:w w:val="100"/>
          <w:position w:val="0"/>
        </w:rPr>
        <w:t>7</w:t>
      </w:r>
      <w:bookmarkEnd w:id="92"/>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457,064,143.64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357,032,939.25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432,763,932.03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299,596,268.71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24,300,211.61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57,436,670.54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-57.69%</w:t>
            </w:r>
          </w:p>
        </w:tc>
      </w:tr>
    </w:tbl>
    <w:p>
      <w:pPr>
        <w:widowControl w:val="0"/>
        <w:spacing w:line="1" w:lineRule="exact"/>
      </w:pP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12,358,632.74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4,394,755.25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200,510,860.65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19,610,823.58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922.45%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-188,152,227.91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-15,216,068.33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455,861,903.00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136,812,078.10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132,436,655.20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90,687,921.90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323,425,247.80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-80,544,740.45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364,362,748.21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-122.11%</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24,300,211.61</w:t>
      </w:r>
      <w:r>
        <w:rPr>
          <w:color w:val="000000"/>
          <w:spacing w:val="0"/>
          <w:w w:val="100"/>
          <w:position w:val="0"/>
        </w:rPr>
        <w:t>元，较上年同期金额减少</w:t>
      </w:r>
      <w:r>
        <w:rPr>
          <w:rFonts w:ascii="Times New Roman" w:eastAsia="Times New Roman" w:hAnsi="Times New Roman" w:cs="Times New Roman"/>
          <w:color w:val="000000"/>
          <w:spacing w:val="0"/>
          <w:w w:val="100"/>
          <w:position w:val="0"/>
        </w:rPr>
        <w:t>33,136,458.93</w:t>
      </w:r>
      <w:r>
        <w:rPr>
          <w:color w:val="000000"/>
          <w:spacing w:val="0"/>
          <w:w w:val="100"/>
          <w:position w:val="0"/>
        </w:rPr>
        <w:t>元，降幅</w:t>
      </w:r>
      <w:r>
        <w:rPr>
          <w:rFonts w:ascii="Times New Roman" w:eastAsia="Times New Roman" w:hAnsi="Times New Roman" w:cs="Times New Roman"/>
          <w:color w:val="000000"/>
          <w:spacing w:val="0"/>
          <w:w w:val="100"/>
          <w:position w:val="0"/>
        </w:rPr>
        <w:t>57.69%</w:t>
      </w:r>
      <w:r>
        <w:rPr>
          <w:color w:val="000000"/>
          <w:spacing w:val="0"/>
          <w:w w:val="100"/>
          <w:position w:val="0"/>
        </w:rPr>
        <w:t>, 主要是公司支付到期银行承兑汇票、以及职工薪酬较上年增加所致。</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报告期内，公司投资活动产生的现金流量净额为</w:t>
      </w:r>
      <w:r>
        <w:rPr>
          <w:rFonts w:ascii="Times New Roman" w:eastAsia="Times New Roman" w:hAnsi="Times New Roman" w:cs="Times New Roman"/>
          <w:color w:val="000000"/>
          <w:spacing w:val="0"/>
          <w:w w:val="100"/>
          <w:position w:val="0"/>
        </w:rPr>
        <w:t>-188,152,227.91</w:t>
      </w:r>
      <w:r>
        <w:rPr>
          <w:color w:val="000000"/>
          <w:spacing w:val="0"/>
          <w:w w:val="100"/>
          <w:position w:val="0"/>
        </w:rPr>
        <w:t>元,较上年同期金额减少</w:t>
      </w:r>
      <w:r>
        <w:rPr>
          <w:rFonts w:ascii="Times New Roman" w:eastAsia="Times New Roman" w:hAnsi="Times New Roman" w:cs="Times New Roman"/>
          <w:color w:val="000000"/>
          <w:spacing w:val="0"/>
          <w:w w:val="100"/>
          <w:position w:val="0"/>
        </w:rPr>
        <w:t>172,936,159.58</w:t>
      </w:r>
      <w:r>
        <w:rPr>
          <w:color w:val="000000"/>
          <w:spacing w:val="0"/>
          <w:w w:val="100"/>
          <w:position w:val="0"/>
        </w:rPr>
        <w:t>元，降幅</w:t>
      </w:r>
      <w:r>
        <w:rPr>
          <w:rFonts w:ascii="Times New Roman" w:eastAsia="Times New Roman" w:hAnsi="Times New Roman" w:cs="Times New Roman"/>
          <w:color w:val="000000"/>
          <w:spacing w:val="0"/>
          <w:w w:val="100"/>
          <w:position w:val="0"/>
        </w:rPr>
        <w:t>1136.54%</w:t>
      </w:r>
      <w:r>
        <w:rPr>
          <w:color w:val="000000"/>
          <w:spacing w:val="0"/>
          <w:w w:val="100"/>
          <w:position w:val="0"/>
        </w:rPr>
        <w:t>, 主要是全资子公司外包园公司</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项目投入所致；</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报告期内，筹资活动产生的现金流量净额为</w:t>
      </w:r>
      <w:r>
        <w:rPr>
          <w:rFonts w:ascii="Times New Roman" w:eastAsia="Times New Roman" w:hAnsi="Times New Roman" w:cs="Times New Roman"/>
          <w:color w:val="000000"/>
          <w:spacing w:val="0"/>
          <w:w w:val="100"/>
          <w:position w:val="0"/>
        </w:rPr>
        <w:t>90,687,921.9</w:t>
      </w:r>
      <w:r>
        <w:rPr>
          <w:color w:val="000000"/>
          <w:spacing w:val="0"/>
          <w:w w:val="100"/>
          <w:position w:val="0"/>
        </w:rPr>
        <w:t>元，较上年同期金额减少</w:t>
      </w:r>
      <w:r>
        <w:rPr>
          <w:rFonts w:ascii="Times New Roman" w:eastAsia="Times New Roman" w:hAnsi="Times New Roman" w:cs="Times New Roman"/>
          <w:color w:val="000000"/>
          <w:spacing w:val="0"/>
          <w:w w:val="100"/>
          <w:position w:val="0"/>
        </w:rPr>
        <w:t>232,935,870.07</w:t>
      </w:r>
      <w:r>
        <w:rPr>
          <w:color w:val="000000"/>
          <w:spacing w:val="0"/>
          <w:w w:val="100"/>
          <w:position w:val="0"/>
        </w:rPr>
        <w:t>元，降幅</w:t>
      </w:r>
      <w:r>
        <w:rPr>
          <w:rFonts w:ascii="Times New Roman" w:eastAsia="Times New Roman" w:hAnsi="Times New Roman" w:cs="Times New Roman"/>
          <w:color w:val="000000"/>
          <w:spacing w:val="0"/>
          <w:w w:val="100"/>
          <w:position w:val="0"/>
        </w:rPr>
        <w:t>72.02%</w:t>
      </w:r>
      <w:r>
        <w:rPr>
          <w:color w:val="000000"/>
          <w:spacing w:val="0"/>
          <w:w w:val="100"/>
          <w:position w:val="0"/>
        </w:rPr>
        <w:t>，主要 是公司上年同期募集资金到账和</w:t>
      </w:r>
      <w:r>
        <w:rPr>
          <w:rFonts w:ascii="Times New Roman" w:eastAsia="Times New Roman" w:hAnsi="Times New Roman" w:cs="Times New Roman"/>
          <w:color w:val="000000"/>
          <w:spacing w:val="0"/>
          <w:w w:val="100"/>
          <w:position w:val="0"/>
        </w:rPr>
        <w:t>2013</w:t>
      </w:r>
      <w:r>
        <w:rPr>
          <w:color w:val="000000"/>
          <w:spacing w:val="0"/>
          <w:w w:val="100"/>
          <w:position w:val="0"/>
        </w:rPr>
        <w:t>年现金分红</w:t>
      </w:r>
      <w:r>
        <w:rPr>
          <w:rFonts w:ascii="Times New Roman" w:eastAsia="Times New Roman" w:hAnsi="Times New Roman" w:cs="Times New Roman"/>
          <w:color w:val="000000"/>
          <w:spacing w:val="0"/>
          <w:w w:val="100"/>
          <w:position w:val="0"/>
        </w:rPr>
        <w:t>15,348,000.00</w:t>
      </w:r>
      <w:r>
        <w:rPr>
          <w:color w:val="000000"/>
          <w:spacing w:val="0"/>
          <w:w w:val="100"/>
          <w:position w:val="0"/>
        </w:rPr>
        <w:t>元所致。</w:t>
      </w:r>
    </w:p>
    <w:p>
      <w:pPr>
        <w:pStyle w:val="Style28"/>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79" w:lineRule="auto"/>
        <w:ind w:left="0" w:right="0" w:firstLine="0"/>
        <w:jc w:val="left"/>
      </w:pPr>
      <w:bookmarkStart w:id="93" w:name="bookmark93"/>
      <w:r>
        <w:rPr>
          <w:rFonts w:ascii="Times New Roman" w:eastAsia="Times New Roman" w:hAnsi="Times New Roman" w:cs="Times New Roman"/>
          <w:color w:val="000000"/>
          <w:spacing w:val="0"/>
          <w:w w:val="100"/>
          <w:position w:val="0"/>
        </w:rPr>
        <w:t>8</w:t>
      </w:r>
      <w:bookmarkEnd w:id="93"/>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28"/>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149,309,924.65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w:t>
            </w:r>
          </w:p>
        </w:tc>
      </w:tr>
    </w:tbl>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62,988,580.46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w:t>
            </w:r>
          </w:p>
        </w:tc>
      </w:tr>
    </w:tbl>
    <w:p>
      <w:pPr>
        <w:pStyle w:val="Style28"/>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10" w:lineRule="exact"/>
        <w:ind w:left="0" w:right="0" w:firstLine="0"/>
        <w:jc w:val="left"/>
      </w:pPr>
      <w:bookmarkStart w:id="94" w:name="bookmark94"/>
      <w:r>
        <w:rPr>
          <w:rFonts w:ascii="Times New Roman" w:eastAsia="Times New Roman" w:hAnsi="Times New Roman" w:cs="Times New Roman"/>
          <w:color w:val="000000"/>
          <w:spacing w:val="0"/>
          <w:w w:val="100"/>
          <w:position w:val="0"/>
        </w:rPr>
        <w:t>9</w:t>
      </w:r>
      <w:bookmarkEnd w:id="94"/>
      <w:r>
        <w:rPr>
          <w:rFonts w:ascii="Times New Roman" w:eastAsia="Times New Roman" w:hAnsi="Times New Roman" w:cs="Times New Roman"/>
          <w:color w:val="000000"/>
          <w:spacing w:val="0"/>
          <w:w w:val="100"/>
          <w:position w:val="0"/>
        </w:rPr>
        <w:t>）</w:t>
      </w:r>
      <w:r>
        <w:rPr>
          <w:color w:val="000000"/>
          <w:spacing w:val="0"/>
          <w:w w:val="100"/>
          <w:position w:val="0"/>
        </w:rPr>
        <w:t>公司未来发展与规划延续至报告期的说明</w:t>
      </w:r>
    </w:p>
    <w:p>
      <w:pPr>
        <w:pStyle w:val="Style28"/>
        <w:keepNext w:val="0"/>
        <w:keepLines w:val="0"/>
        <w:widowControl w:val="0"/>
        <w:shd w:val="clear" w:color="auto" w:fill="auto"/>
        <w:bidi w:val="0"/>
        <w:spacing w:before="0" w:after="100" w:line="310" w:lineRule="exact"/>
        <w:ind w:left="0" w:right="0" w:firstLine="0"/>
        <w:jc w:val="left"/>
      </w:pPr>
      <w:r>
        <w:rPr>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公司在招股说明书披露的未来三年发展规划及目标如下：</w:t>
      </w:r>
    </w:p>
    <w:p>
      <w:pPr>
        <w:pStyle w:val="Style28"/>
        <w:keepNext w:val="0"/>
        <w:keepLines w:val="0"/>
        <w:widowControl w:val="0"/>
        <w:numPr>
          <w:ilvl w:val="0"/>
          <w:numId w:val="11"/>
        </w:numPr>
        <w:shd w:val="clear" w:color="auto" w:fill="auto"/>
        <w:tabs>
          <w:tab w:pos="373" w:val="left"/>
        </w:tabs>
        <w:bidi w:val="0"/>
        <w:spacing w:before="0" w:after="0" w:line="310" w:lineRule="exact"/>
        <w:ind w:left="0" w:right="0" w:firstLine="0"/>
        <w:jc w:val="left"/>
      </w:pPr>
      <w:bookmarkStart w:id="95" w:name="bookmark95"/>
      <w:bookmarkEnd w:id="95"/>
      <w:r>
        <w:rPr>
          <w:color w:val="000000"/>
          <w:spacing w:val="0"/>
          <w:w w:val="100"/>
          <w:position w:val="0"/>
        </w:rPr>
        <w:t>公司将进一步巩固和提高在软件外包领域细分市场行业经验、经营模式、特定技术、项目管理等方面的优势，坚持高端化 发展原则，进一步凝聚高层次人才，拓展软件外包综合服务能力，通过产业链上下游企业的全面合作，构造产业聚集效应。</w:t>
      </w:r>
    </w:p>
    <w:p>
      <w:pPr>
        <w:pStyle w:val="Style28"/>
        <w:keepNext w:val="0"/>
        <w:keepLines w:val="0"/>
        <w:widowControl w:val="0"/>
        <w:numPr>
          <w:ilvl w:val="0"/>
          <w:numId w:val="11"/>
        </w:numPr>
        <w:shd w:val="clear" w:color="auto" w:fill="auto"/>
        <w:tabs>
          <w:tab w:pos="373" w:val="left"/>
        </w:tabs>
        <w:bidi w:val="0"/>
        <w:spacing w:before="0" w:after="0" w:line="310" w:lineRule="exact"/>
        <w:ind w:left="0" w:right="0" w:firstLine="0"/>
        <w:jc w:val="left"/>
      </w:pPr>
      <w:bookmarkStart w:id="96" w:name="bookmark96"/>
      <w:bookmarkEnd w:id="96"/>
      <w:r>
        <w:rPr>
          <w:color w:val="000000"/>
          <w:spacing w:val="0"/>
          <w:w w:val="100"/>
          <w:position w:val="0"/>
        </w:rPr>
        <w:t>强化专业化发展原则，继续巩固和深化公司在</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等三个 核心领域的专业化能力，加大研发投入和技术储备，进一步扩大核心领域的业务规模，提升市场占有率。</w:t>
      </w:r>
    </w:p>
    <w:p>
      <w:pPr>
        <w:pStyle w:val="Style28"/>
        <w:keepNext w:val="0"/>
        <w:keepLines w:val="0"/>
        <w:widowControl w:val="0"/>
        <w:numPr>
          <w:ilvl w:val="0"/>
          <w:numId w:val="11"/>
        </w:numPr>
        <w:shd w:val="clear" w:color="auto" w:fill="auto"/>
        <w:tabs>
          <w:tab w:pos="373" w:val="left"/>
        </w:tabs>
        <w:bidi w:val="0"/>
        <w:spacing w:before="0" w:after="0" w:line="310" w:lineRule="exact"/>
        <w:ind w:left="0" w:right="0" w:firstLine="0"/>
        <w:jc w:val="left"/>
      </w:pPr>
      <w:bookmarkStart w:id="97" w:name="bookmark97"/>
      <w:bookmarkEnd w:id="97"/>
      <w:r>
        <w:rPr>
          <w:color w:val="000000"/>
          <w:spacing w:val="0"/>
          <w:w w:val="100"/>
          <w:position w:val="0"/>
        </w:rPr>
        <w:t xml:space="preserve">坚持国际市场与国内市场互动发展原则，完善国际市场布局，进一步提升全球服务交付能力，大力拓展国内市场，充分抓 </w:t>
      </w:r>
      <w:r>
        <w:rPr>
          <w:color w:val="000000"/>
          <w:spacing w:val="0"/>
          <w:w w:val="100"/>
          <w:position w:val="0"/>
        </w:rPr>
        <w:t>住中国产业升级背景下软件外包服务大发展的历史机遇。</w:t>
      </w:r>
    </w:p>
    <w:p>
      <w:pPr>
        <w:pStyle w:val="Style28"/>
        <w:keepNext w:val="0"/>
        <w:keepLines w:val="0"/>
        <w:widowControl w:val="0"/>
        <w:numPr>
          <w:ilvl w:val="0"/>
          <w:numId w:val="11"/>
        </w:numPr>
        <w:shd w:val="clear" w:color="auto" w:fill="auto"/>
        <w:bidi w:val="0"/>
        <w:spacing w:before="0" w:after="0" w:line="308" w:lineRule="exact"/>
        <w:ind w:left="0" w:right="0" w:firstLine="0"/>
        <w:jc w:val="both"/>
      </w:pPr>
      <w:bookmarkStart w:id="98" w:name="bookmark98"/>
      <w:bookmarkEnd w:id="98"/>
      <w:r>
        <w:rPr>
          <w:color w:val="000000"/>
          <w:spacing w:val="0"/>
          <w:w w:val="100"/>
          <w:position w:val="0"/>
        </w:rPr>
        <w:t>通过资本市场不断充实资本实力，尽快突破资金瓶颈与规模局限，重点完成本次募投项目建设，提升在</w:t>
      </w:r>
      <w:r>
        <w:rPr>
          <w:rFonts w:ascii="Times New Roman" w:eastAsia="Times New Roman" w:hAnsi="Times New Roman" w:cs="Times New Roman"/>
          <w:color w:val="000000"/>
          <w:spacing w:val="0"/>
          <w:w w:val="100"/>
          <w:position w:val="0"/>
        </w:rPr>
        <w:t>“</w:t>
      </w:r>
      <w:r>
        <w:rPr>
          <w:color w:val="000000"/>
          <w:spacing w:val="0"/>
          <w:w w:val="100"/>
          <w:position w:val="0"/>
        </w:rPr>
        <w:t>智能终端嵌入式 软件</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等专业领域进行专业团队培育、扩建与持续技术升级的能力，丰富公司组织知识库，不断提升公 司行业地位和品牌知名度。</w:t>
      </w:r>
    </w:p>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报告期内的实施情况如下：</w:t>
      </w:r>
    </w:p>
    <w:p>
      <w:pPr>
        <w:pStyle w:val="Style28"/>
        <w:keepNext w:val="0"/>
        <w:keepLines w:val="0"/>
        <w:widowControl w:val="0"/>
        <w:numPr>
          <w:ilvl w:val="0"/>
          <w:numId w:val="13"/>
        </w:numPr>
        <w:shd w:val="clear" w:color="auto" w:fill="auto"/>
        <w:tabs>
          <w:tab w:pos="349" w:val="left"/>
        </w:tabs>
        <w:bidi w:val="0"/>
        <w:spacing w:before="0" w:after="0" w:line="308" w:lineRule="exact"/>
        <w:ind w:left="0" w:right="0" w:firstLine="0"/>
        <w:jc w:val="left"/>
      </w:pPr>
      <w:bookmarkStart w:id="99" w:name="bookmark99"/>
      <w:bookmarkEnd w:id="99"/>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高端化</w:t>
      </w:r>
      <w:r>
        <w:rPr>
          <w:rFonts w:ascii="Times New Roman" w:eastAsia="Times New Roman" w:hAnsi="Times New Roman" w:cs="Times New Roman"/>
          <w:color w:val="000000"/>
          <w:spacing w:val="0"/>
          <w:w w:val="100"/>
          <w:position w:val="0"/>
        </w:rPr>
        <w:t>”</w:t>
      </w:r>
      <w:r>
        <w:rPr>
          <w:color w:val="000000"/>
          <w:spacing w:val="0"/>
          <w:w w:val="100"/>
          <w:position w:val="0"/>
        </w:rPr>
        <w:t>的发展原则，积极探索和保持公司在软件服务中的高端发展能力，并持续通过产业链上下游企业的合作， 已经初步形成了产业集聚效应。</w:t>
      </w:r>
    </w:p>
    <w:p>
      <w:pPr>
        <w:pStyle w:val="Style28"/>
        <w:keepNext w:val="0"/>
        <w:keepLines w:val="0"/>
        <w:widowControl w:val="0"/>
        <w:numPr>
          <w:ilvl w:val="0"/>
          <w:numId w:val="13"/>
        </w:numPr>
        <w:shd w:val="clear" w:color="auto" w:fill="auto"/>
        <w:tabs>
          <w:tab w:pos="349" w:val="left"/>
        </w:tabs>
        <w:bidi w:val="0"/>
        <w:spacing w:before="0" w:after="0" w:line="308" w:lineRule="exact"/>
        <w:ind w:left="0" w:right="0" w:firstLine="0"/>
        <w:jc w:val="left"/>
      </w:pPr>
      <w:bookmarkStart w:id="100" w:name="bookmark100"/>
      <w:bookmarkEnd w:id="100"/>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专业化</w:t>
      </w:r>
      <w:r>
        <w:rPr>
          <w:rFonts w:ascii="Times New Roman" w:eastAsia="Times New Roman" w:hAnsi="Times New Roman" w:cs="Times New Roman"/>
          <w:color w:val="000000"/>
          <w:spacing w:val="0"/>
          <w:w w:val="100"/>
          <w:position w:val="0"/>
        </w:rPr>
        <w:t>”</w:t>
      </w:r>
      <w:r>
        <w:rPr>
          <w:color w:val="000000"/>
          <w:spacing w:val="0"/>
          <w:w w:val="100"/>
          <w:position w:val="0"/>
        </w:rPr>
        <w:t>的发展原则，加大市场推广力度，并通过创新研发增强了公司的核心竞争力，报告期内</w:t>
      </w:r>
      <w:r>
        <w:rPr>
          <w:rFonts w:ascii="Times New Roman" w:eastAsia="Times New Roman" w:hAnsi="Times New Roman" w:cs="Times New Roman"/>
          <w:color w:val="000000"/>
          <w:spacing w:val="0"/>
          <w:w w:val="100"/>
          <w:position w:val="0"/>
        </w:rPr>
        <w:t>“</w:t>
      </w:r>
      <w:r>
        <w:rPr>
          <w:color w:val="000000"/>
          <w:spacing w:val="0"/>
          <w:w w:val="100"/>
          <w:position w:val="0"/>
        </w:rPr>
        <w:t>智能终端嵌入 式软件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等三个核心专业领域的软件业务收入较上年同比均实现稳定增长，增 长比例分别为：</w:t>
      </w:r>
      <w:r>
        <w:rPr>
          <w:rFonts w:ascii="Times New Roman" w:eastAsia="Times New Roman" w:hAnsi="Times New Roman" w:cs="Times New Roman"/>
          <w:color w:val="000000"/>
          <w:spacing w:val="0"/>
          <w:w w:val="100"/>
          <w:position w:val="0"/>
        </w:rPr>
        <w:t>2.64%</w:t>
      </w:r>
      <w:r>
        <w:rPr>
          <w:color w:val="000000"/>
          <w:spacing w:val="0"/>
          <w:w w:val="100"/>
          <w:position w:val="0"/>
        </w:rPr>
        <w:t>、</w:t>
      </w:r>
      <w:r>
        <w:rPr>
          <w:rFonts w:ascii="Times New Roman" w:eastAsia="Times New Roman" w:hAnsi="Times New Roman" w:cs="Times New Roman"/>
          <w:color w:val="000000"/>
          <w:spacing w:val="0"/>
          <w:w w:val="100"/>
          <w:position w:val="0"/>
        </w:rPr>
        <w:t>23.50%</w:t>
      </w:r>
      <w:r>
        <w:rPr>
          <w:color w:val="000000"/>
          <w:spacing w:val="0"/>
          <w:w w:val="100"/>
          <w:position w:val="0"/>
        </w:rPr>
        <w:t>、</w:t>
      </w:r>
      <w:r>
        <w:rPr>
          <w:rFonts w:ascii="Times New Roman" w:eastAsia="Times New Roman" w:hAnsi="Times New Roman" w:cs="Times New Roman"/>
          <w:color w:val="000000"/>
          <w:spacing w:val="0"/>
          <w:w w:val="100"/>
          <w:position w:val="0"/>
        </w:rPr>
        <w:t>20.72%</w:t>
      </w:r>
      <w:r>
        <w:rPr>
          <w:color w:val="000000"/>
          <w:spacing w:val="0"/>
          <w:w w:val="100"/>
          <w:position w:val="0"/>
        </w:rPr>
        <w:t>，三大专业领域的业务收入占营业收入的比重为</w:t>
      </w:r>
      <w:r>
        <w:rPr>
          <w:rFonts w:ascii="Times New Roman" w:eastAsia="Times New Roman" w:hAnsi="Times New Roman" w:cs="Times New Roman"/>
          <w:color w:val="000000"/>
          <w:spacing w:val="0"/>
          <w:w w:val="100"/>
          <w:position w:val="0"/>
        </w:rPr>
        <w:t>70.34%</w:t>
      </w:r>
      <w:r>
        <w:rPr>
          <w:color w:val="000000"/>
          <w:spacing w:val="0"/>
          <w:w w:val="100"/>
          <w:position w:val="0"/>
        </w:rPr>
        <w:t>，占软件业务收入的比重 为</w:t>
      </w:r>
      <w:r>
        <w:rPr>
          <w:rFonts w:ascii="Times New Roman" w:eastAsia="Times New Roman" w:hAnsi="Times New Roman" w:cs="Times New Roman"/>
          <w:color w:val="000000"/>
          <w:spacing w:val="0"/>
          <w:w w:val="100"/>
          <w:position w:val="0"/>
        </w:rPr>
        <w:t>96.97%</w:t>
      </w:r>
      <w:r>
        <w:rPr>
          <w:color w:val="000000"/>
          <w:spacing w:val="0"/>
          <w:w w:val="100"/>
          <w:position w:val="0"/>
        </w:rPr>
        <w:t>。，专业化已成为公司主营业务收入的主要增长点。</w:t>
      </w:r>
    </w:p>
    <w:p>
      <w:pPr>
        <w:pStyle w:val="Style28"/>
        <w:keepNext w:val="0"/>
        <w:keepLines w:val="0"/>
        <w:widowControl w:val="0"/>
        <w:numPr>
          <w:ilvl w:val="0"/>
          <w:numId w:val="13"/>
        </w:numPr>
        <w:shd w:val="clear" w:color="auto" w:fill="auto"/>
        <w:tabs>
          <w:tab w:pos="349" w:val="left"/>
        </w:tabs>
        <w:bidi w:val="0"/>
        <w:spacing w:before="0" w:after="0" w:line="308" w:lineRule="exact"/>
        <w:ind w:left="0" w:right="0" w:firstLine="0"/>
        <w:jc w:val="left"/>
      </w:pPr>
      <w:bookmarkStart w:id="101" w:name="bookmark101"/>
      <w:bookmarkEnd w:id="101"/>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国际化</w:t>
      </w:r>
      <w:r>
        <w:rPr>
          <w:color w:val="000000"/>
          <w:spacing w:val="0"/>
          <w:w w:val="100"/>
          <w:position w:val="0"/>
        </w:rPr>
        <w:t>''</w:t>
      </w:r>
      <w:r>
        <w:rPr>
          <w:color w:val="000000"/>
          <w:spacing w:val="0"/>
          <w:w w:val="100"/>
          <w:position w:val="0"/>
        </w:rPr>
        <w:t>的发展原则，通过国际、国内市场互动，并抓住国内市场的快速发展机遇，报告期内国际、国内主营业 务收入较上年同比均实现稳定增长，增长比例分别为：</w:t>
      </w:r>
      <w:r>
        <w:rPr>
          <w:rFonts w:ascii="Times New Roman" w:eastAsia="Times New Roman" w:hAnsi="Times New Roman" w:cs="Times New Roman"/>
          <w:color w:val="000000"/>
          <w:spacing w:val="0"/>
          <w:w w:val="100"/>
          <w:position w:val="0"/>
        </w:rPr>
        <w:t>12.41%</w:t>
      </w:r>
      <w:r>
        <w:rPr>
          <w:color w:val="000000"/>
          <w:spacing w:val="0"/>
          <w:w w:val="100"/>
          <w:position w:val="0"/>
        </w:rPr>
        <w:t>、</w:t>
      </w:r>
      <w:r>
        <w:rPr>
          <w:rFonts w:ascii="Times New Roman" w:eastAsia="Times New Roman" w:hAnsi="Times New Roman" w:cs="Times New Roman"/>
          <w:color w:val="000000"/>
          <w:spacing w:val="0"/>
          <w:w w:val="100"/>
          <w:position w:val="0"/>
        </w:rPr>
        <w:t>31.73%</w:t>
      </w:r>
      <w:r>
        <w:rPr>
          <w:color w:val="000000"/>
          <w:spacing w:val="0"/>
          <w:w w:val="100"/>
          <w:position w:val="0"/>
        </w:rPr>
        <w:t>。</w:t>
      </w:r>
    </w:p>
    <w:p>
      <w:pPr>
        <w:pStyle w:val="Style28"/>
        <w:keepNext w:val="0"/>
        <w:keepLines w:val="0"/>
        <w:widowControl w:val="0"/>
        <w:numPr>
          <w:ilvl w:val="0"/>
          <w:numId w:val="13"/>
        </w:numPr>
        <w:shd w:val="clear" w:color="auto" w:fill="auto"/>
        <w:tabs>
          <w:tab w:pos="349" w:val="left"/>
        </w:tabs>
        <w:bidi w:val="0"/>
        <w:spacing w:before="0" w:after="340" w:line="308" w:lineRule="exact"/>
        <w:ind w:left="0" w:right="0" w:firstLine="0"/>
        <w:jc w:val="left"/>
      </w:pPr>
      <w:bookmarkStart w:id="102" w:name="bookmark102"/>
      <w:bookmarkEnd w:id="102"/>
      <w:r>
        <w:rPr>
          <w:color w:val="000000"/>
          <w:spacing w:val="0"/>
          <w:w w:val="100"/>
          <w:position w:val="0"/>
        </w:rPr>
        <w:t>公司上市后，按募投项目的计划推进募投项目的建设，在</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专业领域中加快创新 研发力度，并投入自有资金在</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专业领域中进行技术研发，报告期内，公司研发投入为</w:t>
      </w:r>
      <w:r>
        <w:rPr>
          <w:rFonts w:ascii="Times New Roman" w:eastAsia="Times New Roman" w:hAnsi="Times New Roman" w:cs="Times New Roman"/>
          <w:color w:val="000000"/>
          <w:spacing w:val="0"/>
          <w:w w:val="100"/>
          <w:position w:val="0"/>
        </w:rPr>
        <w:t>43,119,451.49</w:t>
      </w:r>
      <w:r>
        <w:rPr>
          <w:color w:val="000000"/>
          <w:spacing w:val="0"/>
          <w:w w:val="100"/>
          <w:position w:val="0"/>
        </w:rPr>
        <w:t>元， 占营业收入的比重为</w:t>
      </w:r>
      <w:r>
        <w:rPr>
          <w:rFonts w:ascii="Times New Roman" w:eastAsia="Times New Roman" w:hAnsi="Times New Roman" w:cs="Times New Roman"/>
          <w:color w:val="000000"/>
          <w:spacing w:val="0"/>
          <w:w w:val="100"/>
          <w:position w:val="0"/>
        </w:rPr>
        <w:t>9.04%</w:t>
      </w:r>
      <w:r>
        <w:rPr>
          <w:color w:val="000000"/>
          <w:spacing w:val="0"/>
          <w:w w:val="100"/>
          <w:position w:val="0"/>
        </w:rPr>
        <w:t>，主要用于</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等专业领域的自 主知识产权软件产品的研发。报告期内，公司共获取</w:t>
      </w:r>
      <w:r>
        <w:rPr>
          <w:rFonts w:ascii="Times New Roman" w:eastAsia="Times New Roman" w:hAnsi="Times New Roman" w:cs="Times New Roman"/>
          <w:color w:val="000000"/>
          <w:spacing w:val="0"/>
          <w:w w:val="100"/>
          <w:position w:val="0"/>
        </w:rPr>
        <w:t>29</w:t>
      </w:r>
      <w:r>
        <w:rPr>
          <w:color w:val="000000"/>
          <w:spacing w:val="0"/>
          <w:w w:val="100"/>
          <w:position w:val="0"/>
        </w:rPr>
        <w:t>项软件著作权、</w:t>
      </w:r>
      <w:r>
        <w:rPr>
          <w:rFonts w:ascii="Times New Roman" w:eastAsia="Times New Roman" w:hAnsi="Times New Roman" w:cs="Times New Roman"/>
          <w:color w:val="000000"/>
          <w:spacing w:val="0"/>
          <w:w w:val="100"/>
          <w:position w:val="0"/>
        </w:rPr>
        <w:t>10</w:t>
      </w:r>
      <w:r>
        <w:rPr>
          <w:color w:val="000000"/>
          <w:spacing w:val="0"/>
          <w:w w:val="100"/>
          <w:position w:val="0"/>
        </w:rPr>
        <w:t>项软件产品登记证书、</w:t>
      </w:r>
      <w:r>
        <w:rPr>
          <w:rFonts w:ascii="Times New Roman" w:eastAsia="Times New Roman" w:hAnsi="Times New Roman" w:cs="Times New Roman"/>
          <w:color w:val="000000"/>
          <w:spacing w:val="0"/>
          <w:w w:val="100"/>
          <w:position w:val="0"/>
        </w:rPr>
        <w:t>1</w:t>
      </w:r>
      <w:r>
        <w:rPr>
          <w:color w:val="000000"/>
          <w:spacing w:val="0"/>
          <w:w w:val="100"/>
          <w:position w:val="0"/>
        </w:rPr>
        <w:t>项发明专利授权、</w:t>
      </w:r>
      <w:r>
        <w:rPr>
          <w:rFonts w:ascii="Times New Roman" w:eastAsia="Times New Roman" w:hAnsi="Times New Roman" w:cs="Times New Roman"/>
          <w:color w:val="000000"/>
          <w:spacing w:val="0"/>
          <w:w w:val="100"/>
          <w:position w:val="0"/>
        </w:rPr>
        <w:t>2</w:t>
      </w:r>
      <w:r>
        <w:rPr>
          <w:color w:val="000000"/>
          <w:spacing w:val="0"/>
          <w:w w:val="100"/>
          <w:position w:val="0"/>
        </w:rPr>
        <w:t>项外 观设计专利，申请</w:t>
      </w:r>
      <w:r>
        <w:rPr>
          <w:rFonts w:ascii="Times New Roman" w:eastAsia="Times New Roman" w:hAnsi="Times New Roman" w:cs="Times New Roman"/>
          <w:color w:val="000000"/>
          <w:spacing w:val="0"/>
          <w:w w:val="100"/>
          <w:position w:val="0"/>
        </w:rPr>
        <w:t>4</w:t>
      </w:r>
      <w:r>
        <w:rPr>
          <w:color w:val="000000"/>
          <w:spacing w:val="0"/>
          <w:w w:val="100"/>
          <w:position w:val="0"/>
        </w:rPr>
        <w:t>项发明专利、</w:t>
      </w:r>
      <w:r>
        <w:rPr>
          <w:rFonts w:ascii="Times New Roman" w:eastAsia="Times New Roman" w:hAnsi="Times New Roman" w:cs="Times New Roman"/>
          <w:color w:val="000000"/>
          <w:spacing w:val="0"/>
          <w:w w:val="100"/>
          <w:position w:val="0"/>
        </w:rPr>
        <w:t>3</w:t>
      </w:r>
      <w:r>
        <w:rPr>
          <w:color w:val="000000"/>
          <w:spacing w:val="0"/>
          <w:w w:val="100"/>
          <w:position w:val="0"/>
        </w:rPr>
        <w:t>项实用新型专利。</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前期披露的发展战略和经营计划在报告期内的进展情况</w:t>
      </w:r>
    </w:p>
    <w:p>
      <w:pPr>
        <w:pStyle w:val="Style28"/>
        <w:keepNext w:val="0"/>
        <w:keepLines w:val="0"/>
        <w:widowControl w:val="0"/>
        <w:shd w:val="clear" w:color="auto" w:fill="auto"/>
        <w:bidi w:val="0"/>
        <w:spacing w:before="0" w:after="8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年度报告中，预测</w:t>
      </w:r>
      <w:r>
        <w:rPr>
          <w:rFonts w:ascii="Times New Roman" w:eastAsia="Times New Roman" w:hAnsi="Times New Roman" w:cs="Times New Roman"/>
          <w:color w:val="000000"/>
          <w:spacing w:val="0"/>
          <w:w w:val="100"/>
          <w:position w:val="0"/>
        </w:rPr>
        <w:t>2013</w:t>
      </w:r>
      <w:r>
        <w:rPr>
          <w:color w:val="000000"/>
          <w:spacing w:val="0"/>
          <w:w w:val="100"/>
          <w:position w:val="0"/>
        </w:rPr>
        <w:t>年公司主营业务将保持持续增长，</w:t>
      </w:r>
      <w:r>
        <w:rPr>
          <w:rFonts w:ascii="Times New Roman" w:eastAsia="Times New Roman" w:hAnsi="Times New Roman" w:cs="Times New Roman"/>
          <w:color w:val="000000"/>
          <w:spacing w:val="0"/>
          <w:w w:val="100"/>
          <w:position w:val="0"/>
        </w:rPr>
        <w:t>2013</w:t>
      </w:r>
      <w:r>
        <w:rPr>
          <w:color w:val="000000"/>
          <w:spacing w:val="0"/>
          <w:w w:val="100"/>
          <w:position w:val="0"/>
        </w:rPr>
        <w:t>年公司主营业务收入</w:t>
      </w:r>
      <w:r>
        <w:rPr>
          <w:rFonts w:ascii="Times New Roman" w:eastAsia="Times New Roman" w:hAnsi="Times New Roman" w:cs="Times New Roman"/>
          <w:color w:val="000000"/>
          <w:spacing w:val="0"/>
          <w:w w:val="100"/>
          <w:position w:val="0"/>
        </w:rPr>
        <w:t>47,490.32</w:t>
      </w:r>
      <w:r>
        <w:rPr>
          <w:color w:val="000000"/>
          <w:spacing w:val="0"/>
          <w:w w:val="100"/>
          <w:position w:val="0"/>
        </w:rPr>
        <w:t>万元，较上年同期 增长</w:t>
      </w:r>
      <w:r>
        <w:rPr>
          <w:rFonts w:ascii="Times New Roman" w:eastAsia="Times New Roman" w:hAnsi="Times New Roman" w:cs="Times New Roman"/>
          <w:color w:val="000000"/>
          <w:spacing w:val="0"/>
          <w:w w:val="100"/>
          <w:position w:val="0"/>
        </w:rPr>
        <w:t>25.83%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年度报中的公司发展规划中主要涉及市场开发、研发创新、人力资源、收购兼并等相关规划。</w:t>
      </w:r>
    </w:p>
    <w:p>
      <w:pPr>
        <w:pStyle w:val="Style28"/>
        <w:keepNext w:val="0"/>
        <w:keepLines w:val="0"/>
        <w:widowControl w:val="0"/>
        <w:shd w:val="clear" w:color="auto" w:fill="auto"/>
        <w:tabs>
          <w:tab w:pos="310" w:val="left"/>
        </w:tabs>
        <w:bidi w:val="0"/>
        <w:spacing w:before="0" w:after="0"/>
        <w:ind w:left="0" w:right="0" w:firstLine="0"/>
        <w:jc w:val="both"/>
      </w:pPr>
      <w:bookmarkStart w:id="103" w:name="bookmark103"/>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市场开发</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报告期内，公司销售费用的金额为</w:t>
      </w:r>
      <w:r>
        <w:rPr>
          <w:rFonts w:ascii="Times New Roman" w:eastAsia="Times New Roman" w:hAnsi="Times New Roman" w:cs="Times New Roman"/>
          <w:color w:val="000000"/>
          <w:spacing w:val="0"/>
          <w:w w:val="100"/>
          <w:position w:val="0"/>
        </w:rPr>
        <w:t>3159.53</w:t>
      </w:r>
      <w:r>
        <w:rPr>
          <w:color w:val="000000"/>
          <w:spacing w:val="0"/>
          <w:w w:val="100"/>
          <w:position w:val="0"/>
        </w:rPr>
        <w:t>万元，较上年增长</w:t>
      </w:r>
      <w:r>
        <w:rPr>
          <w:rFonts w:ascii="Times New Roman" w:eastAsia="Times New Roman" w:hAnsi="Times New Roman" w:cs="Times New Roman"/>
          <w:color w:val="000000"/>
          <w:spacing w:val="0"/>
          <w:w w:val="100"/>
          <w:position w:val="0"/>
        </w:rPr>
        <w:t>15.44%</w:t>
      </w:r>
      <w:r>
        <w:rPr>
          <w:color w:val="000000"/>
          <w:spacing w:val="0"/>
          <w:w w:val="100"/>
          <w:position w:val="0"/>
        </w:rPr>
        <w:t>，销售费用增长的主要原因是公司加大市场开拓力度， 公司软件业务中的三大专业领域：供应链管理软件、智能终端嵌入式软件、智能电网信息化软件的业务均保持持续增长。并 开拓了</w:t>
      </w:r>
      <w:r>
        <w:rPr>
          <w:rFonts w:ascii="Times New Roman" w:eastAsia="Times New Roman" w:hAnsi="Times New Roman" w:cs="Times New Roman"/>
          <w:color w:val="000000"/>
          <w:spacing w:val="0"/>
          <w:w w:val="100"/>
          <w:position w:val="0"/>
        </w:rPr>
        <w:t>Marvell Technology Group Ltd</w:t>
      </w:r>
      <w:r>
        <w:rPr>
          <w:rFonts w:ascii="Times New Roman" w:eastAsia="Times New Roman" w:hAnsi="Times New Roman" w:cs="Times New Roman"/>
          <w:color w:val="000000"/>
          <w:spacing w:val="0"/>
          <w:w w:val="100"/>
          <w:position w:val="0"/>
        </w:rPr>
        <w:t>（</w:t>
      </w:r>
      <w:r>
        <w:rPr>
          <w:color w:val="000000"/>
          <w:spacing w:val="0"/>
          <w:w w:val="100"/>
          <w:position w:val="0"/>
        </w:rPr>
        <w:t>迈威科技集团有限公司</w:t>
      </w:r>
      <w:r>
        <w:rPr>
          <w:rFonts w:ascii="Times New Roman" w:eastAsia="Times New Roman" w:hAnsi="Times New Roman" w:cs="Times New Roman"/>
          <w:color w:val="000000"/>
          <w:spacing w:val="0"/>
          <w:w w:val="100"/>
          <w:position w:val="0"/>
        </w:rPr>
        <w:t>）</w:t>
      </w:r>
      <w:r>
        <w:rPr>
          <w:color w:val="000000"/>
          <w:spacing w:val="0"/>
          <w:w w:val="100"/>
          <w:position w:val="0"/>
        </w:rPr>
        <w:t>、富士软件株式会社、索尼移动通信（中国）有限公司、驰加</w:t>
      </w:r>
    </w:p>
    <w:p>
      <w:pPr>
        <w:pStyle w:val="Style28"/>
        <w:keepNext w:val="0"/>
        <w:keepLines w:val="0"/>
        <w:widowControl w:val="0"/>
        <w:shd w:val="clear" w:color="auto" w:fill="auto"/>
        <w:bidi w:val="0"/>
        <w:spacing w:before="0" w:after="80" w:line="314" w:lineRule="exact"/>
        <w:ind w:left="0" w:right="0" w:firstLine="0"/>
        <w:jc w:val="both"/>
      </w:pPr>
      <w:r>
        <w:rPr>
          <w:color w:val="000000"/>
          <w:spacing w:val="0"/>
          <w:w w:val="100"/>
          <w:position w:val="0"/>
        </w:rPr>
        <w:t>（上海）汽车用品贸易有限公司（米其林集团子公司）、贵人鸟股份有限公司、喜临门家具股份有限公司、汉庭科技</w:t>
      </w:r>
      <w:r>
        <w:rPr>
          <w:rFonts w:ascii="Times New Roman" w:eastAsia="Times New Roman" w:hAnsi="Times New Roman" w:cs="Times New Roman"/>
          <w:color w:val="000000"/>
          <w:spacing w:val="0"/>
          <w:w w:val="100"/>
          <w:position w:val="0"/>
        </w:rPr>
        <w:t>（</w:t>
      </w:r>
      <w:r>
        <w:rPr>
          <w:color w:val="000000"/>
          <w:spacing w:val="0"/>
          <w:w w:val="100"/>
          <w:position w:val="0"/>
        </w:rPr>
        <w:t>苏州</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有限公司等国际国内行业标杆企业。</w:t>
      </w:r>
    </w:p>
    <w:p>
      <w:pPr>
        <w:pStyle w:val="Style28"/>
        <w:keepNext w:val="0"/>
        <w:keepLines w:val="0"/>
        <w:widowControl w:val="0"/>
        <w:shd w:val="clear" w:color="auto" w:fill="auto"/>
        <w:tabs>
          <w:tab w:pos="329" w:val="left"/>
        </w:tabs>
        <w:bidi w:val="0"/>
        <w:spacing w:before="0" w:after="0"/>
        <w:ind w:left="0" w:right="0" w:firstLine="0"/>
        <w:jc w:val="both"/>
      </w:pPr>
      <w:bookmarkStart w:id="104" w:name="bookmark104"/>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研发创新</w:t>
      </w:r>
    </w:p>
    <w:p>
      <w:pPr>
        <w:pStyle w:val="Style28"/>
        <w:keepNext w:val="0"/>
        <w:keepLines w:val="0"/>
        <w:widowControl w:val="0"/>
        <w:shd w:val="clear" w:color="auto" w:fill="auto"/>
        <w:bidi w:val="0"/>
        <w:spacing w:before="0" w:after="80" w:line="314" w:lineRule="exact"/>
        <w:ind w:left="0" w:right="0"/>
        <w:jc w:val="left"/>
      </w:pPr>
      <w:r>
        <w:rPr>
          <w:color w:val="000000"/>
          <w:spacing w:val="0"/>
          <w:w w:val="100"/>
          <w:position w:val="0"/>
        </w:rPr>
        <w:t>报告期内，公司研发投入为</w:t>
      </w:r>
      <w:r>
        <w:rPr>
          <w:rFonts w:ascii="Times New Roman" w:eastAsia="Times New Roman" w:hAnsi="Times New Roman" w:cs="Times New Roman"/>
          <w:color w:val="000000"/>
          <w:spacing w:val="0"/>
          <w:w w:val="100"/>
          <w:position w:val="0"/>
        </w:rPr>
        <w:t>43,119,451.49</w:t>
      </w:r>
      <w:r>
        <w:rPr>
          <w:color w:val="000000"/>
          <w:spacing w:val="0"/>
          <w:w w:val="100"/>
          <w:position w:val="0"/>
        </w:rPr>
        <w:t>元，占营业收入的比重为</w:t>
      </w:r>
      <w:r>
        <w:rPr>
          <w:rFonts w:ascii="Times New Roman" w:eastAsia="Times New Roman" w:hAnsi="Times New Roman" w:cs="Times New Roman"/>
          <w:color w:val="000000"/>
          <w:spacing w:val="0"/>
          <w:w w:val="100"/>
          <w:position w:val="0"/>
        </w:rPr>
        <w:t>9.04%</w:t>
      </w:r>
      <w:r>
        <w:rPr>
          <w:color w:val="000000"/>
          <w:spacing w:val="0"/>
          <w:w w:val="100"/>
          <w:position w:val="0"/>
        </w:rPr>
        <w:t>，主要用于</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智能终端嵌入 式软件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等专业领域的自主知识产权软件产品的研发。报告期内，公司共获取</w:t>
      </w:r>
      <w:r>
        <w:rPr>
          <w:rFonts w:ascii="Times New Roman" w:eastAsia="Times New Roman" w:hAnsi="Times New Roman" w:cs="Times New Roman"/>
          <w:color w:val="000000"/>
          <w:spacing w:val="0"/>
          <w:w w:val="100"/>
          <w:position w:val="0"/>
        </w:rPr>
        <w:t>29</w:t>
      </w:r>
      <w:r>
        <w:rPr>
          <w:color w:val="000000"/>
          <w:spacing w:val="0"/>
          <w:w w:val="100"/>
          <w:position w:val="0"/>
        </w:rPr>
        <w:t>项软件著作权、</w:t>
      </w:r>
      <w:r>
        <w:rPr>
          <w:rFonts w:ascii="Times New Roman" w:eastAsia="Times New Roman" w:hAnsi="Times New Roman" w:cs="Times New Roman"/>
          <w:color w:val="000000"/>
          <w:spacing w:val="0"/>
          <w:w w:val="100"/>
          <w:position w:val="0"/>
        </w:rPr>
        <w:t xml:space="preserve">10 </w:t>
      </w:r>
      <w:r>
        <w:rPr>
          <w:color w:val="000000"/>
          <w:spacing w:val="0"/>
          <w:w w:val="100"/>
          <w:position w:val="0"/>
        </w:rPr>
        <w:t>项软件产品登记证书、</w:t>
      </w:r>
      <w:r>
        <w:rPr>
          <w:rFonts w:ascii="Times New Roman" w:eastAsia="Times New Roman" w:hAnsi="Times New Roman" w:cs="Times New Roman"/>
          <w:color w:val="000000"/>
          <w:spacing w:val="0"/>
          <w:w w:val="100"/>
          <w:position w:val="0"/>
        </w:rPr>
        <w:t>1</w:t>
      </w:r>
      <w:r>
        <w:rPr>
          <w:color w:val="000000"/>
          <w:spacing w:val="0"/>
          <w:w w:val="100"/>
          <w:position w:val="0"/>
        </w:rPr>
        <w:t>项发明专利授权、</w:t>
      </w:r>
      <w:r>
        <w:rPr>
          <w:rFonts w:ascii="Times New Roman" w:eastAsia="Times New Roman" w:hAnsi="Times New Roman" w:cs="Times New Roman"/>
          <w:color w:val="000000"/>
          <w:spacing w:val="0"/>
          <w:w w:val="100"/>
          <w:position w:val="0"/>
        </w:rPr>
        <w:t>2</w:t>
      </w:r>
      <w:r>
        <w:rPr>
          <w:color w:val="000000"/>
          <w:spacing w:val="0"/>
          <w:w w:val="100"/>
          <w:position w:val="0"/>
        </w:rPr>
        <w:t>项外观设计专利，申请</w:t>
      </w:r>
      <w:r>
        <w:rPr>
          <w:rFonts w:ascii="Times New Roman" w:eastAsia="Times New Roman" w:hAnsi="Times New Roman" w:cs="Times New Roman"/>
          <w:color w:val="000000"/>
          <w:spacing w:val="0"/>
          <w:w w:val="100"/>
          <w:position w:val="0"/>
        </w:rPr>
        <w:t>4</w:t>
      </w:r>
      <w:r>
        <w:rPr>
          <w:color w:val="000000"/>
          <w:spacing w:val="0"/>
          <w:w w:val="100"/>
          <w:position w:val="0"/>
        </w:rPr>
        <w:t>项发明专利、</w:t>
      </w:r>
      <w:r>
        <w:rPr>
          <w:rFonts w:ascii="Times New Roman" w:eastAsia="Times New Roman" w:hAnsi="Times New Roman" w:cs="Times New Roman"/>
          <w:color w:val="000000"/>
          <w:spacing w:val="0"/>
          <w:w w:val="100"/>
          <w:position w:val="0"/>
        </w:rPr>
        <w:t>3</w:t>
      </w:r>
      <w:r>
        <w:rPr>
          <w:color w:val="000000"/>
          <w:spacing w:val="0"/>
          <w:w w:val="100"/>
          <w:position w:val="0"/>
        </w:rPr>
        <w:t>项实用新型专利。公司通过加大研发创新 的投入，主动布局了未来发展，将公司多年积累的专业知识与技术优势进行产品化、解决方案化，以适应和满足产业升级背 景下信息化、智能化发展对软件服务的广阔市场需求，集中力量提升公司的核心竞争力。</w:t>
      </w:r>
    </w:p>
    <w:p>
      <w:pPr>
        <w:pStyle w:val="Style28"/>
        <w:keepNext w:val="0"/>
        <w:keepLines w:val="0"/>
        <w:widowControl w:val="0"/>
        <w:shd w:val="clear" w:color="auto" w:fill="auto"/>
        <w:tabs>
          <w:tab w:pos="329" w:val="left"/>
        </w:tabs>
        <w:bidi w:val="0"/>
        <w:spacing w:before="0" w:after="0"/>
        <w:ind w:left="0" w:right="0" w:firstLine="0"/>
        <w:jc w:val="both"/>
      </w:pPr>
      <w:bookmarkStart w:id="105" w:name="bookmark105"/>
      <w:r>
        <w:rPr>
          <w:rFonts w:ascii="Times New Roman" w:eastAsia="Times New Roman" w:hAnsi="Times New Roman" w:cs="Times New Roman"/>
          <w:color w:val="000000"/>
          <w:spacing w:val="0"/>
          <w:w w:val="100"/>
          <w:position w:val="0"/>
        </w:rPr>
        <w:t>3</w:t>
      </w:r>
      <w:bookmarkEnd w:id="105"/>
      <w:r>
        <w:rPr>
          <w:color w:val="000000"/>
          <w:spacing w:val="0"/>
          <w:w w:val="100"/>
          <w:position w:val="0"/>
        </w:rPr>
        <w:t>、</w:t>
        <w:tab/>
        <w:t>人力资源</w:t>
      </w:r>
    </w:p>
    <w:p>
      <w:pPr>
        <w:pStyle w:val="Style28"/>
        <w:keepNext w:val="0"/>
        <w:keepLines w:val="0"/>
        <w:widowControl w:val="0"/>
        <w:shd w:val="clear" w:color="auto" w:fill="auto"/>
        <w:bidi w:val="0"/>
        <w:spacing w:before="0" w:after="80" w:line="314" w:lineRule="exact"/>
        <w:ind w:left="0" w:right="0"/>
        <w:jc w:val="both"/>
      </w:pPr>
      <w:r>
        <w:rPr>
          <w:color w:val="000000"/>
          <w:spacing w:val="0"/>
          <w:w w:val="100"/>
          <w:position w:val="0"/>
        </w:rPr>
        <w:t>报告期内，公司建立了统一的任职资格标准，提高了公司人力资源效率，并通过完善了人力资源管理制度，不断提升公 司员工的满意度。公司未发生因核心技术人员辞职导致公司核心竞争能力受到严重影响的情况。</w:t>
      </w:r>
    </w:p>
    <w:p>
      <w:pPr>
        <w:pStyle w:val="Style28"/>
        <w:keepNext w:val="0"/>
        <w:keepLines w:val="0"/>
        <w:widowControl w:val="0"/>
        <w:shd w:val="clear" w:color="auto" w:fill="auto"/>
        <w:tabs>
          <w:tab w:pos="329" w:val="left"/>
        </w:tabs>
        <w:bidi w:val="0"/>
        <w:spacing w:before="0" w:after="0"/>
        <w:ind w:left="0" w:right="0" w:firstLine="0"/>
        <w:jc w:val="both"/>
      </w:pPr>
      <w:bookmarkStart w:id="106" w:name="bookmark106"/>
      <w:r>
        <w:rPr>
          <w:rFonts w:ascii="Times New Roman" w:eastAsia="Times New Roman" w:hAnsi="Times New Roman" w:cs="Times New Roman"/>
          <w:color w:val="000000"/>
          <w:spacing w:val="0"/>
          <w:w w:val="100"/>
          <w:position w:val="0"/>
        </w:rPr>
        <w:t>4</w:t>
      </w:r>
      <w:bookmarkEnd w:id="106"/>
      <w:r>
        <w:rPr>
          <w:color w:val="000000"/>
          <w:spacing w:val="0"/>
          <w:w w:val="100"/>
          <w:position w:val="0"/>
        </w:rPr>
        <w:t>、</w:t>
        <w:tab/>
        <w:t>收购兼并</w:t>
      </w:r>
    </w:p>
    <w:p>
      <w:pPr>
        <w:pStyle w:val="Style28"/>
        <w:keepNext w:val="0"/>
        <w:keepLines w:val="0"/>
        <w:widowControl w:val="0"/>
        <w:shd w:val="clear" w:color="auto" w:fill="auto"/>
        <w:bidi w:val="0"/>
        <w:spacing w:before="0" w:after="340" w:line="314" w:lineRule="exact"/>
        <w:ind w:left="0" w:right="0"/>
        <w:jc w:val="both"/>
      </w:pPr>
      <w:r>
        <w:rPr>
          <w:color w:val="000000"/>
          <w:spacing w:val="0"/>
          <w:w w:val="100"/>
          <w:position w:val="0"/>
        </w:rPr>
        <w:t>报告期内，公司完成了对江苏开拓的并购工作，通过本次并购公司新增了系统集成服务业务，系统集成服务业务与公司 现有软件服务业务高度互补，提高了公司在软件和信息技术服务业务的核心竞争力。</w:t>
      </w:r>
    </w:p>
    <w:p>
      <w:pPr>
        <w:pStyle w:val="Style2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8"/>
        <w:keepNext w:val="0"/>
        <w:keepLines w:val="0"/>
        <w:widowControl w:val="0"/>
        <w:shd w:val="clear" w:color="auto" w:fill="auto"/>
        <w:bidi w:val="0"/>
        <w:spacing w:before="0" w:after="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07"/>
      <w:bookmarkEnd w:id="108"/>
      <w:bookmarkEnd w:id="110"/>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345,865,178.84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162,980,534.13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40,887,109.35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3,873,633.96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57,887,432.85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15,907,057.72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外购软硬件产品销售业务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30,263,479.13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2,086,519.31</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173,720,829.62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82,607,750.69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智能终端嵌入式软件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101,352,659.44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48,674,273.04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智能电网信息化软件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60,303,869.10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28,401,857.54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10,487,820.68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3,296,652.87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40,887,109.35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3,873,633.96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57,887,432.85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15,907,057.72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外购软硬件产品销售业务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30,263,479.13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2,086,519.31</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345,298,768.93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122,716,771.53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129,604,431.24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62,130,973.59</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345,865,178.84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182,884,644.71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57,887,432.85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41,980,375.13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173,720,829.62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91,113,078.93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智能终端嵌入式 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101,352,659.44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52,678,386.40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智能电网信息化 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60,303,869.10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31,902,011.56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10,487,820.68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7,191,167.82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57,887,432.85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41,980,375.13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345,298,768.93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222,581,997.40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129,604,431.24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67,473,457.65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年按报告期末口径调整后的主营业务数据</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2870"/>
        <w:gridCol w:w="2880"/>
        <w:gridCol w:w="287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tabs>
                <w:tab w:pos="1910"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tab/>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tabs>
                <w:tab w:pos="955" w:val="left"/>
                <w:tab w:pos="1910"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tab/>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tab/>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955" w:val="left"/>
                <w:tab w:pos="1910"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tab/>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tab/>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gridSpan w:val="4"/>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11"/>
      <w:bookmarkEnd w:id="112"/>
      <w:bookmarkEnd w:id="114"/>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433,166,369.9</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513,711,110.43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184,348,835.0</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127,484,338.76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主要系本年营业收入增长，应收账款 余额相应增加，以及增加非同一控制 下企业合并子公司江苏开拓的年末 应收账款。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40,830,809.05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21,156,410.06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主要系增加非同一控制下企业合并 子公司江苏开拓的年末工程施工。</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1,051,535.39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主要系增加非同一控制下企业合并 子公司江苏开拓的持有长期股权投 资。</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130,732,217.0</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121,898,492.10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176,170,376.0</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6,327,788.29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主要系子公司外包园公司</w:t>
            </w:r>
            <w:r>
              <w:rPr>
                <w:rFonts w:ascii="Times New Roman" w:eastAsia="Times New Roman" w:hAnsi="Times New Roman" w:cs="Times New Roman"/>
                <w:color w:val="000000"/>
                <w:spacing w:val="0"/>
                <w:w w:val="100"/>
                <w:position w:val="0"/>
              </w:rPr>
              <w:t>“</w:t>
            </w:r>
            <w:r>
              <w:rPr>
                <w:color w:val="000000"/>
                <w:spacing w:val="0"/>
                <w:w w:val="100"/>
                <w:position w:val="0"/>
              </w:rPr>
              <w:t>润和国际 软件外包研发总部基地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项目建设投 入增加，年末在建工程余额增加。</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51"/>
        <w:gridCol w:w="1210"/>
        <w:gridCol w:w="1061"/>
        <w:gridCol w:w="806"/>
        <w:gridCol w:w="291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373"/>
        <w:gridCol w:w="1166"/>
        <w:gridCol w:w="1061"/>
        <w:gridCol w:w="1200"/>
        <w:gridCol w:w="1061"/>
        <w:gridCol w:w="797"/>
        <w:gridCol w:w="292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111,076,389.2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2,530,417.36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主要系子公司外包园公司</w:t>
            </w:r>
            <w:r>
              <w:rPr>
                <w:rFonts w:ascii="Times New Roman" w:eastAsia="Times New Roman" w:hAnsi="Times New Roman" w:cs="Times New Roman"/>
                <w:color w:val="000000"/>
                <w:spacing w:val="0"/>
                <w:w w:val="100"/>
                <w:position w:val="0"/>
              </w:rPr>
              <w:t>“</w:t>
            </w:r>
            <w:r>
              <w:rPr>
                <w:color w:val="000000"/>
                <w:spacing w:val="0"/>
                <w:w w:val="100"/>
                <w:position w:val="0"/>
              </w:rPr>
              <w:t>润和国际 软件外包研发总部基地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项目建设借 款大幅增加。</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以公允价值计量的资产和负债</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181"/>
        <w:gridCol w:w="1181"/>
        <w:gridCol w:w="1181"/>
        <w:gridCol w:w="1181"/>
        <w:gridCol w:w="1181"/>
        <w:gridCol w:w="1181"/>
        <w:gridCol w:w="1186"/>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-897,600.00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其他流动资产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实物黄金投资</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118,230.00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-918,170.00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118,230.00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tabs>
          <w:tab w:pos="488" w:val="left"/>
        </w:tabs>
        <w:bidi w:val="0"/>
        <w:spacing w:before="0" w:after="26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115"/>
      <w:bookmarkEnd w:id="116"/>
      <w:bookmarkEnd w:id="118"/>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公司多年来一直坚持</w:t>
      </w:r>
      <w:r>
        <w:rPr>
          <w:rFonts w:ascii="Times New Roman" w:eastAsia="Times New Roman" w:hAnsi="Times New Roman" w:cs="Times New Roman"/>
          <w:color w:val="000000"/>
          <w:spacing w:val="0"/>
          <w:w w:val="100"/>
          <w:position w:val="0"/>
        </w:rPr>
        <w:t>“</w:t>
      </w:r>
      <w:r>
        <w:rPr>
          <w:color w:val="000000"/>
          <w:spacing w:val="0"/>
          <w:w w:val="100"/>
          <w:position w:val="0"/>
        </w:rPr>
        <w:t>国际化、专业化、高端化</w:t>
      </w:r>
      <w:r>
        <w:rPr>
          <w:rFonts w:ascii="Times New Roman" w:eastAsia="Times New Roman" w:hAnsi="Times New Roman" w:cs="Times New Roman"/>
          <w:color w:val="000000"/>
          <w:spacing w:val="0"/>
          <w:w w:val="100"/>
          <w:position w:val="0"/>
        </w:rPr>
        <w:t>”</w:t>
      </w:r>
      <w:r>
        <w:rPr>
          <w:color w:val="000000"/>
          <w:spacing w:val="0"/>
          <w:w w:val="100"/>
          <w:position w:val="0"/>
        </w:rPr>
        <w:t>的发展战略，通过结合离岸成本优势，累积行业技术经验以及灵活调度 企业内外部资源，已在</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等专业领域打造了具有一定市场 影响力的高端软件服务品牌。</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报告期内，公司的主营业务为向国际国内客户提供软件产品及软件服务、智能终端产品、系统集成服务等软件和信息技 术服务业务，其中报告期内新增系统集成服务业务系公司通过并购江苏开拓获取的业务。系统集成服务业务与公司现有软件 服务业务高度互补，本次并购提高了公司在软件和信息技术服务业务的核心竞争力。</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w:t>
      </w:r>
      <w:r>
        <w:rPr>
          <w:color w:val="000000"/>
          <w:spacing w:val="0"/>
          <w:w w:val="100"/>
          <w:position w:val="0"/>
        </w:rPr>
        <w:t>供应链管理软件</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智能电网信息化软件</w:t>
      </w:r>
      <w:r>
        <w:rPr>
          <w:rFonts w:ascii="Times New Roman" w:eastAsia="Times New Roman" w:hAnsi="Times New Roman" w:cs="Times New Roman"/>
          <w:color w:val="000000"/>
          <w:spacing w:val="0"/>
          <w:w w:val="100"/>
          <w:position w:val="0"/>
        </w:rPr>
        <w:t>”</w:t>
      </w:r>
      <w:r>
        <w:rPr>
          <w:color w:val="000000"/>
          <w:spacing w:val="0"/>
          <w:w w:val="100"/>
          <w:position w:val="0"/>
        </w:rPr>
        <w:t>专业领域的业务都保持稳定增长，并通 过研发创新的投入，获取了与核心专业领域相关的拥有自主知识产权的著作权、软件产品及专利，进一步提高了公司的核心 竞争力。</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报告期内，公司未发生因技术升级换代、核心技术人员辞职、产品质量问题等导致公司核心竞争能力受到严重影响的情 况。</w:t>
      </w:r>
    </w:p>
    <w:p>
      <w:pPr>
        <w:pStyle w:val="Style36"/>
        <w:keepNext/>
        <w:keepLines/>
        <w:widowControl w:val="0"/>
        <w:shd w:val="clear" w:color="auto" w:fill="auto"/>
        <w:tabs>
          <w:tab w:pos="488" w:val="left"/>
        </w:tabs>
        <w:bidi w:val="0"/>
        <w:spacing w:before="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119"/>
      <w:bookmarkEnd w:id="120"/>
      <w:bookmarkEnd w:id="122"/>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center"/>
      </w:pPr>
      <w:r>
        <w:rPr>
          <w:color w:val="000000"/>
          <w:spacing w:val="0"/>
          <w:w w:val="100"/>
          <w:position w:val="0"/>
        </w:rPr>
        <w:t>对外投资情况</w:t>
      </w:r>
    </w:p>
    <w:p>
      <w:pPr>
        <w:widowControl w:val="0"/>
        <w:spacing w:line="1" w:lineRule="exact"/>
        <w:sectPr>
          <w:footnotePr>
            <w:pos w:val="pageBottom"/>
            <w:numFmt w:val="decimal"/>
            <w:numRestart w:val="continuous"/>
          </w:footnotePr>
          <w:pgSz w:w="11900" w:h="16840"/>
          <w:pgMar w:top="1383" w:right="1055" w:bottom="1450" w:left="1068" w:header="0" w:footer="3" w:gutter="0"/>
          <w:cols w:space="720"/>
          <w:noEndnote/>
          <w:rtlGutter w:val="0"/>
          <w:docGrid w:linePitch="360"/>
        </w:sectPr>
      </w:pPr>
      <w:r>
        <mc:AlternateContent>
          <mc:Choice Requires="wps">
            <w:drawing>
              <wp:anchor distT="41275" distB="12065" distL="0" distR="0" simplePos="0" relativeHeight="125829378" behindDoc="0" locked="0" layoutInCell="1" allowOverlap="1">
                <wp:simplePos x="0" y="0"/>
                <wp:positionH relativeFrom="page">
                  <wp:posOffset>1205230</wp:posOffset>
                </wp:positionH>
                <wp:positionV relativeFrom="paragraph">
                  <wp:posOffset>41275</wp:posOffset>
                </wp:positionV>
                <wp:extent cx="1054735" cy="149225"/>
                <wp:wrapTopAndBottom/>
                <wp:docPr id="11" name="Shape 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left"/>
                            </w:pPr>
                            <w:r>
                              <w:rPr>
                                <w:color w:val="000000"/>
                                <w:spacing w:val="0"/>
                                <w:w w:val="100"/>
                                <w:position w:val="0"/>
                              </w:rPr>
                              <w:t>报告期投资额（元）</w:t>
                            </w:r>
                          </w:p>
                        </w:txbxContent>
                      </wps:txbx>
                      <wps:bodyPr wrap="none" lIns="0" tIns="0" rIns="0" bIns="0">
                        <a:noAutoFit/>
                      </wps:bodyPr>
                    </wps:wsp>
                  </a:graphicData>
                </a:graphic>
              </wp:anchor>
            </w:drawing>
          </mc:Choice>
          <mc:Fallback>
            <w:pict>
              <v:shape id="_x0000_s1037" type="#_x0000_t202" style="position:absolute;margin-left:94.900000000000006pt;margin-top:3.25pt;width:83.049999999999997pt;height:11.75pt;z-index:-125829375;mso-wrap-distance-left:0;mso-wrap-distance-top:3.25pt;mso-wrap-distance-right:0;mso-wrap-distance-bottom:0.95000000000000007pt;mso-position-horizontal-relative:page" filled="f" stroked="f">
                <v:textbox inset="0,0,0,0">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left"/>
                      </w:pPr>
                      <w:r>
                        <w:rPr>
                          <w:color w:val="000000"/>
                          <w:spacing w:val="0"/>
                          <w:w w:val="100"/>
                          <w:position w:val="0"/>
                        </w:rPr>
                        <w:t>报告期投资额（元）</w:t>
                      </w:r>
                    </w:p>
                  </w:txbxContent>
                </v:textbox>
                <w10:wrap type="topAndBottom" anchorx="page"/>
              </v:shape>
            </w:pict>
          </mc:Fallback>
        </mc:AlternateContent>
      </w:r>
      <w:r>
        <mc:AlternateContent>
          <mc:Choice Requires="wps">
            <w:drawing>
              <wp:anchor distT="41275" distB="12065" distL="0" distR="0" simplePos="0" relativeHeight="125829380" behindDoc="0" locked="0" layoutInCell="1" allowOverlap="1">
                <wp:simplePos x="0" y="0"/>
                <wp:positionH relativeFrom="page">
                  <wp:posOffset>3174365</wp:posOffset>
                </wp:positionH>
                <wp:positionV relativeFrom="paragraph">
                  <wp:posOffset>41275</wp:posOffset>
                </wp:positionV>
                <wp:extent cx="1170305" cy="149225"/>
                <wp:wrapTopAndBottom/>
                <wp:docPr id="13" name="Shape 1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center"/>
                            </w:pPr>
                            <w:r>
                              <w:rPr>
                                <w:color w:val="000000"/>
                                <w:spacing w:val="0"/>
                                <w:w w:val="100"/>
                                <w:position w:val="0"/>
                              </w:rPr>
                              <w:t>上年同期投资额（元）</w:t>
                            </w:r>
                          </w:p>
                        </w:txbxContent>
                      </wps:txbx>
                      <wps:bodyPr wrap="none" lIns="0" tIns="0" rIns="0" bIns="0">
                        <a:noAutoFit/>
                      </wps:bodyPr>
                    </wps:wsp>
                  </a:graphicData>
                </a:graphic>
              </wp:anchor>
            </w:drawing>
          </mc:Choice>
          <mc:Fallback>
            <w:pict>
              <v:shape id="_x0000_s1039" type="#_x0000_t202" style="position:absolute;margin-left:249.95000000000002pt;margin-top:3.25pt;width:92.150000000000006pt;height:11.75pt;z-index:-125829373;mso-wrap-distance-left:0;mso-wrap-distance-top:3.25pt;mso-wrap-distance-right:0;mso-wrap-distance-bottom:0.95000000000000007pt;mso-position-horizontal-relative:page" filled="f" stroked="f">
                <v:textbox inset="0,0,0,0">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center"/>
                      </w:pPr>
                      <w:r>
                        <w:rPr>
                          <w:color w:val="000000"/>
                          <w:spacing w:val="0"/>
                          <w:w w:val="100"/>
                          <w:position w:val="0"/>
                        </w:rPr>
                        <w:t>上年同期投资额（元）</w:t>
                      </w:r>
                    </w:p>
                  </w:txbxContent>
                </v:textbox>
                <w10:wrap type="topAndBottom" anchorx="page"/>
              </v:shape>
            </w:pict>
          </mc:Fallback>
        </mc:AlternateContent>
      </w:r>
      <w:r>
        <mc:AlternateContent>
          <mc:Choice Requires="wps">
            <w:drawing>
              <wp:anchor distT="38100" distB="0" distL="0" distR="0" simplePos="0" relativeHeight="125829382" behindDoc="0" locked="0" layoutInCell="1" allowOverlap="1">
                <wp:simplePos x="0" y="0"/>
                <wp:positionH relativeFrom="page">
                  <wp:posOffset>5380990</wp:posOffset>
                </wp:positionH>
                <wp:positionV relativeFrom="paragraph">
                  <wp:posOffset>38100</wp:posOffset>
                </wp:positionV>
                <wp:extent cx="804545" cy="164465"/>
                <wp:wrapTopAndBottom/>
                <wp:docPr id="15" name="Shape 15"/>
                <a:graphic xmlns:a="http://schemas.openxmlformats.org/drawingml/2006/main">
                  <a:graphicData uri="http://schemas.microsoft.com/office/word/2010/wordprocessingShape">
                    <wps:wsp>
                      <wps:cNvSpPr txBox="1"/>
                      <wps:spPr>
                        <a:xfrm>
                          <a:ext cx="804545" cy="164465"/>
                        </a:xfrm>
                        <a:prstGeom prst="rect"/>
                        <a:noFill/>
                      </wps:spPr>
                      <wps:txbx>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wrap="none" lIns="0" tIns="0" rIns="0" bIns="0">
                        <a:noAutoFit/>
                      </wps:bodyPr>
                    </wps:wsp>
                  </a:graphicData>
                </a:graphic>
              </wp:anchor>
            </w:drawing>
          </mc:Choice>
          <mc:Fallback>
            <w:pict>
              <v:shape id="_x0000_s1041" type="#_x0000_t202" style="position:absolute;margin-left:423.69999999999999pt;margin-top:3.pt;width:63.350000000000001pt;height:12.950000000000001pt;z-index:-125829371;mso-wrap-distance-left:0;mso-wrap-distance-top:3.pt;mso-wrap-distance-right:0;mso-position-horizontal-relative:page" filled="f" stroked="f">
                <v:textbox inset="0,0,0,0">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type="topAndBottom" anchorx="page"/>
              </v:shape>
            </w:pict>
          </mc:Fallback>
        </mc:AlternateContent>
      </w:r>
    </w:p>
    <w:p>
      <w:pPr>
        <w:widowControl w:val="0"/>
        <w:spacing w:line="61" w:lineRule="exact"/>
        <w:rPr>
          <w:sz w:val="5"/>
          <w:szCs w:val="5"/>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center"/>
      </w:pPr>
      <w:r>
        <w:rPr>
          <w:color w:val="000000"/>
          <w:spacing w:val="0"/>
          <w:w w:val="100"/>
          <w:position w:val="0"/>
        </w:rPr>
        <w:t>被投资公司情况</w:t>
      </w:r>
    </w:p>
    <w:p>
      <w:pPr>
        <w:widowControl w:val="0"/>
        <w:spacing w:line="1" w:lineRule="exact"/>
        <w:sectPr>
          <w:footnotePr>
            <w:pos w:val="pageBottom"/>
            <w:numFmt w:val="decimal"/>
            <w:numRestart w:val="continuous"/>
          </w:footnotePr>
          <w:type w:val="continuous"/>
          <w:pgSz w:w="11900" w:h="16840"/>
          <w:pgMar w:top="1441" w:right="1109" w:bottom="1441" w:left="1109" w:header="0" w:footer="3" w:gutter="0"/>
          <w:cols w:space="720"/>
          <w:noEndnote/>
          <w:rtlGutter w:val="0"/>
          <w:docGrid w:linePitch="360"/>
        </w:sectPr>
      </w:pPr>
      <w:r>
        <mc:AlternateContent>
          <mc:Choice Requires="wps">
            <w:drawing>
              <wp:anchor distT="60960" distB="52070" distL="0" distR="0" simplePos="0" relativeHeight="125829384" behindDoc="0" locked="0" layoutInCell="1" allowOverlap="1">
                <wp:simplePos x="0" y="0"/>
                <wp:positionH relativeFrom="page">
                  <wp:posOffset>1159510</wp:posOffset>
                </wp:positionH>
                <wp:positionV relativeFrom="paragraph">
                  <wp:posOffset>60960</wp:posOffset>
                </wp:positionV>
                <wp:extent cx="478790" cy="149225"/>
                <wp:wrapTopAndBottom/>
                <wp:docPr id="17" name="Shape 17"/>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left"/>
                            </w:pPr>
                            <w:r>
                              <w:rPr>
                                <w:color w:val="000000"/>
                                <w:spacing w:val="0"/>
                                <w:w w:val="100"/>
                                <w:position w:val="0"/>
                              </w:rPr>
                              <w:t>公司名称</w:t>
                            </w:r>
                          </w:p>
                        </w:txbxContent>
                      </wps:txbx>
                      <wps:bodyPr wrap="none" lIns="0" tIns="0" rIns="0" bIns="0">
                        <a:noAutoFit/>
                      </wps:bodyPr>
                    </wps:wsp>
                  </a:graphicData>
                </a:graphic>
              </wp:anchor>
            </w:drawing>
          </mc:Choice>
          <mc:Fallback>
            <w:pict>
              <v:shape id="_x0000_s1043" type="#_x0000_t202" style="position:absolute;margin-left:91.299999999999997pt;margin-top:4.7999999999999998pt;width:37.700000000000003pt;height:11.75pt;z-index:-125829369;mso-wrap-distance-left:0;mso-wrap-distance-top:4.7999999999999998pt;mso-wrap-distance-right:0;mso-wrap-distance-bottom:4.0999999999999996pt;mso-position-horizontal-relative:page" filled="f" stroked="f">
                <v:textbox inset="0,0,0,0">
                  <w:txbxContent>
                    <w:p>
                      <w:pPr>
                        <w:pStyle w:val="Style28"/>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left"/>
                      </w:pPr>
                      <w:r>
                        <w:rPr>
                          <w:color w:val="000000"/>
                          <w:spacing w:val="0"/>
                          <w:w w:val="100"/>
                          <w:position w:val="0"/>
                        </w:rPr>
                        <w:t>公司名称</w:t>
                      </w:r>
                    </w:p>
                  </w:txbxContent>
                </v:textbox>
                <w10:wrap type="topAndBottom" anchorx="page"/>
              </v:shape>
            </w:pict>
          </mc:Fallback>
        </mc:AlternateContent>
      </w:r>
      <w:r>
        <mc:AlternateContent>
          <mc:Choice Requires="wps">
            <w:drawing>
              <wp:anchor distT="0" distB="0" distL="0" distR="524510" simplePos="0" relativeHeight="125829386" behindDoc="0" locked="0" layoutInCell="1" allowOverlap="1">
                <wp:simplePos x="0" y="0"/>
                <wp:positionH relativeFrom="page">
                  <wp:posOffset>2019300</wp:posOffset>
                </wp:positionH>
                <wp:positionV relativeFrom="paragraph">
                  <wp:posOffset>0</wp:posOffset>
                </wp:positionV>
                <wp:extent cx="4160520" cy="262255"/>
                <wp:wrapTopAndBottom/>
                <wp:docPr id="19" name="Shape 19"/>
                <a:graphic xmlns:a="http://schemas.openxmlformats.org/drawingml/2006/main">
                  <a:graphicData uri="http://schemas.microsoft.com/office/word/2010/wordprocessingShape">
                    <wps:wsp>
                      <wps:cNvSpPr txBox="1"/>
                      <wps:spPr>
                        <a:xfrm>
                          <a:ext cx="4160520" cy="262255"/>
                        </a:xfrm>
                        <a:prstGeom prst="rect"/>
                        <a:noFill/>
                      </wps:spPr>
                      <wps:txbx>
                        <w:txbxContent>
                          <w:tbl>
                            <w:tblPr>
                              <w:tblOverlap w:val="never"/>
                              <w:jc w:val="left"/>
                              <w:tblLayout w:type="fixed"/>
                            </w:tblPr>
                            <w:tblGrid>
                              <w:gridCol w:w="1814"/>
                              <w:gridCol w:w="1594"/>
                              <w:gridCol w:w="1061"/>
                              <w:gridCol w:w="1066"/>
                              <w:gridCol w:w="1018"/>
                            </w:tblGrid>
                            <w:tr>
                              <w:trPr>
                                <w:tblHeader/>
                                <w:trHeight w:val="413" w:hRule="exact"/>
                              </w:trPr>
                              <w:tc>
                                <w:tcPr>
                                  <w:tcBorders>
                                    <w:top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本期投资</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159.pt;margin-top:0;width:327.60000000000002pt;height:20.650000000000002pt;z-index:-125829367;mso-wrap-distance-left:0;mso-wrap-distance-right:41.300000000000004pt;mso-position-horizontal-relative:page" filled="f" stroked="f">
                <v:textbox inset="0,0,0,0">
                  <w:txbxContent>
                    <w:tbl>
                      <w:tblPr>
                        <w:tblOverlap w:val="never"/>
                        <w:jc w:val="left"/>
                        <w:tblLayout w:type="fixed"/>
                      </w:tblPr>
                      <w:tblGrid>
                        <w:gridCol w:w="1814"/>
                        <w:gridCol w:w="1594"/>
                        <w:gridCol w:w="1061"/>
                        <w:gridCol w:w="1066"/>
                        <w:gridCol w:w="1018"/>
                      </w:tblGrid>
                      <w:tr>
                        <w:trPr>
                          <w:tblHeader/>
                          <w:trHeight w:val="413" w:hRule="exact"/>
                        </w:trPr>
                        <w:tc>
                          <w:tcPr>
                            <w:tcBorders>
                              <w:top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本期投资</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6219190</wp:posOffset>
                </wp:positionH>
                <wp:positionV relativeFrom="paragraph">
                  <wp:posOffset>60960</wp:posOffset>
                </wp:positionV>
                <wp:extent cx="484505" cy="149225"/>
                <wp:wrapNone/>
                <wp:docPr id="21" name="Shape 2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9"/>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left"/>
                            </w:pPr>
                            <w:r>
                              <w:rPr>
                                <w:color w:val="000000"/>
                                <w:spacing w:val="0"/>
                                <w:w w:val="100"/>
                                <w:position w:val="0"/>
                              </w:rPr>
                              <w:t>是否涉诉</w:t>
                            </w:r>
                          </w:p>
                        </w:txbxContent>
                      </wps:txbx>
                      <wps:bodyPr lIns="0" tIns="0" rIns="0" bIns="0">
                        <a:noAutoFit/>
                      </wps:bodyPr>
                    </wps:wsp>
                  </a:graphicData>
                </a:graphic>
              </wp:anchor>
            </w:drawing>
          </mc:Choice>
          <mc:Fallback>
            <w:pict>
              <v:shape id="_x0000_s1047" type="#_x0000_t202" style="position:absolute;margin-left:489.69999999999999pt;margin-top:4.7999999999999998pt;width:38.149999999999999pt;height:11.75pt;z-index:251657729;mso-wrap-distance-left:0;mso-wrap-distance-right:0;mso-position-horizontal-relative:page" filled="f" stroked="f">
                <v:textbox inset="0,0,0,0">
                  <w:txbxContent>
                    <w:p>
                      <w:pPr>
                        <w:pStyle w:val="Style19"/>
                        <w:keepNext w:val="0"/>
                        <w:keepLines w:val="0"/>
                        <w:widowControl w:val="0"/>
                        <w:pBdr>
                          <w:top w:val="single" w:sz="0" w:space="0" w:color="D4D4D4"/>
                          <w:left w:val="single" w:sz="0" w:space="8" w:color="D4D4D4"/>
                          <w:bottom w:val="single" w:sz="0" w:space="0" w:color="D4D4D4"/>
                          <w:right w:val="single" w:sz="0" w:space="8" w:color="D4D4D4"/>
                        </w:pBdr>
                        <w:shd w:val="clear" w:color="auto" w:fill="D4D4D4"/>
                        <w:bidi w:val="0"/>
                        <w:spacing w:before="0" w:after="0" w:line="240" w:lineRule="auto"/>
                        <w:ind w:left="0" w:right="0" w:firstLine="0"/>
                        <w:jc w:val="left"/>
                      </w:pPr>
                      <w:r>
                        <w:rPr>
                          <w:color w:val="000000"/>
                          <w:spacing w:val="0"/>
                          <w:w w:val="100"/>
                          <w:position w:val="0"/>
                        </w:rPr>
                        <w:t>是否涉诉</w:t>
                      </w:r>
                    </w:p>
                  </w:txbxContent>
                </v:textbox>
                <w10:wrap anchorx="page"/>
              </v:shape>
            </w:pict>
          </mc:Fallback>
        </mc:AlternateContent>
      </w:r>
    </w:p>
    <w:p>
      <w:pPr>
        <w:widowControl w:val="0"/>
        <w:spacing w:after="79" w:line="1" w:lineRule="exact"/>
      </w:pPr>
    </w:p>
    <w:tbl>
      <w:tblPr>
        <w:tblOverlap w:val="never"/>
        <w:jc w:val="center"/>
        <w:tblLayout w:type="fixed"/>
      </w:tblPr>
      <w:tblGrid>
        <w:gridCol w:w="2141"/>
        <w:gridCol w:w="1728"/>
        <w:gridCol w:w="1594"/>
        <w:gridCol w:w="1061"/>
        <w:gridCol w:w="1066"/>
        <w:gridCol w:w="926"/>
        <w:gridCol w:w="1070"/>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盈亏（元）</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35,181.47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16,435.97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6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年度，公司募集资金使用情况为：（</w:t>
            </w:r>
            <w:r>
              <w:rPr>
                <w:rFonts w:ascii="Times New Roman" w:eastAsia="Times New Roman" w:hAnsi="Times New Roman" w:cs="Times New Roman"/>
                <w:color w:val="000000"/>
                <w:spacing w:val="0"/>
                <w:w w:val="100"/>
                <w:position w:val="0"/>
              </w:rPr>
              <w:t>1</w:t>
            </w:r>
            <w:r>
              <w:rPr>
                <w:color w:val="000000"/>
                <w:spacing w:val="0"/>
                <w:w w:val="100"/>
                <w:position w:val="0"/>
              </w:rPr>
              <w:t>）直接投入募集资金项目</w:t>
            </w:r>
            <w:r>
              <w:rPr>
                <w:rFonts w:ascii="Times New Roman" w:eastAsia="Times New Roman" w:hAnsi="Times New Roman" w:cs="Times New Roman"/>
                <w:color w:val="000000"/>
                <w:spacing w:val="0"/>
                <w:w w:val="100"/>
                <w:position w:val="0"/>
              </w:rPr>
              <w:t>4,322.80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）使用超募资金</w:t>
            </w:r>
            <w:r>
              <w:rPr>
                <w:rFonts w:ascii="Times New Roman" w:eastAsia="Times New Roman" w:hAnsi="Times New Roman" w:cs="Times New Roman"/>
                <w:color w:val="000000"/>
                <w:spacing w:val="0"/>
                <w:w w:val="100"/>
                <w:position w:val="0"/>
              </w:rPr>
              <w:t>5,126.46</w:t>
            </w:r>
            <w:r>
              <w:rPr>
                <w:color w:val="000000"/>
                <w:spacing w:val="0"/>
                <w:w w:val="100"/>
                <w:position w:val="0"/>
              </w:rPr>
              <w:t>万 元收购并增资江苏开拓信息与系统有限公司。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年度合计使用募集资金</w:t>
            </w:r>
            <w:r>
              <w:rPr>
                <w:rFonts w:ascii="Times New Roman" w:eastAsia="Times New Roman" w:hAnsi="Times New Roman" w:cs="Times New Roman"/>
                <w:color w:val="000000"/>
                <w:spacing w:val="0"/>
                <w:w w:val="100"/>
                <w:position w:val="0"/>
              </w:rPr>
              <w:t>9,449.26</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rPr>
              <w:t>16,435.97</w:t>
            </w:r>
            <w:r>
              <w:rPr>
                <w:color w:val="000000"/>
                <w:spacing w:val="0"/>
                <w:w w:val="100"/>
                <w:position w:val="0"/>
              </w:rPr>
              <w:t>万 元。扣除累计已使用募集资金后，募集资金余额为</w:t>
            </w:r>
            <w:r>
              <w:rPr>
                <w:rFonts w:ascii="Times New Roman" w:eastAsia="Times New Roman" w:hAnsi="Times New Roman" w:cs="Times New Roman"/>
                <w:color w:val="000000"/>
                <w:spacing w:val="0"/>
                <w:w w:val="100"/>
                <w:position w:val="0"/>
              </w:rPr>
              <w:t>18,745.50</w:t>
            </w:r>
            <w:r>
              <w:rPr>
                <w:color w:val="000000"/>
                <w:spacing w:val="0"/>
                <w:w w:val="100"/>
                <w:position w:val="0"/>
              </w:rPr>
              <w:t>万元，募集资金专用账户累计利息收入净额（利息收入扣除 手续费后）</w:t>
            </w:r>
            <w:r>
              <w:rPr>
                <w:rFonts w:ascii="Times New Roman" w:eastAsia="Times New Roman" w:hAnsi="Times New Roman" w:cs="Times New Roman"/>
                <w:color w:val="000000"/>
                <w:spacing w:val="0"/>
                <w:w w:val="100"/>
                <w:position w:val="0"/>
              </w:rPr>
              <w:t>862.27</w:t>
            </w:r>
            <w:r>
              <w:rPr>
                <w:color w:val="000000"/>
                <w:spacing w:val="0"/>
                <w:w w:val="100"/>
                <w:position w:val="0"/>
              </w:rPr>
              <w:t>万元，募集资金专户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日余额合计为</w:t>
            </w:r>
            <w:r>
              <w:rPr>
                <w:rFonts w:ascii="Times New Roman" w:eastAsia="Times New Roman" w:hAnsi="Times New Roman" w:cs="Times New Roman"/>
                <w:color w:val="000000"/>
                <w:spacing w:val="0"/>
                <w:w w:val="100"/>
                <w:position w:val="0"/>
              </w:rPr>
              <w:t>19,607.77</w:t>
            </w:r>
            <w:r>
              <w:rPr>
                <w:color w:val="000000"/>
                <w:spacing w:val="0"/>
                <w:w w:val="100"/>
                <w:position w:val="0"/>
              </w:rPr>
              <w:t>万元。</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0"/>
        <w:gridCol w:w="720"/>
        <w:gridCol w:w="725"/>
        <w:gridCol w:w="720"/>
        <w:gridCol w:w="725"/>
        <w:gridCol w:w="715"/>
        <w:gridCol w:w="725"/>
        <w:gridCol w:w="720"/>
        <w:gridCol w:w="715"/>
        <w:gridCol w:w="730"/>
        <w:gridCol w:w="730"/>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供应链管理软件外 包中心扩建项目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智能终端嵌入式软 件外包中心扩建项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10,069.5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10,069.5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2,289.61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5,809.51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1,168.82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设立西安全资子公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收购并增资江苏开 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37"/>
        <w:gridCol w:w="725"/>
        <w:gridCol w:w="720"/>
        <w:gridCol w:w="725"/>
        <w:gridCol w:w="720"/>
        <w:gridCol w:w="720"/>
        <w:gridCol w:w="720"/>
        <w:gridCol w:w="725"/>
        <w:gridCol w:w="720"/>
        <w:gridCol w:w="720"/>
        <w:gridCol w:w="725"/>
        <w:gridCol w:w="73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11,146.4</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11,146.4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27,723.1</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27,723.1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1,765.88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147"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日召开的第三届董事会第十八次会议、第三届监事会第八次会议和</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年第一次临时股东大会审议通过了《关于公司使用部分超募资金永久补充流 动资金的议案》，同意公司使用部分超募资金</w:t>
            </w:r>
            <w:r>
              <w:rPr>
                <w:rFonts w:ascii="Times New Roman" w:eastAsia="Times New Roman" w:hAnsi="Times New Roman" w:cs="Times New Roman"/>
                <w:color w:val="000000"/>
                <w:spacing w:val="0"/>
                <w:w w:val="100"/>
                <w:position w:val="0"/>
              </w:rPr>
              <w:t>3,500</w:t>
            </w:r>
            <w:r>
              <w:rPr>
                <w:color w:val="000000"/>
                <w:spacing w:val="0"/>
                <w:w w:val="100"/>
                <w:position w:val="0"/>
              </w:rPr>
              <w:t>万元永久性补充公司流动资金。（</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日召开的第三届董事会第二十次会议、第三届监事会第九次会议审议通过了《关于使用部 分超募资金在西安投资设立全资子公司的议案》，同意公司使用部分超募资金</w:t>
            </w:r>
            <w:r>
              <w:rPr>
                <w:rFonts w:ascii="Times New Roman" w:eastAsia="Times New Roman" w:hAnsi="Times New Roman" w:cs="Times New Roman"/>
                <w:color w:val="000000"/>
                <w:spacing w:val="0"/>
                <w:w w:val="100"/>
                <w:position w:val="0"/>
              </w:rPr>
              <w:t>2,000</w:t>
            </w:r>
            <w:r>
              <w:rPr>
                <w:color w:val="000000"/>
                <w:spacing w:val="0"/>
                <w:w w:val="100"/>
                <w:position w:val="0"/>
              </w:rPr>
              <w:t>万元设立全资子公 司西安润和软件信息技术有限公司。（</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日召开的第四届董事会第六次会议、 第四届监事会第五次会议和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年第三次临时股东大会审议通过了《关于 使用部分超募资金收购并增资江苏开拓信息与系统有限公司的议案》，同意公司使用部分超募资金 </w:t>
            </w:r>
            <w:r>
              <w:rPr>
                <w:rFonts w:ascii="Times New Roman" w:eastAsia="Times New Roman" w:hAnsi="Times New Roman" w:cs="Times New Roman"/>
                <w:color w:val="000000"/>
                <w:spacing w:val="0"/>
                <w:w w:val="100"/>
                <w:position w:val="0"/>
              </w:rPr>
              <w:t>5,646.46</w:t>
            </w:r>
            <w:r>
              <w:rPr>
                <w:color w:val="000000"/>
                <w:spacing w:val="0"/>
                <w:w w:val="100"/>
                <w:position w:val="0"/>
              </w:rPr>
              <w:t>万元收购并增资江苏开拓信息与系统有限公司。截至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日止，上述款项尚有 </w:t>
            </w:r>
            <w:r>
              <w:rPr>
                <w:rFonts w:ascii="Times New Roman" w:eastAsia="Times New Roman" w:hAnsi="Times New Roman" w:cs="Times New Roman"/>
                <w:color w:val="000000"/>
                <w:spacing w:val="0"/>
                <w:w w:val="100"/>
                <w:position w:val="0"/>
              </w:rPr>
              <w:t>520</w:t>
            </w:r>
            <w:r>
              <w:rPr>
                <w:color w:val="000000"/>
                <w:spacing w:val="0"/>
                <w:w w:val="100"/>
                <w:position w:val="0"/>
              </w:rPr>
              <w:t>万元尚未支付。（</w:t>
            </w:r>
            <w:r>
              <w:rPr>
                <w:rFonts w:ascii="Times New Roman" w:eastAsia="Times New Roman" w:hAnsi="Times New Roman" w:cs="Times New Roman"/>
                <w:color w:val="000000"/>
                <w:spacing w:val="0"/>
                <w:w w:val="100"/>
                <w:position w:val="0"/>
              </w:rPr>
              <w:t>4</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日召开的第四届董事会第十次会议、第四届监事会第 八次会议，和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年第一次临时股东大会审议通过了《关于公司使用部分 超募资金永久补充流动资金的议案》，同意公司使用部分超募资金</w:t>
            </w:r>
            <w:r>
              <w:rPr>
                <w:rFonts w:ascii="Times New Roman" w:eastAsia="Times New Roman" w:hAnsi="Times New Roman" w:cs="Times New Roman"/>
                <w:color w:val="000000"/>
                <w:spacing w:val="0"/>
                <w:w w:val="100"/>
                <w:position w:val="0"/>
              </w:rPr>
              <w:t>3,500</w:t>
            </w:r>
            <w:r>
              <w:rPr>
                <w:color w:val="000000"/>
                <w:spacing w:val="0"/>
                <w:w w:val="100"/>
                <w:position w:val="0"/>
              </w:rPr>
              <w:t>万元永久性补充公司流动资 金。截至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日止，上述款项尚未支付。</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募集资金投资项目 先期投入及置换情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用闲置募集资金暂 时补充流动资金情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项目实施出现募集 资金结余的金额及 原因</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尚未使用的募集资 金用途及去向</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w:t>
            </w:r>
            <w:r>
              <w:rPr>
                <w:rFonts w:ascii="Times New Roman" w:eastAsia="Times New Roman" w:hAnsi="Times New Roman" w:cs="Times New Roman"/>
                <w:color w:val="000000"/>
                <w:spacing w:val="0"/>
                <w:w w:val="100"/>
                <w:position w:val="0"/>
              </w:rPr>
              <w:t>（</w:t>
            </w:r>
            <w:r>
              <w:rPr>
                <w:color w:val="000000"/>
                <w:spacing w:val="0"/>
                <w:w w:val="100"/>
                <w:position w:val="0"/>
              </w:rPr>
              <w:t>包括超募资金）全部存储在募集资金银行专户中，按募集资金管理制度严格管 理和使用。</w:t>
            </w:r>
          </w:p>
        </w:tc>
      </w:tr>
    </w:tbl>
    <w:p>
      <w:pPr>
        <w:spacing w:lineRule="exact" w:line="1"/>
        <w:rPr>
          <w:sz w:val="2"/>
          <w:szCs w:val="2"/>
        </w:rPr>
      </w:pPr>
      <w:r>
        <w:br w:type="page"/>
      </w:r>
    </w:p>
    <w:tbl>
      <w:tblPr>
        <w:tblOverlap w:val="never"/>
        <w:jc w:val="center"/>
        <w:tblLayout w:type="fixed"/>
      </w:tblPr>
      <w:tblGrid>
        <w:gridCol w:w="1642"/>
        <w:gridCol w:w="7944"/>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募集资金变更项目情况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55"/>
        <w:gridCol w:w="960"/>
        <w:gridCol w:w="960"/>
        <w:gridCol w:w="955"/>
        <w:gridCol w:w="955"/>
        <w:gridCol w:w="955"/>
        <w:gridCol w:w="960"/>
        <w:gridCol w:w="965"/>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非募集资金投资的重大项目情况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截止报告期末累计 实现的收益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润和国际软件外包 研发总部基地项目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17,617.04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49,144.1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17,617.04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持有其他上市公司股权情况</w:t>
      </w:r>
    </w:p>
    <w:tbl>
      <w:tblPr>
        <w:tblOverlap w:val="never"/>
        <w:jc w:val="center"/>
        <w:tblLayout w:type="fixed"/>
      </w:tblPr>
      <w:tblGrid>
        <w:gridCol w:w="806"/>
        <w:gridCol w:w="797"/>
        <w:gridCol w:w="821"/>
        <w:gridCol w:w="797"/>
        <w:gridCol w:w="797"/>
        <w:gridCol w:w="802"/>
        <w:gridCol w:w="792"/>
        <w:gridCol w:w="802"/>
        <w:gridCol w:w="792"/>
        <w:gridCol w:w="802"/>
        <w:gridCol w:w="797"/>
        <w:gridCol w:w="782"/>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报告期损 益（元）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8"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持有金融企业股权情况</w:t>
      </w:r>
    </w:p>
    <w:tbl>
      <w:tblPr>
        <w:tblOverlap w:val="never"/>
        <w:jc w:val="center"/>
        <w:tblLayout w:type="fixed"/>
      </w:tblPr>
      <w:tblGrid>
        <w:gridCol w:w="883"/>
        <w:gridCol w:w="878"/>
        <w:gridCol w:w="869"/>
        <w:gridCol w:w="874"/>
        <w:gridCol w:w="869"/>
        <w:gridCol w:w="869"/>
        <w:gridCol w:w="869"/>
        <w:gridCol w:w="869"/>
        <w:gridCol w:w="869"/>
        <w:gridCol w:w="869"/>
        <w:gridCol w:w="86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报告期损 益（元）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买卖其他上市公司股份的情况</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报告期买入出股 份数量（股）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报告期买卖出股 份数量（股）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使用的资金数量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产生的投资收益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报告期内卖出申购取得的新股产生的投资收益总额元。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买卖其他上市公司股份的情况的说明</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以公允价值计量的金融资产</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81"/>
        <w:gridCol w:w="1190"/>
        <w:gridCol w:w="955"/>
        <w:gridCol w:w="955"/>
        <w:gridCol w:w="955"/>
        <w:gridCol w:w="97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计入权益的累 计公允价值变</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bl>
    <w:p>
      <w:pPr>
        <w:spacing w:lineRule="exact" w:line="1"/>
        <w:rPr>
          <w:sz w:val="2"/>
          <w:szCs w:val="2"/>
        </w:rPr>
      </w:pPr>
      <w:r>
        <w:br w:type="page"/>
      </w:r>
    </w:p>
    <w:tbl>
      <w:tblPr>
        <w:tblOverlap w:val="never"/>
        <w:jc w:val="center"/>
        <w:tblLayout w:type="fixed"/>
      </w:tblPr>
      <w:tblGrid>
        <w:gridCol w:w="1392"/>
        <w:gridCol w:w="898"/>
        <w:gridCol w:w="1090"/>
        <w:gridCol w:w="1181"/>
        <w:gridCol w:w="1190"/>
        <w:gridCol w:w="955"/>
        <w:gridCol w:w="955"/>
        <w:gridCol w:w="955"/>
        <w:gridCol w:w="970"/>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23"/>
      <w:bookmarkEnd w:id="124"/>
      <w:bookmarkEnd w:id="126"/>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75"/>
        <w:gridCol w:w="946"/>
        <w:gridCol w:w="941"/>
        <w:gridCol w:w="941"/>
        <w:gridCol w:w="946"/>
        <w:gridCol w:w="941"/>
        <w:gridCol w:w="941"/>
        <w:gridCol w:w="811"/>
        <w:gridCol w:w="108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总资产</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净资产</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营业收入</w:t>
            </w:r>
          </w:p>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营业利润</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软件外包 园区的投 资和管理； 实业投资； 计算机软、 硬件销售 和服务；物 业管理；自 建房屋出 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349,211,17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178,770,32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22,977,319.</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269,818.3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300,393.32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润和数码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与服务、智 能终端产 品研发、销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9,645,291.1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91,781,667.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8,872,667.2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31,346,909.</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-1,575,19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-1,023,909.43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与服务、智 能终端产 品研发、销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7,703,082.0</w:t>
            </w:r>
          </w:p>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4,722,887.0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4,822,205.1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-270,678.</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-277,112.98</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新加坡润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和数码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与服务、智 能终端产 品研发、销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1,235,460.0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3,903,494.6</w:t>
            </w:r>
          </w:p>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-339,662.09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13,426,622.</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-1,583,27</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-1,583,276.90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4,378,986.1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24,179,897.</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4,192,804.5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65,491,672.</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863,574.7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572,005.72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21,238,582.</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19,629,446.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23,552,576.</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-1,226,75</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-369,088.13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5,914,155.6</w:t>
            </w:r>
          </w:p>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4,678,661.4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2,040,666.9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-321,338.</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-321,338.53</w:t>
            </w:r>
          </w:p>
        </w:tc>
      </w:tr>
    </w:tbl>
    <w:p>
      <w:pPr>
        <w:spacing w:lineRule="exact" w:line="1"/>
        <w:rPr>
          <w:sz w:val="2"/>
          <w:szCs w:val="2"/>
        </w:rPr>
      </w:pPr>
      <w:r>
        <w:br w:type="page"/>
      </w:r>
    </w:p>
    <w:tbl>
      <w:tblPr>
        <w:tblOverlap w:val="never"/>
        <w:jc w:val="center"/>
        <w:tblLayout w:type="fixed"/>
      </w:tblPr>
      <w:tblGrid>
        <w:gridCol w:w="955"/>
        <w:gridCol w:w="1075"/>
        <w:gridCol w:w="946"/>
        <w:gridCol w:w="941"/>
        <w:gridCol w:w="941"/>
        <w:gridCol w:w="946"/>
        <w:gridCol w:w="941"/>
        <w:gridCol w:w="941"/>
        <w:gridCol w:w="811"/>
        <w:gridCol w:w="108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波士顿润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6,563,300.0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6,487,358.1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6,415,051.3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11,382,067.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81,318.29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26,822.02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4,081,419.6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2,033,153.3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2,016,797.5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-733,183.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-733,183.50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703,519.50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4,637,264.9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961,600.39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19,179,140.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121,614.10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上海丝略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1,319,901.1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1,857,761.9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14,783,981.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96,148.34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-19,728.88</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 信息与系 统有限公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系统集成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20,601,100.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130,602,83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73,147,981.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65,345,432.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6,980,419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5,970,608.75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江苏开拓信息与系统有限公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取得子公司的目的为拓展业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务领域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增加系统集成服务业务，对公 司</w:t>
            </w:r>
            <w:r>
              <w:rPr>
                <w:rFonts w:ascii="Times New Roman" w:eastAsia="Times New Roman" w:hAnsi="Times New Roman" w:cs="Times New Roman"/>
                <w:color w:val="000000"/>
                <w:spacing w:val="0"/>
                <w:w w:val="100"/>
                <w:position w:val="0"/>
              </w:rPr>
              <w:t>2013</w:t>
            </w:r>
            <w:r>
              <w:rPr>
                <w:color w:val="000000"/>
                <w:spacing w:val="0"/>
                <w:w w:val="100"/>
                <w:position w:val="0"/>
              </w:rPr>
              <w:t>年业绩有正面影响。</w:t>
            </w:r>
          </w:p>
        </w:tc>
      </w:tr>
    </w:tbl>
    <w:p>
      <w:pPr>
        <w:widowControl w:val="0"/>
        <w:spacing w:after="279" w:line="1" w:lineRule="exact"/>
      </w:pPr>
    </w:p>
    <w:p>
      <w:pPr>
        <w:pStyle w:val="Style36"/>
        <w:keepNext/>
        <w:keepLines/>
        <w:widowControl w:val="0"/>
        <w:shd w:val="clear" w:color="auto" w:fill="auto"/>
        <w:bidi w:val="0"/>
        <w:spacing w:before="0" w:after="2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27"/>
      <w:bookmarkEnd w:id="128"/>
      <w:bookmarkEnd w:id="130"/>
    </w:p>
    <w:p>
      <w:pPr>
        <w:pStyle w:val="Style2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2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sz w:val="24"/>
          <w:szCs w:val="24"/>
        </w:rPr>
        <w:t>二</w:t>
      </w:r>
      <w:bookmarkEnd w:id="133"/>
      <w:r>
        <w:rPr>
          <w:color w:val="000000"/>
          <w:spacing w:val="0"/>
          <w:w w:val="100"/>
          <w:position w:val="0"/>
          <w:sz w:val="24"/>
          <w:szCs w:val="24"/>
        </w:rPr>
        <w:t>、公司未来发展的展望</w:t>
      </w:r>
      <w:bookmarkEnd w:id="131"/>
      <w:bookmarkEnd w:id="132"/>
      <w:bookmarkEnd w:id="134"/>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公司将继续坚持</w:t>
      </w:r>
      <w:r>
        <w:rPr>
          <w:rFonts w:ascii="Times New Roman" w:eastAsia="Times New Roman" w:hAnsi="Times New Roman" w:cs="Times New Roman"/>
          <w:color w:val="000000"/>
          <w:spacing w:val="0"/>
          <w:w w:val="100"/>
          <w:position w:val="0"/>
        </w:rPr>
        <w:t>“</w:t>
      </w:r>
      <w:r>
        <w:rPr>
          <w:color w:val="000000"/>
          <w:spacing w:val="0"/>
          <w:w w:val="100"/>
          <w:position w:val="0"/>
        </w:rPr>
        <w:t>国际化、专业化、高端化</w:t>
      </w:r>
      <w:r>
        <w:rPr>
          <w:rFonts w:ascii="Times New Roman" w:eastAsia="Times New Roman" w:hAnsi="Times New Roman" w:cs="Times New Roman"/>
          <w:color w:val="000000"/>
          <w:spacing w:val="0"/>
          <w:w w:val="100"/>
          <w:position w:val="0"/>
        </w:rPr>
        <w:t>”</w:t>
      </w:r>
      <w:r>
        <w:rPr>
          <w:color w:val="000000"/>
          <w:spacing w:val="0"/>
          <w:w w:val="100"/>
          <w:position w:val="0"/>
        </w:rPr>
        <w:t>的发展思路，立足于软件和信息技术服务业，继续并加速发展高端软件和信 息技术服务业务，推动国际市场与国内市场同步、互动发展，深耕专业领域与细分市场，不断增加核心竞争力，持续提升行 业地位。力求打造中国领先的国际化高端软件服务品牌。</w:t>
      </w:r>
    </w:p>
    <w:p>
      <w:pPr>
        <w:pStyle w:val="Style28"/>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年，公司主营业务将保持持续增长，具体措施如下：</w:t>
      </w:r>
    </w:p>
    <w:p>
      <w:pPr>
        <w:pStyle w:val="Style28"/>
        <w:keepNext w:val="0"/>
        <w:keepLines w:val="0"/>
        <w:widowControl w:val="0"/>
        <w:shd w:val="clear" w:color="auto" w:fill="auto"/>
        <w:bidi w:val="0"/>
        <w:spacing w:before="0" w:after="0" w:line="317" w:lineRule="exact"/>
        <w:ind w:left="0" w:right="0"/>
        <w:jc w:val="both"/>
      </w:pPr>
      <w:bookmarkStart w:id="135" w:name="bookmark135"/>
      <w:r>
        <w:rPr>
          <w:rFonts w:ascii="Times New Roman" w:eastAsia="Times New Roman" w:hAnsi="Times New Roman" w:cs="Times New Roman"/>
          <w:color w:val="000000"/>
          <w:spacing w:val="0"/>
          <w:w w:val="100"/>
          <w:position w:val="0"/>
        </w:rPr>
        <w:t>1</w:t>
      </w:r>
      <w:bookmarkEnd w:id="135"/>
      <w:r>
        <w:rPr>
          <w:color w:val="000000"/>
          <w:spacing w:val="0"/>
          <w:w w:val="100"/>
          <w:position w:val="0"/>
        </w:rPr>
        <w:t>、市场开发计划</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公司将坚持国际、国内市场互动的发展原则，进一步完善国际、国内重点区域的市场布局，进一步提升公司的全球交付 能力，加大市场开拓力度，扩大公司高端客户的数量，提高公司专业领域的解决方案能力，力争公司现有的三个核心专业领 域的销售收入均实现持续增长，同时加大智能终端产品及系统集成业务的销售力度，实现业务的增长。</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在供应链管理软件业务的市场开拓中，公司将充分发挥现有行业龙头客户的作用，通过高端客户积累的业务和技术优势， 全面打造高端供应链管理软件解决方案，并向行业内高端客户推广，实现销售收入的持续增长；</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在智能终端嵌入式软件市场开拓中，公司将继续研究智能终端产业链业务模式创新，通过已有专业技术的积累和产业链 </w:t>
      </w:r>
      <w:r>
        <w:rPr>
          <w:color w:val="000000"/>
          <w:spacing w:val="0"/>
          <w:w w:val="100"/>
          <w:position w:val="0"/>
        </w:rPr>
        <w:t xml:space="preserve">的渗透，提升芯片到整机的嵌入式软件解决方案提供能力，实现销售收入的持续增长; </w:t>
      </w:r>
      <w:r>
        <w:rPr>
          <w:color w:val="000000"/>
          <w:spacing w:val="0"/>
          <w:w w:val="100"/>
          <w:position w:val="0"/>
        </w:rPr>
        <w:t>在智能电网信息化软件专业领域的市场开拓中，公司将继续提升现有客户的客户关系，并通过产品化的研发丰富该业务领域 的解决方案提供范围，并不断开拓新客户，实现销售收入的持续增长。</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智能终端产品业务，将重点拓展东南亚的电信运营商及终端设备制造商的市场开拓力度，实现智能终端产品的出货量快速增 长，实现业务的快速增长。</w:t>
      </w:r>
    </w:p>
    <w:p>
      <w:pPr>
        <w:pStyle w:val="Style28"/>
        <w:keepNext w:val="0"/>
        <w:keepLines w:val="0"/>
        <w:widowControl w:val="0"/>
        <w:shd w:val="clear" w:color="auto" w:fill="auto"/>
        <w:bidi w:val="0"/>
        <w:spacing w:before="0" w:after="100" w:line="311" w:lineRule="exact"/>
        <w:ind w:left="0" w:right="0"/>
        <w:jc w:val="both"/>
      </w:pPr>
      <w:r>
        <w:rPr>
          <w:color w:val="000000"/>
          <w:spacing w:val="0"/>
          <w:w w:val="100"/>
          <w:position w:val="0"/>
        </w:rPr>
        <w:t>系统集成业务，将深度挖掘公司既有软件业务客户的系统集成业务，同时加大子公司江苏开拓的市场投入力度，实现业 务的增长。</w:t>
      </w:r>
    </w:p>
    <w:p>
      <w:pPr>
        <w:pStyle w:val="Style28"/>
        <w:keepNext w:val="0"/>
        <w:keepLines w:val="0"/>
        <w:widowControl w:val="0"/>
        <w:shd w:val="clear" w:color="auto" w:fill="auto"/>
        <w:tabs>
          <w:tab w:pos="647" w:val="left"/>
        </w:tabs>
        <w:bidi w:val="0"/>
        <w:spacing w:before="0" w:after="0"/>
        <w:ind w:left="0" w:right="0"/>
        <w:jc w:val="both"/>
      </w:pPr>
      <w:bookmarkStart w:id="136" w:name="bookmark136"/>
      <w:r>
        <w:rPr>
          <w:rFonts w:ascii="Times New Roman" w:eastAsia="Times New Roman" w:hAnsi="Times New Roman" w:cs="Times New Roman"/>
          <w:color w:val="000000"/>
          <w:spacing w:val="0"/>
          <w:w w:val="100"/>
          <w:position w:val="0"/>
        </w:rPr>
        <w:t>2</w:t>
      </w:r>
      <w:bookmarkEnd w:id="136"/>
      <w:r>
        <w:rPr>
          <w:color w:val="000000"/>
          <w:spacing w:val="0"/>
          <w:w w:val="100"/>
          <w:position w:val="0"/>
        </w:rPr>
        <w:t>、</w:t>
        <w:tab/>
        <w:t>研发创新</w:t>
      </w:r>
    </w:p>
    <w:p>
      <w:pPr>
        <w:pStyle w:val="Style28"/>
        <w:keepNext w:val="0"/>
        <w:keepLines w:val="0"/>
        <w:widowControl w:val="0"/>
        <w:shd w:val="clear" w:color="auto" w:fill="auto"/>
        <w:bidi w:val="0"/>
        <w:spacing w:before="0" w:after="100" w:line="311" w:lineRule="exact"/>
        <w:ind w:left="0" w:right="0"/>
        <w:jc w:val="both"/>
      </w:pPr>
      <w:r>
        <w:rPr>
          <w:color w:val="000000"/>
          <w:spacing w:val="0"/>
          <w:w w:val="100"/>
          <w:position w:val="0"/>
        </w:rPr>
        <w:t>公司将继续加大研发创新的投入，将公司多年积累的专业知识与技术优势进行产品化、解决方案化，借助于产业升级背 景下信息化、智能化发展对软件服务的广阔市场需求，集中力量通过研发创新持续提升公司的核心竞争力。</w:t>
      </w:r>
    </w:p>
    <w:p>
      <w:pPr>
        <w:pStyle w:val="Style28"/>
        <w:keepNext w:val="0"/>
        <w:keepLines w:val="0"/>
        <w:widowControl w:val="0"/>
        <w:shd w:val="clear" w:color="auto" w:fill="auto"/>
        <w:tabs>
          <w:tab w:pos="647" w:val="left"/>
        </w:tabs>
        <w:bidi w:val="0"/>
        <w:spacing w:before="0" w:after="0"/>
        <w:ind w:left="0" w:right="0"/>
        <w:jc w:val="left"/>
      </w:pPr>
      <w:bookmarkStart w:id="137" w:name="bookmark137"/>
      <w:r>
        <w:rPr>
          <w:rFonts w:ascii="Times New Roman" w:eastAsia="Times New Roman" w:hAnsi="Times New Roman" w:cs="Times New Roman"/>
          <w:color w:val="000000"/>
          <w:spacing w:val="0"/>
          <w:w w:val="100"/>
          <w:position w:val="0"/>
        </w:rPr>
        <w:t>3</w:t>
      </w:r>
      <w:bookmarkEnd w:id="137"/>
      <w:r>
        <w:rPr>
          <w:color w:val="000000"/>
          <w:spacing w:val="0"/>
          <w:w w:val="100"/>
          <w:position w:val="0"/>
        </w:rPr>
        <w:t>、</w:t>
        <w:tab/>
        <w:t>人力资源规划</w:t>
      </w:r>
    </w:p>
    <w:p>
      <w:pPr>
        <w:pStyle w:val="Style28"/>
        <w:keepNext w:val="0"/>
        <w:keepLines w:val="0"/>
        <w:widowControl w:val="0"/>
        <w:shd w:val="clear" w:color="auto" w:fill="auto"/>
        <w:bidi w:val="0"/>
        <w:spacing w:before="0" w:after="100" w:line="311" w:lineRule="exact"/>
        <w:ind w:left="0" w:right="0"/>
        <w:jc w:val="left"/>
      </w:pPr>
      <w:r>
        <w:rPr>
          <w:color w:val="000000"/>
          <w:spacing w:val="0"/>
          <w:w w:val="100"/>
          <w:position w:val="0"/>
        </w:rPr>
        <w:t>公司的团队建设将以优化人才结构为发展目标。通过完善公司任职资格体系，全面提升公司人力资源的效率。</w:t>
      </w:r>
    </w:p>
    <w:p>
      <w:pPr>
        <w:pStyle w:val="Style28"/>
        <w:keepNext w:val="0"/>
        <w:keepLines w:val="0"/>
        <w:widowControl w:val="0"/>
        <w:shd w:val="clear" w:color="auto" w:fill="auto"/>
        <w:tabs>
          <w:tab w:pos="647" w:val="left"/>
        </w:tabs>
        <w:bidi w:val="0"/>
        <w:spacing w:before="0" w:after="0"/>
        <w:ind w:left="0" w:right="0"/>
        <w:jc w:val="left"/>
      </w:pPr>
      <w:bookmarkStart w:id="138" w:name="bookmark138"/>
      <w:r>
        <w:rPr>
          <w:rFonts w:ascii="Times New Roman" w:eastAsia="Times New Roman" w:hAnsi="Times New Roman" w:cs="Times New Roman"/>
          <w:color w:val="000000"/>
          <w:spacing w:val="0"/>
          <w:w w:val="100"/>
          <w:position w:val="0"/>
        </w:rPr>
        <w:t>4</w:t>
      </w:r>
      <w:bookmarkEnd w:id="138"/>
      <w:r>
        <w:rPr>
          <w:color w:val="000000"/>
          <w:spacing w:val="0"/>
          <w:w w:val="100"/>
          <w:position w:val="0"/>
        </w:rPr>
        <w:t>、</w:t>
        <w:tab/>
        <w:t>收购兼并及对外扩充计划</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目前，中国提供软件和信息技术服务的企业数量虽然不断增加，但中国的软件和信息技术服务行业正经历了一系列重要而意 义深远的变化，</w:t>
      </w:r>
      <w:r>
        <w:rPr>
          <w:rFonts w:ascii="Times New Roman" w:eastAsia="Times New Roman" w:hAnsi="Times New Roman" w:cs="Times New Roman"/>
          <w:color w:val="000000"/>
          <w:spacing w:val="0"/>
          <w:w w:val="100"/>
          <w:position w:val="0"/>
        </w:rPr>
        <w:t>“</w:t>
      </w:r>
      <w:r>
        <w:rPr>
          <w:color w:val="000000"/>
          <w:spacing w:val="0"/>
          <w:w w:val="100"/>
          <w:position w:val="0"/>
        </w:rPr>
        <w:t>行业整合</w:t>
      </w:r>
      <w:r>
        <w:rPr>
          <w:rFonts w:ascii="Times New Roman" w:eastAsia="Times New Roman" w:hAnsi="Times New Roman" w:cs="Times New Roman"/>
          <w:color w:val="000000"/>
          <w:spacing w:val="0"/>
          <w:w w:val="100"/>
          <w:position w:val="0"/>
        </w:rPr>
        <w:t>”</w:t>
      </w:r>
      <w:r>
        <w:rPr>
          <w:color w:val="000000"/>
          <w:spacing w:val="0"/>
          <w:w w:val="100"/>
          <w:position w:val="0"/>
        </w:rPr>
        <w:t>已经成为发展趋势，并逐渐向广度和深度延伸，拥有整合能力的企业，将在这一轮整合期逐渐占 有先机。</w:t>
      </w:r>
    </w:p>
    <w:p>
      <w:pPr>
        <w:pStyle w:val="Style28"/>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公司计划在适当的时候采取收购兼并方式，来拓展公司的业务渠道和技术能力，实现公司业务的扩张，在软件和信息技术服 务产业整合的发展中抢占有利地位，提升公司软件和信息技术服务业务的规模效益。</w:t>
      </w:r>
    </w:p>
    <w:p>
      <w:pPr>
        <w:pStyle w:val="Style31"/>
        <w:keepNext/>
        <w:keepLines/>
        <w:widowControl w:val="0"/>
        <w:shd w:val="clear" w:color="auto" w:fill="auto"/>
        <w:tabs>
          <w:tab w:pos="527" w:val="left"/>
        </w:tabs>
        <w:bidi w:val="0"/>
        <w:spacing w:before="0" w:after="26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三</w:t>
      </w:r>
      <w:bookmarkEnd w:id="141"/>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39"/>
      <w:bookmarkEnd w:id="140"/>
      <w:bookmarkEnd w:id="142"/>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527" w:val="left"/>
        </w:tabs>
        <w:bidi w:val="0"/>
        <w:spacing w:before="0" w:after="2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四</w:t>
      </w:r>
      <w:bookmarkEnd w:id="145"/>
      <w:r>
        <w:rPr>
          <w:color w:val="000000"/>
          <w:spacing w:val="0"/>
          <w:w w:val="100"/>
          <w:position w:val="0"/>
          <w:sz w:val="24"/>
          <w:szCs w:val="24"/>
        </w:rPr>
        <w:t>、</w:t>
        <w:tab/>
        <w:t>董事会关于报告期会计政策、会计估计变更或重要前期差错更正的说明</w:t>
      </w:r>
      <w:bookmarkEnd w:id="143"/>
      <w:bookmarkEnd w:id="144"/>
      <w:bookmarkEnd w:id="146"/>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31"/>
        <w:keepNext/>
        <w:keepLines/>
        <w:widowControl w:val="0"/>
        <w:shd w:val="clear" w:color="auto" w:fill="auto"/>
        <w:tabs>
          <w:tab w:pos="527" w:val="left"/>
        </w:tabs>
        <w:bidi w:val="0"/>
        <w:spacing w:before="0" w:after="26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五</w:t>
      </w:r>
      <w:bookmarkEnd w:id="149"/>
      <w:r>
        <w:rPr>
          <w:color w:val="000000"/>
          <w:spacing w:val="0"/>
          <w:w w:val="100"/>
          <w:position w:val="0"/>
          <w:sz w:val="24"/>
          <w:szCs w:val="24"/>
        </w:rPr>
        <w:t>、</w:t>
        <w:tab/>
        <w:t>公司利润分配及分红派息情况</w:t>
      </w:r>
      <w:bookmarkEnd w:id="147"/>
      <w:bookmarkEnd w:id="148"/>
      <w:bookmarkEnd w:id="150"/>
    </w:p>
    <w:p>
      <w:pPr>
        <w:pStyle w:val="Style28"/>
        <w:keepNext w:val="0"/>
        <w:keepLines w:val="0"/>
        <w:widowControl w:val="0"/>
        <w:shd w:val="clear" w:color="auto" w:fill="auto"/>
        <w:bidi w:val="0"/>
        <w:spacing w:before="0" w:after="100" w:line="311" w:lineRule="exact"/>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5558" w:val="left"/>
        </w:tabs>
        <w:bidi w:val="0"/>
        <w:spacing w:before="0" w:after="0"/>
        <w:ind w:left="0" w:right="0" w:firstLine="0"/>
        <w:jc w:val="both"/>
      </w:pPr>
      <w:bookmarkStart w:id="151" w:name="bookmark151"/>
      <w:r>
        <w:rPr>
          <w:rFonts w:ascii="Times New Roman" w:eastAsia="Times New Roman" w:hAnsi="Times New Roman" w:cs="Times New Roman"/>
          <w:color w:val="000000"/>
          <w:spacing w:val="0"/>
          <w:w w:val="100"/>
          <w:position w:val="0"/>
        </w:rPr>
        <w:t>1</w:t>
      </w:r>
      <w:bookmarkEnd w:id="151"/>
      <w:r>
        <w:rPr>
          <w:color w:val="000000"/>
          <w:spacing w:val="0"/>
          <w:w w:val="100"/>
          <w:position w:val="0"/>
        </w:rPr>
        <w:t>、根据《公司章程》的规定，报告期内公司利润分配政策如下：</w:t>
        <w:tab/>
        <w:t>公司的利润分配政策应重视对投资者的合理投资回</w:t>
      </w:r>
    </w:p>
    <w:p>
      <w:pPr>
        <w:pStyle w:val="Style28"/>
        <w:keepNext w:val="0"/>
        <w:keepLines w:val="0"/>
        <w:widowControl w:val="0"/>
        <w:shd w:val="clear" w:color="auto" w:fill="auto"/>
        <w:tabs>
          <w:tab w:pos="1032" w:val="left"/>
        </w:tabs>
        <w:bidi w:val="0"/>
        <w:spacing w:before="0" w:after="0" w:line="311" w:lineRule="exact"/>
        <w:ind w:left="0" w:right="0" w:firstLine="0"/>
        <w:jc w:val="left"/>
      </w:pPr>
      <w:r>
        <w:rPr>
          <w:color w:val="000000"/>
          <w:spacing w:val="0"/>
          <w:w w:val="100"/>
          <w:position w:val="0"/>
        </w:rPr>
        <w:t>报，利润分配政策将保持连续性和稳定性。公司的利润分配不得超过累计可分配利润的范围，不得损害公司持续经营能力。 公司的利润分配政策为：（</w:t>
      </w:r>
      <w:r>
        <w:rPr>
          <w:rFonts w:ascii="Times New Roman" w:eastAsia="Times New Roman" w:hAnsi="Times New Roman" w:cs="Times New Roman"/>
          <w:color w:val="000000"/>
          <w:spacing w:val="0"/>
          <w:w w:val="100"/>
          <w:position w:val="0"/>
        </w:rPr>
        <w:t>1</w:t>
      </w:r>
      <w:r>
        <w:rPr>
          <w:color w:val="000000"/>
          <w:spacing w:val="0"/>
          <w:w w:val="100"/>
          <w:position w:val="0"/>
        </w:rPr>
        <w:t>）公司可以采取现金或者股票方式分配股利，可以进行中期现金分红；（</w:t>
      </w:r>
      <w:r>
        <w:rPr>
          <w:rFonts w:ascii="Times New Roman" w:eastAsia="Times New Roman" w:hAnsi="Times New Roman" w:cs="Times New Roman"/>
          <w:color w:val="000000"/>
          <w:spacing w:val="0"/>
          <w:w w:val="100"/>
          <w:position w:val="0"/>
        </w:rPr>
        <w:t>2</w:t>
      </w:r>
      <w:r>
        <w:rPr>
          <w:color w:val="000000"/>
          <w:spacing w:val="0"/>
          <w:w w:val="100"/>
          <w:position w:val="0"/>
        </w:rPr>
        <w:t>）公司每年以现金方式 分配的利润不少于当年实现的可分配利润的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；对于公司当年的利润分配计划，公司董事会应当在定期报告中披露当年 未分配利润的使用计划、安排或原则。公司董事会未做出年度现金利润分配预案或年度现金利润分配比例不足</w:t>
      </w:r>
      <w:r>
        <w:rPr>
          <w:rFonts w:ascii="Times New Roman" w:eastAsia="Times New Roman" w:hAnsi="Times New Roman" w:cs="Times New Roman"/>
          <w:color w:val="000000"/>
          <w:spacing w:val="0"/>
          <w:w w:val="100"/>
          <w:position w:val="0"/>
        </w:rPr>
        <w:t>20%</w:t>
      </w:r>
      <w:r>
        <w:rPr>
          <w:color w:val="000000"/>
          <w:spacing w:val="0"/>
          <w:w w:val="100"/>
          <w:position w:val="0"/>
        </w:rPr>
        <w:t>的，应 当在定期报告中披露原因、公司留存资金的使用计划和安排，该等年度现金利润分配方案须经董事会审议、监事会审核后提 交股东大会审议；股东大会审议该等年度现金利润分配方案时，公司应当提供网络投票表决方式为社会公众股东参加股东大 会提供便利；对于该等年度现金利润分配方案，独立董事应当发表独立意见；（</w:t>
      </w:r>
      <w:r>
        <w:rPr>
          <w:rFonts w:ascii="Times New Roman" w:eastAsia="Times New Roman" w:hAnsi="Times New Roman" w:cs="Times New Roman"/>
          <w:color w:val="000000"/>
          <w:spacing w:val="0"/>
          <w:w w:val="100"/>
          <w:position w:val="0"/>
        </w:rPr>
        <w:t>3</w:t>
      </w:r>
      <w:r>
        <w:rPr>
          <w:color w:val="000000"/>
          <w:spacing w:val="0"/>
          <w:w w:val="100"/>
          <w:position w:val="0"/>
        </w:rPr>
        <w:t>）在保证公司股本规模和股权结构合理的前 提下，基于回报投资者和分享企业价值考虑，公司可以发放股票股利，具体方案需经公司董事会审议后提交公司股东大会批 准。</w:t>
        <w:tab/>
        <w:t>公司的利润分配政策经董事会审议、监事会审核后，报股东大会表决通过。如需要调整利润分配政策的，应以</w:t>
      </w:r>
    </w:p>
    <w:p>
      <w:pPr>
        <w:pStyle w:val="Style28"/>
        <w:keepNext w:val="0"/>
        <w:keepLines w:val="0"/>
        <w:widowControl w:val="0"/>
        <w:shd w:val="clear" w:color="auto" w:fill="auto"/>
        <w:tabs>
          <w:tab w:pos="3557" w:val="left"/>
        </w:tabs>
        <w:bidi w:val="0"/>
        <w:spacing w:before="0" w:after="260" w:line="311" w:lineRule="exact"/>
        <w:ind w:left="0" w:right="0" w:firstLine="0"/>
        <w:jc w:val="left"/>
      </w:pPr>
      <w:r>
        <w:rPr>
          <w:color w:val="000000"/>
          <w:spacing w:val="0"/>
          <w:w w:val="100"/>
          <w:position w:val="0"/>
        </w:rPr>
        <w:t>股东权益保护为出发点，由公司董事会、监事会进行研究论证并在股东大会提案中详细论证和说明原因，经调整的利润分配 政策应当符合有关法律、行政法规、部门规章及本章程的规定并须经董事会审议、监事会审核后提交股东大会审议，股东大 会审议该等议案时，公司应当提供网络投票表决方式为公众股东参加股东大会提供便利。对于公司利润分配政策的制订或修 改事项，独立董事应当发表独立意见。</w:t>
        <w:tab/>
        <w:t>公司制定各期利润分配的具体规划和计划安排，以及调整规划或计划安排时，</w:t>
      </w:r>
    </w:p>
    <w:p>
      <w:pPr>
        <w:pStyle w:val="Style28"/>
        <w:keepNext w:val="0"/>
        <w:keepLines w:val="0"/>
        <w:widowControl w:val="0"/>
        <w:shd w:val="clear" w:color="auto" w:fill="auto"/>
        <w:tabs>
          <w:tab w:pos="4661" w:val="left"/>
        </w:tabs>
        <w:bidi w:val="0"/>
        <w:spacing w:before="0" w:after="0" w:line="311" w:lineRule="exact"/>
        <w:ind w:left="0" w:right="0" w:firstLine="0"/>
        <w:jc w:val="both"/>
      </w:pPr>
      <w:r>
        <w:rPr>
          <w:color w:val="000000"/>
          <w:spacing w:val="0"/>
          <w:w w:val="100"/>
          <w:position w:val="0"/>
        </w:rPr>
        <w:t>应按照有关法律、行政法规、部门规章及本章程的规定，并充分听取独立董事、外部监事和公众投资者的意见；公司制定分 红回报规划应当着眼于公司的长远和可持续发展，在综合分析企业经营发展实际、股东要求和意愿、社会资金成本、外部融 资环境等因素的基础上，建立对投资者持续、稳定、科学的回报机制。</w:t>
      </w:r>
      <w:r>
        <w:rPr>
          <w:rFonts w:ascii="Times New Roman" w:eastAsia="Times New Roman" w:hAnsi="Times New Roman" w:cs="Times New Roman"/>
          <w:color w:val="000000"/>
          <w:spacing w:val="0"/>
          <w:w w:val="100"/>
          <w:position w:val="0"/>
        </w:rPr>
        <w:t>2</w:t>
      </w:r>
      <w:r>
        <w:rPr>
          <w:color w:val="000000"/>
          <w:spacing w:val="0"/>
          <w:w w:val="100"/>
          <w:position w:val="0"/>
        </w:rPr>
        <w:t>、报告期内，公司利润分配政策的执行情况如下： 报告期内，公司严格按照《公司章程》中关于现金分红政策和股东大会对利润分配方案的决议执行利润分配，分红标准和比 例明确和清晰，相关的决策程序和机制完备，独立董事尽职履责并发挥了应有的作用。公司以详细公告形式向全体股东发出 股东大会通知，并提供网络投票方式，中小股东有充分表达意见和诉求的机会，股东大会审议通过后公司在规定时间内实施 了权益分派，充分维护了中小股东的合法权益。</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年度利润分派方案已获得</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w:t>
      </w:r>
    </w:p>
    <w:p>
      <w:pPr>
        <w:pStyle w:val="Style28"/>
        <w:keepNext w:val="0"/>
        <w:keepLines w:val="0"/>
        <w:widowControl w:val="0"/>
        <w:shd w:val="clear" w:color="auto" w:fill="auto"/>
        <w:tabs>
          <w:tab w:pos="8760" w:val="left"/>
        </w:tabs>
        <w:bidi w:val="0"/>
        <w:spacing w:before="0" w:after="0" w:line="311" w:lineRule="exact"/>
        <w:ind w:left="0" w:right="0" w:firstLine="0"/>
        <w:jc w:val="both"/>
      </w:pPr>
      <w:r>
        <w:rPr>
          <w:color w:val="000000"/>
          <w:spacing w:val="0"/>
          <w:w w:val="100"/>
          <w:position w:val="0"/>
        </w:rPr>
        <w:t>四届董事会第二次会议和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年度股东大会审议批准，公司</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年年度利润分配方案为：为回报 全体股东，让全体股东共同分享公司的经营成果,结合公司控股股东江苏润和科技投资有限公司于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日的提议, 经华普天健会计师事务所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有限公司审计，母公司</w:t>
      </w:r>
      <w:r>
        <w:rPr>
          <w:rFonts w:ascii="Times New Roman" w:eastAsia="Times New Roman" w:hAnsi="Times New Roman" w:cs="Times New Roman"/>
          <w:color w:val="000000"/>
          <w:spacing w:val="0"/>
          <w:w w:val="100"/>
          <w:position w:val="0"/>
        </w:rPr>
        <w:t>2012</w:t>
      </w:r>
      <w:r>
        <w:rPr>
          <w:color w:val="000000"/>
          <w:spacing w:val="0"/>
          <w:w w:val="100"/>
          <w:position w:val="0"/>
        </w:rPr>
        <w:t>年年初未分配利润为</w:t>
      </w:r>
      <w:r>
        <w:rPr>
          <w:rFonts w:ascii="Times New Roman" w:eastAsia="Times New Roman" w:hAnsi="Times New Roman" w:cs="Times New Roman"/>
          <w:color w:val="000000"/>
          <w:spacing w:val="0"/>
          <w:w w:val="100"/>
          <w:position w:val="0"/>
        </w:rPr>
        <w:t>94,997,372.91</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月派发现金股 利</w:t>
      </w:r>
      <w:r>
        <w:rPr>
          <w:rFonts w:ascii="Times New Roman" w:eastAsia="Times New Roman" w:hAnsi="Times New Roman" w:cs="Times New Roman"/>
          <w:color w:val="000000"/>
          <w:spacing w:val="0"/>
          <w:w w:val="100"/>
          <w:position w:val="0"/>
        </w:rPr>
        <w:t>11,511,000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64,311,439.76</w:t>
      </w:r>
      <w:r>
        <w:rPr>
          <w:color w:val="000000"/>
          <w:spacing w:val="0"/>
          <w:w w:val="100"/>
          <w:position w:val="0"/>
        </w:rPr>
        <w:t>元，按实现净利润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提取法定盈余公积金之后，母公司可供分配 利润为</w:t>
      </w:r>
      <w:r>
        <w:rPr>
          <w:rFonts w:ascii="Times New Roman" w:eastAsia="Times New Roman" w:hAnsi="Times New Roman" w:cs="Times New Roman"/>
          <w:color w:val="000000"/>
          <w:spacing w:val="0"/>
          <w:w w:val="100"/>
          <w:position w:val="0"/>
        </w:rPr>
        <w:t>141,366,668.69</w:t>
      </w:r>
      <w:r>
        <w:rPr>
          <w:color w:val="000000"/>
          <w:spacing w:val="0"/>
          <w:w w:val="100"/>
          <w:position w:val="0"/>
        </w:rPr>
        <w:t>元。公司以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 税），共计派送现金红利</w:t>
      </w:r>
      <w:r>
        <w:rPr>
          <w:rFonts w:ascii="Times New Roman" w:eastAsia="Times New Roman" w:hAnsi="Times New Roman" w:cs="Times New Roman"/>
          <w:color w:val="000000"/>
          <w:spacing w:val="0"/>
          <w:w w:val="100"/>
          <w:position w:val="0"/>
        </w:rPr>
        <w:t>15,348,000</w:t>
      </w:r>
      <w:r>
        <w:rPr>
          <w:color w:val="000000"/>
          <w:spacing w:val="0"/>
          <w:w w:val="100"/>
          <w:position w:val="0"/>
        </w:rPr>
        <w:t>元（含税）；累计剩余未分配利润</w:t>
      </w:r>
      <w:r>
        <w:rPr>
          <w:rFonts w:ascii="Times New Roman" w:eastAsia="Times New Roman" w:hAnsi="Times New Roman" w:cs="Times New Roman"/>
          <w:color w:val="000000"/>
          <w:spacing w:val="0"/>
          <w:w w:val="100"/>
          <w:position w:val="0"/>
        </w:rPr>
        <w:t>126,018,668.69</w:t>
      </w:r>
      <w:r>
        <w:rPr>
          <w:color w:val="000000"/>
          <w:spacing w:val="0"/>
          <w:w w:val="100"/>
          <w:position w:val="0"/>
        </w:rPr>
        <w:t>元，结转至下年度。</w:t>
        <w:tab/>
        <w:t>同时，母公</w:t>
      </w:r>
    </w:p>
    <w:p>
      <w:pPr>
        <w:pStyle w:val="Style28"/>
        <w:keepNext w:val="0"/>
        <w:keepLines w:val="0"/>
        <w:widowControl w:val="0"/>
        <w:shd w:val="clear" w:color="auto" w:fill="auto"/>
        <w:tabs>
          <w:tab w:pos="878" w:val="left"/>
        </w:tabs>
        <w:bidi w:val="0"/>
        <w:spacing w:before="0" w:after="0" w:line="311" w:lineRule="exact"/>
        <w:ind w:left="0" w:right="0" w:firstLine="0"/>
        <w:jc w:val="both"/>
      </w:pPr>
      <w:r>
        <w:rPr>
          <w:color w:val="000000"/>
          <w:spacing w:val="0"/>
          <w:w w:val="100"/>
          <w:position w:val="0"/>
        </w:rPr>
        <w:t>司年末资本公积为</w:t>
      </w:r>
      <w:r>
        <w:rPr>
          <w:rFonts w:ascii="Times New Roman" w:eastAsia="Times New Roman" w:hAnsi="Times New Roman" w:cs="Times New Roman"/>
          <w:color w:val="000000"/>
          <w:spacing w:val="0"/>
          <w:w w:val="100"/>
          <w:position w:val="0"/>
        </w:rPr>
        <w:t>417,109,049.73</w:t>
      </w:r>
      <w:r>
        <w:rPr>
          <w:color w:val="000000"/>
          <w:spacing w:val="0"/>
          <w:w w:val="100"/>
          <w:position w:val="0"/>
        </w:rPr>
        <w:t>元，以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股为基数，用母公司资本公积向全体股东每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153,480,000</w:t>
      </w:r>
      <w:r>
        <w:rPr>
          <w:color w:val="000000"/>
          <w:spacing w:val="0"/>
          <w:w w:val="100"/>
          <w:position w:val="0"/>
        </w:rPr>
        <w:t>股，转增后母公司资本公积余额为</w:t>
      </w:r>
      <w:r>
        <w:rPr>
          <w:rFonts w:ascii="Times New Roman" w:eastAsia="Times New Roman" w:hAnsi="Times New Roman" w:cs="Times New Roman"/>
          <w:color w:val="000000"/>
          <w:spacing w:val="0"/>
          <w:w w:val="100"/>
          <w:position w:val="0"/>
        </w:rPr>
        <w:t xml:space="preserve">340,369,049.73 </w:t>
      </w:r>
      <w:r>
        <w:rPr>
          <w:color w:val="000000"/>
          <w:spacing w:val="0"/>
          <w:w w:val="100"/>
          <w:position w:val="0"/>
        </w:rPr>
        <w:t>元。</w:t>
        <w:tab/>
        <w:t>上述利润分配方案已于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日实施完毕。</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日，公司召开的</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w:t>
      </w:r>
    </w:p>
    <w:p>
      <w:pPr>
        <w:pStyle w:val="Style2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会审议通过了《关于修改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并授权董事会办理工商变更登记手续的议案》，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日，公司完成了注册资 本变更为</w:t>
      </w:r>
      <w:r>
        <w:rPr>
          <w:rFonts w:ascii="Times New Roman" w:eastAsia="Times New Roman" w:hAnsi="Times New Roman" w:cs="Times New Roman"/>
          <w:color w:val="000000"/>
          <w:spacing w:val="0"/>
          <w:w w:val="100"/>
          <w:position w:val="0"/>
        </w:rPr>
        <w:t>15,348</w:t>
      </w:r>
      <w:r>
        <w:rPr>
          <w:color w:val="000000"/>
          <w:spacing w:val="0"/>
          <w:w w:val="100"/>
          <w:position w:val="0"/>
        </w:rPr>
        <w:t>万元的工商变更登记手续，取得了江苏省工商行政管理局换发的《企业法人营业执照》。</w:t>
      </w:r>
    </w:p>
    <w:tbl>
      <w:tblPr>
        <w:tblOverlap w:val="never"/>
        <w:jc w:val="center"/>
        <w:tblLayout w:type="fixed"/>
      </w:tblPr>
      <w:tblGrid>
        <w:gridCol w:w="4229"/>
        <w:gridCol w:w="5357"/>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341"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61,392,000.00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187,869,105.90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08"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b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14" w:val="left"/>
        </w:tabs>
        <w:bidi w:val="0"/>
        <w:spacing w:before="0" w:after="0" w:line="313" w:lineRule="exact"/>
        <w:ind w:left="0" w:right="0" w:firstLine="7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日，江苏润和软件股份有限公司（以下简称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）控股股东江苏润和科技投资集团有限公司</w:t>
      </w:r>
      <w:r>
        <w:rPr>
          <w:rFonts w:ascii="Times New Roman" w:eastAsia="Times New Roman" w:hAnsi="Times New Roman" w:cs="Times New Roman"/>
          <w:color w:val="000000"/>
          <w:spacing w:val="0"/>
          <w:w w:val="100"/>
          <w:position w:val="0"/>
        </w:rPr>
        <w:t>（</w:t>
      </w:r>
      <w:r>
        <w:rPr>
          <w:color w:val="000000"/>
          <w:spacing w:val="0"/>
          <w:w w:val="100"/>
          <w:position w:val="0"/>
        </w:rPr>
        <w:t>以 下简称</w:t>
      </w:r>
      <w:r>
        <w:rPr>
          <w:rFonts w:ascii="Times New Roman" w:eastAsia="Times New Roman" w:hAnsi="Times New Roman" w:cs="Times New Roman"/>
          <w:color w:val="000000"/>
          <w:spacing w:val="0"/>
          <w:w w:val="100"/>
          <w:position w:val="0"/>
        </w:rPr>
        <w:t>“</w:t>
      </w:r>
      <w:r>
        <w:rPr>
          <w:color w:val="000000"/>
          <w:spacing w:val="0"/>
          <w:w w:val="100"/>
          <w:position w:val="0"/>
        </w:rPr>
        <w:t>润和投资</w:t>
      </w:r>
      <w:r>
        <w:rPr>
          <w:rFonts w:ascii="Times New Roman" w:eastAsia="Times New Roman" w:hAnsi="Times New Roman" w:cs="Times New Roman"/>
          <w:color w:val="000000"/>
          <w:spacing w:val="0"/>
          <w:w w:val="100"/>
          <w:position w:val="0"/>
        </w:rPr>
        <w:t>”）</w:t>
      </w:r>
      <w:r>
        <w:rPr>
          <w:color w:val="000000"/>
          <w:spacing w:val="0"/>
          <w:w w:val="100"/>
          <w:position w:val="0"/>
        </w:rPr>
        <w:t>向公司董事会提交了公司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年度利润分配预案的提议及承诺，具体内容为：</w:t>
        <w:tab/>
      </w:r>
      <w:r>
        <w:rPr>
          <w:rFonts w:ascii="Times New Roman" w:eastAsia="Times New Roman" w:hAnsi="Times New Roman" w:cs="Times New Roman"/>
          <w:color w:val="000000"/>
          <w:spacing w:val="0"/>
          <w:w w:val="100"/>
          <w:position w:val="0"/>
        </w:rPr>
        <w:t>1</w:t>
      </w:r>
      <w:r>
        <w:rPr>
          <w:color w:val="000000"/>
          <w:spacing w:val="0"/>
          <w:w w:val="100"/>
          <w:position w:val="0"/>
        </w:rPr>
        <w:t>、鉴于公司</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63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年经营及盈利状况良好，为回报股东，与所有股东分享公司快速发展的经营成果，并增加公司股票的流动性，公司控 股股东润和投资提议公司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rPr>
        <w:t>153,480,000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rPr>
        <w:t>4</w:t>
      </w:r>
      <w:r>
        <w:rPr>
          <w:color w:val="000000"/>
          <w:spacing w:val="0"/>
          <w:w w:val="100"/>
          <w:position w:val="0"/>
        </w:rPr>
        <w:t>元人民币（含税）；同时进行资本公积金转增股本，以公司总股本</w:t>
      </w:r>
      <w:r>
        <w:rPr>
          <w:rFonts w:ascii="Times New Roman" w:eastAsia="Times New Roman" w:hAnsi="Times New Roman" w:cs="Times New Roman"/>
          <w:color w:val="000000"/>
          <w:spacing w:val="0"/>
          <w:w w:val="100"/>
          <w:position w:val="0"/>
        </w:rPr>
        <w:t>153,480,000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5 </w:t>
      </w:r>
      <w:r>
        <w:rPr>
          <w:color w:val="000000"/>
          <w:spacing w:val="0"/>
          <w:w w:val="100"/>
          <w:position w:val="0"/>
        </w:rPr>
        <w:t>股，共计转增</w:t>
      </w:r>
      <w:r>
        <w:rPr>
          <w:rFonts w:ascii="Times New Roman" w:eastAsia="Times New Roman" w:hAnsi="Times New Roman" w:cs="Times New Roman"/>
          <w:color w:val="000000"/>
          <w:spacing w:val="0"/>
          <w:w w:val="100"/>
          <w:position w:val="0"/>
        </w:rPr>
        <w:t>76,740,000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230,220,000</w:t>
      </w:r>
      <w:r>
        <w:rPr>
          <w:color w:val="000000"/>
          <w:spacing w:val="0"/>
          <w:w w:val="100"/>
          <w:position w:val="0"/>
        </w:rPr>
        <w:t>股。</w:t>
        <w:tab/>
      </w:r>
      <w:r>
        <w:rPr>
          <w:rFonts w:ascii="Times New Roman" w:eastAsia="Times New Roman" w:hAnsi="Times New Roman" w:cs="Times New Roman"/>
          <w:color w:val="000000"/>
          <w:spacing w:val="0"/>
          <w:w w:val="100"/>
          <w:position w:val="0"/>
        </w:rPr>
        <w:t>2</w:t>
      </w:r>
      <w:r>
        <w:rPr>
          <w:color w:val="000000"/>
          <w:spacing w:val="0"/>
          <w:w w:val="100"/>
          <w:position w:val="0"/>
        </w:rPr>
        <w:t>、公司控股股东润和投资承诺在公</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051" w:val="left"/>
        </w:tabs>
        <w:bidi w:val="0"/>
        <w:spacing w:before="0" w:after="0" w:line="313" w:lineRule="exact"/>
        <w:ind w:left="0" w:right="0" w:firstLine="0"/>
        <w:jc w:val="left"/>
      </w:pPr>
      <w:r>
        <w:rPr>
          <w:color w:val="000000"/>
          <w:spacing w:val="0"/>
          <w:w w:val="100"/>
          <w:position w:val="0"/>
        </w:rPr>
        <w:t>司股东大会开会审议上述</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年度利润分配预案时投赞成票。公司董事会接到控股股东润和投资提交的关于公司</w:t>
      </w:r>
      <w:r>
        <w:rPr>
          <w:rFonts w:ascii="Times New Roman" w:eastAsia="Times New Roman" w:hAnsi="Times New Roman" w:cs="Times New Roman"/>
          <w:color w:val="000000"/>
          <w:spacing w:val="0"/>
          <w:w w:val="100"/>
          <w:position w:val="0"/>
        </w:rPr>
        <w:t>2013</w:t>
      </w:r>
      <w:r>
        <w:rPr>
          <w:color w:val="000000"/>
          <w:spacing w:val="0"/>
          <w:w w:val="100"/>
          <w:position w:val="0"/>
        </w:rPr>
        <w:t>年 度利润分配预案的提议及承诺后，公司董事周红卫、姚宁、孙强、马玉峰、黄维江和朱祖龙</w:t>
      </w:r>
      <w:r>
        <w:rPr>
          <w:rFonts w:ascii="Times New Roman" w:eastAsia="Times New Roman" w:hAnsi="Times New Roman" w:cs="Times New Roman"/>
          <w:color w:val="000000"/>
          <w:spacing w:val="0"/>
          <w:w w:val="100"/>
          <w:position w:val="0"/>
        </w:rPr>
        <w:t>6</w:t>
      </w:r>
      <w:r>
        <w:rPr>
          <w:color w:val="000000"/>
          <w:spacing w:val="0"/>
          <w:w w:val="100"/>
          <w:position w:val="0"/>
        </w:rPr>
        <w:t>名董事对上述预案进行了现 场讨论，占公司董事会成员总数的</w:t>
      </w:r>
      <w:r>
        <w:rPr>
          <w:rFonts w:ascii="Times New Roman" w:eastAsia="Times New Roman" w:hAnsi="Times New Roman" w:cs="Times New Roman"/>
          <w:color w:val="000000"/>
          <w:spacing w:val="0"/>
          <w:w w:val="100"/>
          <w:position w:val="0"/>
        </w:rPr>
        <w:t>1/2</w:t>
      </w:r>
      <w:r>
        <w:rPr>
          <w:color w:val="000000"/>
          <w:spacing w:val="0"/>
          <w:w w:val="100"/>
          <w:position w:val="0"/>
        </w:rPr>
        <w:t>以上。</w:t>
        <w:tab/>
        <w:t>经讨论研究，上述董事达成一致意见：公司控股股东润和投资提议的</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年度利润分配预案与公司业绩成长性相匹配，并且上述利润分配预案不会造成公司流动资金短缺或其他不良影响，上 述利润分配预案符合相关法律、法规以及公司章程的规定，具备合法性、合规性、合理性。以上</w:t>
      </w:r>
      <w:r>
        <w:rPr>
          <w:rFonts w:ascii="Times New Roman" w:eastAsia="Times New Roman" w:hAnsi="Times New Roman" w:cs="Times New Roman"/>
          <w:color w:val="000000"/>
          <w:spacing w:val="0"/>
          <w:w w:val="100"/>
          <w:position w:val="0"/>
        </w:rPr>
        <w:t>6</w:t>
      </w:r>
      <w:r>
        <w:rPr>
          <w:color w:val="000000"/>
          <w:spacing w:val="0"/>
          <w:w w:val="100"/>
          <w:position w:val="0"/>
        </w:rPr>
        <w:t>名董事均书面承诺在公 司董事会审议上述利润分配预案时投赞成票。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28"/>
        <w:keepNext w:val="0"/>
        <w:keepLines w:val="0"/>
        <w:widowControl w:val="0"/>
        <w:shd w:val="clear" w:color="auto" w:fill="auto"/>
        <w:bidi w:val="0"/>
        <w:spacing w:before="0" w:after="0" w:line="312" w:lineRule="exact"/>
        <w:ind w:left="0" w:right="0" w:firstLine="600"/>
        <w:jc w:val="left"/>
      </w:pPr>
      <w:bookmarkStart w:id="152" w:name="bookmark152"/>
      <w:r>
        <w:rPr>
          <w:rFonts w:ascii="Times New Roman" w:eastAsia="Times New Roman" w:hAnsi="Times New Roman" w:cs="Times New Roman"/>
          <w:color w:val="000000"/>
          <w:spacing w:val="0"/>
          <w:w w:val="100"/>
          <w:position w:val="0"/>
        </w:rPr>
        <w:t>1</w:t>
      </w:r>
      <w:bookmarkEnd w:id="152"/>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年半年度利润分配方案：以公司总股本 </w:t>
      </w:r>
      <w:r>
        <w:rPr>
          <w:rFonts w:ascii="Times New Roman" w:eastAsia="Times New Roman" w:hAnsi="Times New Roman" w:cs="Times New Roman"/>
          <w:color w:val="000000"/>
          <w:spacing w:val="0"/>
          <w:w w:val="100"/>
          <w:position w:val="0"/>
        </w:rPr>
        <w:t>76,740,000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1.50</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11,511,000.00</w:t>
      </w:r>
      <w:r>
        <w:rPr>
          <w:color w:val="000000"/>
          <w:spacing w:val="0"/>
          <w:w w:val="100"/>
          <w:position w:val="0"/>
        </w:rPr>
        <w:t>元。上述利 润分配方案已于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日实施完毕。</w:t>
      </w:r>
    </w:p>
    <w:p>
      <w:pPr>
        <w:pStyle w:val="Style28"/>
        <w:keepNext w:val="0"/>
        <w:keepLines w:val="0"/>
        <w:widowControl w:val="0"/>
        <w:shd w:val="clear" w:color="auto" w:fill="auto"/>
        <w:tabs>
          <w:tab w:pos="865" w:val="left"/>
        </w:tabs>
        <w:bidi w:val="0"/>
        <w:spacing w:before="0" w:after="0" w:line="312" w:lineRule="exact"/>
        <w:ind w:left="0" w:right="0" w:firstLine="600"/>
        <w:jc w:val="left"/>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 经华普天健会计师事务所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有限公司审计，母公司</w:t>
      </w:r>
      <w:r>
        <w:rPr>
          <w:rFonts w:ascii="Times New Roman" w:eastAsia="Times New Roman" w:hAnsi="Times New Roman" w:cs="Times New Roman"/>
          <w:color w:val="000000"/>
          <w:spacing w:val="0"/>
          <w:w w:val="100"/>
          <w:position w:val="0"/>
        </w:rPr>
        <w:t>2012</w:t>
      </w:r>
      <w:r>
        <w:rPr>
          <w:color w:val="000000"/>
          <w:spacing w:val="0"/>
          <w:w w:val="100"/>
          <w:position w:val="0"/>
        </w:rPr>
        <w:t>年年初未分配利润为</w:t>
      </w:r>
      <w:r>
        <w:rPr>
          <w:rFonts w:ascii="Times New Roman" w:eastAsia="Times New Roman" w:hAnsi="Times New Roman" w:cs="Times New Roman"/>
          <w:color w:val="000000"/>
          <w:spacing w:val="0"/>
          <w:w w:val="100"/>
          <w:position w:val="0"/>
        </w:rPr>
        <w:t>94,997,372.91</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月派发现金股利 </w:t>
      </w:r>
      <w:r>
        <w:rPr>
          <w:rFonts w:ascii="Times New Roman" w:eastAsia="Times New Roman" w:hAnsi="Times New Roman" w:cs="Times New Roman"/>
          <w:color w:val="000000"/>
          <w:spacing w:val="0"/>
          <w:w w:val="100"/>
          <w:position w:val="0"/>
        </w:rPr>
        <w:t>11,511,000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64,311,439.76</w:t>
      </w:r>
      <w:r>
        <w:rPr>
          <w:color w:val="000000"/>
          <w:spacing w:val="0"/>
          <w:w w:val="100"/>
          <w:position w:val="0"/>
        </w:rPr>
        <w:t>元，按实现净利润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提取法定盈余公积金之后，母公司可供分配利润 为</w:t>
      </w:r>
      <w:r>
        <w:rPr>
          <w:rFonts w:ascii="Times New Roman" w:eastAsia="Times New Roman" w:hAnsi="Times New Roman" w:cs="Times New Roman"/>
          <w:color w:val="000000"/>
          <w:spacing w:val="0"/>
          <w:w w:val="100"/>
          <w:position w:val="0"/>
        </w:rPr>
        <w:t>141,366,668.69</w:t>
      </w:r>
      <w:r>
        <w:rPr>
          <w:color w:val="000000"/>
          <w:spacing w:val="0"/>
          <w:w w:val="100"/>
          <w:position w:val="0"/>
        </w:rPr>
        <w:t>元。公司拟以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元人民币（含税）， 共计派送现金红利</w:t>
      </w:r>
      <w:r>
        <w:rPr>
          <w:rFonts w:ascii="Times New Roman" w:eastAsia="Times New Roman" w:hAnsi="Times New Roman" w:cs="Times New Roman"/>
          <w:color w:val="000000"/>
          <w:spacing w:val="0"/>
          <w:w w:val="100"/>
          <w:position w:val="0"/>
        </w:rPr>
        <w:t>15,348,000</w:t>
      </w:r>
      <w:r>
        <w:rPr>
          <w:color w:val="000000"/>
          <w:spacing w:val="0"/>
          <w:w w:val="100"/>
          <w:position w:val="0"/>
        </w:rPr>
        <w:t>元（含税）；累计剩余未分配利润</w:t>
      </w:r>
      <w:r>
        <w:rPr>
          <w:rFonts w:ascii="Times New Roman" w:eastAsia="Times New Roman" w:hAnsi="Times New Roman" w:cs="Times New Roman"/>
          <w:color w:val="000000"/>
          <w:spacing w:val="0"/>
          <w:w w:val="100"/>
          <w:position w:val="0"/>
        </w:rPr>
        <w:t>126,018,668.69</w:t>
      </w:r>
      <w:r>
        <w:rPr>
          <w:color w:val="000000"/>
          <w:spacing w:val="0"/>
          <w:w w:val="100"/>
          <w:position w:val="0"/>
        </w:rPr>
        <w:t>元，结转至下年度。同时，母公司年末资本公 积为</w:t>
      </w:r>
      <w:r>
        <w:rPr>
          <w:rFonts w:ascii="Times New Roman" w:eastAsia="Times New Roman" w:hAnsi="Times New Roman" w:cs="Times New Roman"/>
          <w:color w:val="000000"/>
          <w:spacing w:val="0"/>
          <w:w w:val="100"/>
          <w:position w:val="0"/>
        </w:rPr>
        <w:t>417,109,049.73</w:t>
      </w:r>
      <w:r>
        <w:rPr>
          <w:color w:val="000000"/>
          <w:spacing w:val="0"/>
          <w:w w:val="100"/>
          <w:position w:val="0"/>
        </w:rPr>
        <w:t>元，以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股为基数，用母公司资本公积向全体股东每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 增</w:t>
      </w:r>
      <w:r>
        <w:rPr>
          <w:rFonts w:ascii="Times New Roman" w:eastAsia="Times New Roman" w:hAnsi="Times New Roman" w:cs="Times New Roman"/>
          <w:color w:val="000000"/>
          <w:spacing w:val="0"/>
          <w:w w:val="100"/>
          <w:position w:val="0"/>
        </w:rPr>
        <w:t>76,740,000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153,480,000</w:t>
      </w:r>
      <w:r>
        <w:rPr>
          <w:color w:val="000000"/>
          <w:spacing w:val="0"/>
          <w:w w:val="100"/>
          <w:position w:val="0"/>
        </w:rPr>
        <w:t>股，转增后母公司资本公积余额为</w:t>
      </w:r>
      <w:r>
        <w:rPr>
          <w:rFonts w:ascii="Times New Roman" w:eastAsia="Times New Roman" w:hAnsi="Times New Roman" w:cs="Times New Roman"/>
          <w:color w:val="000000"/>
          <w:spacing w:val="0"/>
          <w:w w:val="100"/>
          <w:position w:val="0"/>
        </w:rPr>
        <w:t>340,369,049.73</w:t>
      </w:r>
      <w:r>
        <w:rPr>
          <w:color w:val="000000"/>
          <w:spacing w:val="0"/>
          <w:w w:val="100"/>
          <w:position w:val="0"/>
        </w:rPr>
        <w:t>元。上述利润分配 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日实施完毕。</w:t>
      </w:r>
    </w:p>
    <w:p>
      <w:pPr>
        <w:pStyle w:val="Style28"/>
        <w:keepNext w:val="0"/>
        <w:keepLines w:val="0"/>
        <w:widowControl w:val="0"/>
        <w:shd w:val="clear" w:color="auto" w:fill="auto"/>
        <w:bidi w:val="0"/>
        <w:spacing w:before="0" w:after="340" w:line="312" w:lineRule="exact"/>
        <w:ind w:left="0" w:right="0" w:firstLine="520"/>
        <w:jc w:val="left"/>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日公司召开第四届董事会第十二次会议，审议通过公司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年度利润分配方案：经华普天健会计师事 务所（特殊普通合伙）审计，母公司</w:t>
      </w:r>
      <w:r>
        <w:rPr>
          <w:rFonts w:ascii="Times New Roman" w:eastAsia="Times New Roman" w:hAnsi="Times New Roman" w:cs="Times New Roman"/>
          <w:color w:val="000000"/>
          <w:spacing w:val="0"/>
          <w:w w:val="100"/>
          <w:position w:val="0"/>
        </w:rPr>
        <w:t>2013</w:t>
      </w:r>
      <w:r>
        <w:rPr>
          <w:color w:val="000000"/>
          <w:spacing w:val="0"/>
          <w:w w:val="100"/>
          <w:position w:val="0"/>
        </w:rPr>
        <w:t>年年初未分配利润为</w:t>
      </w:r>
      <w:r>
        <w:rPr>
          <w:rFonts w:ascii="Times New Roman" w:eastAsia="Times New Roman" w:hAnsi="Times New Roman" w:cs="Times New Roman"/>
          <w:color w:val="000000"/>
          <w:spacing w:val="0"/>
          <w:w w:val="100"/>
          <w:position w:val="0"/>
        </w:rPr>
        <w:t>141,366,668.69</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月派发现金股利</w:t>
      </w:r>
      <w:r>
        <w:rPr>
          <w:rFonts w:ascii="Times New Roman" w:eastAsia="Times New Roman" w:hAnsi="Times New Roman" w:cs="Times New Roman"/>
          <w:color w:val="000000"/>
          <w:spacing w:val="0"/>
          <w:w w:val="100"/>
          <w:position w:val="0"/>
        </w:rPr>
        <w:t>15,348,000</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68,722,708.01</w:t>
      </w:r>
      <w:r>
        <w:rPr>
          <w:color w:val="000000"/>
          <w:spacing w:val="0"/>
          <w:w w:val="100"/>
          <w:position w:val="0"/>
        </w:rPr>
        <w:t>元，按实现净利润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提取法定盈余公积金之后，母公司可供分配利润为</w:t>
      </w:r>
      <w:r>
        <w:rPr>
          <w:rFonts w:ascii="Times New Roman" w:eastAsia="Times New Roman" w:hAnsi="Times New Roman" w:cs="Times New Roman"/>
          <w:color w:val="000000"/>
          <w:spacing w:val="0"/>
          <w:w w:val="100"/>
          <w:position w:val="0"/>
        </w:rPr>
        <w:t>187,869,105.90</w:t>
      </w:r>
      <w:r>
        <w:rPr>
          <w:color w:val="000000"/>
          <w:spacing w:val="0"/>
          <w:w w:val="100"/>
          <w:position w:val="0"/>
        </w:rPr>
        <w:t>元。 公司拟以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w:t>
      </w:r>
      <w:r>
        <w:rPr>
          <w:rFonts w:ascii="Times New Roman" w:eastAsia="Times New Roman" w:hAnsi="Times New Roman" w:cs="Times New Roman"/>
          <w:color w:val="000000"/>
          <w:spacing w:val="0"/>
          <w:w w:val="100"/>
          <w:position w:val="0"/>
        </w:rPr>
        <w:t>153,480,000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4</w:t>
      </w:r>
      <w:r>
        <w:rPr>
          <w:color w:val="000000"/>
          <w:spacing w:val="0"/>
          <w:w w:val="100"/>
          <w:position w:val="0"/>
        </w:rPr>
        <w:t xml:space="preserve">元人民币（含税），共计派送现金红利 </w:t>
      </w:r>
      <w:r>
        <w:rPr>
          <w:rFonts w:ascii="Times New Roman" w:eastAsia="Times New Roman" w:hAnsi="Times New Roman" w:cs="Times New Roman"/>
          <w:color w:val="000000"/>
          <w:spacing w:val="0"/>
          <w:w w:val="100"/>
          <w:position w:val="0"/>
        </w:rPr>
        <w:t>61,392,000</w:t>
      </w:r>
      <w:r>
        <w:rPr>
          <w:color w:val="000000"/>
          <w:spacing w:val="0"/>
          <w:w w:val="100"/>
          <w:position w:val="0"/>
        </w:rPr>
        <w:t>元（含税）；累计剩余未分配利润</w:t>
      </w:r>
      <w:r>
        <w:rPr>
          <w:rFonts w:ascii="Times New Roman" w:eastAsia="Times New Roman" w:hAnsi="Times New Roman" w:cs="Times New Roman"/>
          <w:color w:val="000000"/>
          <w:spacing w:val="0"/>
          <w:w w:val="100"/>
          <w:position w:val="0"/>
        </w:rPr>
        <w:t>126,477,105.9</w:t>
      </w:r>
      <w:r>
        <w:rPr>
          <w:rFonts w:ascii="Times New Roman" w:eastAsia="Times New Roman" w:hAnsi="Times New Roman" w:cs="Times New Roman"/>
          <w:color w:val="000000"/>
          <w:spacing w:val="0"/>
          <w:w w:val="100"/>
          <w:position w:val="0"/>
        </w:rPr>
        <w:t>0</w:t>
      </w:r>
      <w:r>
        <w:rPr>
          <w:color w:val="000000"/>
          <w:spacing w:val="0"/>
          <w:w w:val="100"/>
          <w:position w:val="0"/>
        </w:rPr>
        <w:t>元，结转至下年度。同时，母公司年末资本公积为</w:t>
      </w:r>
      <w:r>
        <w:rPr>
          <w:rFonts w:ascii="Times New Roman" w:eastAsia="Times New Roman" w:hAnsi="Times New Roman" w:cs="Times New Roman"/>
          <w:color w:val="000000"/>
          <w:spacing w:val="0"/>
          <w:w w:val="100"/>
          <w:position w:val="0"/>
        </w:rPr>
        <w:t xml:space="preserve">340,369,049.73 </w:t>
      </w:r>
      <w:r>
        <w:rPr>
          <w:color w:val="000000"/>
          <w:spacing w:val="0"/>
          <w:w w:val="100"/>
          <w:position w:val="0"/>
        </w:rPr>
        <w:t>元，以</w:t>
      </w:r>
      <w:r>
        <w:rPr>
          <w:rFonts w:ascii="Times New Roman" w:eastAsia="Times New Roman" w:hAnsi="Times New Roman" w:cs="Times New Roman"/>
          <w:color w:val="000000"/>
          <w:spacing w:val="0"/>
          <w:w w:val="100"/>
          <w:position w:val="0"/>
        </w:rPr>
        <w:t>2013</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153,480,000</w:t>
      </w:r>
      <w:r>
        <w:rPr>
          <w:color w:val="000000"/>
          <w:spacing w:val="0"/>
          <w:w w:val="100"/>
          <w:position w:val="0"/>
        </w:rPr>
        <w:t>股为基数，用母公司资本公积向全体股东每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76,740,000</w:t>
      </w:r>
      <w:r>
        <w:rPr>
          <w:color w:val="000000"/>
          <w:spacing w:val="0"/>
          <w:w w:val="100"/>
          <w:position w:val="0"/>
        </w:rPr>
        <w:t>股，转 增后公司总股本将增加至</w:t>
      </w:r>
      <w:r>
        <w:rPr>
          <w:rFonts w:ascii="Times New Roman" w:eastAsia="Times New Roman" w:hAnsi="Times New Roman" w:cs="Times New Roman"/>
          <w:color w:val="000000"/>
          <w:spacing w:val="0"/>
          <w:w w:val="100"/>
          <w:position w:val="0"/>
        </w:rPr>
        <w:t>230,220,000</w:t>
      </w:r>
      <w:r>
        <w:rPr>
          <w:color w:val="000000"/>
          <w:spacing w:val="0"/>
          <w:w w:val="100"/>
          <w:position w:val="0"/>
        </w:rPr>
        <w:t>股，转增后母公司资本公积余额为</w:t>
      </w:r>
      <w:r>
        <w:rPr>
          <w:rFonts w:ascii="Times New Roman" w:eastAsia="Times New Roman" w:hAnsi="Times New Roman" w:cs="Times New Roman"/>
          <w:color w:val="000000"/>
          <w:spacing w:val="0"/>
          <w:w w:val="100"/>
          <w:position w:val="0"/>
        </w:rPr>
        <w:t>263,629,049.73</w:t>
      </w:r>
      <w:r>
        <w:rPr>
          <w:color w:val="000000"/>
          <w:spacing w:val="0"/>
          <w:w w:val="100"/>
          <w:position w:val="0"/>
        </w:rPr>
        <w:t xml:space="preserve">元。上述利润分配方案需提交公司 </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61,392,000.00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77,167,961.05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26,859,000.00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65,547,736.31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w:t>
            </w:r>
          </w:p>
        </w:tc>
      </w:tr>
    </w:tbl>
    <w:tbl>
      <w:tblPr>
        <w:tblOverlap w:val="never"/>
        <w:jc w:val="center"/>
        <w:tblLayout w:type="fixed"/>
      </w:tblPr>
      <w:tblGrid>
        <w:gridCol w:w="2400"/>
        <w:gridCol w:w="2390"/>
        <w:gridCol w:w="2390"/>
        <w:gridCol w:w="240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46,385,012.19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公司报告期内盈利且母公司未分配利润为正但未提出现金红利分配预案</w:t>
      </w:r>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六</w:t>
      </w:r>
      <w:bookmarkEnd w:id="157"/>
      <w:r>
        <w:rPr>
          <w:color w:val="000000"/>
          <w:spacing w:val="0"/>
          <w:w w:val="100"/>
          <w:position w:val="0"/>
          <w:sz w:val="24"/>
          <w:szCs w:val="24"/>
        </w:rPr>
        <w:t>、内幕信息知情人管理制度的建立和执行情况</w:t>
      </w:r>
      <w:bookmarkEnd w:id="155"/>
      <w:bookmarkEnd w:id="156"/>
      <w:bookmarkEnd w:id="158"/>
    </w:p>
    <w:p>
      <w:pPr>
        <w:pStyle w:val="Style28"/>
        <w:keepNext w:val="0"/>
        <w:keepLines w:val="0"/>
        <w:widowControl w:val="0"/>
        <w:shd w:val="clear" w:color="auto" w:fill="auto"/>
        <w:tabs>
          <w:tab w:pos="515" w:val="left"/>
        </w:tabs>
        <w:bidi w:val="0"/>
        <w:spacing w:before="0" w:after="0" w:line="312" w:lineRule="exact"/>
        <w:ind w:left="0" w:right="0" w:firstLine="0"/>
        <w:jc w:val="left"/>
      </w:pPr>
      <w:bookmarkStart w:id="159" w:name="bookmark159"/>
      <w:r>
        <w:rPr>
          <w:color w:val="000000"/>
          <w:spacing w:val="0"/>
          <w:w w:val="100"/>
          <w:position w:val="0"/>
        </w:rPr>
        <w:t>（</w:t>
      </w:r>
      <w:bookmarkEnd w:id="159"/>
      <w:r>
        <w:rPr>
          <w:color w:val="000000"/>
          <w:spacing w:val="0"/>
          <w:w w:val="100"/>
          <w:position w:val="0"/>
        </w:rPr>
        <w:t>一）</w:t>
        <w:tab/>
        <w:t>内幕信息知情人管理制度的制定</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为规范公司内幕信息管理，加强内幕信息保密工作，维护信息披露公平原则，根据《中华人民共和国公司法》、《中 华人民共和国证券法》、《上市公司信息披露管理办法》、《深圳证券交易所创业板股票上市规则》等有关法律、法规、规 范性文件及《公司章程》的有关规定，公司先后制定了《信息披露管理制度》、《投资者关系管理制度》《内幕信息知情人 登记和报备制度》、《外部信息使用人管理制度》，并根据监管机构要求和公司实际情况及时进行修订。上述制度的建立和 修订明确界定了内幕信息和内幕信息知情人的范围，进一步完善了内幕信息事项的研究、决策和审批程序，健全了内幕信息 的保密措施，建立了内幕信息知情人登记管理措施等，并进一步规范了公司信息披露行为，强化了内幕信息的管理。</w:t>
      </w:r>
    </w:p>
    <w:p>
      <w:pPr>
        <w:pStyle w:val="Style28"/>
        <w:keepNext w:val="0"/>
        <w:keepLines w:val="0"/>
        <w:widowControl w:val="0"/>
        <w:shd w:val="clear" w:color="auto" w:fill="auto"/>
        <w:tabs>
          <w:tab w:pos="515" w:val="left"/>
        </w:tabs>
        <w:bidi w:val="0"/>
        <w:spacing w:before="0" w:after="100" w:line="312" w:lineRule="exact"/>
        <w:ind w:left="0" w:right="0" w:firstLine="0"/>
        <w:jc w:val="left"/>
      </w:pPr>
      <w:bookmarkStart w:id="160" w:name="bookmark160"/>
      <w:r>
        <w:rPr>
          <w:color w:val="000000"/>
          <w:spacing w:val="0"/>
          <w:w w:val="100"/>
          <w:position w:val="0"/>
        </w:rPr>
        <w:t>（</w:t>
      </w:r>
      <w:bookmarkEnd w:id="160"/>
      <w:r>
        <w:rPr>
          <w:color w:val="000000"/>
          <w:spacing w:val="0"/>
          <w:w w:val="100"/>
          <w:position w:val="0"/>
        </w:rPr>
        <w:t>二）</w:t>
        <w:tab/>
        <w:t>内幕信息知情人管理制度的执行情况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、定期报告披露期间的信息保密工作</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报告期内，公司严格执行内幕信息保密制度，严格规范信息传递流程。在定期报告披露期间，对于未公开信息，公司 证券事务部会严格控制知情人范围并组织相关内幕信息知情人填写《内幕信息知情人登记表》，如实、完整记录上述信息在 公开前的所有内幕信息知情人名单，以及知情人知悉内幕信息的时间，并按照相关法规规定在向江苏证监局和深圳证券交易 所报送定期报告相关资料的同时报备内幕信息知情人登记情况。</w:t>
      </w:r>
    </w:p>
    <w:p>
      <w:pPr>
        <w:pStyle w:val="Style28"/>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公司积极在内部开展内幕信息管理的培训，加强内幕信息的保密和报告意识，适时提醒内幕信息知情人注意做好内幕 信息的保密工作，不利用内幕信息获取非法利益。同时，严格控制对相关部门报送的未经披露的重要信息，并严格执行外部 信息使用人登记制度，防止内幕信息的流出。</w:t>
      </w:r>
    </w:p>
    <w:p>
      <w:pPr>
        <w:pStyle w:val="Style28"/>
        <w:keepNext w:val="0"/>
        <w:keepLines w:val="0"/>
        <w:widowControl w:val="0"/>
        <w:shd w:val="clear" w:color="auto" w:fill="auto"/>
        <w:tabs>
          <w:tab w:pos="384" w:val="left"/>
        </w:tabs>
        <w:bidi w:val="0"/>
        <w:spacing w:before="0" w:after="0"/>
        <w:ind w:left="0" w:right="0" w:firstLine="0"/>
        <w:jc w:val="left"/>
      </w:pPr>
      <w:bookmarkStart w:id="161" w:name="bookmark161"/>
      <w:r>
        <w:rPr>
          <w:rFonts w:ascii="Times New Roman" w:eastAsia="Times New Roman" w:hAnsi="Times New Roman" w:cs="Times New Roman"/>
          <w:color w:val="000000"/>
          <w:spacing w:val="0"/>
          <w:w w:val="100"/>
          <w:position w:val="0"/>
        </w:rPr>
        <w:t>2</w:t>
      </w:r>
      <w:bookmarkEnd w:id="161"/>
      <w:r>
        <w:rPr>
          <w:color w:val="000000"/>
          <w:spacing w:val="0"/>
          <w:w w:val="100"/>
          <w:position w:val="0"/>
        </w:rPr>
        <w:t>、</w:t>
        <w:tab/>
        <w:t>投资者调研期间的信息保密工作</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在定期报告及重大事项披露期间，公司尽量避免接待投资者的调研，努力做好定期报告及重大事项披露期间的信息保 密工作。</w:t>
      </w:r>
    </w:p>
    <w:p>
      <w:pPr>
        <w:pStyle w:val="Style28"/>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在日常接待投资者调研时，公司证券事务部负责履行相关的信息保密工作程序。在进行调研前，先对调研人员的个人 信息进行备案，同时要求签署《承诺书》，并要求投资者（机构）在调研会议纪要上签字确认，并承诺在对外出具报告前需 经公司认可，确保机构调研人员能遵守相关规定和公司相关信息按规定渠道披露。在调研过程中，证券事务部认真做好相关 会议记录，并按照相关法律、法规规定向深圳证券交易所报备。</w:t>
      </w:r>
    </w:p>
    <w:p>
      <w:pPr>
        <w:pStyle w:val="Style28"/>
        <w:keepNext w:val="0"/>
        <w:keepLines w:val="0"/>
        <w:widowControl w:val="0"/>
        <w:shd w:val="clear" w:color="auto" w:fill="auto"/>
        <w:tabs>
          <w:tab w:pos="384" w:val="left"/>
        </w:tabs>
        <w:bidi w:val="0"/>
        <w:spacing w:before="0" w:after="0"/>
        <w:ind w:left="0" w:right="0" w:firstLine="0"/>
        <w:jc w:val="left"/>
      </w:pPr>
      <w:bookmarkStart w:id="162" w:name="bookmark162"/>
      <w:r>
        <w:rPr>
          <w:rFonts w:ascii="Times New Roman" w:eastAsia="Times New Roman" w:hAnsi="Times New Roman" w:cs="Times New Roman"/>
          <w:color w:val="000000"/>
          <w:spacing w:val="0"/>
          <w:w w:val="100"/>
          <w:position w:val="0"/>
        </w:rPr>
        <w:t>3</w:t>
      </w:r>
      <w:bookmarkEnd w:id="162"/>
      <w:r>
        <w:rPr>
          <w:color w:val="000000"/>
          <w:spacing w:val="0"/>
          <w:w w:val="100"/>
          <w:position w:val="0"/>
        </w:rPr>
        <w:t>、</w:t>
        <w:tab/>
        <w:t>其他重大事件的信息保密工作</w:t>
      </w:r>
    </w:p>
    <w:p>
      <w:pPr>
        <w:pStyle w:val="Style2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在其他重大事项未披露前，公司及相关信息披露义务人采取保密措施，签订相关保密协议，对内幕信息知情人做登记 备案，以保证内幕信息不泄露，维护信息披露的公开、公平、公正原则，保护广大投资者的合法权益。</w:t>
      </w:r>
    </w:p>
    <w:p>
      <w:pPr>
        <w:pStyle w:val="Style28"/>
        <w:keepNext w:val="0"/>
        <w:keepLines w:val="0"/>
        <w:widowControl w:val="0"/>
        <w:shd w:val="clear" w:color="auto" w:fill="auto"/>
        <w:tabs>
          <w:tab w:pos="515" w:val="left"/>
        </w:tabs>
        <w:bidi w:val="0"/>
        <w:spacing w:before="0" w:after="0" w:line="312" w:lineRule="exact"/>
        <w:ind w:left="0" w:right="0" w:firstLine="0"/>
        <w:jc w:val="left"/>
      </w:pPr>
      <w:bookmarkStart w:id="163" w:name="bookmark163"/>
      <w:r>
        <w:rPr>
          <w:color w:val="000000"/>
          <w:spacing w:val="0"/>
          <w:w w:val="100"/>
          <w:position w:val="0"/>
        </w:rPr>
        <w:t>（</w:t>
      </w:r>
      <w:bookmarkEnd w:id="163"/>
      <w:r>
        <w:rPr>
          <w:color w:val="000000"/>
          <w:spacing w:val="0"/>
          <w:w w:val="100"/>
          <w:position w:val="0"/>
        </w:rPr>
        <w:t>三）</w:t>
        <w:tab/>
        <w:t>报告期内自查内幕信息知情人涉嫌内幕交易以及监管部门的查处和整改情况</w:t>
      </w:r>
    </w:p>
    <w:p>
      <w:pPr>
        <w:pStyle w:val="Style28"/>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报告期内，公司董事、监事及高级管理人员和其他相关知情人均严格遵守内幕信息知情人管理制度，公司不存在内幕 信息知情人涉嫌内幕交易的情况，也不存在受到监管部门查处和整改的情形。</w:t>
      </w:r>
    </w:p>
    <w:p>
      <w:pPr>
        <w:pStyle w:val="Style31"/>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七</w:t>
      </w:r>
      <w:bookmarkEnd w:id="166"/>
      <w:r>
        <w:rPr>
          <w:color w:val="000000"/>
          <w:spacing w:val="0"/>
          <w:w w:val="100"/>
          <w:position w:val="0"/>
          <w:sz w:val="24"/>
          <w:szCs w:val="24"/>
        </w:rPr>
        <w:t>、报告期内接待调研、沟通、采访等活动登记表</w:t>
      </w:r>
      <w:bookmarkEnd w:id="164"/>
      <w:bookmarkEnd w:id="165"/>
      <w:bookmarkEnd w:id="167"/>
    </w:p>
    <w:tbl>
      <w:tblPr>
        <w:tblOverlap w:val="never"/>
        <w:jc w:val="center"/>
        <w:tblLayout w:type="fixed"/>
      </w:tblPr>
      <w:tblGrid>
        <w:gridCol w:w="1502"/>
        <w:gridCol w:w="1493"/>
        <w:gridCol w:w="1498"/>
        <w:gridCol w:w="1493"/>
        <w:gridCol w:w="1502"/>
        <w:gridCol w:w="20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岳昌霖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外包园公司情况、公司员 工结构、经济形势和中日 关系对公司的影响、公司</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股价情况。</w:t>
            </w: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宏源证券股份有限 责任公司、华宝兴 业基金管理有限公 司、国联安基金管 理有限公司、东方 证券股份有限公 司、中国中投证券 有限责任公司、兴 业证券股份有限公 司、国海证券股份 有限公司、国泰君 安证券股份有限公 司、上海重阳投资 管理有限公司、西 部证券股份有限公 司、大成基金管理 有限公司、华夏基 金管理有限公司、 银河基金管理有限 公司、安信证券股 份有限公司、招商 证券、万家基金管 理有限公司、浙商 基金管理有限公 司、华融证券股份 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公司与</w:t>
            </w:r>
            <w:r>
              <w:rPr>
                <w:rFonts w:ascii="Times New Roman" w:eastAsia="Times New Roman" w:hAnsi="Times New Roman" w:cs="Times New Roman"/>
                <w:color w:val="000000"/>
                <w:spacing w:val="0"/>
                <w:w w:val="100"/>
                <w:position w:val="0"/>
              </w:rPr>
              <w:t>IBM</w:t>
            </w:r>
            <w:r>
              <w:rPr>
                <w:color w:val="000000"/>
                <w:spacing w:val="0"/>
                <w:w w:val="100"/>
                <w:position w:val="0"/>
              </w:rPr>
              <w:t>的合作情况、 产品研发和市场推广情 况、收购江苏开拓的有关 情况、三大业务相关情况、 新业务拓展和业务增速情 况、并购方面的计划、公 司内部治理情况。</w:t>
            </w:r>
          </w:p>
        </w:tc>
      </w:tr>
      <w:tr>
        <w:trPr>
          <w:trHeight w:val="53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湘财证券有限责任 公司、上海申银万 国证券研究所有限 公司、天弘基金管 理有限公司、国投 瑞银基金管理有限 公司、银河基金管 理有限公司、华泰 证券股份有限公 司、南京证券股份 有限公司、国金证 券股份有限公司、 广发基金管理有限 公司、民生证券股 份有限公司、华安 基金管理有限公 司、东方证券股份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公司现状、未来业务模式、 智慧城市方面的发展、三 大行业领域的发展状况、 产品推广情况、新业务拓 展情况、人才储备情况。</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有限公司、长江证 券股份有限公司、 上海泽熙投资管理 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50" w:right="1062" w:bottom="1470" w:left="1061" w:header="0" w:footer="3" w:gutter="0"/>
          <w:cols w:space="720"/>
          <w:noEndnote/>
          <w:rtlGutter w:val="0"/>
          <w:docGrid w:linePitch="360"/>
        </w:sectPr>
      </w:pPr>
    </w:p>
    <w:p>
      <w:pPr>
        <w:pStyle w:val="Style16"/>
        <w:keepNext/>
        <w:keepLines/>
        <w:widowControl w:val="0"/>
        <w:shd w:val="clear" w:color="auto" w:fill="auto"/>
        <w:bidi w:val="0"/>
        <w:spacing w:before="540" w:line="240" w:lineRule="auto"/>
        <w:ind w:left="0" w:right="0" w:firstLine="0"/>
        <w:jc w:val="center"/>
      </w:pPr>
      <w:bookmarkStart w:id="168" w:name="bookmark168"/>
      <w:bookmarkStart w:id="169" w:name="bookmark169"/>
      <w:bookmarkStart w:id="170" w:name="bookmark170"/>
      <w:r>
        <w:rPr>
          <w:color w:val="000000"/>
          <w:spacing w:val="0"/>
          <w:w w:val="100"/>
          <w:position w:val="0"/>
        </w:rPr>
        <w:t>第五节重要事项</w:t>
      </w:r>
      <w:bookmarkEnd w:id="168"/>
      <w:bookmarkEnd w:id="169"/>
      <w:bookmarkEnd w:id="170"/>
    </w:p>
    <w:p>
      <w:pPr>
        <w:pStyle w:val="Style31"/>
        <w:keepNext/>
        <w:keepLines/>
        <w:widowControl w:val="0"/>
        <w:shd w:val="clear" w:color="auto" w:fill="auto"/>
        <w:tabs>
          <w:tab w:pos="522" w:val="left"/>
        </w:tabs>
        <w:bidi w:val="0"/>
        <w:spacing w:before="0" w:after="340" w:line="240" w:lineRule="auto"/>
        <w:ind w:left="0" w:right="0" w:firstLine="0"/>
        <w:jc w:val="both"/>
      </w:pPr>
      <w:bookmarkStart w:id="171" w:name="bookmark171"/>
      <w:bookmarkStart w:id="172" w:name="bookmark172"/>
      <w:bookmarkStart w:id="173" w:name="bookmark173"/>
      <w:bookmarkStart w:id="174" w:name="bookmark174"/>
      <w:bookmarkStart w:id="175" w:name="bookmark175"/>
      <w:r>
        <w:rPr>
          <w:color w:val="000000"/>
          <w:spacing w:val="0"/>
          <w:w w:val="100"/>
          <w:position w:val="0"/>
          <w:sz w:val="24"/>
          <w:szCs w:val="24"/>
        </w:rPr>
        <w:t>一</w:t>
      </w:r>
      <w:bookmarkEnd w:id="174"/>
      <w:r>
        <w:rPr>
          <w:color w:val="000000"/>
          <w:spacing w:val="0"/>
          <w:w w:val="100"/>
          <w:position w:val="0"/>
          <w:sz w:val="24"/>
          <w:szCs w:val="24"/>
        </w:rPr>
        <w:t>、</w:t>
        <w:tab/>
        <w:t>重大诉讼仲裁事项</w:t>
      </w:r>
      <w:bookmarkEnd w:id="172"/>
      <w:bookmarkEnd w:id="173"/>
      <w:bookmarkEnd w:id="175"/>
      <w:bookmarkEnd w:id="171"/>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本年度公司无重大诉讼、仲裁事项。</w:t>
      </w:r>
    </w:p>
    <w:p>
      <w:pPr>
        <w:pStyle w:val="Style31"/>
        <w:keepNext/>
        <w:keepLines/>
        <w:widowControl w:val="0"/>
        <w:shd w:val="clear" w:color="auto" w:fill="auto"/>
        <w:tabs>
          <w:tab w:pos="522" w:val="left"/>
        </w:tabs>
        <w:bidi w:val="0"/>
        <w:spacing w:before="0" w:after="34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sz w:val="24"/>
          <w:szCs w:val="24"/>
        </w:rPr>
        <w:t>二</w:t>
      </w:r>
      <w:bookmarkEnd w:id="178"/>
      <w:r>
        <w:rPr>
          <w:color w:val="000000"/>
          <w:spacing w:val="0"/>
          <w:w w:val="100"/>
          <w:position w:val="0"/>
          <w:sz w:val="24"/>
          <w:szCs w:val="24"/>
        </w:rPr>
        <w:t>、</w:t>
        <w:tab/>
        <w:t>上市公司发生控股股东及其关联方非经营性占用资金情况</w:t>
      </w:r>
      <w:bookmarkEnd w:id="176"/>
      <w:bookmarkEnd w:id="177"/>
      <w:bookmarkEnd w:id="17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55"/>
        <w:gridCol w:w="960"/>
        <w:gridCol w:w="960"/>
        <w:gridCol w:w="955"/>
        <w:gridCol w:w="960"/>
        <w:gridCol w:w="960"/>
        <w:gridCol w:w="955"/>
        <w:gridCol w:w="9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预计偿还时 间（月份）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期末合计值占期末净资产的比例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4"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sz w:val="24"/>
          <w:szCs w:val="24"/>
        </w:rPr>
        <w:t>三</w:t>
      </w:r>
      <w:bookmarkEnd w:id="182"/>
      <w:r>
        <w:rPr>
          <w:color w:val="000000"/>
          <w:spacing w:val="0"/>
          <w:w w:val="100"/>
          <w:position w:val="0"/>
          <w:sz w:val="24"/>
          <w:szCs w:val="24"/>
        </w:rPr>
        <w:t>、破产重整相关事项</w:t>
      </w:r>
      <w:bookmarkEnd w:id="180"/>
      <w:bookmarkEnd w:id="181"/>
      <w:bookmarkEnd w:id="183"/>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破产重整相关事项临时报告披露网站查询</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sz w:val="24"/>
          <w:szCs w:val="24"/>
        </w:rPr>
        <w:t>四</w:t>
      </w:r>
      <w:bookmarkEnd w:id="186"/>
      <w:r>
        <w:rPr>
          <w:color w:val="000000"/>
          <w:spacing w:val="0"/>
          <w:w w:val="100"/>
          <w:position w:val="0"/>
          <w:sz w:val="24"/>
          <w:szCs w:val="24"/>
        </w:rPr>
        <w:t>、资产交易事项</w:t>
      </w:r>
      <w:bookmarkEnd w:id="184"/>
      <w:bookmarkEnd w:id="185"/>
      <w:bookmarkEnd w:id="187"/>
    </w:p>
    <w:p>
      <w:pPr>
        <w:pStyle w:val="Style33"/>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、收购资产情况</w:t>
      </w:r>
      <w:bookmarkEnd w:id="188"/>
      <w:bookmarkEnd w:id="189"/>
      <w:bookmarkEnd w:id="191"/>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22" w:lineRule="exact"/>
              <w:ind w:left="0" w:right="0" w:firstLine="0"/>
              <w:jc w:val="left"/>
            </w:pPr>
            <w:r>
              <w:rPr>
                <w:color w:val="000000"/>
                <w:spacing w:val="0"/>
                <w:w w:val="100"/>
                <w:position w:val="0"/>
              </w:rPr>
              <w:t>对公司经 营的影响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该资产为</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上市公司</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贡献的净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与交易对 方的关联 关系（适用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利润占净 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情形</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602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 信息与系 统有限公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江苏开拓 信息与系 统有限公 司 </w:t>
            </w:r>
            <w:r>
              <w:rPr>
                <w:rFonts w:ascii="Times New Roman" w:eastAsia="Times New Roman" w:hAnsi="Times New Roman" w:cs="Times New Roman"/>
                <w:color w:val="000000"/>
                <w:spacing w:val="0"/>
                <w:w w:val="100"/>
                <w:position w:val="0"/>
              </w:rPr>
              <w:t xml:space="preserve">66.85%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5,646.46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所涉及的 资产产权 已全部过 户，所涉及 的债务债 权已全部 转移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进一步整 合公司软 件服务和 系统集成 服务能力， 促进公司 在</w:t>
            </w:r>
            <w:r>
              <w:rPr>
                <w:rFonts w:ascii="Times New Roman" w:eastAsia="Times New Roman" w:hAnsi="Times New Roman" w:cs="Times New Roman"/>
                <w:color w:val="000000"/>
                <w:spacing w:val="0"/>
                <w:w w:val="100"/>
                <w:position w:val="0"/>
              </w:rPr>
              <w:t>IT</w:t>
            </w:r>
            <w:r>
              <w:rPr>
                <w:color w:val="000000"/>
                <w:spacing w:val="0"/>
                <w:w w:val="100"/>
                <w:position w:val="0"/>
              </w:rPr>
              <w:t>服 务产业链 向系统集 成领域和 建筑智能 化领域延 伸,提升公 司在</w:t>
            </w:r>
            <w:r>
              <w:rPr>
                <w:rFonts w:ascii="Times New Roman" w:eastAsia="Times New Roman" w:hAnsi="Times New Roman" w:cs="Times New Roman"/>
                <w:color w:val="000000"/>
                <w:spacing w:val="0"/>
                <w:w w:val="100"/>
                <w:position w:val="0"/>
              </w:rPr>
              <w:t>“</w:t>
            </w:r>
            <w:r>
              <w:rPr>
                <w:color w:val="000000"/>
                <w:spacing w:val="0"/>
                <w:w w:val="100"/>
                <w:position w:val="0"/>
              </w:rPr>
              <w:t>智慧 城市</w:t>
            </w:r>
            <w:r>
              <w:rPr>
                <w:rFonts w:ascii="Times New Roman" w:eastAsia="Times New Roman" w:hAnsi="Times New Roman" w:cs="Times New Roman"/>
                <w:color w:val="000000"/>
                <w:spacing w:val="0"/>
                <w:w w:val="100"/>
                <w:position w:val="0"/>
              </w:rPr>
              <w:t>”</w:t>
            </w:r>
            <w:r>
              <w:rPr>
                <w:color w:val="000000"/>
                <w:spacing w:val="0"/>
                <w:w w:val="100"/>
                <w:position w:val="0"/>
              </w:rPr>
              <w:t>领域 的核心竞 争力，提升 公司的市 场竞争力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自购买日 起至报告 期末为上 市公司贡 献的净利 润为 </w:t>
            </w:r>
            <w:r>
              <w:rPr>
                <w:rFonts w:ascii="Times New Roman" w:eastAsia="Times New Roman" w:hAnsi="Times New Roman" w:cs="Times New Roman"/>
                <w:color w:val="000000"/>
                <w:spacing w:val="0"/>
                <w:w w:val="100"/>
                <w:position w:val="0"/>
              </w:rPr>
              <w:t xml:space="preserve">399.14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info.com.c</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pStyle w:val="Style28"/>
        <w:keepNext w:val="0"/>
        <w:keepLines w:val="0"/>
        <w:widowControl w:val="0"/>
        <w:shd w:val="clear" w:color="auto" w:fill="auto"/>
        <w:bidi w:val="0"/>
        <w:spacing w:before="0" w:after="340" w:line="311" w:lineRule="exact"/>
        <w:ind w:left="0" w:right="0" w:firstLine="460"/>
        <w:jc w:val="left"/>
      </w:pPr>
      <w:r>
        <w:rPr>
          <w:color w:val="000000"/>
          <w:spacing w:val="0"/>
          <w:w w:val="100"/>
          <w:position w:val="0"/>
        </w:rPr>
        <w:t>根据中水致远资产评估有限公司出具的</w:t>
      </w:r>
      <w:r>
        <w:rPr>
          <w:rFonts w:ascii="Times New Roman" w:eastAsia="Times New Roman" w:hAnsi="Times New Roman" w:cs="Times New Roman"/>
          <w:color w:val="000000"/>
          <w:spacing w:val="0"/>
          <w:w w:val="100"/>
          <w:position w:val="0"/>
        </w:rPr>
        <w:t>“</w:t>
      </w:r>
      <w:r>
        <w:rPr>
          <w:color w:val="000000"/>
          <w:spacing w:val="0"/>
          <w:w w:val="100"/>
          <w:position w:val="0"/>
        </w:rPr>
        <w:t>中水致远评报字</w:t>
      </w:r>
      <w:r>
        <w:rPr>
          <w:rFonts w:ascii="Times New Roman" w:eastAsia="Times New Roman" w:hAnsi="Times New Roman" w:cs="Times New Roman"/>
          <w:color w:val="000000"/>
          <w:spacing w:val="0"/>
          <w:w w:val="100"/>
          <w:position w:val="0"/>
        </w:rPr>
        <w:t>［2013</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2022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《江苏开拓信息与系统有限公司股权转让与 增资所涉及的股东全部权益评估项目资产评估报告》（以下简称</w:t>
      </w:r>
      <w:r>
        <w:rPr>
          <w:rFonts w:ascii="Times New Roman" w:eastAsia="Times New Roman" w:hAnsi="Times New Roman" w:cs="Times New Roman"/>
          <w:color w:val="000000"/>
          <w:spacing w:val="0"/>
          <w:w w:val="100"/>
          <w:position w:val="0"/>
        </w:rPr>
        <w:t>“</w:t>
      </w:r>
      <w:r>
        <w:rPr>
          <w:color w:val="000000"/>
          <w:spacing w:val="0"/>
          <w:w w:val="100"/>
          <w:position w:val="0"/>
        </w:rPr>
        <w:t>《资产评估报告》</w:t>
      </w:r>
      <w:r>
        <w:rPr>
          <w:rFonts w:ascii="Times New Roman" w:eastAsia="Times New Roman" w:hAnsi="Times New Roman" w:cs="Times New Roman"/>
          <w:color w:val="000000"/>
          <w:spacing w:val="0"/>
          <w:w w:val="100"/>
          <w:position w:val="0"/>
        </w:rPr>
        <w:t>”</w:t>
      </w:r>
      <w:r>
        <w:rPr>
          <w:color w:val="000000"/>
          <w:spacing w:val="0"/>
          <w:w w:val="100"/>
          <w:position w:val="0"/>
        </w:rPr>
        <w:t>），采用收益法评估，得出在评估基准 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日江苏开拓的股东全部权益评估结果为</w:t>
      </w:r>
      <w:r>
        <w:rPr>
          <w:rFonts w:ascii="Times New Roman" w:eastAsia="Times New Roman" w:hAnsi="Times New Roman" w:cs="Times New Roman"/>
          <w:color w:val="000000"/>
          <w:spacing w:val="0"/>
          <w:w w:val="100"/>
          <w:position w:val="0"/>
        </w:rPr>
        <w:t>4,112.94</w:t>
      </w:r>
      <w:r>
        <w:rPr>
          <w:color w:val="000000"/>
          <w:spacing w:val="0"/>
          <w:w w:val="100"/>
          <w:position w:val="0"/>
        </w:rPr>
        <w:t>万元。鉴于江苏开拓具备</w:t>
      </w:r>
      <w:r>
        <w:rPr>
          <w:rFonts w:ascii="Times New Roman" w:eastAsia="Times New Roman" w:hAnsi="Times New Roman" w:cs="Times New Roman"/>
          <w:color w:val="000000"/>
          <w:spacing w:val="0"/>
          <w:w w:val="100"/>
          <w:position w:val="0"/>
        </w:rPr>
        <w:t>IT</w:t>
      </w:r>
      <w:r>
        <w:rPr>
          <w:color w:val="000000"/>
          <w:spacing w:val="0"/>
          <w:w w:val="100"/>
          <w:position w:val="0"/>
        </w:rPr>
        <w:t>系统集成外包服务商较高的 生产经营许可资质、稳定的客户群体和收入来源等企业整体价值，经公司与孙旭初、陈华协商确认，以《资产评估报告》确 定的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日江苏开拓股东全部权益评估市场价值</w:t>
      </w:r>
      <w:r>
        <w:rPr>
          <w:rFonts w:ascii="Times New Roman" w:eastAsia="Times New Roman" w:hAnsi="Times New Roman" w:cs="Times New Roman"/>
          <w:color w:val="000000"/>
          <w:spacing w:val="0"/>
          <w:w w:val="100"/>
          <w:position w:val="0"/>
        </w:rPr>
        <w:t>4,112.94</w:t>
      </w:r>
      <w:r>
        <w:rPr>
          <w:color w:val="000000"/>
          <w:spacing w:val="0"/>
          <w:w w:val="100"/>
          <w:position w:val="0"/>
        </w:rPr>
        <w:t>万元为主要参考依据，公司拟以收购加增资的方式获得 江苏开拓</w:t>
      </w:r>
      <w:r>
        <w:rPr>
          <w:rFonts w:ascii="Times New Roman" w:eastAsia="Times New Roman" w:hAnsi="Times New Roman" w:cs="Times New Roman"/>
          <w:color w:val="000000"/>
          <w:spacing w:val="0"/>
          <w:w w:val="100"/>
          <w:position w:val="0"/>
        </w:rPr>
        <w:t>66.85%</w:t>
      </w:r>
      <w:r>
        <w:rPr>
          <w:color w:val="000000"/>
          <w:spacing w:val="0"/>
          <w:w w:val="100"/>
          <w:position w:val="0"/>
        </w:rPr>
        <w:t>的股权，交易总价为</w:t>
      </w:r>
      <w:r>
        <w:rPr>
          <w:rFonts w:ascii="Times New Roman" w:eastAsia="Times New Roman" w:hAnsi="Times New Roman" w:cs="Times New Roman"/>
          <w:color w:val="000000"/>
          <w:spacing w:val="0"/>
          <w:w w:val="100"/>
          <w:position w:val="0"/>
        </w:rPr>
        <w:t>5646.46</w:t>
      </w:r>
      <w:r>
        <w:rPr>
          <w:color w:val="000000"/>
          <w:spacing w:val="0"/>
          <w:w w:val="100"/>
          <w:position w:val="0"/>
        </w:rPr>
        <w:t xml:space="preserve">万元。本次交易经公司第四届董事会第六次会议、第四届监事会第五次会议、 </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年第三次临时股东大会审议通过，且公司全体独立董事一致发表独立意见同意本次收购资产计划。本次交易使用公司 首次公开发行股票的超募资金</w:t>
      </w:r>
      <w:r>
        <w:rPr>
          <w:rFonts w:ascii="Times New Roman" w:eastAsia="Times New Roman" w:hAnsi="Times New Roman" w:cs="Times New Roman"/>
          <w:color w:val="000000"/>
          <w:spacing w:val="0"/>
          <w:w w:val="100"/>
          <w:position w:val="0"/>
        </w:rPr>
        <w:t>5646.46</w:t>
      </w:r>
      <w:r>
        <w:rPr>
          <w:color w:val="000000"/>
          <w:spacing w:val="0"/>
          <w:w w:val="100"/>
          <w:position w:val="0"/>
        </w:rPr>
        <w:t>万元，其中</w:t>
      </w:r>
      <w:r>
        <w:rPr>
          <w:rFonts w:ascii="Times New Roman" w:eastAsia="Times New Roman" w:hAnsi="Times New Roman" w:cs="Times New Roman"/>
          <w:color w:val="000000"/>
          <w:spacing w:val="0"/>
          <w:w w:val="100"/>
          <w:position w:val="0"/>
        </w:rPr>
        <w:t>1300</w:t>
      </w:r>
      <w:r>
        <w:rPr>
          <w:color w:val="000000"/>
          <w:spacing w:val="0"/>
          <w:w w:val="100"/>
          <w:position w:val="0"/>
        </w:rPr>
        <w:t>万元用于收购江苏开拓原股东孙旭初、陈华持有的</w:t>
      </w:r>
      <w:r>
        <w:rPr>
          <w:rFonts w:ascii="Times New Roman" w:eastAsia="Times New Roman" w:hAnsi="Times New Roman" w:cs="Times New Roman"/>
          <w:color w:val="000000"/>
          <w:spacing w:val="0"/>
          <w:w w:val="100"/>
          <w:position w:val="0"/>
        </w:rPr>
        <w:t>31.71%</w:t>
      </w:r>
      <w:r>
        <w:rPr>
          <w:color w:val="000000"/>
          <w:spacing w:val="0"/>
          <w:w w:val="100"/>
          <w:position w:val="0"/>
        </w:rPr>
        <w:t xml:space="preserve">股权； </w:t>
      </w:r>
      <w:r>
        <w:rPr>
          <w:rFonts w:ascii="Times New Roman" w:eastAsia="Times New Roman" w:hAnsi="Times New Roman" w:cs="Times New Roman"/>
          <w:color w:val="000000"/>
          <w:spacing w:val="0"/>
          <w:w w:val="100"/>
          <w:position w:val="0"/>
        </w:rPr>
        <w:t>4346.46</w:t>
      </w:r>
      <w:r>
        <w:rPr>
          <w:color w:val="000000"/>
          <w:spacing w:val="0"/>
          <w:w w:val="100"/>
          <w:position w:val="0"/>
        </w:rPr>
        <w:t>万元用于对江苏开拓增资，其中</w:t>
      </w:r>
      <w:r>
        <w:rPr>
          <w:rFonts w:ascii="Times New Roman" w:eastAsia="Times New Roman" w:hAnsi="Times New Roman" w:cs="Times New Roman"/>
          <w:color w:val="000000"/>
          <w:spacing w:val="0"/>
          <w:w w:val="100"/>
          <w:position w:val="0"/>
        </w:rPr>
        <w:t>1060.11</w:t>
      </w:r>
      <w:r>
        <w:rPr>
          <w:color w:val="000000"/>
          <w:spacing w:val="0"/>
          <w:w w:val="100"/>
          <w:position w:val="0"/>
        </w:rPr>
        <w:t>万元作为注册资本，</w:t>
      </w:r>
      <w:r>
        <w:rPr>
          <w:rFonts w:ascii="Times New Roman" w:eastAsia="Times New Roman" w:hAnsi="Times New Roman" w:cs="Times New Roman"/>
          <w:color w:val="000000"/>
          <w:spacing w:val="0"/>
          <w:w w:val="100"/>
          <w:position w:val="0"/>
        </w:rPr>
        <w:t>3286.35</w:t>
      </w:r>
      <w:r>
        <w:rPr>
          <w:color w:val="000000"/>
          <w:spacing w:val="0"/>
          <w:w w:val="100"/>
          <w:position w:val="0"/>
        </w:rPr>
        <w:t>万元作为资本公积。目前交易已全部完成，公 司持有江苏开拓</w:t>
      </w:r>
      <w:r>
        <w:rPr>
          <w:rFonts w:ascii="Times New Roman" w:eastAsia="Times New Roman" w:hAnsi="Times New Roman" w:cs="Times New Roman"/>
          <w:color w:val="000000"/>
          <w:spacing w:val="0"/>
          <w:w w:val="100"/>
          <w:position w:val="0"/>
        </w:rPr>
        <w:t>1377.18</w:t>
      </w:r>
      <w:r>
        <w:rPr>
          <w:color w:val="000000"/>
          <w:spacing w:val="0"/>
          <w:w w:val="100"/>
          <w:position w:val="0"/>
        </w:rPr>
        <w:t>万元股权，占江苏开拓注册资本及实收资本总额的</w:t>
      </w:r>
      <w:r>
        <w:rPr>
          <w:rFonts w:ascii="Times New Roman" w:eastAsia="Times New Roman" w:hAnsi="Times New Roman" w:cs="Times New Roman"/>
          <w:color w:val="000000"/>
          <w:spacing w:val="0"/>
          <w:w w:val="100"/>
          <w:position w:val="0"/>
        </w:rPr>
        <w:t>66.85%</w:t>
      </w:r>
      <w:r>
        <w:rPr>
          <w:color w:val="000000"/>
          <w:spacing w:val="0"/>
          <w:w w:val="100"/>
          <w:position w:val="0"/>
        </w:rPr>
        <w:t>。</w:t>
      </w:r>
    </w:p>
    <w:p>
      <w:pPr>
        <w:pStyle w:val="Style33"/>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、出售资产情况</w:t>
      </w:r>
      <w:bookmarkEnd w:id="192"/>
      <w:bookmarkEnd w:id="193"/>
      <w:bookmarkEnd w:id="195"/>
    </w:p>
    <w:tbl>
      <w:tblPr>
        <w:tblOverlap w:val="never"/>
        <w:jc w:val="center"/>
        <w:tblLayout w:type="fixed"/>
      </w:tblPr>
      <w:tblGrid>
        <w:gridCol w:w="686"/>
        <w:gridCol w:w="682"/>
        <w:gridCol w:w="686"/>
        <w:gridCol w:w="696"/>
        <w:gridCol w:w="658"/>
        <w:gridCol w:w="710"/>
        <w:gridCol w:w="658"/>
        <w:gridCol w:w="696"/>
        <w:gridCol w:w="682"/>
        <w:gridCol w:w="672"/>
        <w:gridCol w:w="696"/>
        <w:gridCol w:w="682"/>
        <w:gridCol w:w="682"/>
        <w:gridCol w:w="696"/>
      </w:tblGrid>
      <w:tr>
        <w:trPr>
          <w:trHeight w:val="22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本期初 起至出 售日该 资产为 上市公 司贡献 的净利</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 形）</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6"/>
        <w:gridCol w:w="682"/>
        <w:gridCol w:w="686"/>
        <w:gridCol w:w="682"/>
        <w:gridCol w:w="682"/>
        <w:gridCol w:w="686"/>
        <w:gridCol w:w="682"/>
        <w:gridCol w:w="682"/>
        <w:gridCol w:w="682"/>
        <w:gridCol w:w="696"/>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出售资产情况说明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326" w:lineRule="exact"/>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企业合并情况</w:t>
      </w:r>
      <w:bookmarkEnd w:id="196"/>
      <w:bookmarkEnd w:id="197"/>
      <w:bookmarkEnd w:id="199"/>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326" w:lineRule="exact"/>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自资产重组报告书或收购出售资产公告刊登后，该事项的进展情况及对报告期经营成果与财务状况的 影响</w:t>
      </w:r>
      <w:bookmarkEnd w:id="200"/>
      <w:bookmarkEnd w:id="201"/>
      <w:bookmarkEnd w:id="20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五</w:t>
      </w:r>
      <w:bookmarkEnd w:id="206"/>
      <w:r>
        <w:rPr>
          <w:color w:val="000000"/>
          <w:spacing w:val="0"/>
          <w:w w:val="100"/>
          <w:position w:val="0"/>
          <w:sz w:val="24"/>
          <w:szCs w:val="24"/>
        </w:rPr>
        <w:t>、公司股权激励的实施情况及其影响</w:t>
      </w:r>
      <w:bookmarkEnd w:id="204"/>
      <w:bookmarkEnd w:id="205"/>
      <w:bookmarkEnd w:id="20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0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六</w:t>
      </w:r>
      <w:bookmarkEnd w:id="210"/>
      <w:r>
        <w:rPr>
          <w:color w:val="000000"/>
          <w:spacing w:val="0"/>
          <w:w w:val="100"/>
          <w:position w:val="0"/>
          <w:sz w:val="24"/>
          <w:szCs w:val="24"/>
        </w:rPr>
        <w:t>、重大关联交易</w:t>
      </w:r>
      <w:bookmarkEnd w:id="208"/>
      <w:bookmarkEnd w:id="209"/>
      <w:bookmarkEnd w:id="211"/>
    </w:p>
    <w:p>
      <w:pPr>
        <w:pStyle w:val="Style33"/>
        <w:keepNext/>
        <w:keepLines/>
        <w:widowControl w:val="0"/>
        <w:shd w:val="clear" w:color="auto" w:fill="auto"/>
        <w:bidi w:val="0"/>
        <w:spacing w:before="0" w:after="30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、与日常经营相关的关联交易</w:t>
      </w:r>
      <w:bookmarkEnd w:id="212"/>
      <w:bookmarkEnd w:id="213"/>
      <w:bookmarkEnd w:id="215"/>
    </w:p>
    <w:tbl>
      <w:tblPr>
        <w:tblOverlap w:val="never"/>
        <w:jc w:val="center"/>
        <w:tblLayout w:type="fixed"/>
      </w:tblPr>
      <w:tblGrid>
        <w:gridCol w:w="802"/>
        <w:gridCol w:w="802"/>
        <w:gridCol w:w="797"/>
        <w:gridCol w:w="797"/>
        <w:gridCol w:w="802"/>
        <w:gridCol w:w="797"/>
        <w:gridCol w:w="797"/>
        <w:gridCol w:w="797"/>
        <w:gridCol w:w="802"/>
        <w:gridCol w:w="797"/>
        <w:gridCol w:w="792"/>
        <w:gridCol w:w="80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结算方式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华为软件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市场定 价，执行</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《关联交 易决策制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8,278,247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合同进度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 网</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ninfo.com</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华为终端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市场定 价，执行</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《关联交 易决策制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1,579,583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合同进度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 网</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ninfo.com</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华为终端 （东莞）</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价，执行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易决策制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1,566,822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合同进度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 网</w:t>
            </w:r>
          </w:p>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ninfo.com</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华为技术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197,229.1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合同进度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w:t>
            </w:r>
          </w:p>
        </w:tc>
      </w:tr>
    </w:tbl>
    <w:p>
      <w:pPr>
        <w:spacing w:lineRule="exact" w:line="1"/>
        <w:rPr>
          <w:sz w:val="2"/>
          <w:szCs w:val="2"/>
        </w:rPr>
      </w:pPr>
      <w:r>
        <w:br w:type="page"/>
      </w:r>
    </w:p>
    <w:tbl>
      <w:tblPr>
        <w:tblOverlap w:val="never"/>
        <w:jc w:val="center"/>
        <w:tblLayout w:type="fixed"/>
      </w:tblPr>
      <w:tblGrid>
        <w:gridCol w:w="802"/>
        <w:gridCol w:w="802"/>
        <w:gridCol w:w="797"/>
        <w:gridCol w:w="797"/>
        <w:gridCol w:w="802"/>
        <w:gridCol w:w="797"/>
        <w:gridCol w:w="797"/>
        <w:gridCol w:w="797"/>
        <w:gridCol w:w="802"/>
        <w:gridCol w:w="797"/>
        <w:gridCol w:w="792"/>
        <w:gridCol w:w="806"/>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价，执行</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《关联交 易决策制 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网</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408"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1,162.18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79" w:line="1" w:lineRule="exact"/>
      </w:pPr>
    </w:p>
    <w:tbl>
      <w:tblPr>
        <w:tblOverlap w:val="never"/>
        <w:jc w:val="center"/>
        <w:tblLayout w:type="fixed"/>
      </w:tblPr>
      <w:tblGrid>
        <w:gridCol w:w="2208"/>
        <w:gridCol w:w="1858"/>
        <w:gridCol w:w="1858"/>
        <w:gridCol w:w="1819"/>
        <w:gridCol w:w="18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占同类交易金额的比例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占同类交易金额的比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华为终端（东莞）有限公司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33"/>
        <w:keepNext/>
        <w:keepLines/>
        <w:widowControl w:val="0"/>
        <w:shd w:val="clear" w:color="auto" w:fill="auto"/>
        <w:bidi w:val="0"/>
        <w:spacing w:before="0" w:after="32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、资产收购、出售发生的关联交易</w:t>
      </w:r>
      <w:bookmarkEnd w:id="216"/>
      <w:bookmarkEnd w:id="217"/>
      <w:bookmarkEnd w:id="219"/>
    </w:p>
    <w:tbl>
      <w:tblPr>
        <w:tblOverlap w:val="never"/>
        <w:jc w:val="center"/>
        <w:tblLayout w:type="fixed"/>
      </w:tblPr>
      <w:tblGrid>
        <w:gridCol w:w="744"/>
        <w:gridCol w:w="758"/>
        <w:gridCol w:w="734"/>
        <w:gridCol w:w="734"/>
        <w:gridCol w:w="739"/>
        <w:gridCol w:w="734"/>
        <w:gridCol w:w="734"/>
        <w:gridCol w:w="730"/>
        <w:gridCol w:w="734"/>
        <w:gridCol w:w="734"/>
        <w:gridCol w:w="739"/>
        <w:gridCol w:w="739"/>
        <w:gridCol w:w="725"/>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交易损 益（万</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、共同对外投资的重大关联交易</w:t>
      </w:r>
      <w:bookmarkEnd w:id="220"/>
      <w:bookmarkEnd w:id="221"/>
      <w:bookmarkEnd w:id="223"/>
    </w:p>
    <w:tbl>
      <w:tblPr>
        <w:tblOverlap w:val="never"/>
        <w:jc w:val="center"/>
        <w:tblLayout w:type="fixed"/>
      </w:tblPr>
      <w:tblGrid>
        <w:gridCol w:w="1070"/>
        <w:gridCol w:w="1070"/>
        <w:gridCol w:w="1061"/>
        <w:gridCol w:w="1066"/>
        <w:gridCol w:w="1066"/>
        <w:gridCol w:w="1061"/>
        <w:gridCol w:w="1061"/>
        <w:gridCol w:w="1066"/>
        <w:gridCol w:w="1066"/>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的重大在建 项目的进展</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共同对外投资的重大关联交易情况说明</w:t>
      </w:r>
    </w:p>
    <w:p>
      <w:pPr>
        <w:pStyle w:val="Style33"/>
        <w:keepNext/>
        <w:keepLines/>
        <w:widowControl w:val="0"/>
        <w:shd w:val="clear" w:color="auto" w:fill="auto"/>
        <w:bidi w:val="0"/>
        <w:spacing w:before="0" w:after="380" w:line="240" w:lineRule="auto"/>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、关联债权债务往来</w:t>
      </w:r>
      <w:bookmarkEnd w:id="224"/>
      <w:bookmarkEnd w:id="225"/>
      <w:bookmarkEnd w:id="227"/>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1742"/>
        <w:gridCol w:w="1118"/>
        <w:gridCol w:w="1118"/>
        <w:gridCol w:w="1118"/>
        <w:gridCol w:w="1118"/>
        <w:gridCol w:w="1118"/>
        <w:gridCol w:w="1118"/>
        <w:gridCol w:w="1133"/>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期末余额（万 元）</w:t>
            </w:r>
          </w:p>
        </w:tc>
      </w:tr>
    </w:tbl>
    <w:p>
      <w:pPr>
        <w:pStyle w:val="Style33"/>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5</w:t>
      </w:r>
      <w:bookmarkEnd w:id="230"/>
      <w:r>
        <w:rPr>
          <w:color w:val="000000"/>
          <w:spacing w:val="0"/>
          <w:w w:val="100"/>
          <w:position w:val="0"/>
        </w:rPr>
        <w:t>、其他重大关联交易</w:t>
      </w:r>
      <w:bookmarkEnd w:id="228"/>
      <w:bookmarkEnd w:id="229"/>
      <w:bookmarkEnd w:id="23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七</w:t>
      </w:r>
      <w:bookmarkEnd w:id="234"/>
      <w:r>
        <w:rPr>
          <w:color w:val="000000"/>
          <w:spacing w:val="0"/>
          <w:w w:val="100"/>
          <w:position w:val="0"/>
          <w:sz w:val="24"/>
          <w:szCs w:val="24"/>
        </w:rPr>
        <w:t>、重大合同及其履行情况</w:t>
      </w:r>
      <w:bookmarkEnd w:id="232"/>
      <w:bookmarkEnd w:id="233"/>
      <w:bookmarkEnd w:id="235"/>
    </w:p>
    <w:p>
      <w:pPr>
        <w:pStyle w:val="Style33"/>
        <w:keepNext/>
        <w:keepLines/>
        <w:widowControl w:val="0"/>
        <w:shd w:val="clear" w:color="auto" w:fill="auto"/>
        <w:tabs>
          <w:tab w:pos="373"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托管、承包、租赁事项情况</w:t>
      </w:r>
      <w:bookmarkEnd w:id="236"/>
      <w:bookmarkEnd w:id="237"/>
      <w:bookmarkEnd w:id="239"/>
    </w:p>
    <w:p>
      <w:pPr>
        <w:pStyle w:val="Style36"/>
        <w:keepNext/>
        <w:keepLines/>
        <w:widowControl w:val="0"/>
        <w:shd w:val="clear" w:color="auto" w:fill="auto"/>
        <w:tabs>
          <w:tab w:pos="488" w:val="left"/>
        </w:tabs>
        <w:bidi w:val="0"/>
        <w:spacing w:before="0" w:after="24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40"/>
      <w:bookmarkEnd w:id="241"/>
      <w:bookmarkEnd w:id="243"/>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4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after="24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w:t>
      </w:r>
      <w:bookmarkEnd w:id="24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44"/>
      <w:bookmarkEnd w:id="245"/>
      <w:bookmarkEnd w:id="247"/>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after="24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w:t>
      </w:r>
      <w:bookmarkEnd w:id="25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48"/>
      <w:bookmarkEnd w:id="249"/>
      <w:bookmarkEnd w:id="251"/>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2</w:t>
      </w:r>
      <w:bookmarkEnd w:id="254"/>
      <w:r>
        <w:rPr>
          <w:color w:val="000000"/>
          <w:spacing w:val="0"/>
          <w:w w:val="100"/>
          <w:position w:val="0"/>
        </w:rPr>
        <w:t>、</w:t>
        <w:tab/>
        <w:t>担保情况</w:t>
      </w:r>
      <w:bookmarkEnd w:id="252"/>
      <w:bookmarkEnd w:id="253"/>
      <w:bookmarkEnd w:id="25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36"/>
        <w:gridCol w:w="1214"/>
        <w:gridCol w:w="1181"/>
        <w:gridCol w:w="1094"/>
        <w:gridCol w:w="1013"/>
        <w:gridCol w:w="802"/>
        <w:gridCol w:w="797"/>
      </w:tblGrid>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1613"/>
        <w:gridCol w:w="931"/>
        <w:gridCol w:w="941"/>
        <w:gridCol w:w="1219"/>
        <w:gridCol w:w="1176"/>
        <w:gridCol w:w="1090"/>
        <w:gridCol w:w="1013"/>
        <w:gridCol w:w="806"/>
        <w:gridCol w:w="79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 外包园投资有限公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340" w:line="355" w:lineRule="exact"/>
        <w:ind w:left="0" w:right="0" w:firstLine="0"/>
        <w:jc w:val="left"/>
      </w:pPr>
      <w:r>
        <w:rPr>
          <w:color w:val="000000"/>
          <w:spacing w:val="0"/>
          <w:w w:val="100"/>
          <w:position w:val="0"/>
        </w:rPr>
        <w:t>采用复合方式担保的具体情况说明 无</w:t>
      </w:r>
    </w:p>
    <w:p>
      <w:pPr>
        <w:pStyle w:val="Style33"/>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3</w:t>
      </w:r>
      <w:bookmarkEnd w:id="258"/>
      <w:r>
        <w:rPr>
          <w:color w:val="000000"/>
          <w:spacing w:val="0"/>
          <w:w w:val="100"/>
          <w:position w:val="0"/>
        </w:rPr>
        <w:t>、委托理财、衍生品投资和委托贷款情况</w:t>
      </w:r>
      <w:bookmarkEnd w:id="256"/>
      <w:bookmarkEnd w:id="257"/>
      <w:bookmarkEnd w:id="259"/>
    </w:p>
    <w:p>
      <w:pPr>
        <w:pStyle w:val="Style36"/>
        <w:keepNext/>
        <w:keepLines/>
        <w:widowControl w:val="0"/>
        <w:shd w:val="clear" w:color="auto" w:fill="auto"/>
        <w:bidi w:val="0"/>
        <w:spacing w:before="0" w:after="3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w:t>
      </w:r>
      <w:bookmarkEnd w:id="26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260"/>
      <w:bookmarkEnd w:id="261"/>
      <w:bookmarkEnd w:id="2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9"/>
        <w:gridCol w:w="739"/>
        <w:gridCol w:w="734"/>
        <w:gridCol w:w="773"/>
        <w:gridCol w:w="734"/>
        <w:gridCol w:w="739"/>
        <w:gridCol w:w="734"/>
        <w:gridCol w:w="734"/>
        <w:gridCol w:w="734"/>
        <w:gridCol w:w="734"/>
        <w:gridCol w:w="739"/>
        <w:gridCol w:w="734"/>
        <w:gridCol w:w="710"/>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 定方式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计提减 值准备 金额（如</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实际损 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审议委托理财的董事会决议披露日期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审议委托理财的股东大会决议披露日 期（如有</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14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w:t>
      </w:r>
      <w:bookmarkEnd w:id="266"/>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64"/>
      <w:bookmarkEnd w:id="265"/>
      <w:bookmarkEnd w:id="26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802"/>
        <w:gridCol w:w="792"/>
        <w:gridCol w:w="806"/>
        <w:gridCol w:w="802"/>
        <w:gridCol w:w="797"/>
        <w:gridCol w:w="797"/>
        <w:gridCol w:w="797"/>
        <w:gridCol w:w="802"/>
        <w:gridCol w:w="797"/>
        <w:gridCol w:w="797"/>
        <w:gridCol w:w="802"/>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0"/>
              <w:jc w:val="left"/>
            </w:pPr>
            <w:r>
              <w:rPr>
                <w:color w:val="000000"/>
                <w:spacing w:val="0"/>
                <w:w w:val="100"/>
                <w:position w:val="0"/>
              </w:rPr>
              <w:t>额</w:t>
            </w:r>
          </w:p>
        </w:tc>
      </w:tr>
      <w:tr>
        <w:trPr>
          <w:trHeight w:val="39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审议衍生品投资的董事会决议披露日期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审议衍生品投资的股东大会决议披露日 期（如有</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w:t>
      </w:r>
      <w:bookmarkEnd w:id="270"/>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268"/>
      <w:bookmarkEnd w:id="269"/>
      <w:bookmarkEnd w:id="27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56"/>
        <w:gridCol w:w="883"/>
        <w:gridCol w:w="883"/>
        <w:gridCol w:w="878"/>
        <w:gridCol w:w="1435"/>
        <w:gridCol w:w="145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审议委托贷款的董事会决议披露日期（如有</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审议委托贷款的股东大会决议披露日期（如有</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4</w:t>
      </w:r>
      <w:bookmarkEnd w:id="274"/>
      <w:r>
        <w:rPr>
          <w:color w:val="000000"/>
          <w:spacing w:val="0"/>
          <w:w w:val="100"/>
          <w:position w:val="0"/>
        </w:rPr>
        <w:t>、其他重大合同</w:t>
      </w:r>
      <w:bookmarkEnd w:id="272"/>
      <w:bookmarkEnd w:id="273"/>
      <w:bookmarkEnd w:id="275"/>
    </w:p>
    <w:p>
      <w:pPr>
        <w:pStyle w:val="Style28"/>
        <w:keepNext w:val="0"/>
        <w:keepLines w:val="0"/>
        <w:widowControl w:val="0"/>
        <w:shd w:val="clear" w:color="auto" w:fill="auto"/>
        <w:bidi w:val="0"/>
        <w:spacing w:before="0" w:after="0" w:line="307" w:lineRule="exact"/>
        <w:ind w:left="0" w:right="0" w:firstLine="6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日，外包园公司因建设</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润和国际软件外包园研发总部基地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项目需要，与南京沧溪建设工程有限公司（以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沧溪建设</w:t>
      </w:r>
      <w:r>
        <w:rPr>
          <w:rFonts w:ascii="Times New Roman" w:eastAsia="Times New Roman" w:hAnsi="Times New Roman" w:cs="Times New Roman"/>
          <w:color w:val="000000"/>
          <w:spacing w:val="0"/>
          <w:w w:val="100"/>
          <w:position w:val="0"/>
        </w:rPr>
        <w:t>”</w:t>
      </w:r>
      <w:r>
        <w:rPr>
          <w:color w:val="000000"/>
          <w:spacing w:val="0"/>
          <w:w w:val="100"/>
          <w:position w:val="0"/>
        </w:rPr>
        <w:t>）签订了《建设工程施工合同》以及补充协议。工程总建筑面积约为</w:t>
      </w:r>
      <w:r>
        <w:rPr>
          <w:rFonts w:ascii="Times New Roman" w:eastAsia="Times New Roman" w:hAnsi="Times New Roman" w:cs="Times New Roman"/>
          <w:color w:val="000000"/>
          <w:spacing w:val="0"/>
          <w:w w:val="100"/>
          <w:position w:val="0"/>
        </w:rPr>
        <w:t>124876</w:t>
      </w:r>
      <w:r>
        <w:rPr>
          <w:color w:val="000000"/>
          <w:spacing w:val="0"/>
          <w:w w:val="100"/>
          <w:position w:val="0"/>
        </w:rPr>
        <w:t>平米，最终以竣工后实际建筑 面积为准。竣工日期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日。工程合同价款暂定金额为</w:t>
      </w:r>
      <w:r>
        <w:rPr>
          <w:rFonts w:ascii="Times New Roman" w:eastAsia="Times New Roman" w:hAnsi="Times New Roman" w:cs="Times New Roman"/>
          <w:color w:val="000000"/>
          <w:spacing w:val="0"/>
          <w:w w:val="100"/>
          <w:position w:val="0"/>
        </w:rPr>
        <w:t>435,000,000</w:t>
      </w:r>
      <w:r>
        <w:rPr>
          <w:color w:val="000000"/>
          <w:spacing w:val="0"/>
          <w:w w:val="100"/>
          <w:position w:val="0"/>
        </w:rPr>
        <w:t>元，最终以工程造价决算结算为准。</w:t>
      </w:r>
    </w:p>
    <w:p>
      <w:pPr>
        <w:pStyle w:val="Style28"/>
        <w:keepNext w:val="0"/>
        <w:keepLines w:val="0"/>
        <w:widowControl w:val="0"/>
        <w:shd w:val="clear" w:color="auto" w:fill="auto"/>
        <w:bidi w:val="0"/>
        <w:spacing w:before="0" w:after="980" w:line="307" w:lineRule="exact"/>
        <w:ind w:left="0" w:right="0" w:firstLine="660"/>
        <w:jc w:val="left"/>
      </w:pPr>
      <w:r>
        <w:rPr>
          <w:color w:val="000000"/>
          <w:spacing w:val="0"/>
          <w:w w:val="100"/>
          <w:position w:val="0"/>
        </w:rPr>
        <w:t>以上具体内容详见公司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在中国证监会指定的创业板信息披露网站公告。</w:t>
      </w:r>
    </w:p>
    <w:p>
      <w:pPr>
        <w:pStyle w:val="Style31"/>
        <w:keepNext/>
        <w:keepLines/>
        <w:widowControl w:val="0"/>
        <w:shd w:val="clear" w:color="auto" w:fill="auto"/>
        <w:bidi w:val="0"/>
        <w:spacing w:before="0" w:after="3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八</w:t>
      </w:r>
      <w:bookmarkEnd w:id="278"/>
      <w:r>
        <w:rPr>
          <w:color w:val="000000"/>
          <w:spacing w:val="0"/>
          <w:w w:val="100"/>
          <w:position w:val="0"/>
          <w:sz w:val="24"/>
          <w:szCs w:val="24"/>
        </w:rPr>
        <w:t>、承诺事项履行情况</w:t>
      </w:r>
      <w:bookmarkEnd w:id="276"/>
      <w:bookmarkEnd w:id="277"/>
      <w:bookmarkEnd w:id="279"/>
    </w:p>
    <w:p>
      <w:pPr>
        <w:pStyle w:val="Style33"/>
        <w:keepNext/>
        <w:keepLines/>
        <w:widowControl w:val="0"/>
        <w:shd w:val="clear" w:color="auto" w:fill="auto"/>
        <w:bidi w:val="0"/>
        <w:spacing w:before="0" w:after="30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80"/>
      <w:bookmarkEnd w:id="281"/>
      <w:bookmarkEnd w:id="283"/>
    </w:p>
    <w:tbl>
      <w:tblPr>
        <w:tblOverlap w:val="never"/>
        <w:jc w:val="center"/>
        <w:tblLayout w:type="fixed"/>
      </w:tblPr>
      <w:tblGrid>
        <w:gridCol w:w="3202"/>
        <w:gridCol w:w="1272"/>
        <w:gridCol w:w="1277"/>
        <w:gridCol w:w="1277"/>
        <w:gridCol w:w="1277"/>
        <w:gridCol w:w="12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收购报告书或权益变动报告书中所作承 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 市之日起三十 六个月内，不转 让或者委托他 人管理其直接 或间接持有的 公司首次公开 发行股票前已 持有的股份，也 不由公司回购 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 市之日起三十 六个月内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报告期内，承诺 人严格信守承 诺，未出现违反 上述承诺的情 况。</w:t>
            </w:r>
          </w:p>
        </w:tc>
      </w:tr>
      <w:tr>
        <w:trPr>
          <w:trHeight w:val="973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 市之日起三十 六个月内，不转 让或者委托他 人管理其直接 或间接持有的 公司首次公开 发行股票前已 持有的股份，也 不由公司回购 该部分股份。在 担任公司的董 事、监事或高级 管理人员期间， 每年转让的股 份不超过其直 接或间接持有 公司股份总数 的百分之二十 五；在离职后半 年内，不转让其 直接或间接其 持有的公司股 份；如在公司股 票上市之日起 六个月内申报 离职的，自申报 离职之日起十 八个月内不转 让其直接或间 接持有的公司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 市之日起三十 六个月内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报告期内，所有 承诺人均严格 信守承诺，未出 现违反上述承 诺的情况。</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317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股份，如在股票 上市之日起第 七个月至第十 二个月之间申 报离职的，自申 报离职之日起 十二个月内不 转让其直接或 间接持有的公 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孙强、马玉峰、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 市之日起十二 个月内，不转让 或者委托他人 管理其直接或 间接持有的公 司首次公开发 行股票前已持 有的股份，也不 由公司回购该 部分股份。自在 担任公司的董 事、监事或高级 管理人员期间， 每年转让的股 份不超过其直 接或间接持有 公司股份总数 的百分之二十 五；在离职后半 年内，不转让其 直接或间接其 持有的公司股 份；如在公司股 票上市之日起 六个月内申报 离职的，自申报 离职之日起十 八个月内不转 让其直接或间 接持有的公司 股份，如在股票 上市之日起第 七个月至第十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 市之日起十二 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报告期内，所有 承诺人均严格 信守承诺，未出 现违反上述承 诺的情况。</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82"/>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二个月之间申 报离职的，自申 报离职之日起 十二个月内不 转让其直接或 间接持有的公 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3"/>
        <w:keepNext/>
        <w:keepLines/>
        <w:widowControl w:val="0"/>
        <w:shd w:val="clear" w:color="auto" w:fill="auto"/>
        <w:bidi w:val="0"/>
        <w:spacing w:before="0" w:line="322"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、公司资产或项目存在盈利预测，且报告期仍处在盈利预测期间，公司就资产或项目达到原盈利预测及 其原因做出说明</w:t>
      </w:r>
      <w:bookmarkEnd w:id="284"/>
      <w:bookmarkEnd w:id="285"/>
      <w:bookmarkEnd w:id="287"/>
    </w:p>
    <w:tbl>
      <w:tblPr>
        <w:tblOverlap w:val="never"/>
        <w:jc w:val="center"/>
        <w:tblLayout w:type="fixed"/>
      </w:tblPr>
      <w:tblGrid>
        <w:gridCol w:w="1200"/>
        <w:gridCol w:w="1195"/>
        <w:gridCol w:w="1195"/>
        <w:gridCol w:w="1200"/>
        <w:gridCol w:w="1195"/>
        <w:gridCol w:w="1195"/>
        <w:gridCol w:w="1195"/>
        <w:gridCol w:w="1210"/>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九</w:t>
      </w:r>
      <w:bookmarkEnd w:id="290"/>
      <w:r>
        <w:rPr>
          <w:color w:val="000000"/>
          <w:spacing w:val="0"/>
          <w:w w:val="100"/>
          <w:position w:val="0"/>
          <w:sz w:val="24"/>
          <w:szCs w:val="24"/>
        </w:rPr>
        <w:t>、聘任、解聘会计师事务所情况</w:t>
      </w:r>
      <w:bookmarkEnd w:id="288"/>
      <w:bookmarkEnd w:id="289"/>
      <w:bookmarkEnd w:id="291"/>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张全心、褚诗炜、程飞龙</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340" w:line="298" w:lineRule="exact"/>
        <w:ind w:left="0" w:right="0" w:firstLine="0"/>
        <w:jc w:val="left"/>
      </w:pPr>
      <w:bookmarkStart w:id="292" w:name="bookmark292"/>
      <w:bookmarkStart w:id="293" w:name="bookmark293"/>
      <w:bookmarkStart w:id="294" w:name="bookmark294"/>
      <w:r>
        <w:rPr>
          <w:color w:val="000000"/>
          <w:spacing w:val="0"/>
          <w:w w:val="100"/>
          <w:position w:val="0"/>
          <w:sz w:val="24"/>
          <w:szCs w:val="24"/>
        </w:rPr>
        <w:t>十、上市公司及其董事、监事、高级管理人员、公司股东、实际控制人和收购人处罚及整改 情况</w:t>
      </w:r>
      <w:bookmarkEnd w:id="292"/>
      <w:bookmarkEnd w:id="293"/>
      <w:bookmarkEnd w:id="29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十一、公司股东及其一致行动人在报告期提出或实施股份增持计划的情况</w:t>
      </w:r>
      <w:bookmarkEnd w:id="295"/>
      <w:bookmarkEnd w:id="296"/>
      <w:bookmarkEnd w:id="297"/>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一致行 动人姓名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计划增持股份数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股份增持计划初 次披露日期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股份增持计划实 施结束披露日期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其他情况说明</w:t>
      </w:r>
    </w:p>
    <w:p>
      <w:pPr>
        <w:pStyle w:val="Style28"/>
        <w:keepNext w:val="0"/>
        <w:keepLines w:val="0"/>
        <w:widowControl w:val="0"/>
        <w:shd w:val="clear" w:color="auto" w:fill="auto"/>
        <w:bidi w:val="0"/>
        <w:spacing w:before="0" w:after="320" w:line="30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日，周红卫与徐鑫淼签订《股权转让协议》，周红卫受让徐鑫淼所持润和科技</w:t>
      </w:r>
      <w:r>
        <w:rPr>
          <w:rFonts w:ascii="Times New Roman" w:eastAsia="Times New Roman" w:hAnsi="Times New Roman" w:cs="Times New Roman"/>
          <w:color w:val="000000"/>
          <w:spacing w:val="0"/>
          <w:w w:val="100"/>
          <w:position w:val="0"/>
        </w:rPr>
        <w:t>2%</w:t>
      </w:r>
      <w:r>
        <w:rPr>
          <w:color w:val="000000"/>
          <w:spacing w:val="0"/>
          <w:w w:val="100"/>
          <w:position w:val="0"/>
        </w:rPr>
        <w:t>股权，受让后周红卫持有润 和科技</w:t>
      </w:r>
      <w:r>
        <w:rPr>
          <w:rFonts w:ascii="Times New Roman" w:eastAsia="Times New Roman" w:hAnsi="Times New Roman" w:cs="Times New Roman"/>
          <w:color w:val="000000"/>
          <w:spacing w:val="0"/>
          <w:w w:val="100"/>
          <w:position w:val="0"/>
        </w:rPr>
        <w:t>43.65%</w:t>
      </w:r>
      <w:r>
        <w:rPr>
          <w:color w:val="000000"/>
          <w:spacing w:val="0"/>
          <w:w w:val="100"/>
          <w:position w:val="0"/>
        </w:rPr>
        <w:t>股权，通过此次股权转让，周红卫间接增加公司</w:t>
      </w:r>
      <w:r>
        <w:rPr>
          <w:rFonts w:ascii="Times New Roman" w:eastAsia="Times New Roman" w:hAnsi="Times New Roman" w:cs="Times New Roman"/>
          <w:color w:val="000000"/>
          <w:spacing w:val="0"/>
          <w:w w:val="100"/>
          <w:position w:val="0"/>
        </w:rPr>
        <w:t>0.54%</w:t>
      </w:r>
      <w:r>
        <w:rPr>
          <w:color w:val="000000"/>
          <w:spacing w:val="0"/>
          <w:w w:val="100"/>
          <w:position w:val="0"/>
        </w:rPr>
        <w:t>股权。</w:t>
      </w:r>
    </w:p>
    <w:p>
      <w:pPr>
        <w:pStyle w:val="Style31"/>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298"/>
      <w:bookmarkEnd w:id="299"/>
      <w:bookmarkEnd w:id="300"/>
    </w:p>
    <w:tbl>
      <w:tblPr>
        <w:tblOverlap w:val="never"/>
        <w:jc w:val="center"/>
        <w:tblLayout w:type="fixed"/>
      </w:tblPr>
      <w:tblGrid>
        <w:gridCol w:w="1910"/>
        <w:gridCol w:w="1925"/>
        <w:gridCol w:w="1915"/>
        <w:gridCol w:w="1910"/>
        <w:gridCol w:w="192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违规买卖公司股票的具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涉嫌违规所得收益收回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十三、违规对外担保情况</w:t>
      </w:r>
      <w:bookmarkEnd w:id="301"/>
      <w:bookmarkEnd w:id="302"/>
      <w:bookmarkEnd w:id="3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74"/>
        <w:gridCol w:w="869"/>
        <w:gridCol w:w="869"/>
        <w:gridCol w:w="874"/>
        <w:gridCol w:w="869"/>
        <w:gridCol w:w="869"/>
        <w:gridCol w:w="864"/>
        <w:gridCol w:w="869"/>
        <w:gridCol w:w="869"/>
        <w:gridCol w:w="883"/>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预计解除 时间（月</w:t>
            </w:r>
          </w:p>
          <w:p>
            <w:pPr>
              <w:pStyle w:val="Style2"/>
              <w:keepNext w:val="0"/>
              <w:keepLines w:val="0"/>
              <w:widowControl w:val="0"/>
              <w:shd w:val="clear" w:color="auto" w:fill="auto"/>
              <w:bidi w:val="0"/>
              <w:spacing w:before="0" w:after="0" w:line="312" w:lineRule="exact"/>
              <w:ind w:left="0" w:right="0" w:firstLine="260"/>
              <w:jc w:val="both"/>
            </w:pPr>
            <w:r>
              <w:rPr>
                <w:color w:val="000000"/>
                <w:spacing w:val="0"/>
                <w:w w:val="100"/>
                <w:position w:val="0"/>
              </w:rPr>
              <w:t>份）</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十四、年度报告披露后面临暂停上市和终止上市情况</w:t>
      </w:r>
      <w:bookmarkEnd w:id="304"/>
      <w:bookmarkEnd w:id="305"/>
      <w:bookmarkEnd w:id="306"/>
    </w:p>
    <w:p>
      <w:pPr>
        <w:pStyle w:val="Style28"/>
        <w:keepNext w:val="0"/>
        <w:keepLines w:val="0"/>
        <w:widowControl w:val="0"/>
        <w:shd w:val="clear" w:color="auto" w:fill="auto"/>
        <w:bidi w:val="0"/>
        <w:spacing w:before="0" w:after="320" w:line="316"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26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十五、其他重大事项的说明</w:t>
      </w:r>
      <w:bookmarkEnd w:id="307"/>
      <w:bookmarkEnd w:id="308"/>
      <w:bookmarkEnd w:id="309"/>
    </w:p>
    <w:p>
      <w:pPr>
        <w:pStyle w:val="Style28"/>
        <w:keepNext w:val="0"/>
        <w:keepLines w:val="0"/>
        <w:widowControl w:val="0"/>
        <w:shd w:val="clear" w:color="auto" w:fill="auto"/>
        <w:bidi w:val="0"/>
        <w:spacing w:before="0" w:after="0" w:line="316" w:lineRule="exact"/>
        <w:ind w:left="0" w:right="0" w:firstLine="0"/>
        <w:jc w:val="left"/>
      </w:pPr>
      <w:bookmarkStart w:id="310" w:name="bookmark310"/>
      <w:r>
        <w:rPr>
          <w:rFonts w:ascii="Times New Roman" w:eastAsia="Times New Roman" w:hAnsi="Times New Roman" w:cs="Times New Roman"/>
          <w:color w:val="000000"/>
          <w:spacing w:val="0"/>
          <w:w w:val="100"/>
          <w:position w:val="0"/>
        </w:rPr>
        <w:t>1</w:t>
      </w:r>
      <w:bookmarkEnd w:id="310"/>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日，公司控股股东润和投资将其持有的本公司有限售条件流通股</w:t>
      </w:r>
      <w:r>
        <w:rPr>
          <w:rFonts w:ascii="Times New Roman" w:eastAsia="Times New Roman" w:hAnsi="Times New Roman" w:cs="Times New Roman"/>
          <w:color w:val="000000"/>
          <w:spacing w:val="0"/>
          <w:w w:val="100"/>
          <w:position w:val="0"/>
        </w:rPr>
        <w:t>12,500,000</w:t>
      </w:r>
      <w:r>
        <w:rPr>
          <w:color w:val="000000"/>
          <w:spacing w:val="0"/>
          <w:w w:val="100"/>
          <w:position w:val="0"/>
        </w:rPr>
        <w:t>股质押给紫金信托有限责任公司， 用于投资，并通过中国证券登记结算有限责任公司深圳分公司办理了股权质押登记手续。质押期限为：自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 至润和投资办理解除质押登记手续之日止。</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年度权益分派方案为：公司以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 （含税），共计派送现金红利</w:t>
      </w:r>
      <w:r>
        <w:rPr>
          <w:rFonts w:ascii="Times New Roman" w:eastAsia="Times New Roman" w:hAnsi="Times New Roman" w:cs="Times New Roman"/>
          <w:color w:val="000000"/>
          <w:spacing w:val="0"/>
          <w:w w:val="100"/>
          <w:position w:val="0"/>
        </w:rPr>
        <w:t>15,348,000</w:t>
      </w:r>
      <w:r>
        <w:rPr>
          <w:color w:val="000000"/>
          <w:spacing w:val="0"/>
          <w:w w:val="100"/>
          <w:position w:val="0"/>
        </w:rPr>
        <w:t>元（含税）；同时，以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股为基数，用母公司资本公积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153,480,000</w:t>
      </w:r>
      <w:r>
        <w:rPr>
          <w:color w:val="000000"/>
          <w:spacing w:val="0"/>
          <w:w w:val="100"/>
          <w:position w:val="0"/>
        </w:rPr>
        <w:t>股。上述利润分配方案于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日实施完毕，润和投资共持有本公司有限售流通股</w:t>
      </w:r>
      <w:r>
        <w:rPr>
          <w:rFonts w:ascii="Times New Roman" w:eastAsia="Times New Roman" w:hAnsi="Times New Roman" w:cs="Times New Roman"/>
          <w:color w:val="000000"/>
          <w:spacing w:val="0"/>
          <w:w w:val="100"/>
          <w:position w:val="0"/>
        </w:rPr>
        <w:t>41,702,000</w:t>
      </w:r>
      <w:r>
        <w:rPr>
          <w:color w:val="000000"/>
          <w:spacing w:val="0"/>
          <w:w w:val="100"/>
          <w:position w:val="0"/>
        </w:rPr>
        <w:t>股，质押给紫金信托有限责任公司的股份为</w:t>
      </w:r>
      <w:r>
        <w:rPr>
          <w:rFonts w:ascii="Times New Roman" w:eastAsia="Times New Roman" w:hAnsi="Times New Roman" w:cs="Times New Roman"/>
          <w:color w:val="000000"/>
          <w:spacing w:val="0"/>
          <w:w w:val="100"/>
          <w:position w:val="0"/>
        </w:rPr>
        <w:t xml:space="preserve">25,000,000 </w:t>
      </w:r>
      <w:r>
        <w:rPr>
          <w:color w:val="000000"/>
          <w:spacing w:val="0"/>
          <w:w w:val="100"/>
          <w:position w:val="0"/>
        </w:rPr>
        <w:t>股。</w:t>
      </w:r>
    </w:p>
    <w:p>
      <w:pPr>
        <w:pStyle w:val="Style28"/>
        <w:keepNext w:val="0"/>
        <w:keepLines w:val="0"/>
        <w:widowControl w:val="0"/>
        <w:shd w:val="clear" w:color="auto" w:fill="auto"/>
        <w:bidi w:val="0"/>
        <w:spacing w:before="0" w:after="320" w:line="316"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日，公司控股股东润和投资将其持有的本公司有限售条件流通股</w:t>
      </w:r>
      <w:r>
        <w:rPr>
          <w:rFonts w:ascii="Times New Roman" w:eastAsia="Times New Roman" w:hAnsi="Times New Roman" w:cs="Times New Roman"/>
          <w:color w:val="000000"/>
          <w:spacing w:val="0"/>
          <w:w w:val="100"/>
          <w:position w:val="0"/>
        </w:rPr>
        <w:t>11,000,000</w:t>
      </w:r>
      <w:r>
        <w:rPr>
          <w:color w:val="000000"/>
          <w:spacing w:val="0"/>
          <w:w w:val="100"/>
          <w:position w:val="0"/>
        </w:rPr>
        <w:t>股质押给国联信托股份有限责任 公司，用于投资，并通过中国证券登记结算有限责任公司深圳分公司办理了股权质押登记手续，质押期限为：自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日起至润和投资办理解除质押登记手续之日止。</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截止目前，润和投资共持有本公司</w:t>
      </w:r>
      <w:r>
        <w:rPr>
          <w:rFonts w:ascii="Times New Roman" w:eastAsia="Times New Roman" w:hAnsi="Times New Roman" w:cs="Times New Roman"/>
          <w:color w:val="000000"/>
          <w:spacing w:val="0"/>
          <w:w w:val="100"/>
          <w:position w:val="0"/>
        </w:rPr>
        <w:t>41,702,000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27.17%</w:t>
      </w:r>
      <w:r>
        <w:rPr>
          <w:color w:val="000000"/>
          <w:spacing w:val="0"/>
          <w:w w:val="100"/>
          <w:position w:val="0"/>
        </w:rPr>
        <w:t xml:space="preserve">；累计已质押其持有的本公司股份共计 </w:t>
      </w:r>
      <w:r>
        <w:rPr>
          <w:rFonts w:ascii="Times New Roman" w:eastAsia="Times New Roman" w:hAnsi="Times New Roman" w:cs="Times New Roman"/>
          <w:color w:val="000000"/>
          <w:spacing w:val="0"/>
          <w:w w:val="100"/>
          <w:position w:val="0"/>
        </w:rPr>
        <w:t>36,000,000</w:t>
      </w:r>
      <w:r>
        <w:rPr>
          <w:color w:val="000000"/>
          <w:spacing w:val="0"/>
          <w:w w:val="100"/>
          <w:position w:val="0"/>
        </w:rPr>
        <w:t>股，占其持有本公司股份总数的</w:t>
      </w:r>
      <w:r>
        <w:rPr>
          <w:rFonts w:ascii="Times New Roman" w:eastAsia="Times New Roman" w:hAnsi="Times New Roman" w:cs="Times New Roman"/>
          <w:color w:val="000000"/>
          <w:spacing w:val="0"/>
          <w:w w:val="100"/>
          <w:position w:val="0"/>
        </w:rPr>
        <w:t>86.33%</w:t>
      </w:r>
      <w:r>
        <w:rPr>
          <w:color w:val="000000"/>
          <w:spacing w:val="0"/>
          <w:w w:val="100"/>
          <w:position w:val="0"/>
        </w:rPr>
        <w:t>，占本公司总股本的</w:t>
      </w:r>
      <w:r>
        <w:rPr>
          <w:rFonts w:ascii="Times New Roman" w:eastAsia="Times New Roman" w:hAnsi="Times New Roman" w:cs="Times New Roman"/>
          <w:color w:val="000000"/>
          <w:spacing w:val="0"/>
          <w:w w:val="100"/>
          <w:position w:val="0"/>
        </w:rPr>
        <w:t>23.46%</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以上具体内容请分别详见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日在中国证监会指定的创业板信息披露网站公告。</w:t>
      </w:r>
    </w:p>
    <w:p>
      <w:pPr>
        <w:pStyle w:val="Style28"/>
        <w:keepNext w:val="0"/>
        <w:keepLines w:val="0"/>
        <w:widowControl w:val="0"/>
        <w:shd w:val="clear" w:color="auto" w:fill="auto"/>
        <w:bidi w:val="0"/>
        <w:spacing w:before="0" w:after="0" w:line="312" w:lineRule="exact"/>
        <w:ind w:left="0" w:right="0" w:firstLine="460"/>
        <w:jc w:val="both"/>
      </w:pPr>
      <w:bookmarkStart w:id="311" w:name="bookmark311"/>
      <w:r>
        <w:rPr>
          <w:rFonts w:ascii="Times New Roman" w:eastAsia="Times New Roman" w:hAnsi="Times New Roman" w:cs="Times New Roman"/>
          <w:color w:val="000000"/>
          <w:spacing w:val="0"/>
          <w:w w:val="100"/>
          <w:position w:val="0"/>
        </w:rPr>
        <w:t>2</w:t>
      </w:r>
      <w:bookmarkEnd w:id="311"/>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日，姚宁先生因个人资金需求将其持有的本公司有限售条件流通股</w:t>
      </w:r>
      <w:r>
        <w:rPr>
          <w:rFonts w:ascii="Times New Roman" w:eastAsia="Times New Roman" w:hAnsi="Times New Roman" w:cs="Times New Roman"/>
          <w:color w:val="000000"/>
          <w:spacing w:val="0"/>
          <w:w w:val="100"/>
          <w:position w:val="0"/>
        </w:rPr>
        <w:t>8,000,000</w:t>
      </w:r>
      <w:r>
        <w:rPr>
          <w:color w:val="000000"/>
          <w:spacing w:val="0"/>
          <w:w w:val="100"/>
          <w:position w:val="0"/>
        </w:rPr>
        <w:t>股质押给华鑫国际信托有 限公司，并已于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日通过中国证券登记结算有限责任公司深圳分公司办理了股权质押登记手续，质押期限自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日起至姚宁先生办理解除质押登记手续之日止。</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截止目前，姚宁先生共持有本公司股份</w:t>
      </w:r>
      <w:r>
        <w:rPr>
          <w:rFonts w:ascii="Times New Roman" w:eastAsia="Times New Roman" w:hAnsi="Times New Roman" w:cs="Times New Roman"/>
          <w:color w:val="000000"/>
          <w:spacing w:val="0"/>
          <w:w w:val="100"/>
          <w:position w:val="0"/>
        </w:rPr>
        <w:t>9,200,000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5.99%</w:t>
      </w:r>
      <w:r>
        <w:rPr>
          <w:color w:val="000000"/>
          <w:spacing w:val="0"/>
          <w:w w:val="100"/>
          <w:position w:val="0"/>
        </w:rPr>
        <w:t>，其中处于质押状态的股份共计</w:t>
      </w:r>
      <w:r>
        <w:rPr>
          <w:rFonts w:ascii="Times New Roman" w:eastAsia="Times New Roman" w:hAnsi="Times New Roman" w:cs="Times New Roman"/>
          <w:color w:val="000000"/>
          <w:spacing w:val="0"/>
          <w:w w:val="100"/>
          <w:position w:val="0"/>
        </w:rPr>
        <w:t xml:space="preserve">8,000,000 </w:t>
      </w:r>
      <w:r>
        <w:rPr>
          <w:color w:val="000000"/>
          <w:spacing w:val="0"/>
          <w:w w:val="100"/>
          <w:position w:val="0"/>
        </w:rPr>
        <w:t>股，占姚宁先生持有本公司股份总数的</w:t>
      </w:r>
      <w:r>
        <w:rPr>
          <w:rFonts w:ascii="Times New Roman" w:eastAsia="Times New Roman" w:hAnsi="Times New Roman" w:cs="Times New Roman"/>
          <w:color w:val="000000"/>
          <w:spacing w:val="0"/>
          <w:w w:val="100"/>
          <w:position w:val="0"/>
        </w:rPr>
        <w:t>86.96%</w:t>
      </w:r>
      <w:r>
        <w:rPr>
          <w:color w:val="000000"/>
          <w:spacing w:val="0"/>
          <w:w w:val="100"/>
          <w:position w:val="0"/>
        </w:rPr>
        <w:t>，占本公司总股本的</w:t>
      </w:r>
      <w:r>
        <w:rPr>
          <w:rFonts w:ascii="Times New Roman" w:eastAsia="Times New Roman" w:hAnsi="Times New Roman" w:cs="Times New Roman"/>
          <w:color w:val="000000"/>
          <w:spacing w:val="0"/>
          <w:w w:val="100"/>
          <w:position w:val="0"/>
        </w:rPr>
        <w:t>5.21%</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日在中国证监会指定的创业板信息披露网站公告。</w:t>
      </w:r>
    </w:p>
    <w:p>
      <w:pPr>
        <w:pStyle w:val="Style28"/>
        <w:keepNext w:val="0"/>
        <w:keepLines w:val="0"/>
        <w:widowControl w:val="0"/>
        <w:shd w:val="clear" w:color="auto" w:fill="auto"/>
        <w:bidi w:val="0"/>
        <w:spacing w:before="0" w:after="0" w:line="312" w:lineRule="exact"/>
        <w:ind w:left="0" w:right="0" w:firstLine="380"/>
        <w:jc w:val="both"/>
      </w:pPr>
      <w:bookmarkStart w:id="312" w:name="bookmark312"/>
      <w:r>
        <w:rPr>
          <w:rFonts w:ascii="Times New Roman" w:eastAsia="Times New Roman" w:hAnsi="Times New Roman" w:cs="Times New Roman"/>
          <w:color w:val="000000"/>
          <w:spacing w:val="0"/>
          <w:w w:val="100"/>
          <w:position w:val="0"/>
        </w:rPr>
        <w:t>3</w:t>
      </w:r>
      <w:bookmarkEnd w:id="312"/>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日第三届董事会第二十二次会议和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年第一次临时股东大会审议通过了《关 于公司子公司江苏润和南京软件外包园投资有限公司建设</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项目可行性研究报告的议案》和 《关于公司子公司江苏润和南京软件外包园投资有限公司建设</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润和国际软件外包园研发总部基地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项目投资估算的议案》。 公司全资子公司外包园公司拟投资</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润和国际软件外包研发总部基地项目</w:t>
      </w:r>
      <w:r>
        <w:rPr>
          <w:rFonts w:ascii="Times New Roman" w:eastAsia="Times New Roman" w:hAnsi="Times New Roman" w:cs="Times New Roman"/>
          <w:color w:val="000000"/>
          <w:spacing w:val="0"/>
          <w:w w:val="100"/>
          <w:position w:val="0"/>
        </w:rPr>
        <w:t>”,</w:t>
      </w:r>
      <w:r>
        <w:rPr>
          <w:color w:val="000000"/>
          <w:spacing w:val="0"/>
          <w:w w:val="100"/>
          <w:position w:val="0"/>
        </w:rPr>
        <w:t>建设内容主要为园区办公、研发及配套设施等。 项目预计总投资为</w:t>
      </w:r>
      <w:r>
        <w:rPr>
          <w:rFonts w:ascii="Times New Roman" w:eastAsia="Times New Roman" w:hAnsi="Times New Roman" w:cs="Times New Roman"/>
          <w:color w:val="000000"/>
          <w:spacing w:val="0"/>
          <w:w w:val="100"/>
          <w:position w:val="0"/>
        </w:rPr>
        <w:t>49144.1</w:t>
      </w:r>
      <w:r>
        <w:rPr>
          <w:color w:val="000000"/>
          <w:spacing w:val="0"/>
          <w:w w:val="100"/>
          <w:position w:val="0"/>
        </w:rPr>
        <w:t>万元（自有资金</w:t>
      </w:r>
      <w:r>
        <w:rPr>
          <w:rFonts w:ascii="Times New Roman" w:eastAsia="Times New Roman" w:hAnsi="Times New Roman" w:cs="Times New Roman"/>
          <w:color w:val="000000"/>
          <w:spacing w:val="0"/>
          <w:w w:val="100"/>
          <w:position w:val="0"/>
        </w:rPr>
        <w:t>19144.1</w:t>
      </w:r>
      <w:r>
        <w:rPr>
          <w:color w:val="000000"/>
          <w:spacing w:val="0"/>
          <w:w w:val="100"/>
          <w:position w:val="0"/>
        </w:rPr>
        <w:t>万元，银行贷款</w:t>
      </w:r>
      <w:r>
        <w:rPr>
          <w:rFonts w:ascii="Times New Roman" w:eastAsia="Times New Roman" w:hAnsi="Times New Roman" w:cs="Times New Roman"/>
          <w:color w:val="000000"/>
          <w:spacing w:val="0"/>
          <w:w w:val="100"/>
          <w:position w:val="0"/>
        </w:rPr>
        <w:t>30000.0</w:t>
      </w:r>
      <w:r>
        <w:rPr>
          <w:color w:val="000000"/>
          <w:spacing w:val="0"/>
          <w:w w:val="100"/>
          <w:position w:val="0"/>
        </w:rPr>
        <w:t>万元），其中建设投资</w:t>
      </w:r>
      <w:r>
        <w:rPr>
          <w:rFonts w:ascii="Times New Roman" w:eastAsia="Times New Roman" w:hAnsi="Times New Roman" w:cs="Times New Roman"/>
          <w:color w:val="000000"/>
          <w:spacing w:val="0"/>
          <w:w w:val="100"/>
          <w:position w:val="0"/>
        </w:rPr>
        <w:t>47179.</w:t>
      </w:r>
      <w:r>
        <w:rPr>
          <w:rFonts w:ascii="Times New Roman" w:eastAsia="Times New Roman" w:hAnsi="Times New Roman" w:cs="Times New Roman"/>
          <w:color w:val="000000"/>
          <w:spacing w:val="0"/>
          <w:w w:val="100"/>
          <w:position w:val="0"/>
        </w:rPr>
        <w:t>1</w:t>
      </w:r>
      <w:r>
        <w:rPr>
          <w:color w:val="000000"/>
          <w:spacing w:val="0"/>
          <w:w w:val="100"/>
          <w:position w:val="0"/>
        </w:rPr>
        <w:t>万元，建设期利息</w:t>
      </w:r>
      <w:r>
        <w:rPr>
          <w:rFonts w:ascii="Times New Roman" w:eastAsia="Times New Roman" w:hAnsi="Times New Roman" w:cs="Times New Roman"/>
          <w:color w:val="000000"/>
          <w:spacing w:val="0"/>
          <w:w w:val="100"/>
          <w:position w:val="0"/>
        </w:rPr>
        <w:t xml:space="preserve">1965 </w:t>
      </w:r>
      <w:r>
        <w:rPr>
          <w:color w:val="000000"/>
          <w:spacing w:val="0"/>
          <w:w w:val="100"/>
          <w:position w:val="0"/>
        </w:rPr>
        <w:t>万元；项目建设期：预计</w:t>
      </w:r>
      <w:r>
        <w:rPr>
          <w:rFonts w:ascii="Times New Roman" w:eastAsia="Times New Roman" w:hAnsi="Times New Roman" w:cs="Times New Roman"/>
          <w:color w:val="000000"/>
          <w:spacing w:val="0"/>
          <w:w w:val="100"/>
          <w:position w:val="0"/>
        </w:rPr>
        <w:t>33</w:t>
      </w:r>
      <w:r>
        <w:rPr>
          <w:color w:val="000000"/>
          <w:spacing w:val="0"/>
          <w:w w:val="100"/>
          <w:position w:val="0"/>
        </w:rPr>
        <w:t>个月；项目的收益主要来源于建成后房屋出租的租金，其中公司的使用率不低于</w:t>
      </w:r>
      <w:r>
        <w:rPr>
          <w:rFonts w:ascii="Times New Roman" w:eastAsia="Times New Roman" w:hAnsi="Times New Roman" w:cs="Times New Roman"/>
          <w:color w:val="000000"/>
          <w:spacing w:val="0"/>
          <w:w w:val="100"/>
          <w:position w:val="0"/>
        </w:rPr>
        <w:t>50%</w:t>
      </w:r>
      <w:r>
        <w:rPr>
          <w:color w:val="000000"/>
          <w:spacing w:val="0"/>
          <w:w w:val="100"/>
          <w:position w:val="0"/>
        </w:rPr>
        <w:t>，且按市场 原则结算租金。按项目投资开始后的未来</w:t>
      </w:r>
      <w:r>
        <w:rPr>
          <w:rFonts w:ascii="Times New Roman" w:eastAsia="Times New Roman" w:hAnsi="Times New Roman" w:cs="Times New Roman"/>
          <w:color w:val="000000"/>
          <w:spacing w:val="0"/>
          <w:w w:val="100"/>
          <w:position w:val="0"/>
        </w:rPr>
        <w:t>16</w:t>
      </w:r>
      <w:r>
        <w:rPr>
          <w:color w:val="000000"/>
          <w:spacing w:val="0"/>
          <w:w w:val="100"/>
          <w:position w:val="0"/>
        </w:rPr>
        <w:t>年作为计算周期，预计年均营业收入</w:t>
      </w:r>
      <w:r>
        <w:rPr>
          <w:rFonts w:ascii="Times New Roman" w:eastAsia="Times New Roman" w:hAnsi="Times New Roman" w:cs="Times New Roman"/>
          <w:color w:val="000000"/>
          <w:spacing w:val="0"/>
          <w:w w:val="100"/>
          <w:position w:val="0"/>
        </w:rPr>
        <w:t>8611.2</w:t>
      </w:r>
      <w:r>
        <w:rPr>
          <w:color w:val="000000"/>
          <w:spacing w:val="0"/>
          <w:w w:val="100"/>
          <w:position w:val="0"/>
        </w:rPr>
        <w:t xml:space="preserve">万元（不含建设期），年均利润总额 </w:t>
      </w:r>
      <w:r>
        <w:rPr>
          <w:rFonts w:ascii="Times New Roman" w:eastAsia="Times New Roman" w:hAnsi="Times New Roman" w:cs="Times New Roman"/>
          <w:color w:val="000000"/>
          <w:spacing w:val="0"/>
          <w:w w:val="100"/>
          <w:position w:val="0"/>
        </w:rPr>
        <w:t>4720.5</w:t>
      </w:r>
      <w:r>
        <w:rPr>
          <w:color w:val="000000"/>
          <w:spacing w:val="0"/>
          <w:w w:val="100"/>
          <w:position w:val="0"/>
        </w:rPr>
        <w:t>万元（不含建设期），项目投资回收期为</w:t>
      </w:r>
      <w:r>
        <w:rPr>
          <w:rFonts w:ascii="Times New Roman" w:eastAsia="Times New Roman" w:hAnsi="Times New Roman" w:cs="Times New Roman"/>
          <w:color w:val="000000"/>
          <w:spacing w:val="0"/>
          <w:w w:val="100"/>
          <w:position w:val="0"/>
        </w:rPr>
        <w:t>12.</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8"/>
        <w:keepNext w:val="0"/>
        <w:keepLines w:val="0"/>
        <w:widowControl w:val="0"/>
        <w:shd w:val="clear" w:color="auto" w:fill="auto"/>
        <w:bidi w:val="0"/>
        <w:spacing w:before="0" w:after="0" w:line="312" w:lineRule="exact"/>
        <w:ind w:left="0" w:right="0" w:firstLine="6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日，外包园公司因建设</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润和国际软件外包园研发总部基地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项目需要，与南京沧溪建设工程有限公司（以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沧溪建设</w:t>
      </w:r>
      <w:r>
        <w:rPr>
          <w:rFonts w:ascii="Times New Roman" w:eastAsia="Times New Roman" w:hAnsi="Times New Roman" w:cs="Times New Roman"/>
          <w:color w:val="000000"/>
          <w:spacing w:val="0"/>
          <w:w w:val="100"/>
          <w:position w:val="0"/>
        </w:rPr>
        <w:t>”</w:t>
      </w:r>
      <w:r>
        <w:rPr>
          <w:color w:val="000000"/>
          <w:spacing w:val="0"/>
          <w:w w:val="100"/>
          <w:position w:val="0"/>
        </w:rPr>
        <w:t>）签订了《建设工程施工合同》以及补充协议。工程总建筑面积约为</w:t>
      </w:r>
      <w:r>
        <w:rPr>
          <w:rFonts w:ascii="Times New Roman" w:eastAsia="Times New Roman" w:hAnsi="Times New Roman" w:cs="Times New Roman"/>
          <w:color w:val="000000"/>
          <w:spacing w:val="0"/>
          <w:w w:val="100"/>
          <w:position w:val="0"/>
        </w:rPr>
        <w:t>124876</w:t>
      </w:r>
      <w:r>
        <w:rPr>
          <w:color w:val="000000"/>
          <w:spacing w:val="0"/>
          <w:w w:val="100"/>
          <w:position w:val="0"/>
        </w:rPr>
        <w:t>平米，最终以竣工后实际建筑 面积为准。竣工日期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日。工程合同价款暂定金额为</w:t>
      </w:r>
      <w:r>
        <w:rPr>
          <w:rFonts w:ascii="Times New Roman" w:eastAsia="Times New Roman" w:hAnsi="Times New Roman" w:cs="Times New Roman"/>
          <w:color w:val="000000"/>
          <w:spacing w:val="0"/>
          <w:w w:val="100"/>
          <w:position w:val="0"/>
        </w:rPr>
        <w:t>435,000,000</w:t>
      </w:r>
      <w:r>
        <w:rPr>
          <w:color w:val="000000"/>
          <w:spacing w:val="0"/>
          <w:w w:val="100"/>
          <w:position w:val="0"/>
        </w:rPr>
        <w:t>元，最终以工程造价决算结算为准。</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以上具体内容请分别详见公司于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在中国证监会指定的创业板信息披露网站公告。</w:t>
      </w:r>
    </w:p>
    <w:p>
      <w:pPr>
        <w:pStyle w:val="Style28"/>
        <w:keepNext w:val="0"/>
        <w:keepLines w:val="0"/>
        <w:widowControl w:val="0"/>
        <w:shd w:val="clear" w:color="auto" w:fill="auto"/>
        <w:bidi w:val="0"/>
        <w:spacing w:before="0" w:after="0" w:line="312" w:lineRule="exact"/>
        <w:ind w:left="0" w:right="0" w:firstLine="520"/>
        <w:jc w:val="left"/>
      </w:pPr>
      <w:bookmarkStart w:id="313" w:name="bookmark313"/>
      <w:r>
        <w:rPr>
          <w:rFonts w:ascii="Times New Roman" w:eastAsia="Times New Roman" w:hAnsi="Times New Roman" w:cs="Times New Roman"/>
          <w:color w:val="000000"/>
          <w:spacing w:val="0"/>
          <w:w w:val="100"/>
          <w:position w:val="0"/>
        </w:rPr>
        <w:t>4</w:t>
      </w:r>
      <w:bookmarkEnd w:id="313"/>
      <w:r>
        <w:rPr>
          <w:color w:val="000000"/>
          <w:spacing w:val="0"/>
          <w:w w:val="100"/>
          <w:position w:val="0"/>
        </w:rPr>
        <w:t>、为进一步整合公司软件服务和系统集成服务能力，促进公司在</w:t>
      </w:r>
      <w:r>
        <w:rPr>
          <w:rFonts w:ascii="Times New Roman" w:eastAsia="Times New Roman" w:hAnsi="Times New Roman" w:cs="Times New Roman"/>
          <w:color w:val="000000"/>
          <w:spacing w:val="0"/>
          <w:w w:val="100"/>
          <w:position w:val="0"/>
        </w:rPr>
        <w:t>IT</w:t>
      </w:r>
      <w:r>
        <w:rPr>
          <w:color w:val="000000"/>
          <w:spacing w:val="0"/>
          <w:w w:val="100"/>
          <w:position w:val="0"/>
        </w:rPr>
        <w:t>服务产业链向系统集成领域和建筑智能化领域延 伸，提升公司在</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领域的核心竞争力，提升公司的市场竞争力，公司于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日与江苏开拓信息与系统有限公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江苏开拓</w:t>
      </w:r>
      <w:r>
        <w:rPr>
          <w:rFonts w:ascii="Times New Roman" w:eastAsia="Times New Roman" w:hAnsi="Times New Roman" w:cs="Times New Roman"/>
          <w:color w:val="000000"/>
          <w:spacing w:val="0"/>
          <w:w w:val="100"/>
          <w:position w:val="0"/>
        </w:rPr>
        <w:t>”</w:t>
      </w:r>
      <w:r>
        <w:rPr>
          <w:color w:val="000000"/>
          <w:spacing w:val="0"/>
          <w:w w:val="100"/>
          <w:position w:val="0"/>
        </w:rPr>
        <w:t>）股东孙旭初、陈华签署了《股权收购意向协议》。根据公司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日召开的第四届董事会 第六次会议、第四届监事会第五次会议审议通过的《关于使用部分超募资金收购并增资江苏开拓信息与系统有限公司的议 案》，公司于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日与江苏开拓及其股东孙旭初、陈华签署了《关于对江苏开拓信息与系统有限公司增资并收购股 权之协议》。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日召开的公司</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年第三次临时股东大会审议批准了上述交易，同意公司以收购加增资的方式， 使用公司超募资金</w:t>
      </w:r>
      <w:r>
        <w:rPr>
          <w:rFonts w:ascii="Times New Roman" w:eastAsia="Times New Roman" w:hAnsi="Times New Roman" w:cs="Times New Roman"/>
          <w:color w:val="000000"/>
          <w:spacing w:val="0"/>
          <w:w w:val="100"/>
          <w:position w:val="0"/>
        </w:rPr>
        <w:t>5646.46</w:t>
      </w:r>
      <w:r>
        <w:rPr>
          <w:color w:val="000000"/>
          <w:spacing w:val="0"/>
          <w:w w:val="100"/>
          <w:position w:val="0"/>
        </w:rPr>
        <w:t>万元获得江苏开拓</w:t>
      </w:r>
      <w:r>
        <w:rPr>
          <w:rFonts w:ascii="Times New Roman" w:eastAsia="Times New Roman" w:hAnsi="Times New Roman" w:cs="Times New Roman"/>
          <w:color w:val="000000"/>
          <w:spacing w:val="0"/>
          <w:w w:val="100"/>
          <w:position w:val="0"/>
        </w:rPr>
        <w:t>66.85%</w:t>
      </w:r>
      <w:r>
        <w:rPr>
          <w:color w:val="000000"/>
          <w:spacing w:val="0"/>
          <w:w w:val="100"/>
          <w:position w:val="0"/>
        </w:rPr>
        <w:t>的股权，其中</w:t>
      </w:r>
      <w:r>
        <w:rPr>
          <w:rFonts w:ascii="Times New Roman" w:eastAsia="Times New Roman" w:hAnsi="Times New Roman" w:cs="Times New Roman"/>
          <w:color w:val="000000"/>
          <w:spacing w:val="0"/>
          <w:w w:val="100"/>
          <w:position w:val="0"/>
        </w:rPr>
        <w:t>1300</w:t>
      </w:r>
      <w:r>
        <w:rPr>
          <w:color w:val="000000"/>
          <w:spacing w:val="0"/>
          <w:w w:val="100"/>
          <w:position w:val="0"/>
        </w:rPr>
        <w:t xml:space="preserve">万元用于收购江苏开拓原股东孙旭初，陈华持有的 </w:t>
      </w:r>
      <w:r>
        <w:rPr>
          <w:rFonts w:ascii="Times New Roman" w:eastAsia="Times New Roman" w:hAnsi="Times New Roman" w:cs="Times New Roman"/>
          <w:color w:val="000000"/>
          <w:spacing w:val="0"/>
          <w:w w:val="100"/>
          <w:position w:val="0"/>
        </w:rPr>
        <w:t>31.71%</w:t>
      </w:r>
      <w:r>
        <w:rPr>
          <w:color w:val="000000"/>
          <w:spacing w:val="0"/>
          <w:w w:val="100"/>
          <w:position w:val="0"/>
        </w:rPr>
        <w:t>股权；</w:t>
      </w:r>
      <w:r>
        <w:rPr>
          <w:rFonts w:ascii="Times New Roman" w:eastAsia="Times New Roman" w:hAnsi="Times New Roman" w:cs="Times New Roman"/>
          <w:color w:val="000000"/>
          <w:spacing w:val="0"/>
          <w:w w:val="100"/>
          <w:position w:val="0"/>
        </w:rPr>
        <w:t>4346.46</w:t>
      </w:r>
      <w:r>
        <w:rPr>
          <w:color w:val="000000"/>
          <w:spacing w:val="0"/>
          <w:w w:val="100"/>
          <w:position w:val="0"/>
        </w:rPr>
        <w:t>万元用于对江苏开拓增资，其中</w:t>
      </w:r>
      <w:r>
        <w:rPr>
          <w:rFonts w:ascii="Times New Roman" w:eastAsia="Times New Roman" w:hAnsi="Times New Roman" w:cs="Times New Roman"/>
          <w:color w:val="000000"/>
          <w:spacing w:val="0"/>
          <w:w w:val="100"/>
          <w:position w:val="0"/>
        </w:rPr>
        <w:t>1060.11</w:t>
      </w:r>
      <w:r>
        <w:rPr>
          <w:color w:val="000000"/>
          <w:spacing w:val="0"/>
          <w:w w:val="100"/>
          <w:position w:val="0"/>
        </w:rPr>
        <w:t>万元作为注册资本，</w:t>
      </w:r>
      <w:r>
        <w:rPr>
          <w:rFonts w:ascii="Times New Roman" w:eastAsia="Times New Roman" w:hAnsi="Times New Roman" w:cs="Times New Roman"/>
          <w:color w:val="000000"/>
          <w:spacing w:val="0"/>
          <w:w w:val="100"/>
          <w:position w:val="0"/>
        </w:rPr>
        <w:t>3286.35</w:t>
      </w:r>
      <w:r>
        <w:rPr>
          <w:color w:val="000000"/>
          <w:spacing w:val="0"/>
          <w:w w:val="100"/>
          <w:position w:val="0"/>
        </w:rPr>
        <w:t>万元作为资本公积。上述股权转让 及增资完成后，公司将持有江苏开拓</w:t>
      </w:r>
      <w:r>
        <w:rPr>
          <w:rFonts w:ascii="Times New Roman" w:eastAsia="Times New Roman" w:hAnsi="Times New Roman" w:cs="Times New Roman"/>
          <w:color w:val="000000"/>
          <w:spacing w:val="0"/>
          <w:w w:val="100"/>
          <w:position w:val="0"/>
        </w:rPr>
        <w:t>1377.18</w:t>
      </w:r>
      <w:r>
        <w:rPr>
          <w:color w:val="000000"/>
          <w:spacing w:val="0"/>
          <w:w w:val="100"/>
          <w:position w:val="0"/>
        </w:rPr>
        <w:t>万元股权，占江苏开拓注册资本及实收资本总额的</w:t>
      </w:r>
      <w:r>
        <w:rPr>
          <w:rFonts w:ascii="Times New Roman" w:eastAsia="Times New Roman" w:hAnsi="Times New Roman" w:cs="Times New Roman"/>
          <w:color w:val="000000"/>
          <w:spacing w:val="0"/>
          <w:w w:val="100"/>
          <w:position w:val="0"/>
        </w:rPr>
        <w:t>66.85%</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月，江苏开 拓已经完成了相应的工商变更登记手续，领取了换发的《企业法人营业执照》。</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以上具体内容请分别详见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日在中国证监会指定的创业板信 息披露网站公告。</w:t>
      </w:r>
    </w:p>
    <w:p>
      <w:pPr>
        <w:pStyle w:val="Style28"/>
        <w:keepNext w:val="0"/>
        <w:keepLines w:val="0"/>
        <w:widowControl w:val="0"/>
        <w:shd w:val="clear" w:color="auto" w:fill="auto"/>
        <w:tabs>
          <w:tab w:pos="572" w:val="left"/>
        </w:tabs>
        <w:bidi w:val="0"/>
        <w:spacing w:before="0" w:after="0" w:line="312" w:lineRule="exact"/>
        <w:ind w:left="0" w:right="0"/>
        <w:jc w:val="both"/>
      </w:pPr>
      <w:bookmarkStart w:id="314" w:name="bookmark314"/>
      <w:r>
        <w:rPr>
          <w:rFonts w:ascii="Times New Roman" w:eastAsia="Times New Roman" w:hAnsi="Times New Roman" w:cs="Times New Roman"/>
          <w:color w:val="000000"/>
          <w:spacing w:val="0"/>
          <w:w w:val="100"/>
          <w:position w:val="0"/>
        </w:rPr>
        <w:t>5</w:t>
      </w:r>
      <w:bookmarkEnd w:id="31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日，公司首次解除限售股份的数量为</w:t>
      </w:r>
      <w:r>
        <w:rPr>
          <w:rFonts w:ascii="Times New Roman" w:eastAsia="Times New Roman" w:hAnsi="Times New Roman" w:cs="Times New Roman"/>
          <w:color w:val="000000"/>
          <w:spacing w:val="0"/>
          <w:w w:val="100"/>
          <w:position w:val="0"/>
        </w:rPr>
        <w:t>41,678,000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27.16%</w:t>
      </w:r>
      <w:r>
        <w:rPr>
          <w:color w:val="000000"/>
          <w:spacing w:val="0"/>
          <w:w w:val="100"/>
          <w:position w:val="0"/>
        </w:rPr>
        <w:t>。实际可上市流通股份数 量为</w:t>
      </w:r>
      <w:r>
        <w:rPr>
          <w:rFonts w:ascii="Times New Roman" w:eastAsia="Times New Roman" w:hAnsi="Times New Roman" w:cs="Times New Roman"/>
          <w:color w:val="000000"/>
          <w:spacing w:val="0"/>
          <w:w w:val="100"/>
          <w:position w:val="0"/>
        </w:rPr>
        <w:t>34,530,500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22.50%</w:t>
      </w:r>
      <w:r>
        <w:rPr>
          <w:color w:val="000000"/>
          <w:spacing w:val="0"/>
          <w:w w:val="100"/>
          <w:position w:val="0"/>
        </w:rPr>
        <w:t>。本次申请解除股份限售的股东人数为</w:t>
      </w:r>
      <w:r>
        <w:rPr>
          <w:rFonts w:ascii="Times New Roman" w:eastAsia="Times New Roman" w:hAnsi="Times New Roman" w:cs="Times New Roman"/>
          <w:color w:val="000000"/>
          <w:spacing w:val="0"/>
          <w:w w:val="100"/>
          <w:position w:val="0"/>
        </w:rPr>
        <w:t>96</w:t>
      </w:r>
      <w:r>
        <w:rPr>
          <w:color w:val="000000"/>
          <w:spacing w:val="0"/>
          <w:w w:val="100"/>
          <w:position w:val="0"/>
        </w:rPr>
        <w:t>人。</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567" w:val="left"/>
        </w:tabs>
        <w:bidi w:val="0"/>
        <w:spacing w:before="0" w:after="0" w:line="317" w:lineRule="exact"/>
        <w:ind w:left="0" w:right="0"/>
        <w:jc w:val="both"/>
      </w:pPr>
      <w:bookmarkStart w:id="315" w:name="bookmark315"/>
      <w:r>
        <w:rPr>
          <w:rFonts w:ascii="Times New Roman" w:eastAsia="Times New Roman" w:hAnsi="Times New Roman" w:cs="Times New Roman"/>
          <w:color w:val="000000"/>
          <w:spacing w:val="0"/>
          <w:w w:val="100"/>
          <w:position w:val="0"/>
        </w:rPr>
        <w:t>6</w:t>
      </w:r>
      <w:bookmarkEnd w:id="315"/>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日收到第四届董事会董事沈锦华先生的书面辞职报告，沈锦华先生因个人原因请求辞去董事职务, 辞职后不再继续担任公司董事职务，《辞职报告》自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日送达董事会时起生效。</w:t>
      </w:r>
    </w:p>
    <w:p>
      <w:pPr>
        <w:pStyle w:val="Style28"/>
        <w:keepNext w:val="0"/>
        <w:keepLines w:val="0"/>
        <w:widowControl w:val="0"/>
        <w:shd w:val="clear" w:color="auto" w:fill="auto"/>
        <w:bidi w:val="0"/>
        <w:spacing w:before="0" w:after="300" w:line="317" w:lineRule="exact"/>
        <w:ind w:left="0" w:right="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572" w:val="left"/>
        </w:tabs>
        <w:bidi w:val="0"/>
        <w:spacing w:before="0" w:after="0" w:line="322" w:lineRule="exact"/>
        <w:ind w:left="0" w:right="0"/>
        <w:jc w:val="both"/>
      </w:pPr>
      <w:bookmarkStart w:id="316" w:name="bookmark316"/>
      <w:r>
        <w:rPr>
          <w:rFonts w:ascii="Times New Roman" w:eastAsia="Times New Roman" w:hAnsi="Times New Roman" w:cs="Times New Roman"/>
          <w:color w:val="000000"/>
          <w:spacing w:val="0"/>
          <w:w w:val="100"/>
          <w:position w:val="0"/>
        </w:rPr>
        <w:t>7</w:t>
      </w:r>
      <w:bookmarkEnd w:id="316"/>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日召开的第四届董事会第七次会议和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年第三届临时股东大会均审议 通过了《关于补选公司第四届董事会董事候选人的议案》，同意朱祖龙先生补选为公司第四届董事会董事，独立董事就上述 </w:t>
      </w:r>
      <w:r>
        <w:rPr>
          <w:color w:val="000000"/>
          <w:spacing w:val="0"/>
          <w:w w:val="100"/>
          <w:position w:val="0"/>
        </w:rPr>
        <w:t>事项一致发表了同意的独立意见。</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以上具体内容请分别详见公司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614" w:val="left"/>
        </w:tabs>
        <w:bidi w:val="0"/>
        <w:spacing w:before="0" w:after="0" w:line="314" w:lineRule="exact"/>
        <w:ind w:left="0" w:right="0"/>
        <w:jc w:val="left"/>
      </w:pPr>
      <w:bookmarkStart w:id="317" w:name="bookmark317"/>
      <w:r>
        <w:rPr>
          <w:rFonts w:ascii="Times New Roman" w:eastAsia="Times New Roman" w:hAnsi="Times New Roman" w:cs="Times New Roman"/>
          <w:color w:val="000000"/>
          <w:spacing w:val="0"/>
          <w:w w:val="100"/>
          <w:position w:val="0"/>
        </w:rPr>
        <w:t>8</w:t>
      </w:r>
      <w:bookmarkEnd w:id="31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日，公司第四届董事会第五次会议和第四届监事会第四次会议均审议通过了《关于同意全资子公司江苏 润和南京软件外包园投资有限公司向银行申请综合授信的议案》和《关于公司为全资子公司江苏润和南京软件外包园投资有 限公司向银行申请综合授信提供担保的议案》，外包园公司拟向中国工商银行江苏省分行申请办理人民币</w:t>
      </w:r>
      <w:r>
        <w:rPr>
          <w:rFonts w:ascii="Times New Roman" w:eastAsia="Times New Roman" w:hAnsi="Times New Roman" w:cs="Times New Roman"/>
          <w:color w:val="000000"/>
          <w:spacing w:val="0"/>
          <w:w w:val="100"/>
          <w:position w:val="0"/>
        </w:rPr>
        <w:t>3</w:t>
      </w:r>
      <w:r>
        <w:rPr>
          <w:color w:val="000000"/>
          <w:spacing w:val="0"/>
          <w:w w:val="100"/>
          <w:position w:val="0"/>
        </w:rPr>
        <w:t>亿元的综合授信， 外包园公司将以建设项目的土地使用权做抵押担保，同时需要公司提供保证担保。公司对上述综合授信额度提供连带责任担 保，担保金额不超过</w:t>
      </w:r>
      <w:r>
        <w:rPr>
          <w:rFonts w:ascii="Times New Roman" w:eastAsia="Times New Roman" w:hAnsi="Times New Roman" w:cs="Times New Roman"/>
          <w:color w:val="000000"/>
          <w:spacing w:val="0"/>
          <w:w w:val="100"/>
          <w:position w:val="0"/>
        </w:rPr>
        <w:t>3</w:t>
      </w:r>
      <w:r>
        <w:rPr>
          <w:color w:val="000000"/>
          <w:spacing w:val="0"/>
          <w:w w:val="100"/>
          <w:position w:val="0"/>
        </w:rPr>
        <w:t>亿元人民币，担保期限不超过七年。</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年第三次临时股东大会审议通过了《关 于公司为全资子公司江苏润和南京软件外包园投资有限公司向银行申请综合授信提供担保的议案》。</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以上具体内容请分别详见公司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614" w:val="left"/>
        </w:tabs>
        <w:bidi w:val="0"/>
        <w:spacing w:before="0" w:after="0" w:line="319" w:lineRule="exact"/>
        <w:ind w:left="0" w:right="0"/>
        <w:jc w:val="both"/>
      </w:pPr>
      <w:bookmarkStart w:id="318" w:name="bookmark318"/>
      <w:r>
        <w:rPr>
          <w:rFonts w:ascii="Times New Roman" w:eastAsia="Times New Roman" w:hAnsi="Times New Roman" w:cs="Times New Roman"/>
          <w:color w:val="000000"/>
          <w:spacing w:val="0"/>
          <w:w w:val="100"/>
          <w:position w:val="0"/>
        </w:rPr>
        <w:t>9</w:t>
      </w:r>
      <w:bookmarkEnd w:id="31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日，公司收到董事会秘书兼财务总监黄维江先生提交的书面辞职报告，黄维江先生因工作变动原因请求 辞去公司董事会秘书和财务总监职务，辞职报告自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日送达公司董事会时起生效。黄维江先生在辞去公司董事会 秘书、财务总监职务后，将继续担任公司董事职务。</w:t>
      </w:r>
    </w:p>
    <w:p>
      <w:pPr>
        <w:pStyle w:val="Style28"/>
        <w:keepNext w:val="0"/>
        <w:keepLines w:val="0"/>
        <w:widowControl w:val="0"/>
        <w:shd w:val="clear" w:color="auto" w:fill="auto"/>
        <w:bidi w:val="0"/>
        <w:spacing w:before="0" w:after="320" w:line="319" w:lineRule="exact"/>
        <w:ind w:left="0" w:right="0" w:firstLine="16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日在中国证监会指定的创业板信息披露网站公告。</w:t>
      </w:r>
    </w:p>
    <w:p>
      <w:pPr>
        <w:pStyle w:val="Style28"/>
        <w:keepNext w:val="0"/>
        <w:keepLines w:val="0"/>
        <w:widowControl w:val="0"/>
        <w:shd w:val="clear" w:color="auto" w:fill="auto"/>
        <w:bidi w:val="0"/>
        <w:spacing w:before="0" w:after="0" w:line="317" w:lineRule="exact"/>
        <w:ind w:left="0" w:right="0"/>
        <w:jc w:val="both"/>
      </w:pPr>
      <w:bookmarkStart w:id="319" w:name="bookmark319"/>
      <w:r>
        <w:rPr>
          <w:rFonts w:ascii="Times New Roman" w:eastAsia="Times New Roman" w:hAnsi="Times New Roman" w:cs="Times New Roman"/>
          <w:color w:val="000000"/>
          <w:spacing w:val="0"/>
          <w:w w:val="100"/>
          <w:position w:val="0"/>
        </w:rPr>
        <w:t>1</w:t>
      </w:r>
      <w:bookmarkEnd w:id="319"/>
      <w:r>
        <w:rPr>
          <w:rFonts w:ascii="Times New Roman" w:eastAsia="Times New Roman" w:hAnsi="Times New Roman" w:cs="Times New Roman"/>
          <w:color w:val="000000"/>
          <w:spacing w:val="0"/>
          <w:w w:val="100"/>
          <w:position w:val="0"/>
        </w:rPr>
        <w:t>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日，公司第四届董事会第八次会议审议通过了《关于聘任公司财务总监的议案》，同意聘任朱祖龙先 生担任公司财务总监，任期自第四届董事会第八次会议审议通过之日起至第四届董事会任期届满时止。公司独立董事已就该 事项一致发表了同意的独立意见。</w:t>
      </w:r>
    </w:p>
    <w:p>
      <w:pPr>
        <w:pStyle w:val="Style28"/>
        <w:keepNext w:val="0"/>
        <w:keepLines w:val="0"/>
        <w:widowControl w:val="0"/>
        <w:shd w:val="clear" w:color="auto" w:fill="auto"/>
        <w:bidi w:val="0"/>
        <w:spacing w:before="0" w:after="320" w:line="317" w:lineRule="exact"/>
        <w:ind w:left="0" w:right="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706" w:val="left"/>
        </w:tabs>
        <w:bidi w:val="0"/>
        <w:spacing w:before="0" w:after="0" w:line="312" w:lineRule="exact"/>
        <w:ind w:left="0" w:right="0"/>
        <w:jc w:val="both"/>
      </w:pPr>
      <w:bookmarkStart w:id="320" w:name="bookmark320"/>
      <w:r>
        <w:rPr>
          <w:rFonts w:ascii="Times New Roman" w:eastAsia="Times New Roman" w:hAnsi="Times New Roman" w:cs="Times New Roman"/>
          <w:color w:val="000000"/>
          <w:spacing w:val="0"/>
          <w:w w:val="100"/>
          <w:position w:val="0"/>
        </w:rPr>
        <w:t>1</w:t>
      </w:r>
      <w:bookmarkEnd w:id="32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日，周红卫先生因个人资金需求将其持有的本公司有限售条件流通股</w:t>
      </w:r>
      <w:r>
        <w:rPr>
          <w:rFonts w:ascii="Times New Roman" w:eastAsia="Times New Roman" w:hAnsi="Times New Roman" w:cs="Times New Roman"/>
          <w:color w:val="000000"/>
          <w:spacing w:val="0"/>
          <w:w w:val="100"/>
          <w:position w:val="0"/>
        </w:rPr>
        <w:t>10,130,000</w:t>
      </w:r>
      <w:r>
        <w:rPr>
          <w:color w:val="000000"/>
          <w:spacing w:val="0"/>
          <w:w w:val="100"/>
          <w:position w:val="0"/>
        </w:rPr>
        <w:t>股质押给给华创证券 有限责任公司，并已于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日通过中国证券登记结算有限责任公司深圳分公司办理了股权质押登记手续，质押期限 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日起至周红卫先生办理解除质押登记手续之日止。</w:t>
      </w:r>
    </w:p>
    <w:p>
      <w:pPr>
        <w:pStyle w:val="Style28"/>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截至目前，周红卫先生共持有本公司股份</w:t>
      </w:r>
      <w:r>
        <w:rPr>
          <w:rFonts w:ascii="Times New Roman" w:eastAsia="Times New Roman" w:hAnsi="Times New Roman" w:cs="Times New Roman"/>
          <w:color w:val="000000"/>
          <w:spacing w:val="0"/>
          <w:w w:val="100"/>
          <w:position w:val="0"/>
        </w:rPr>
        <w:t>10,820,000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7.05%</w:t>
      </w:r>
      <w:r>
        <w:rPr>
          <w:color w:val="000000"/>
          <w:spacing w:val="0"/>
          <w:w w:val="100"/>
          <w:position w:val="0"/>
        </w:rPr>
        <w:t xml:space="preserve">，其中处于质押状态的股份共计 </w:t>
      </w:r>
      <w:r>
        <w:rPr>
          <w:rFonts w:ascii="Times New Roman" w:eastAsia="Times New Roman" w:hAnsi="Times New Roman" w:cs="Times New Roman"/>
          <w:color w:val="000000"/>
          <w:spacing w:val="0"/>
          <w:w w:val="100"/>
          <w:position w:val="0"/>
        </w:rPr>
        <w:t>10,130,000</w:t>
      </w:r>
      <w:r>
        <w:rPr>
          <w:color w:val="000000"/>
          <w:spacing w:val="0"/>
          <w:w w:val="100"/>
          <w:position w:val="0"/>
        </w:rPr>
        <w:t>股，占周红卫先生持有本公司股份总数的</w:t>
      </w:r>
      <w:r>
        <w:rPr>
          <w:rFonts w:ascii="Times New Roman" w:eastAsia="Times New Roman" w:hAnsi="Times New Roman" w:cs="Times New Roman"/>
          <w:color w:val="000000"/>
          <w:spacing w:val="0"/>
          <w:w w:val="100"/>
          <w:position w:val="0"/>
        </w:rPr>
        <w:t>93.62%</w:t>
      </w:r>
      <w:r>
        <w:rPr>
          <w:color w:val="000000"/>
          <w:spacing w:val="0"/>
          <w:w w:val="100"/>
          <w:position w:val="0"/>
        </w:rPr>
        <w:t>，占本公司总股本的</w:t>
      </w:r>
      <w:r>
        <w:rPr>
          <w:rFonts w:ascii="Times New Roman" w:eastAsia="Times New Roman" w:hAnsi="Times New Roman" w:cs="Times New Roman"/>
          <w:color w:val="000000"/>
          <w:spacing w:val="0"/>
          <w:w w:val="100"/>
          <w:position w:val="0"/>
        </w:rPr>
        <w:t>6.60%</w:t>
      </w:r>
      <w:r>
        <w:rPr>
          <w:color w:val="000000"/>
          <w:spacing w:val="0"/>
          <w:w w:val="100"/>
          <w:position w:val="0"/>
        </w:rPr>
        <w:t>。</w:t>
      </w:r>
    </w:p>
    <w:p>
      <w:pPr>
        <w:pStyle w:val="Style28"/>
        <w:keepNext w:val="0"/>
        <w:keepLines w:val="0"/>
        <w:widowControl w:val="0"/>
        <w:shd w:val="clear" w:color="auto" w:fill="auto"/>
        <w:bidi w:val="0"/>
        <w:spacing w:before="0" w:after="320" w:line="312" w:lineRule="exact"/>
        <w:ind w:left="0" w:right="0" w:firstLine="24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706" w:val="left"/>
        </w:tabs>
        <w:bidi w:val="0"/>
        <w:spacing w:before="0" w:after="0" w:line="314" w:lineRule="exact"/>
        <w:ind w:left="0" w:right="0"/>
        <w:jc w:val="both"/>
      </w:pPr>
      <w:bookmarkStart w:id="321" w:name="bookmark321"/>
      <w:r>
        <w:rPr>
          <w:rFonts w:ascii="Times New Roman" w:eastAsia="Times New Roman" w:hAnsi="Times New Roman" w:cs="Times New Roman"/>
          <w:color w:val="000000"/>
          <w:spacing w:val="0"/>
          <w:w w:val="100"/>
          <w:position w:val="0"/>
        </w:rPr>
        <w:t>1</w:t>
      </w:r>
      <w:bookmarkEnd w:id="321"/>
      <w:r>
        <w:rPr>
          <w:rFonts w:ascii="Times New Roman" w:eastAsia="Times New Roman" w:hAnsi="Times New Roman" w:cs="Times New Roman"/>
          <w:color w:val="000000"/>
          <w:spacing w:val="0"/>
          <w:w w:val="100"/>
          <w:position w:val="0"/>
        </w:rPr>
        <w:t>2</w:t>
      </w:r>
      <w:r>
        <w:rPr>
          <w:color w:val="000000"/>
          <w:spacing w:val="0"/>
          <w:w w:val="100"/>
          <w:position w:val="0"/>
        </w:rPr>
        <w:t>、</w:t>
        <w:tab/>
        <w:t>公司控股股东江苏润和科技投资有限公司因业务发展需要，将公司名称由</w:t>
      </w:r>
      <w:r>
        <w:rPr>
          <w:rFonts w:ascii="Times New Roman" w:eastAsia="Times New Roman" w:hAnsi="Times New Roman" w:cs="Times New Roman"/>
          <w:color w:val="000000"/>
          <w:spacing w:val="0"/>
          <w:w w:val="100"/>
          <w:position w:val="0"/>
        </w:rPr>
        <w:t>“</w:t>
      </w:r>
      <w:r>
        <w:rPr>
          <w:color w:val="000000"/>
          <w:spacing w:val="0"/>
          <w:w w:val="100"/>
          <w:position w:val="0"/>
        </w:rPr>
        <w:t>江苏润和科技投资有限公司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江苏 润和科技投资集团有限公司</w:t>
      </w:r>
      <w:r>
        <w:rPr>
          <w:rFonts w:ascii="Times New Roman" w:eastAsia="Times New Roman" w:hAnsi="Times New Roman" w:cs="Times New Roman"/>
          <w:color w:val="000000"/>
          <w:spacing w:val="0"/>
          <w:w w:val="100"/>
          <w:position w:val="0"/>
        </w:rPr>
        <w:t>”</w:t>
      </w:r>
      <w:r>
        <w:rPr>
          <w:color w:val="000000"/>
          <w:spacing w:val="0"/>
          <w:w w:val="100"/>
          <w:position w:val="0"/>
        </w:rPr>
        <w:t>并已在江苏省南京市工商行政管理局完成了工商变更登记手续，取得了新核发的《企业法人营 业执照》。</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710" w:val="left"/>
        </w:tabs>
        <w:bidi w:val="0"/>
        <w:spacing w:before="0" w:after="0" w:line="319" w:lineRule="exact"/>
        <w:ind w:left="0" w:right="0"/>
        <w:jc w:val="both"/>
      </w:pPr>
      <w:bookmarkStart w:id="322" w:name="bookmark322"/>
      <w:r>
        <w:rPr>
          <w:rFonts w:ascii="Times New Roman" w:eastAsia="Times New Roman" w:hAnsi="Times New Roman" w:cs="Times New Roman"/>
          <w:color w:val="000000"/>
          <w:spacing w:val="0"/>
          <w:w w:val="100"/>
          <w:position w:val="0"/>
        </w:rPr>
        <w:t>1</w:t>
      </w:r>
      <w:bookmarkEnd w:id="322"/>
      <w:r>
        <w:rPr>
          <w:rFonts w:ascii="Times New Roman" w:eastAsia="Times New Roman" w:hAnsi="Times New Roman" w:cs="Times New Roman"/>
          <w:color w:val="000000"/>
          <w:spacing w:val="0"/>
          <w:w w:val="100"/>
          <w:position w:val="0"/>
        </w:rPr>
        <w:t>3</w:t>
      </w:r>
      <w:r>
        <w:rPr>
          <w:color w:val="000000"/>
          <w:spacing w:val="0"/>
          <w:w w:val="100"/>
          <w:position w:val="0"/>
        </w:rPr>
        <w:t>、</w:t>
        <w:tab/>
        <w:t>公司董事会于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日指定公司财务总监朱祖龙先生代行董事会秘书职责已满三个月。根据相关规定，自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日起，由公司董事长周红卫先生代行董事会秘书职责，直至公司正式聘任董事会秘书。公司将尽快按照有关规定聘 任新的董事会秘书。</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706" w:val="left"/>
        </w:tabs>
        <w:bidi w:val="0"/>
        <w:spacing w:before="0" w:after="0" w:line="312" w:lineRule="exact"/>
        <w:ind w:left="0" w:right="0"/>
        <w:jc w:val="both"/>
      </w:pPr>
      <w:bookmarkStart w:id="323" w:name="bookmark323"/>
      <w:r>
        <w:rPr>
          <w:rFonts w:ascii="Times New Roman" w:eastAsia="Times New Roman" w:hAnsi="Times New Roman" w:cs="Times New Roman"/>
          <w:color w:val="000000"/>
          <w:spacing w:val="0"/>
          <w:w w:val="100"/>
          <w:position w:val="0"/>
        </w:rPr>
        <w:t>1</w:t>
      </w:r>
      <w:bookmarkEnd w:id="323"/>
      <w:r>
        <w:rPr>
          <w:rFonts w:ascii="Times New Roman" w:eastAsia="Times New Roman" w:hAnsi="Times New Roman" w:cs="Times New Roman"/>
          <w:color w:val="000000"/>
          <w:spacing w:val="0"/>
          <w:w w:val="100"/>
          <w:position w:val="0"/>
        </w:rPr>
        <w:t>4</w:t>
      </w:r>
      <w:r>
        <w:rPr>
          <w:color w:val="000000"/>
          <w:spacing w:val="0"/>
          <w:w w:val="100"/>
          <w:position w:val="0"/>
        </w:rPr>
        <w:t>、</w:t>
        <w:tab/>
        <w:t>根据国家发展和改革委员会、工业和信息化部、财政部、商务部、国家税务总局联合下发的《关于认定</w:t>
      </w:r>
      <w:r>
        <w:rPr>
          <w:rFonts w:ascii="Times New Roman" w:eastAsia="Times New Roman" w:hAnsi="Times New Roman" w:cs="Times New Roman"/>
          <w:color w:val="000000"/>
          <w:spacing w:val="0"/>
          <w:w w:val="100"/>
          <w:position w:val="0"/>
        </w:rPr>
        <w:t xml:space="preserve">2013-2014 </w:t>
      </w:r>
      <w:r>
        <w:rPr>
          <w:color w:val="000000"/>
          <w:spacing w:val="0"/>
          <w:w w:val="100"/>
          <w:position w:val="0"/>
        </w:rPr>
        <w:t>年度国家规划布局内重点软件企业和集成电路设计企业的通知》，公司被认定为</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年度国家规划布局内重点软件企 业</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2013—2014</w:t>
      </w:r>
      <w:r>
        <w:rPr>
          <w:color w:val="000000"/>
          <w:spacing w:val="0"/>
          <w:w w:val="100"/>
          <w:position w:val="0"/>
        </w:rPr>
        <w:t>年度企业所得税税率将由原来高新技术企业的</w:t>
      </w:r>
      <w:r>
        <w:rPr>
          <w:rFonts w:ascii="Times New Roman" w:eastAsia="Times New Roman" w:hAnsi="Times New Roman" w:cs="Times New Roman"/>
          <w:color w:val="000000"/>
          <w:spacing w:val="0"/>
          <w:w w:val="100"/>
          <w:position w:val="0"/>
        </w:rPr>
        <w:t>15%</w:t>
      </w:r>
      <w:r>
        <w:rPr>
          <w:color w:val="000000"/>
          <w:spacing w:val="0"/>
          <w:w w:val="100"/>
          <w:position w:val="0"/>
        </w:rPr>
        <w:t>调整为国家规划布局内重点软件企业的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8"/>
        <w:keepNext w:val="0"/>
        <w:keepLines w:val="0"/>
        <w:widowControl w:val="0"/>
        <w:shd w:val="clear" w:color="auto" w:fill="auto"/>
        <w:bidi w:val="0"/>
        <w:spacing w:before="0" w:after="320" w:line="312" w:lineRule="exact"/>
        <w:ind w:left="0" w:right="0"/>
        <w:jc w:val="both"/>
      </w:pPr>
      <w:r>
        <w:rPr>
          <w:color w:val="000000"/>
          <w:spacing w:val="0"/>
          <w:w w:val="100"/>
          <w:position w:val="0"/>
        </w:rPr>
        <w:t>以上具体内容详见</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408" w:val="left"/>
        </w:tabs>
        <w:bidi w:val="0"/>
        <w:spacing w:before="0" w:after="0" w:line="314" w:lineRule="exact"/>
        <w:ind w:left="0" w:right="0"/>
        <w:jc w:val="both"/>
      </w:pPr>
      <w:bookmarkStart w:id="324" w:name="bookmark324"/>
      <w:r>
        <w:rPr>
          <w:rFonts w:ascii="Times New Roman" w:eastAsia="Times New Roman" w:hAnsi="Times New Roman" w:cs="Times New Roman"/>
          <w:color w:val="000000"/>
          <w:spacing w:val="0"/>
          <w:w w:val="100"/>
          <w:position w:val="0"/>
        </w:rPr>
        <w:t>1</w:t>
      </w:r>
      <w:bookmarkEnd w:id="324"/>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日公司接到监事会主席王辉先生的书面辞职报告。王辉先生因个人原因，辞去公司职工监事及监事会主 </w:t>
      </w:r>
      <w:r>
        <w:rPr>
          <w:color w:val="000000"/>
          <w:spacing w:val="0"/>
          <w:w w:val="100"/>
          <w:position w:val="0"/>
        </w:rPr>
        <w:t>席职务，辞职后仍在公司任职。公司于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日在公司会议室召开了职工代表大会，经全体与会职工代表认真审议，一 致同意选举周庆先生为公司第四届监事会职工监事，任期至第四届监事会任期届满之日止。</w:t>
      </w:r>
    </w:p>
    <w:p>
      <w:pPr>
        <w:pStyle w:val="Style28"/>
        <w:keepNext w:val="0"/>
        <w:keepLines w:val="0"/>
        <w:widowControl w:val="0"/>
        <w:shd w:val="clear" w:color="auto" w:fill="auto"/>
        <w:bidi w:val="0"/>
        <w:spacing w:before="0" w:after="300" w:line="313" w:lineRule="exact"/>
        <w:ind w:left="0" w:right="0"/>
        <w:jc w:val="both"/>
      </w:pPr>
      <w:r>
        <w:rPr>
          <w:color w:val="000000"/>
          <w:spacing w:val="0"/>
          <w:w w:val="100"/>
          <w:position w:val="0"/>
        </w:rPr>
        <w:t>以上具体内容详见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674" w:val="left"/>
        </w:tabs>
        <w:bidi w:val="0"/>
        <w:spacing w:before="0" w:after="0" w:line="310" w:lineRule="exact"/>
        <w:ind w:left="0" w:right="0"/>
        <w:jc w:val="both"/>
      </w:pPr>
      <w:bookmarkStart w:id="325" w:name="bookmark325"/>
      <w:r>
        <w:rPr>
          <w:rFonts w:ascii="Times New Roman" w:eastAsia="Times New Roman" w:hAnsi="Times New Roman" w:cs="Times New Roman"/>
          <w:color w:val="000000"/>
          <w:spacing w:val="0"/>
          <w:w w:val="100"/>
          <w:position w:val="0"/>
        </w:rPr>
        <w:t>1</w:t>
      </w:r>
      <w:bookmarkEnd w:id="325"/>
      <w:r>
        <w:rPr>
          <w:rFonts w:ascii="Times New Roman" w:eastAsia="Times New Roman" w:hAnsi="Times New Roman" w:cs="Times New Roman"/>
          <w:color w:val="000000"/>
          <w:spacing w:val="0"/>
          <w:w w:val="100"/>
          <w:position w:val="0"/>
        </w:rPr>
        <w:t>6</w:t>
      </w:r>
      <w:r>
        <w:rPr>
          <w:color w:val="000000"/>
          <w:spacing w:val="0"/>
          <w:w w:val="100"/>
          <w:position w:val="0"/>
        </w:rPr>
        <w:t>、</w:t>
        <w:tab/>
        <w:t>公司正在筹划重大资产重组事项，因有关事项尚存不确定性，为了维护投资者利益，避免因公司股价造成重大影响, 根据深圳证券交易所的相关规定，经公司申请，公司股票（简称：润和软件、代码：</w:t>
      </w:r>
      <w:r>
        <w:rPr>
          <w:rFonts w:ascii="Times New Roman" w:eastAsia="Times New Roman" w:hAnsi="Times New Roman" w:cs="Times New Roman"/>
          <w:color w:val="000000"/>
          <w:spacing w:val="0"/>
          <w:w w:val="100"/>
          <w:position w:val="0"/>
        </w:rPr>
        <w:t>300339</w:t>
      </w: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日起开始停牌。 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日向交易所申请继续停牌至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日，上述事项已经交易所审核同意。</w:t>
      </w:r>
    </w:p>
    <w:p>
      <w:pPr>
        <w:pStyle w:val="Style28"/>
        <w:keepNext w:val="0"/>
        <w:keepLines w:val="0"/>
        <w:widowControl w:val="0"/>
        <w:shd w:val="clear" w:color="auto" w:fill="auto"/>
        <w:bidi w:val="0"/>
        <w:spacing w:before="0" w:after="300" w:line="310" w:lineRule="exact"/>
        <w:ind w:left="0" w:right="0" w:firstLine="240"/>
        <w:jc w:val="both"/>
      </w:pPr>
      <w:r>
        <w:rPr>
          <w:color w:val="000000"/>
          <w:spacing w:val="0"/>
          <w:w w:val="100"/>
          <w:position w:val="0"/>
        </w:rPr>
        <w:t>以上具体内容详见</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674" w:val="left"/>
        </w:tabs>
        <w:bidi w:val="0"/>
        <w:spacing w:before="0" w:after="0" w:line="319" w:lineRule="exact"/>
        <w:ind w:left="0" w:right="0"/>
        <w:jc w:val="left"/>
      </w:pPr>
      <w:bookmarkStart w:id="326" w:name="bookmark326"/>
      <w:r>
        <w:rPr>
          <w:rFonts w:ascii="Times New Roman" w:eastAsia="Times New Roman" w:hAnsi="Times New Roman" w:cs="Times New Roman"/>
          <w:color w:val="000000"/>
          <w:spacing w:val="0"/>
          <w:w w:val="100"/>
          <w:position w:val="0"/>
        </w:rPr>
        <w:t>1</w:t>
      </w:r>
      <w:bookmarkEnd w:id="326"/>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日，公司第四届董事会第十二次会议审议通过了《关于聘任公司董事会秘书的议案》，同意聘任朱祖 龙先生担任公司董事会秘书，任期自第四届董事会第十二次会议审议通过至第四届董事会任期届满时止。朱祖龙先生担任公 司董事会秘书后，公司董事长周红卫先生将不再代行使董事会秘书职责。</w:t>
      </w:r>
    </w:p>
    <w:p>
      <w:pPr>
        <w:pStyle w:val="Style28"/>
        <w:keepNext w:val="0"/>
        <w:keepLines w:val="0"/>
        <w:widowControl w:val="0"/>
        <w:shd w:val="clear" w:color="auto" w:fill="auto"/>
        <w:bidi w:val="0"/>
        <w:spacing w:before="0" w:after="360" w:line="319" w:lineRule="exact"/>
        <w:ind w:left="0" w:right="0"/>
        <w:jc w:val="both"/>
      </w:pPr>
      <w:r>
        <w:rPr>
          <w:color w:val="000000"/>
          <w:spacing w:val="0"/>
          <w:w w:val="100"/>
          <w:position w:val="0"/>
        </w:rPr>
        <w:t>以上具体内容详见</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日在中国证监会指定的创业板信息披露网站公告。</w:t>
      </w:r>
    </w:p>
    <w:p>
      <w:pPr>
        <w:pStyle w:val="Style31"/>
        <w:keepNext/>
        <w:keepLines/>
        <w:widowControl w:val="0"/>
        <w:shd w:val="clear" w:color="auto" w:fill="auto"/>
        <w:bidi w:val="0"/>
        <w:spacing w:before="0" w:after="30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十六、控股子公司重要事项</w:t>
      </w:r>
      <w:bookmarkEnd w:id="327"/>
      <w:bookmarkEnd w:id="328"/>
      <w:bookmarkEnd w:id="329"/>
    </w:p>
    <w:p>
      <w:pPr>
        <w:pStyle w:val="Style28"/>
        <w:keepNext w:val="0"/>
        <w:keepLines w:val="0"/>
        <w:widowControl w:val="0"/>
        <w:shd w:val="clear" w:color="auto" w:fill="auto"/>
        <w:tabs>
          <w:tab w:pos="665" w:val="left"/>
        </w:tabs>
        <w:bidi w:val="0"/>
        <w:spacing w:before="0" w:after="0" w:line="313" w:lineRule="exact"/>
        <w:ind w:left="0" w:right="0" w:firstLine="460"/>
        <w:jc w:val="both"/>
      </w:pPr>
      <w:bookmarkStart w:id="330" w:name="bookmark330"/>
      <w:r>
        <w:rPr>
          <w:rFonts w:ascii="Times New Roman" w:eastAsia="Times New Roman" w:hAnsi="Times New Roman" w:cs="Times New Roman"/>
          <w:color w:val="000000"/>
          <w:spacing w:val="0"/>
          <w:w w:val="100"/>
          <w:position w:val="0"/>
        </w:rPr>
        <w:t>1</w:t>
      </w:r>
      <w:bookmarkEnd w:id="330"/>
      <w:r>
        <w:rPr>
          <w:color w:val="000000"/>
          <w:spacing w:val="0"/>
          <w:w w:val="100"/>
          <w:position w:val="0"/>
        </w:rPr>
        <w:t>、</w:t>
        <w:tab/>
        <w:t>公司全资子公司外包园公司投资建设</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项目，该事项已经公司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 第三届董事会第二十二次会议和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年第一次临时股东大会审议通过,具体内容详见</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日和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日在中国证监会指定的创业板信息披露网站公告。</w:t>
      </w:r>
    </w:p>
    <w:p>
      <w:pPr>
        <w:pStyle w:val="Style2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公司对外包园公司两次分别增资</w:t>
      </w:r>
      <w:r>
        <w:rPr>
          <w:rFonts w:ascii="Times New Roman" w:eastAsia="Times New Roman" w:hAnsi="Times New Roman" w:cs="Times New Roman"/>
          <w:color w:val="000000"/>
          <w:spacing w:val="0"/>
          <w:w w:val="100"/>
          <w:position w:val="0"/>
        </w:rPr>
        <w:t>4000</w:t>
      </w:r>
      <w:r>
        <w:rPr>
          <w:color w:val="000000"/>
          <w:spacing w:val="0"/>
          <w:w w:val="100"/>
          <w:position w:val="0"/>
        </w:rPr>
        <w:t>万元人民币和</w:t>
      </w:r>
      <w:r>
        <w:rPr>
          <w:rFonts w:ascii="Times New Roman" w:eastAsia="Times New Roman" w:hAnsi="Times New Roman" w:cs="Times New Roman"/>
          <w:color w:val="000000"/>
          <w:spacing w:val="0"/>
          <w:w w:val="100"/>
          <w:position w:val="0"/>
        </w:rPr>
        <w:t>5000</w:t>
      </w:r>
      <w:r>
        <w:rPr>
          <w:color w:val="000000"/>
          <w:spacing w:val="0"/>
          <w:w w:val="100"/>
          <w:position w:val="0"/>
        </w:rPr>
        <w:t>万元人民币，共计增资</w:t>
      </w:r>
      <w:r>
        <w:rPr>
          <w:rFonts w:ascii="Times New Roman" w:eastAsia="Times New Roman" w:hAnsi="Times New Roman" w:cs="Times New Roman"/>
          <w:color w:val="000000"/>
          <w:spacing w:val="0"/>
          <w:w w:val="100"/>
          <w:position w:val="0"/>
        </w:rPr>
        <w:t>9000</w:t>
      </w:r>
      <w:r>
        <w:rPr>
          <w:color w:val="000000"/>
          <w:spacing w:val="0"/>
          <w:w w:val="100"/>
          <w:position w:val="0"/>
        </w:rPr>
        <w:t>万元人民币，该事项经公司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日召开的第四届董事会第三次会议和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日召开的第四届董事会第五次会议审议通过，并已完成了工商变更登 记。具体内容详见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 站公告。</w:t>
      </w:r>
    </w:p>
    <w:p>
      <w:pPr>
        <w:pStyle w:val="Style28"/>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外包园公司因建设</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润和国际软件外包园研发总部基地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项目需要，与南京沧溪建设工程有限公司（以下简称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沧溪建 设</w:t>
      </w:r>
      <w:r>
        <w:rPr>
          <w:rFonts w:ascii="Times New Roman" w:eastAsia="Times New Roman" w:hAnsi="Times New Roman" w:cs="Times New Roman"/>
          <w:color w:val="000000"/>
          <w:spacing w:val="0"/>
          <w:w w:val="100"/>
          <w:position w:val="0"/>
        </w:rPr>
        <w:t>”</w:t>
      </w:r>
      <w:r>
        <w:rPr>
          <w:color w:val="000000"/>
          <w:spacing w:val="0"/>
          <w:w w:val="100"/>
          <w:position w:val="0"/>
        </w:rPr>
        <w:t>）签订了《建设工程施工合同》以及补充协议。具体内容详见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日在中国证监会指定的创业板信息披露网站公 告。</w:t>
      </w:r>
    </w:p>
    <w:p>
      <w:pPr>
        <w:pStyle w:val="Style28"/>
        <w:keepNext w:val="0"/>
        <w:keepLines w:val="0"/>
        <w:widowControl w:val="0"/>
        <w:shd w:val="clear" w:color="auto" w:fill="auto"/>
        <w:tabs>
          <w:tab w:pos="655" w:val="left"/>
        </w:tabs>
        <w:bidi w:val="0"/>
        <w:spacing w:before="0" w:after="0" w:line="313" w:lineRule="exact"/>
        <w:ind w:left="0" w:right="0" w:firstLine="380"/>
        <w:jc w:val="both"/>
      </w:pPr>
      <w:bookmarkStart w:id="331" w:name="bookmark331"/>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公司控股子公司润和数码于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日完成股权变更的工商变更登记，并于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日完成经营范围变更的工 商登记，具体内容详见</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日中国证监会指定的创业板信息披露网站公告。</w:t>
      </w:r>
    </w:p>
    <w:p>
      <w:pPr>
        <w:pStyle w:val="Style2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润和数码分别以自有资金</w:t>
      </w:r>
      <w:r>
        <w:rPr>
          <w:rFonts w:ascii="Times New Roman" w:eastAsia="Times New Roman" w:hAnsi="Times New Roman" w:cs="Times New Roman"/>
          <w:color w:val="000000"/>
          <w:spacing w:val="0"/>
          <w:w w:val="100"/>
          <w:position w:val="0"/>
        </w:rPr>
        <w:t>500</w:t>
      </w:r>
      <w:r>
        <w:rPr>
          <w:color w:val="000000"/>
          <w:spacing w:val="0"/>
          <w:w w:val="100"/>
          <w:position w:val="0"/>
        </w:rPr>
        <w:t>万元人民币和</w:t>
      </w:r>
      <w:r>
        <w:rPr>
          <w:rFonts w:ascii="Times New Roman" w:eastAsia="Times New Roman" w:hAnsi="Times New Roman" w:cs="Times New Roman"/>
          <w:color w:val="000000"/>
          <w:spacing w:val="0"/>
          <w:w w:val="100"/>
          <w:position w:val="0"/>
        </w:rPr>
        <w:t>20</w:t>
      </w:r>
      <w:r>
        <w:rPr>
          <w:color w:val="000000"/>
          <w:spacing w:val="0"/>
          <w:w w:val="100"/>
          <w:position w:val="0"/>
        </w:rPr>
        <w:t>万美元投资设立深圳市润和创新信息科技有限公司和</w:t>
      </w:r>
      <w:r>
        <w:rPr>
          <w:rFonts w:ascii="Times New Roman" w:eastAsia="Times New Roman" w:hAnsi="Times New Roman" w:cs="Times New Roman"/>
          <w:color w:val="000000"/>
          <w:spacing w:val="0"/>
          <w:w w:val="100"/>
          <w:position w:val="0"/>
        </w:rPr>
        <w:t>HOPERUN MMAX DIGITAL PTE. LTD.</w:t>
      </w:r>
      <w:r>
        <w:rPr>
          <w:color w:val="000000"/>
          <w:spacing w:val="0"/>
          <w:w w:val="100"/>
          <w:position w:val="0"/>
        </w:rPr>
        <w:t>，</w:t>
      </w:r>
      <w:r>
        <w:rPr>
          <w:color w:val="000000"/>
          <w:spacing w:val="0"/>
          <w:w w:val="100"/>
          <w:position w:val="0"/>
        </w:rPr>
        <w:t>该事项已经公司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日召开的第四届董事会第二次会议审议通过，并已完成了工商变更登记。 具体内容详见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日在中国证监会指定的创业板信息披露网站公告。</w:t>
      </w:r>
    </w:p>
    <w:p>
      <w:pPr>
        <w:pStyle w:val="Style28"/>
        <w:keepNext w:val="0"/>
        <w:keepLines w:val="0"/>
        <w:widowControl w:val="0"/>
        <w:shd w:val="clear" w:color="auto" w:fill="auto"/>
        <w:tabs>
          <w:tab w:pos="665" w:val="left"/>
        </w:tabs>
        <w:bidi w:val="0"/>
        <w:spacing w:before="0" w:after="0" w:line="313" w:lineRule="exact"/>
        <w:ind w:left="0" w:right="0" w:firstLine="380"/>
        <w:jc w:val="both"/>
      </w:pPr>
      <w:bookmarkStart w:id="332" w:name="bookmark332"/>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公司以自有资金</w:t>
      </w:r>
      <w:r>
        <w:rPr>
          <w:rFonts w:ascii="Times New Roman" w:eastAsia="Times New Roman" w:hAnsi="Times New Roman" w:cs="Times New Roman"/>
          <w:color w:val="000000"/>
          <w:spacing w:val="0"/>
          <w:w w:val="100"/>
          <w:position w:val="0"/>
        </w:rPr>
        <w:t>500</w:t>
      </w:r>
      <w:r>
        <w:rPr>
          <w:color w:val="000000"/>
          <w:spacing w:val="0"/>
          <w:w w:val="100"/>
          <w:position w:val="0"/>
        </w:rPr>
        <w:t>万元设立北京润和汇智信息技术有限公司，该事项已经公司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日召开的第四届董事会 第二次会议审议通过，并已完成了工商变更登记。具体内容详见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日在中国证监会指定的创业板 信息披露网站公告。</w:t>
      </w:r>
    </w:p>
    <w:p>
      <w:pPr>
        <w:pStyle w:val="Style28"/>
        <w:keepNext w:val="0"/>
        <w:keepLines w:val="0"/>
        <w:widowControl w:val="0"/>
        <w:shd w:val="clear" w:color="auto" w:fill="auto"/>
        <w:tabs>
          <w:tab w:pos="655" w:val="left"/>
        </w:tabs>
        <w:bidi w:val="0"/>
        <w:spacing w:before="0" w:after="300" w:line="313" w:lineRule="exact"/>
        <w:ind w:left="0" w:right="0" w:firstLine="380"/>
        <w:jc w:val="both"/>
      </w:pPr>
      <w:bookmarkStart w:id="333" w:name="bookmark333"/>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公司使用部分超募资金</w:t>
      </w:r>
      <w:r>
        <w:rPr>
          <w:rFonts w:ascii="Times New Roman" w:eastAsia="Times New Roman" w:hAnsi="Times New Roman" w:cs="Times New Roman"/>
          <w:color w:val="000000"/>
          <w:spacing w:val="0"/>
          <w:w w:val="100"/>
          <w:position w:val="0"/>
        </w:rPr>
        <w:t>5646.46</w:t>
      </w:r>
      <w:r>
        <w:rPr>
          <w:color w:val="000000"/>
          <w:spacing w:val="0"/>
          <w:w w:val="100"/>
          <w:position w:val="0"/>
        </w:rPr>
        <w:t>万元收购江苏开拓信息与系统有限公司</w:t>
      </w:r>
      <w:r>
        <w:rPr>
          <w:rFonts w:ascii="Times New Roman" w:eastAsia="Times New Roman" w:hAnsi="Times New Roman" w:cs="Times New Roman"/>
          <w:color w:val="000000"/>
          <w:spacing w:val="0"/>
          <w:w w:val="100"/>
          <w:position w:val="0"/>
        </w:rPr>
        <w:t>66.85%</w:t>
      </w:r>
      <w:r>
        <w:rPr>
          <w:color w:val="000000"/>
          <w:spacing w:val="0"/>
          <w:w w:val="100"/>
          <w:position w:val="0"/>
        </w:rPr>
        <w:t>股权，该事项已经公司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召开的第四届董事会第六次会议和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年第三次临时股东大会审议通过，并已完成了工商变更登记。 具体内容详见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日在中国证监会指定的创业板信息披露网站公告。</w:t>
      </w:r>
      <w:r>
        <w:br w:type="page"/>
      </w:r>
    </w:p>
    <w:p>
      <w:pPr>
        <w:pStyle w:val="Style16"/>
        <w:keepNext/>
        <w:keepLines/>
        <w:widowControl w:val="0"/>
        <w:shd w:val="clear" w:color="auto" w:fill="auto"/>
        <w:bidi w:val="0"/>
        <w:spacing w:before="0" w:line="240" w:lineRule="auto"/>
        <w:ind w:left="0" w:right="0" w:firstLine="0"/>
        <w:jc w:val="center"/>
      </w:pPr>
      <w:bookmarkStart w:id="334" w:name="bookmark334"/>
      <w:bookmarkStart w:id="335" w:name="bookmark335"/>
      <w:bookmarkStart w:id="336" w:name="bookmark336"/>
      <w:r>
        <w:rPr>
          <w:color w:val="000000"/>
          <w:spacing w:val="0"/>
          <w:w w:val="100"/>
          <w:position w:val="0"/>
        </w:rPr>
        <w:t>第六节股份变动及股东情况</w:t>
      </w:r>
      <w:bookmarkEnd w:id="334"/>
      <w:bookmarkEnd w:id="335"/>
      <w:bookmarkEnd w:id="336"/>
    </w:p>
    <w:p>
      <w:pPr>
        <w:pStyle w:val="Style31"/>
        <w:keepNext/>
        <w:keepLines/>
        <w:widowControl w:val="0"/>
        <w:shd w:val="clear" w:color="auto" w:fill="auto"/>
        <w:bidi w:val="0"/>
        <w:spacing w:before="0" w:after="340" w:line="240" w:lineRule="auto"/>
        <w:ind w:left="0" w:right="0" w:firstLine="0"/>
        <w:jc w:val="left"/>
      </w:pPr>
      <w:bookmarkStart w:id="337" w:name="bookmark337"/>
      <w:bookmarkStart w:id="338" w:name="bookmark338"/>
      <w:bookmarkStart w:id="339" w:name="bookmark339"/>
      <w:bookmarkStart w:id="340" w:name="bookmark340"/>
      <w:bookmarkStart w:id="341" w:name="bookmark341"/>
      <w:r>
        <w:rPr>
          <w:color w:val="000000"/>
          <w:spacing w:val="0"/>
          <w:w w:val="100"/>
          <w:position w:val="0"/>
          <w:sz w:val="24"/>
          <w:szCs w:val="24"/>
        </w:rPr>
        <w:t>一</w:t>
      </w:r>
      <w:bookmarkEnd w:id="340"/>
      <w:r>
        <w:rPr>
          <w:color w:val="000000"/>
          <w:spacing w:val="0"/>
          <w:w w:val="100"/>
          <w:position w:val="0"/>
          <w:sz w:val="24"/>
          <w:szCs w:val="24"/>
        </w:rPr>
        <w:t>、股份变动情况</w:t>
      </w:r>
      <w:bookmarkEnd w:id="338"/>
      <w:bookmarkEnd w:id="339"/>
      <w:bookmarkEnd w:id="341"/>
      <w:bookmarkEnd w:id="337"/>
    </w:p>
    <w:p>
      <w:pPr>
        <w:pStyle w:val="Style33"/>
        <w:keepNext/>
        <w:keepLines/>
        <w:widowControl w:val="0"/>
        <w:shd w:val="clear" w:color="auto" w:fill="auto"/>
        <w:bidi w:val="0"/>
        <w:spacing w:before="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、股份变动情况</w:t>
      </w:r>
      <w:bookmarkEnd w:id="342"/>
      <w:bookmarkEnd w:id="343"/>
      <w:bookmarkEnd w:id="3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0"/>
        <w:gridCol w:w="845"/>
        <w:gridCol w:w="850"/>
        <w:gridCol w:w="840"/>
        <w:gridCol w:w="840"/>
        <w:gridCol w:w="845"/>
        <w:gridCol w:w="845"/>
        <w:gridCol w:w="811"/>
        <w:gridCol w:w="82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-34,530,50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23,019,50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80,569,50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80,569,50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31,201,00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53,402,00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26,349,00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26,349,00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27,167,50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34,530,50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53,720,50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72,910,50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72,910,50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3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153,480,0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83"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both"/>
      </w:pPr>
      <w:bookmarkStart w:id="346" w:name="bookmark346"/>
      <w:r>
        <w:rPr>
          <w:rFonts w:ascii="Times New Roman" w:eastAsia="Times New Roman" w:hAnsi="Times New Roman" w:cs="Times New Roman"/>
          <w:color w:val="000000"/>
          <w:spacing w:val="0"/>
          <w:w w:val="100"/>
          <w:position w:val="0"/>
        </w:rPr>
        <w:t>1</w:t>
      </w:r>
      <w:bookmarkEnd w:id="346"/>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年度利润分配方案为：经华 普天健会计师事务所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有限公司审计，母公司</w:t>
      </w:r>
      <w:r>
        <w:rPr>
          <w:rFonts w:ascii="Times New Roman" w:eastAsia="Times New Roman" w:hAnsi="Times New Roman" w:cs="Times New Roman"/>
          <w:color w:val="000000"/>
          <w:spacing w:val="0"/>
          <w:w w:val="100"/>
          <w:position w:val="0"/>
        </w:rPr>
        <w:t>2012</w:t>
      </w:r>
      <w:r>
        <w:rPr>
          <w:color w:val="000000"/>
          <w:spacing w:val="0"/>
          <w:w w:val="100"/>
          <w:position w:val="0"/>
        </w:rPr>
        <w:t>年年初未分配利润为</w:t>
      </w:r>
      <w:r>
        <w:rPr>
          <w:rFonts w:ascii="Times New Roman" w:eastAsia="Times New Roman" w:hAnsi="Times New Roman" w:cs="Times New Roman"/>
          <w:color w:val="000000"/>
          <w:spacing w:val="0"/>
          <w:w w:val="100"/>
          <w:position w:val="0"/>
        </w:rPr>
        <w:t>94,997,372.91</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月派发现金股利 </w:t>
      </w:r>
      <w:r>
        <w:rPr>
          <w:rFonts w:ascii="Times New Roman" w:eastAsia="Times New Roman" w:hAnsi="Times New Roman" w:cs="Times New Roman"/>
          <w:color w:val="000000"/>
          <w:spacing w:val="0"/>
          <w:w w:val="100"/>
          <w:position w:val="0"/>
        </w:rPr>
        <w:t>11,511,000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64,311,439.76</w:t>
      </w:r>
      <w:r>
        <w:rPr>
          <w:color w:val="000000"/>
          <w:spacing w:val="0"/>
          <w:w w:val="100"/>
          <w:position w:val="0"/>
        </w:rPr>
        <w:t>元，按实现净利润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提取法定盈余公积金元之后，母公司可供分配利 润为</w:t>
      </w:r>
      <w:r>
        <w:rPr>
          <w:rFonts w:ascii="Times New Roman" w:eastAsia="Times New Roman" w:hAnsi="Times New Roman" w:cs="Times New Roman"/>
          <w:color w:val="000000"/>
          <w:spacing w:val="0"/>
          <w:w w:val="100"/>
          <w:position w:val="0"/>
        </w:rPr>
        <w:t>141,366,668.69</w:t>
      </w:r>
      <w:r>
        <w:rPr>
          <w:color w:val="000000"/>
          <w:spacing w:val="0"/>
          <w:w w:val="100"/>
          <w:position w:val="0"/>
        </w:rPr>
        <w:t>元。公司拟以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元人民币（含税）， 共计派送现金红利</w:t>
      </w:r>
      <w:r>
        <w:rPr>
          <w:rFonts w:ascii="Times New Roman" w:eastAsia="Times New Roman" w:hAnsi="Times New Roman" w:cs="Times New Roman"/>
          <w:color w:val="000000"/>
          <w:spacing w:val="0"/>
          <w:w w:val="100"/>
          <w:position w:val="0"/>
        </w:rPr>
        <w:t>15,348,000</w:t>
      </w:r>
      <w:r>
        <w:rPr>
          <w:color w:val="000000"/>
          <w:spacing w:val="0"/>
          <w:w w:val="100"/>
          <w:position w:val="0"/>
        </w:rPr>
        <w:t>元（含税）；累计剩余未分配利润</w:t>
      </w:r>
      <w:r>
        <w:rPr>
          <w:rFonts w:ascii="Times New Roman" w:eastAsia="Times New Roman" w:hAnsi="Times New Roman" w:cs="Times New Roman"/>
          <w:color w:val="000000"/>
          <w:spacing w:val="0"/>
          <w:w w:val="100"/>
          <w:position w:val="0"/>
        </w:rPr>
        <w:t>126,018,668.69</w:t>
      </w:r>
      <w:r>
        <w:rPr>
          <w:color w:val="000000"/>
          <w:spacing w:val="0"/>
          <w:w w:val="100"/>
          <w:position w:val="0"/>
        </w:rPr>
        <w:t>元，结转至下年度。同时，母公司年末资本公 积为</w:t>
      </w:r>
      <w:r>
        <w:rPr>
          <w:rFonts w:ascii="Times New Roman" w:eastAsia="Times New Roman" w:hAnsi="Times New Roman" w:cs="Times New Roman"/>
          <w:color w:val="000000"/>
          <w:spacing w:val="0"/>
          <w:w w:val="100"/>
          <w:position w:val="0"/>
        </w:rPr>
        <w:t>417,109,049.73</w:t>
      </w:r>
      <w:r>
        <w:rPr>
          <w:color w:val="000000"/>
          <w:spacing w:val="0"/>
          <w:w w:val="100"/>
          <w:position w:val="0"/>
        </w:rPr>
        <w:t>元，以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股为基数，用母公司资本公积向全体股东每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 增</w:t>
      </w:r>
      <w:r>
        <w:rPr>
          <w:rFonts w:ascii="Times New Roman" w:eastAsia="Times New Roman" w:hAnsi="Times New Roman" w:cs="Times New Roman"/>
          <w:color w:val="000000"/>
          <w:spacing w:val="0"/>
          <w:w w:val="100"/>
          <w:position w:val="0"/>
        </w:rPr>
        <w:t>76,740,000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153,480,000</w:t>
      </w:r>
      <w:r>
        <w:rPr>
          <w:color w:val="000000"/>
          <w:spacing w:val="0"/>
          <w:w w:val="100"/>
          <w:position w:val="0"/>
        </w:rPr>
        <w:t>股，转增后母公司资本公积余额为</w:t>
      </w:r>
      <w:r>
        <w:rPr>
          <w:rFonts w:ascii="Times New Roman" w:eastAsia="Times New Roman" w:hAnsi="Times New Roman" w:cs="Times New Roman"/>
          <w:color w:val="000000"/>
          <w:spacing w:val="0"/>
          <w:w w:val="100"/>
          <w:position w:val="0"/>
        </w:rPr>
        <w:t>340,369,049.73</w:t>
      </w:r>
      <w:r>
        <w:rPr>
          <w:color w:val="000000"/>
          <w:spacing w:val="0"/>
          <w:w w:val="100"/>
          <w:position w:val="0"/>
        </w:rPr>
        <w:t>元。上述利润分配 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日实施完毕。</w:t>
      </w:r>
    </w:p>
    <w:p>
      <w:pPr>
        <w:pStyle w:val="Style28"/>
        <w:keepNext w:val="0"/>
        <w:keepLines w:val="0"/>
        <w:widowControl w:val="0"/>
        <w:shd w:val="clear" w:color="auto" w:fill="auto"/>
        <w:bidi w:val="0"/>
        <w:spacing w:before="0" w:after="0" w:line="311" w:lineRule="exact"/>
        <w:ind w:left="0" w:right="0" w:firstLine="0"/>
        <w:jc w:val="left"/>
      </w:pPr>
      <w:bookmarkStart w:id="347" w:name="bookmark347"/>
      <w:r>
        <w:rPr>
          <w:rFonts w:ascii="Times New Roman" w:eastAsia="Times New Roman" w:hAnsi="Times New Roman" w:cs="Times New Roman"/>
          <w:color w:val="000000"/>
          <w:spacing w:val="0"/>
          <w:w w:val="100"/>
          <w:position w:val="0"/>
        </w:rPr>
        <w:t>2</w:t>
      </w:r>
      <w:bookmarkEnd w:id="347"/>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日，公司解除首次公开发行前已发行股份</w:t>
      </w:r>
      <w:r>
        <w:rPr>
          <w:rFonts w:ascii="Times New Roman" w:eastAsia="Times New Roman" w:hAnsi="Times New Roman" w:cs="Times New Roman"/>
          <w:color w:val="000000"/>
          <w:spacing w:val="0"/>
          <w:w w:val="100"/>
          <w:position w:val="0"/>
        </w:rPr>
        <w:t>41,678,000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27.16%</w:t>
      </w:r>
      <w:r>
        <w:rPr>
          <w:color w:val="000000"/>
          <w:spacing w:val="0"/>
          <w:w w:val="100"/>
          <w:position w:val="0"/>
        </w:rPr>
        <w:t>；实际可上市流通股份数 量为</w:t>
      </w:r>
      <w:r>
        <w:rPr>
          <w:rFonts w:ascii="Times New Roman" w:eastAsia="Times New Roman" w:hAnsi="Times New Roman" w:cs="Times New Roman"/>
          <w:color w:val="000000"/>
          <w:spacing w:val="0"/>
          <w:w w:val="100"/>
          <w:position w:val="0"/>
        </w:rPr>
        <w:t>34,530,500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22.50%</w:t>
      </w:r>
      <w:r>
        <w:rPr>
          <w:color w:val="000000"/>
          <w:spacing w:val="0"/>
          <w:w w:val="100"/>
          <w:position w:val="0"/>
        </w:rPr>
        <w:t>。</w:t>
      </w:r>
    </w:p>
    <w:p>
      <w:pPr>
        <w:pStyle w:val="Style28"/>
        <w:keepNext w:val="0"/>
        <w:keepLines w:val="0"/>
        <w:widowControl w:val="0"/>
        <w:shd w:val="clear" w:color="auto" w:fill="auto"/>
        <w:tabs>
          <w:tab w:pos="354" w:val="left"/>
        </w:tabs>
        <w:bidi w:val="0"/>
        <w:spacing w:before="0" w:after="360" w:line="311" w:lineRule="exact"/>
        <w:ind w:left="0" w:right="0" w:firstLine="0"/>
        <w:jc w:val="left"/>
      </w:pPr>
      <w:bookmarkStart w:id="348" w:name="bookmark348"/>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按照相关规定，董事、监事和高级管理人员每年可转让股份数量不得超过其持有股份数量的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年度股东大会，以现场投票和网络投票相结合的表决方式审议通过了公司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 案。</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4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日实施完毕，完成过户登记，并履行了信息披露义务。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 开的</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年第二次临时股东大会审议通过了《关于修改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并授权董事会办理工商变更登记手续的议案》，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日，公司完成了注册资本变更为</w:t>
      </w:r>
      <w:r>
        <w:rPr>
          <w:rFonts w:ascii="Times New Roman" w:eastAsia="Times New Roman" w:hAnsi="Times New Roman" w:cs="Times New Roman"/>
          <w:color w:val="000000"/>
          <w:spacing w:val="0"/>
          <w:w w:val="100"/>
          <w:position w:val="0"/>
        </w:rPr>
        <w:t>15,348</w:t>
      </w:r>
      <w:r>
        <w:rPr>
          <w:color w:val="000000"/>
          <w:spacing w:val="0"/>
          <w:w w:val="100"/>
          <w:position w:val="0"/>
        </w:rPr>
        <w:t>万元的工商变更登记手续，取得了江苏省工商行政管理局换发的《企业法人营业 执照》。</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年度利润分配方案中的资本公积转增股本实施后，摊薄了最近一年和最近一期的基本每股收益和稀释每股收益及每股净 资产等财务指标。</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、限售股份变动情况</w:t>
      </w:r>
      <w:bookmarkEnd w:id="349"/>
      <w:bookmarkEnd w:id="350"/>
      <w:bookmarkEnd w:id="35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41,702,000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每年按持股总数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金石投资有限公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2013/7/18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华为投资控股有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上海善翔股权投 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每年按持股总数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隋宏旭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殷则堂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上海楚洲实业有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每年按持股总数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钟天雪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吴咏鸽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370" w:val="left"/>
              </w:tabs>
              <w:bidi w:val="0"/>
              <w:spacing w:before="0" w:after="0" w:line="240" w:lineRule="auto"/>
              <w:ind w:left="0" w:right="0" w:firstLine="0"/>
              <w:jc w:val="both"/>
              <w:rPr>
                <w:sz w:val="8"/>
                <w:szCs w:val="8"/>
              </w:rPr>
            </w:pPr>
            <w:r>
              <w:rPr>
                <w:rFonts w:ascii="Consolas" w:eastAsia="Consolas" w:hAnsi="Consolas" w:cs="Consolas"/>
                <w:color w:val="000000"/>
                <w:spacing w:val="0"/>
                <w:w w:val="100"/>
                <w:position w:val="0"/>
                <w:sz w:val="8"/>
                <w:szCs w:val="8"/>
              </w:rPr>
              <w:t>—H-</w:t>
              <w:tab/>
              <w:t>LL4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束风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林一萍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徐鑫淼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每年按持股总数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辛晓兵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田红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包国君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陆伟峰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朱玉钧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汪士英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张彤翔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孙煜华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黄素英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周文宏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每年按持股总数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李巧娣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赵宝才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申长波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吴远凡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陈正祥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唐卫兵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吴乃冈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田洪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马燕秦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臧琴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廉智慧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每年按持股总数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董必华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黄艺青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侍相飞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王高原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查维强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魏明辉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奚庆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邹莹莹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袁志军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杨国忠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顾笑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吴东海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张传位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芦晋义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韦宁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戴强华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2013/7/18</w:t>
            </w:r>
          </w:p>
        </w:tc>
      </w:tr>
    </w:tbl>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2013/7/18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34,530,500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80,569,500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260"/>
        <w:jc w:val="left"/>
      </w:pPr>
      <w:bookmarkStart w:id="353" w:name="bookmark353"/>
      <w:bookmarkStart w:id="354" w:name="bookmark354"/>
      <w:bookmarkStart w:id="355" w:name="bookmark355"/>
      <w:r>
        <w:rPr>
          <w:color w:val="000000"/>
          <w:spacing w:val="0"/>
          <w:w w:val="100"/>
          <w:position w:val="0"/>
          <w:sz w:val="24"/>
          <w:szCs w:val="24"/>
        </w:rPr>
        <w:t>、证券发行与上市情况</w:t>
      </w:r>
      <w:bookmarkEnd w:id="353"/>
      <w:bookmarkEnd w:id="354"/>
      <w:bookmarkEnd w:id="355"/>
    </w:p>
    <w:p>
      <w:pPr>
        <w:pStyle w:val="Style33"/>
        <w:keepNext/>
        <w:keepLines/>
        <w:widowControl w:val="0"/>
        <w:shd w:val="clear" w:color="auto" w:fill="auto"/>
        <w:bidi w:val="0"/>
        <w:spacing w:before="0" w:after="30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、报告期内证券发行情况</w:t>
      </w:r>
      <w:bookmarkEnd w:id="356"/>
      <w:bookmarkEnd w:id="357"/>
      <w:bookmarkEnd w:id="359"/>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证券发行情况的说明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0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、公司股份总数及股东结构的变动、公司资产和负债结构的变动情况说明</w:t>
      </w:r>
      <w:bookmarkEnd w:id="360"/>
      <w:bookmarkEnd w:id="361"/>
      <w:bookmarkEnd w:id="363"/>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年度利润分配方案：经华普天健会计师事务所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 审计，母公司</w:t>
      </w:r>
      <w:r>
        <w:rPr>
          <w:rFonts w:ascii="Times New Roman" w:eastAsia="Times New Roman" w:hAnsi="Times New Roman" w:cs="Times New Roman"/>
          <w:color w:val="000000"/>
          <w:spacing w:val="0"/>
          <w:w w:val="100"/>
          <w:position w:val="0"/>
        </w:rPr>
        <w:t>2012</w:t>
      </w:r>
      <w:r>
        <w:rPr>
          <w:color w:val="000000"/>
          <w:spacing w:val="0"/>
          <w:w w:val="100"/>
          <w:position w:val="0"/>
        </w:rPr>
        <w:t>年年初未分配利润为</w:t>
      </w:r>
      <w:r>
        <w:rPr>
          <w:rFonts w:ascii="Times New Roman" w:eastAsia="Times New Roman" w:hAnsi="Times New Roman" w:cs="Times New Roman"/>
          <w:color w:val="000000"/>
          <w:spacing w:val="0"/>
          <w:w w:val="100"/>
          <w:position w:val="0"/>
        </w:rPr>
        <w:t>94,997,372.91</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月派发现金股利</w:t>
      </w:r>
      <w:r>
        <w:rPr>
          <w:rFonts w:ascii="Times New Roman" w:eastAsia="Times New Roman" w:hAnsi="Times New Roman" w:cs="Times New Roman"/>
          <w:color w:val="000000"/>
          <w:spacing w:val="0"/>
          <w:w w:val="100"/>
          <w:position w:val="0"/>
        </w:rPr>
        <w:t>11,511,000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年度实现净利润为 </w:t>
      </w:r>
      <w:r>
        <w:rPr>
          <w:rFonts w:ascii="Times New Roman" w:eastAsia="Times New Roman" w:hAnsi="Times New Roman" w:cs="Times New Roman"/>
          <w:color w:val="000000"/>
          <w:spacing w:val="0"/>
          <w:w w:val="100"/>
          <w:position w:val="0"/>
        </w:rPr>
        <w:t>64,311,439.76</w:t>
      </w:r>
      <w:r>
        <w:rPr>
          <w:color w:val="000000"/>
          <w:spacing w:val="0"/>
          <w:w w:val="100"/>
          <w:position w:val="0"/>
        </w:rPr>
        <w:t>元，按实现净利润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提取法定盈余公积金之后，母公司可供分配利润为</w:t>
      </w:r>
      <w:r>
        <w:rPr>
          <w:rFonts w:ascii="Times New Roman" w:eastAsia="Times New Roman" w:hAnsi="Times New Roman" w:cs="Times New Roman"/>
          <w:color w:val="000000"/>
          <w:spacing w:val="0"/>
          <w:w w:val="100"/>
          <w:position w:val="0"/>
        </w:rPr>
        <w:t>141,366,668.69</w:t>
      </w:r>
      <w:r>
        <w:rPr>
          <w:color w:val="000000"/>
          <w:spacing w:val="0"/>
          <w:w w:val="100"/>
          <w:position w:val="0"/>
        </w:rPr>
        <w:t>元。公司拟以</w:t>
      </w:r>
      <w:r>
        <w:rPr>
          <w:rFonts w:ascii="Times New Roman" w:eastAsia="Times New Roman" w:hAnsi="Times New Roman" w:cs="Times New Roman"/>
          <w:color w:val="000000"/>
          <w:spacing w:val="0"/>
          <w:w w:val="100"/>
          <w:position w:val="0"/>
        </w:rPr>
        <w:t>2012</w:t>
      </w:r>
      <w:r>
        <w:rPr>
          <w:color w:val="000000"/>
          <w:spacing w:val="0"/>
          <w:w w:val="100"/>
          <w:position w:val="0"/>
        </w:rPr>
        <w:t>年末 总股本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元人民币（含税），共计派送现金红利</w:t>
      </w:r>
      <w:r>
        <w:rPr>
          <w:rFonts w:ascii="Times New Roman" w:eastAsia="Times New Roman" w:hAnsi="Times New Roman" w:cs="Times New Roman"/>
          <w:color w:val="000000"/>
          <w:spacing w:val="0"/>
          <w:w w:val="100"/>
          <w:position w:val="0"/>
        </w:rPr>
        <w:t>15,348,000</w:t>
      </w:r>
      <w:r>
        <w:rPr>
          <w:color w:val="000000"/>
          <w:spacing w:val="0"/>
          <w:w w:val="100"/>
          <w:position w:val="0"/>
        </w:rPr>
        <w:t>元（含税）； 累计剩余未分配利润</w:t>
      </w:r>
      <w:r>
        <w:rPr>
          <w:rFonts w:ascii="Times New Roman" w:eastAsia="Times New Roman" w:hAnsi="Times New Roman" w:cs="Times New Roman"/>
          <w:color w:val="000000"/>
          <w:spacing w:val="0"/>
          <w:w w:val="100"/>
          <w:position w:val="0"/>
        </w:rPr>
        <w:t>126,018,668.69</w:t>
      </w:r>
      <w:r>
        <w:rPr>
          <w:color w:val="000000"/>
          <w:spacing w:val="0"/>
          <w:w w:val="100"/>
          <w:position w:val="0"/>
        </w:rPr>
        <w:t>元，结转至下年度。同时，母公司年末资本公积为</w:t>
      </w:r>
      <w:r>
        <w:rPr>
          <w:rFonts w:ascii="Times New Roman" w:eastAsia="Times New Roman" w:hAnsi="Times New Roman" w:cs="Times New Roman"/>
          <w:color w:val="000000"/>
          <w:spacing w:val="0"/>
          <w:w w:val="100"/>
          <w:position w:val="0"/>
        </w:rPr>
        <w:t>417,109,049.73</w:t>
      </w:r>
      <w:r>
        <w:rPr>
          <w:color w:val="000000"/>
          <w:spacing w:val="0"/>
          <w:w w:val="100"/>
          <w:position w:val="0"/>
        </w:rPr>
        <w:t>元，以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 股本</w:t>
      </w:r>
      <w:r>
        <w:rPr>
          <w:rFonts w:ascii="Times New Roman" w:eastAsia="Times New Roman" w:hAnsi="Times New Roman" w:cs="Times New Roman"/>
          <w:color w:val="000000"/>
          <w:spacing w:val="0"/>
          <w:w w:val="100"/>
          <w:position w:val="0"/>
        </w:rPr>
        <w:t>76,740,000</w:t>
      </w:r>
      <w:r>
        <w:rPr>
          <w:color w:val="000000"/>
          <w:spacing w:val="0"/>
          <w:w w:val="100"/>
          <w:position w:val="0"/>
        </w:rPr>
        <w:t>股为基数，用母公司资本公积向全体股东每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76,740,000</w:t>
      </w:r>
      <w:r>
        <w:rPr>
          <w:color w:val="000000"/>
          <w:spacing w:val="0"/>
          <w:w w:val="100"/>
          <w:position w:val="0"/>
        </w:rPr>
        <w:t>股，转增后公司总股本将增加 至</w:t>
      </w:r>
      <w:r>
        <w:rPr>
          <w:rFonts w:ascii="Times New Roman" w:eastAsia="Times New Roman" w:hAnsi="Times New Roman" w:cs="Times New Roman"/>
          <w:color w:val="000000"/>
          <w:spacing w:val="0"/>
          <w:w w:val="100"/>
          <w:position w:val="0"/>
        </w:rPr>
        <w:t>153,480,000</w:t>
      </w:r>
      <w:r>
        <w:rPr>
          <w:color w:val="000000"/>
          <w:spacing w:val="0"/>
          <w:w w:val="100"/>
          <w:position w:val="0"/>
        </w:rPr>
        <w:t>股，转增后母公司资本公积余额为</w:t>
      </w:r>
      <w:r>
        <w:rPr>
          <w:rFonts w:ascii="Times New Roman" w:eastAsia="Times New Roman" w:hAnsi="Times New Roman" w:cs="Times New Roman"/>
          <w:color w:val="000000"/>
          <w:spacing w:val="0"/>
          <w:w w:val="100"/>
          <w:position w:val="0"/>
        </w:rPr>
        <w:t>340,369,049.73</w:t>
      </w:r>
      <w:r>
        <w:rPr>
          <w:color w:val="000000"/>
          <w:spacing w:val="0"/>
          <w:w w:val="100"/>
          <w:position w:val="0"/>
        </w:rPr>
        <w:t>元。上述利润分配方案已于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日实施完毕。</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公司资产与负债结构</w:t>
      </w:r>
      <w:r>
        <w:rPr>
          <w:rFonts w:ascii="Times New Roman" w:eastAsia="Times New Roman" w:hAnsi="Times New Roman" w:cs="Times New Roman"/>
          <w:color w:val="000000"/>
          <w:spacing w:val="0"/>
          <w:w w:val="100"/>
          <w:position w:val="0"/>
        </w:rPr>
        <w:t>2013</w:t>
      </w:r>
      <w:r>
        <w:rPr>
          <w:color w:val="000000"/>
          <w:spacing w:val="0"/>
          <w:w w:val="100"/>
          <w:position w:val="0"/>
        </w:rPr>
        <w:t>年较</w:t>
      </w:r>
      <w:r>
        <w:rPr>
          <w:rFonts w:ascii="Times New Roman" w:eastAsia="Times New Roman" w:hAnsi="Times New Roman" w:cs="Times New Roman"/>
          <w:color w:val="000000"/>
          <w:spacing w:val="0"/>
          <w:w w:val="100"/>
          <w:position w:val="0"/>
        </w:rPr>
        <w:t>2 012</w:t>
      </w:r>
      <w:r>
        <w:rPr>
          <w:color w:val="000000"/>
          <w:spacing w:val="0"/>
          <w:w w:val="100"/>
          <w:position w:val="0"/>
        </w:rPr>
        <w:t>年变动的主要原因是全资子公司外包园公司</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润和国际软件外包研发总部基地</w:t>
      </w:r>
      <w:r>
        <w:rPr>
          <w:rFonts w:ascii="Times New Roman" w:eastAsia="Times New Roman" w:hAnsi="Times New Roman" w:cs="Times New Roman"/>
          <w:color w:val="000000"/>
          <w:spacing w:val="0"/>
          <w:w w:val="100"/>
          <w:position w:val="0"/>
        </w:rPr>
        <w:t>”</w:t>
      </w:r>
      <w:r>
        <w:rPr>
          <w:color w:val="000000"/>
          <w:spacing w:val="0"/>
          <w:w w:val="100"/>
          <w:position w:val="0"/>
        </w:rPr>
        <w:t>项目建设 投入增加，年末在建工程余额增加引起的非流动资产比重上升，与之对应的该项目建设长期借款增加形成公司负债中非流动 负债比重上升。</w:t>
      </w:r>
    </w:p>
    <w:p>
      <w:pPr>
        <w:pStyle w:val="Style31"/>
        <w:keepNext/>
        <w:keepLines/>
        <w:widowControl w:val="0"/>
        <w:shd w:val="clear" w:color="auto" w:fill="auto"/>
        <w:bidi w:val="0"/>
        <w:spacing w:before="0" w:after="30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三、股东和实际控制人情况</w:t>
      </w:r>
      <w:bookmarkEnd w:id="364"/>
      <w:bookmarkEnd w:id="365"/>
      <w:bookmarkEnd w:id="366"/>
    </w:p>
    <w:p>
      <w:pPr>
        <w:pStyle w:val="Style33"/>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、公司股东数量及持股情况</w:t>
      </w:r>
      <w:bookmarkEnd w:id="367"/>
      <w:bookmarkEnd w:id="368"/>
      <w:bookmarkEnd w:id="3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31"/>
        <w:gridCol w:w="1661"/>
        <w:gridCol w:w="3590"/>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12,582</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持股比例报告期末</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3120" w:val="left"/>
              </w:tabs>
              <w:bidi w:val="0"/>
              <w:spacing w:before="0" w:after="0" w:line="240" w:lineRule="auto"/>
              <w:ind w:left="0" w:right="0" w:firstLine="0"/>
              <w:jc w:val="left"/>
            </w:pPr>
            <w:r>
              <w:rPr>
                <w:color w:val="000000"/>
                <w:spacing w:val="0"/>
                <w:w w:val="100"/>
                <w:position w:val="0"/>
              </w:rPr>
              <w:t>报告期内持有有限持有无限</w:t>
              <w:tab/>
              <w:t>质押或冻结情况</w:t>
            </w:r>
          </w:p>
        </w:tc>
      </w:tr>
      <w:tr>
        <w:trPr>
          <w:trHeight w:val="197" w:hRule="exact"/>
        </w:trPr>
        <w:tc>
          <w:tcPr>
            <w:tcBorders>
              <w:left w:val="single" w:sz="4"/>
            </w:tcBorders>
            <w:shd w:val="clear" w:color="auto" w:fill="D4D4D4"/>
            <w:vAlign w:val="bottom"/>
          </w:tcPr>
          <w:p>
            <w:pPr>
              <w:pStyle w:val="Style2"/>
              <w:keepNext w:val="0"/>
              <w:keepLines w:val="0"/>
              <w:widowControl w:val="0"/>
              <w:shd w:val="clear" w:color="auto" w:fill="auto"/>
              <w:tabs>
                <w:tab w:pos="1640" w:val="left"/>
              </w:tabs>
              <w:bidi w:val="0"/>
              <w:spacing w:before="0" w:after="0" w:line="240" w:lineRule="auto"/>
              <w:ind w:left="0" w:right="0" w:firstLine="320"/>
              <w:jc w:val="left"/>
            </w:pPr>
            <w:r>
              <w:rPr>
                <w:color w:val="000000"/>
                <w:spacing w:val="0"/>
                <w:w w:val="100"/>
                <w:position w:val="0"/>
              </w:rPr>
              <w:t>股东名称</w:t>
              <w:tab/>
              <w:t>股东性质</w:t>
            </w: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增减变动售条件的售条件的</w:t>
            </w:r>
          </w:p>
        </w:tc>
        <w:tc>
          <w:tcPr>
            <w:tcBorders>
              <w:top w:val="single" w:sz="4"/>
              <w:right w:val="single" w:sz="4"/>
            </w:tcBorders>
            <w:shd w:val="clear" w:color="auto" w:fill="D4D4D4"/>
            <w:vAlign w:val="top"/>
          </w:tcPr>
          <w:p>
            <w:pPr>
              <w:widowControl w:val="0"/>
              <w:rPr>
                <w:sz w:val="10"/>
                <w:szCs w:val="10"/>
              </w:rPr>
            </w:pPr>
          </w:p>
        </w:tc>
      </w:tr>
      <w:tr>
        <w:trPr>
          <w:trHeight w:val="437"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pStyle w:val="Style2"/>
              <w:keepNext w:val="0"/>
              <w:keepLines w:val="0"/>
              <w:widowControl w:val="0"/>
              <w:shd w:val="clear" w:color="auto" w:fill="auto"/>
              <w:tabs>
                <w:tab w:pos="586" w:val="left"/>
              </w:tabs>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tab/>
              <w:t>持股数量</w:t>
            </w:r>
          </w:p>
        </w:tc>
        <w:tc>
          <w:tcPr>
            <w:tcBorders>
              <w:left w:val="single" w:sz="4"/>
              <w:bottom w:val="single" w:sz="4"/>
            </w:tcBorders>
            <w:shd w:val="clear" w:color="auto" w:fill="D4D4D4"/>
            <w:vAlign w:val="top"/>
          </w:tcPr>
          <w:p>
            <w:pPr>
              <w:pStyle w:val="Style2"/>
              <w:keepNext w:val="0"/>
              <w:keepLines w:val="0"/>
              <w:widowControl w:val="0"/>
              <w:shd w:val="clear" w:color="auto" w:fill="auto"/>
              <w:tabs>
                <w:tab w:pos="2716" w:val="left"/>
              </w:tabs>
              <w:bidi w:val="0"/>
              <w:spacing w:before="0" w:after="0" w:line="240" w:lineRule="auto"/>
              <w:ind w:left="0" w:right="0" w:firstLine="220"/>
              <w:jc w:val="left"/>
            </w:pPr>
            <w:r>
              <w:rPr>
                <w:color w:val="000000"/>
                <w:spacing w:val="0"/>
                <w:w w:val="100"/>
                <w:position w:val="0"/>
              </w:rPr>
              <w:t>情况股份数量股份数量</w:t>
              <w:tab/>
              <w:t>股份状态</w:t>
            </w:r>
          </w:p>
        </w:tc>
        <w:tc>
          <w:tcPr>
            <w:tcBorders>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368"/>
        <w:gridCol w:w="1363"/>
        <w:gridCol w:w="864"/>
        <w:gridCol w:w="797"/>
        <w:gridCol w:w="802"/>
        <w:gridCol w:w="797"/>
        <w:gridCol w:w="850"/>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41,702,00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41,702,00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10,820,00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10,820,00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焦点科技股份有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金石投资有限公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华为投资控股有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中国工商银行一 上投摩根内需动 力股票型证券投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中国光大银行一 国投瑞银创新动 力股票型证券投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吴学琴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周红卫、姚宁共同持有江苏润和科技投资集团有限公司</w:t>
            </w:r>
            <w:r>
              <w:rPr>
                <w:rFonts w:ascii="Times New Roman" w:eastAsia="Times New Roman" w:hAnsi="Times New Roman" w:cs="Times New Roman"/>
                <w:color w:val="000000"/>
                <w:spacing w:val="0"/>
                <w:w w:val="100"/>
                <w:position w:val="0"/>
              </w:rPr>
              <w:t>76.8%</w:t>
            </w:r>
            <w:r>
              <w:rPr>
                <w:color w:val="000000"/>
                <w:spacing w:val="0"/>
                <w:w w:val="100"/>
                <w:position w:val="0"/>
              </w:rPr>
              <w:t>的股份。</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日，公司实际控制人周红卫和姚宁签订了《一致行动人协议》，共同表示在公司重大事 项决策前均事先沟通，达成一致意见后进行表决。孙强为江苏润和科技投资集团有限公 司的董事、总裁。除此之外，公司未知其他股东是否存在关联关系或一致行动人的关系。</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中国工商银行一上投摩根内需动 力股票型证券投资基金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2,199,795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2,199,795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中国光大银行一国投瑞银创新动 力股票型证券投资基金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1,849,777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1,849,777</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吴学琴</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1,460,000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中国建设银行一华宝兴业新兴产</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1,408,625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1,408,625</w:t>
            </w:r>
          </w:p>
        </w:tc>
      </w:tr>
    </w:tbl>
    <w:p>
      <w:pPr>
        <w:spacing w:lineRule="exact" w:line="1"/>
        <w:rPr>
          <w:sz w:val="2"/>
          <w:szCs w:val="2"/>
        </w:rPr>
      </w:pPr>
      <w:r>
        <w:br w:type="page"/>
      </w:r>
    </w:p>
    <w:tbl>
      <w:tblPr>
        <w:tblOverlap w:val="never"/>
        <w:jc w:val="center"/>
        <w:tblLayout w:type="fixed"/>
      </w:tblPr>
      <w:tblGrid>
        <w:gridCol w:w="2726"/>
        <w:gridCol w:w="4114"/>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业股票型证券投资基金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中国建设银行一宝康消费品证券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1,400,297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中国银行一华宝兴业动力组合股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1,296,545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招商证券股份有限公司客户信用 交易担保证券账户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770,235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中国银行一华宝兴业先进成长股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712,797</w:t>
            </w: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报告期内，周红卫、姚宁共同持有江苏润和科技投资集团有限公司</w:t>
            </w:r>
            <w:r>
              <w:rPr>
                <w:rFonts w:ascii="Times New Roman" w:eastAsia="Times New Roman" w:hAnsi="Times New Roman" w:cs="Times New Roman"/>
                <w:color w:val="000000"/>
                <w:spacing w:val="0"/>
                <w:w w:val="100"/>
                <w:position w:val="0"/>
              </w:rPr>
              <w:t>76.8%</w:t>
            </w:r>
            <w:r>
              <w:rPr>
                <w:color w:val="000000"/>
                <w:spacing w:val="0"/>
                <w:w w:val="100"/>
                <w:position w:val="0"/>
              </w:rPr>
              <w:t>的股份。</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日，公司实际控制人周红卫和姚宁签订了《一致行动人协议》，共同表示在公 司重大事项决策前均事先沟通，达成一致意见后进行表决。孙强为江苏润和科技投资集 团有限公司的董事、总裁。除此之外，公司未知其他股东是否存在关联关系或一致行动 人的关系。</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、公司控股股东情况</w:t>
      </w:r>
      <w:bookmarkEnd w:id="371"/>
      <w:bookmarkEnd w:id="372"/>
      <w:bookmarkEnd w:id="374"/>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4"/>
        <w:gridCol w:w="1094"/>
        <w:gridCol w:w="893"/>
        <w:gridCol w:w="1795"/>
        <w:gridCol w:w="1805"/>
        <w:gridCol w:w="181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69464780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实业投资；投资管理； 电子产品、建材销售； 电子产品技术研发；电 子产品加工；建筑工程 设计、施工；自营和代 理各类商品及技术的 进出口业务（国家限定 公司经营或禁止出口 的商品和技术除外）。</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、公司实际控制人情况</w:t>
      </w:r>
      <w:bookmarkEnd w:id="375"/>
      <w:bookmarkEnd w:id="376"/>
      <w:bookmarkEnd w:id="378"/>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37"/>
        <w:gridCol w:w="41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周红卫任江苏润和软件股份有限公司董事长兼总裁；姚宁任江苏润和软件股份有 限公司高级副总裁兼技术总监。</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1153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pic:blipFill>
                  <pic:spPr>
                    <a:xfrm>
                      <a:ext cx="4596130" cy="3115310"/>
                    </a:xfrm>
                    <a:prstGeom prst="rect"/>
                  </pic:spPr>
                </pic:pic>
              </a:graphicData>
            </a:graphic>
          </wp:inline>
        </w:drawing>
      </w:r>
    </w:p>
    <w:p>
      <w:pPr>
        <w:widowControl w:val="0"/>
        <w:spacing w:after="259" w:line="1" w:lineRule="exact"/>
      </w:pPr>
    </w:p>
    <w:p>
      <w:pPr>
        <w:pStyle w:val="Style4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79"/>
      <w:bookmarkEnd w:id="380"/>
      <w:bookmarkEnd w:id="382"/>
    </w:p>
    <w:tbl>
      <w:tblPr>
        <w:tblOverlap w:val="never"/>
        <w:jc w:val="center"/>
        <w:tblLayout w:type="fixed"/>
      </w:tblPr>
      <w:tblGrid>
        <w:gridCol w:w="2189"/>
        <w:gridCol w:w="1094"/>
        <w:gridCol w:w="888"/>
        <w:gridCol w:w="1800"/>
        <w:gridCol w:w="1795"/>
        <w:gridCol w:w="1814"/>
      </w:tblGrid>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5</w:t>
      </w:r>
      <w:bookmarkEnd w:id="385"/>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83"/>
      <w:bookmarkEnd w:id="384"/>
      <w:bookmarkEnd w:id="386"/>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持有的限售条件股份数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新增可上市交易股份数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高管锁定股，每年按持 股总数的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高管锁定股，每年按持 股总数的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高管锁定股，每年按持 股总数的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高管锁定股，每年按持 股总数的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高管锁定股，每年按持 股总数的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bl>
    <w:p>
      <w:pPr>
        <w:spacing w:lineRule="exact" w:line="1"/>
        <w:rPr>
          <w:sz w:val="2"/>
          <w:szCs w:val="2"/>
        </w:rPr>
      </w:pPr>
      <w:r>
        <w:br w:type="page"/>
      </w:r>
    </w:p>
    <w:p>
      <w:pPr>
        <w:pStyle w:val="Style16"/>
        <w:keepNext/>
        <w:keepLines/>
        <w:widowControl w:val="0"/>
        <w:shd w:val="clear" w:color="auto" w:fill="auto"/>
        <w:bidi w:val="0"/>
        <w:spacing w:before="0" w:after="520" w:line="240" w:lineRule="auto"/>
        <w:ind w:left="0" w:right="0" w:firstLine="0"/>
        <w:jc w:val="center"/>
      </w:pPr>
      <w:bookmarkStart w:id="387" w:name="bookmark387"/>
      <w:bookmarkStart w:id="388" w:name="bookmark388"/>
      <w:bookmarkStart w:id="389" w:name="bookmark389"/>
      <w:r>
        <w:rPr>
          <w:color w:val="000000"/>
          <w:spacing w:val="0"/>
          <w:w w:val="100"/>
          <w:position w:val="0"/>
        </w:rPr>
        <w:t>第七节 董事、监事、高级管理人员和员工情况</w:t>
      </w:r>
      <w:bookmarkEnd w:id="387"/>
      <w:bookmarkEnd w:id="388"/>
      <w:bookmarkEnd w:id="389"/>
    </w:p>
    <w:p>
      <w:pPr>
        <w:pStyle w:val="Style31"/>
        <w:keepNext/>
        <w:keepLines/>
        <w:widowControl w:val="0"/>
        <w:shd w:val="clear" w:color="auto" w:fill="auto"/>
        <w:bidi w:val="0"/>
        <w:spacing w:before="0" w:after="320" w:line="240" w:lineRule="auto"/>
        <w:ind w:left="0" w:right="0" w:firstLine="0"/>
        <w:jc w:val="left"/>
      </w:pPr>
      <w:bookmarkStart w:id="390" w:name="bookmark390"/>
      <w:bookmarkStart w:id="391" w:name="bookmark391"/>
      <w:bookmarkStart w:id="392" w:name="bookmark392"/>
      <w:bookmarkStart w:id="393" w:name="bookmark393"/>
      <w:bookmarkStart w:id="394" w:name="bookmark394"/>
      <w:r>
        <w:rPr>
          <w:color w:val="000000"/>
          <w:spacing w:val="0"/>
          <w:w w:val="100"/>
          <w:position w:val="0"/>
          <w:sz w:val="24"/>
          <w:szCs w:val="24"/>
        </w:rPr>
        <w:t>一</w:t>
      </w:r>
      <w:bookmarkEnd w:id="393"/>
      <w:r>
        <w:rPr>
          <w:color w:val="000000"/>
          <w:spacing w:val="0"/>
          <w:w w:val="100"/>
          <w:position w:val="0"/>
          <w:sz w:val="24"/>
          <w:szCs w:val="24"/>
        </w:rPr>
        <w:t>、董事、监事和高级管理人员持股变动</w:t>
      </w:r>
      <w:bookmarkEnd w:id="391"/>
      <w:bookmarkEnd w:id="392"/>
      <w:bookmarkEnd w:id="394"/>
      <w:bookmarkEnd w:id="390"/>
    </w:p>
    <w:p>
      <w:pPr>
        <w:pStyle w:val="Style33"/>
        <w:keepNext/>
        <w:keepLines/>
        <w:widowControl w:val="0"/>
        <w:shd w:val="clear" w:color="auto" w:fill="auto"/>
        <w:bidi w:val="0"/>
        <w:spacing w:before="0" w:after="32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、持股情况</w:t>
      </w:r>
      <w:bookmarkEnd w:id="395"/>
      <w:bookmarkEnd w:id="396"/>
      <w:bookmarkEnd w:id="398"/>
    </w:p>
    <w:tbl>
      <w:tblPr>
        <w:tblOverlap w:val="never"/>
        <w:jc w:val="center"/>
        <w:tblLayout w:type="fixed"/>
      </w:tblPr>
      <w:tblGrid>
        <w:gridCol w:w="686"/>
        <w:gridCol w:w="682"/>
        <w:gridCol w:w="682"/>
        <w:gridCol w:w="682"/>
        <w:gridCol w:w="686"/>
        <w:gridCol w:w="682"/>
        <w:gridCol w:w="686"/>
        <w:gridCol w:w="682"/>
        <w:gridCol w:w="686"/>
        <w:gridCol w:w="682"/>
        <w:gridCol w:w="682"/>
        <w:gridCol w:w="686"/>
        <w:gridCol w:w="677"/>
        <w:gridCol w:w="701"/>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积转增</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高级副 总裁、 技术总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积转增</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资本公 积转增 及个人 买卖</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高级副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资本公 积转增 及个人 买卖</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（原董 事会秘 书、财 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资本公 积转增 及个人 买卖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董化礼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686"/>
        <w:gridCol w:w="682"/>
        <w:gridCol w:w="682"/>
        <w:gridCol w:w="682"/>
        <w:gridCol w:w="686"/>
        <w:gridCol w:w="682"/>
        <w:gridCol w:w="686"/>
        <w:gridCol w:w="682"/>
        <w:gridCol w:w="682"/>
        <w:gridCol w:w="686"/>
        <w:gridCol w:w="682"/>
        <w:gridCol w:w="686"/>
        <w:gridCol w:w="682"/>
        <w:gridCol w:w="69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积转增 及个人 买卖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积转增</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资本公 积转增 及个人 买卖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14,775,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2,234,0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、持有股票期权情况</w:t>
      </w:r>
      <w:bookmarkEnd w:id="399"/>
      <w:bookmarkEnd w:id="400"/>
      <w:bookmarkEnd w:id="402"/>
    </w:p>
    <w:tbl>
      <w:tblPr>
        <w:tblOverlap w:val="never"/>
        <w:jc w:val="center"/>
        <w:tblLayout w:type="fixed"/>
      </w:tblPr>
      <w:tblGrid>
        <w:gridCol w:w="1200"/>
        <w:gridCol w:w="1195"/>
        <w:gridCol w:w="1195"/>
        <w:gridCol w:w="1195"/>
        <w:gridCol w:w="1195"/>
        <w:gridCol w:w="1200"/>
        <w:gridCol w:w="1195"/>
        <w:gridCol w:w="121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期初持有股票 期权数量（份）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本期获授予股 票期权数量</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本期已行权股 票期权数量</w:t>
            </w:r>
          </w:p>
          <w:p>
            <w:pPr>
              <w:pStyle w:val="Style2"/>
              <w:keepNext w:val="0"/>
              <w:keepLines w:val="0"/>
              <w:widowControl w:val="0"/>
              <w:shd w:val="clear" w:color="auto" w:fill="auto"/>
              <w:bidi w:val="0"/>
              <w:spacing w:before="0" w:after="0" w:line="317"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本期注销的股 票期权数量</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期末持有股票 期权数量（份）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260"/>
        <w:jc w:val="left"/>
      </w:pPr>
      <w:bookmarkStart w:id="403" w:name="bookmark403"/>
      <w:bookmarkStart w:id="404" w:name="bookmark404"/>
      <w:bookmarkStart w:id="405" w:name="bookmark405"/>
      <w:r>
        <w:rPr>
          <w:color w:val="000000"/>
          <w:spacing w:val="0"/>
          <w:w w:val="100"/>
          <w:position w:val="0"/>
          <w:sz w:val="24"/>
          <w:szCs w:val="24"/>
        </w:rPr>
        <w:t>、任职情况</w:t>
      </w:r>
      <w:bookmarkEnd w:id="403"/>
      <w:bookmarkEnd w:id="404"/>
      <w:bookmarkEnd w:id="405"/>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8"/>
        <w:keepNext w:val="0"/>
        <w:keepLines w:val="0"/>
        <w:widowControl w:val="0"/>
        <w:shd w:val="clear" w:color="auto" w:fill="auto"/>
        <w:bidi w:val="0"/>
        <w:spacing w:before="0" w:after="0" w:line="310" w:lineRule="exact"/>
        <w:ind w:left="0" w:right="0" w:firstLine="0"/>
        <w:jc w:val="left"/>
      </w:pPr>
      <w:bookmarkStart w:id="406" w:name="bookmark406"/>
      <w:r>
        <w:rPr>
          <w:color w:val="000000"/>
          <w:spacing w:val="0"/>
          <w:w w:val="100"/>
          <w:position w:val="0"/>
        </w:rPr>
        <w:t>（</w:t>
      </w:r>
      <w:bookmarkEnd w:id="406"/>
      <w:r>
        <w:rPr>
          <w:color w:val="000000"/>
          <w:spacing w:val="0"/>
          <w:w w:val="100"/>
          <w:position w:val="0"/>
        </w:rPr>
        <w:t>一）公司现任董事工作经历：</w:t>
      </w:r>
    </w:p>
    <w:p>
      <w:pPr>
        <w:pStyle w:val="Style28"/>
        <w:keepNext w:val="0"/>
        <w:keepLines w:val="0"/>
        <w:widowControl w:val="0"/>
        <w:shd w:val="clear" w:color="auto" w:fill="auto"/>
        <w:tabs>
          <w:tab w:pos="632" w:val="left"/>
        </w:tabs>
        <w:bidi w:val="0"/>
        <w:spacing w:before="0" w:after="0" w:line="310" w:lineRule="exact"/>
        <w:ind w:left="0" w:right="0"/>
        <w:jc w:val="left"/>
      </w:pPr>
      <w:bookmarkStart w:id="407" w:name="bookmark407"/>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周红卫先生，</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年出生，本科学历，中国国籍，无永久境外居留权，曾担任日本恒星（南京）电脑系统有限公司 项目经理及部门总经理、宏图东方信息系统有限公司副总经理等。</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月至今任公司董事长兼总裁。周红卫先生担任政 协南京市第十三届委员、江苏省软件行业协会外包分会副会长、南京市软件行业协会副秘书长、</w:t>
      </w:r>
      <w:r>
        <w:rPr>
          <w:rFonts w:ascii="Times New Roman" w:eastAsia="Times New Roman" w:hAnsi="Times New Roman" w:cs="Times New Roman"/>
          <w:color w:val="000000"/>
          <w:spacing w:val="0"/>
          <w:w w:val="100"/>
          <w:position w:val="0"/>
        </w:rPr>
        <w:t>2012</w:t>
      </w:r>
      <w:r>
        <w:rPr>
          <w:color w:val="000000"/>
          <w:spacing w:val="0"/>
          <w:w w:val="100"/>
          <w:position w:val="0"/>
        </w:rPr>
        <w:t>年任南京市工商联副主 席。</w:t>
      </w:r>
    </w:p>
    <w:p>
      <w:pPr>
        <w:pStyle w:val="Style28"/>
        <w:keepNext w:val="0"/>
        <w:keepLines w:val="0"/>
        <w:widowControl w:val="0"/>
        <w:shd w:val="clear" w:color="auto" w:fill="auto"/>
        <w:tabs>
          <w:tab w:pos="627" w:val="left"/>
        </w:tabs>
        <w:bidi w:val="0"/>
        <w:spacing w:before="0" w:after="0" w:line="310" w:lineRule="exact"/>
        <w:ind w:left="0" w:right="0"/>
        <w:jc w:val="left"/>
      </w:pPr>
      <w:bookmarkStart w:id="408" w:name="bookmark408"/>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姚宁先生，</w:t>
      </w:r>
      <w:r>
        <w:rPr>
          <w:rFonts w:ascii="Times New Roman" w:eastAsia="Times New Roman" w:hAnsi="Times New Roman" w:cs="Times New Roman"/>
          <w:color w:val="000000"/>
          <w:spacing w:val="0"/>
          <w:w w:val="100"/>
          <w:position w:val="0"/>
        </w:rPr>
        <w:t>1968</w:t>
      </w:r>
      <w:r>
        <w:rPr>
          <w:color w:val="000000"/>
          <w:spacing w:val="0"/>
          <w:w w:val="100"/>
          <w:position w:val="0"/>
        </w:rPr>
        <w:t>年出生，本科学历，中国国籍，无永久境外居留权，曾担任日本恒星（南京）电脑系统有限公司项 目经理、开发部部长，宏图东方信息系统有限公司副总经理等。</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月至今任公司董事、高级副总裁兼技术总监，负责 公司主营技术和项目实施工作。姚宁先生曾参与领导苏州市委市政府园区骨干网系统集成项目、江苏省委办公厅办公自动化 系统集成项目、日本</w:t>
      </w:r>
      <w:r>
        <w:rPr>
          <w:rFonts w:ascii="Times New Roman" w:eastAsia="Times New Roman" w:hAnsi="Times New Roman" w:cs="Times New Roman"/>
          <w:color w:val="000000"/>
          <w:spacing w:val="0"/>
          <w:w w:val="100"/>
          <w:position w:val="0"/>
        </w:rPr>
        <w:t>DOCOMO</w:t>
      </w:r>
      <w:r>
        <w:rPr>
          <w:color w:val="000000"/>
          <w:spacing w:val="0"/>
          <w:w w:val="100"/>
          <w:position w:val="0"/>
        </w:rPr>
        <w:t>公司的核心无线电运营管理系统开发项目等多个项目。</w:t>
      </w:r>
    </w:p>
    <w:p>
      <w:pPr>
        <w:pStyle w:val="Style28"/>
        <w:keepNext w:val="0"/>
        <w:keepLines w:val="0"/>
        <w:widowControl w:val="0"/>
        <w:shd w:val="clear" w:color="auto" w:fill="auto"/>
        <w:tabs>
          <w:tab w:pos="646" w:val="left"/>
        </w:tabs>
        <w:bidi w:val="0"/>
        <w:spacing w:before="0" w:after="0" w:line="310" w:lineRule="exact"/>
        <w:ind w:left="0" w:right="0"/>
        <w:jc w:val="left"/>
      </w:pPr>
      <w:bookmarkStart w:id="409" w:name="bookmark409"/>
      <w:r>
        <w:rPr>
          <w:rFonts w:ascii="Times New Roman" w:eastAsia="Times New Roman" w:hAnsi="Times New Roman" w:cs="Times New Roman"/>
          <w:color w:val="000000"/>
          <w:spacing w:val="0"/>
          <w:w w:val="100"/>
          <w:position w:val="0"/>
        </w:rPr>
        <w:t>3</w:t>
      </w:r>
      <w:bookmarkEnd w:id="409"/>
      <w:r>
        <w:rPr>
          <w:color w:val="000000"/>
          <w:spacing w:val="0"/>
          <w:w w:val="100"/>
          <w:position w:val="0"/>
        </w:rPr>
        <w:t>、</w:t>
        <w:tab/>
        <w:t>孙强先生，</w:t>
      </w:r>
      <w:r>
        <w:rPr>
          <w:rFonts w:ascii="Times New Roman" w:eastAsia="Times New Roman" w:hAnsi="Times New Roman" w:cs="Times New Roman"/>
          <w:color w:val="000000"/>
          <w:spacing w:val="0"/>
          <w:w w:val="100"/>
          <w:position w:val="0"/>
        </w:rPr>
        <w:t>1970</w:t>
      </w:r>
      <w:r>
        <w:rPr>
          <w:color w:val="000000"/>
          <w:spacing w:val="0"/>
          <w:w w:val="100"/>
          <w:position w:val="0"/>
        </w:rPr>
        <w:t>年出生，本科学历，中国国籍，无永久境外居留权，曾担任日本恒星（南京）电脑系统有限公司软 件工程师，本公司副总裁等职。现任本公司董事、江苏润和科技投资集团有限公司总裁、政协南京市雨花台区第八届常委。</w:t>
      </w:r>
    </w:p>
    <w:p>
      <w:pPr>
        <w:pStyle w:val="Style28"/>
        <w:keepNext w:val="0"/>
        <w:keepLines w:val="0"/>
        <w:widowControl w:val="0"/>
        <w:shd w:val="clear" w:color="auto" w:fill="auto"/>
        <w:tabs>
          <w:tab w:pos="354" w:val="left"/>
        </w:tabs>
        <w:bidi w:val="0"/>
        <w:spacing w:before="0" w:after="0" w:line="310" w:lineRule="exact"/>
        <w:ind w:left="0" w:right="0"/>
        <w:jc w:val="left"/>
      </w:pPr>
      <w:bookmarkStart w:id="410" w:name="bookmark410"/>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马玉峰先生，</w:t>
      </w:r>
      <w:r>
        <w:rPr>
          <w:rFonts w:ascii="Times New Roman" w:eastAsia="Times New Roman" w:hAnsi="Times New Roman" w:cs="Times New Roman"/>
          <w:color w:val="000000"/>
          <w:spacing w:val="0"/>
          <w:w w:val="100"/>
          <w:position w:val="0"/>
        </w:rPr>
        <w:t>1971</w:t>
      </w:r>
      <w:r>
        <w:rPr>
          <w:color w:val="000000"/>
          <w:spacing w:val="0"/>
          <w:w w:val="100"/>
          <w:position w:val="0"/>
        </w:rPr>
        <w:t xml:space="preserve">年出生，本科学历，中国国籍，无永久境外居留权，曾担任日本恒星（南京）电脑系统有限公司 </w:t>
      </w:r>
      <w:r>
        <w:rPr>
          <w:color w:val="000000"/>
          <w:spacing w:val="0"/>
          <w:w w:val="100"/>
          <w:position w:val="0"/>
        </w:rPr>
        <w:t>工程师及开发经理、宏图东方信息系统有限公司软件部经理和副总经理。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月至今任公司董事、高级副总裁。</w:t>
      </w:r>
    </w:p>
    <w:p>
      <w:pPr>
        <w:pStyle w:val="Style28"/>
        <w:keepNext w:val="0"/>
        <w:keepLines w:val="0"/>
        <w:widowControl w:val="0"/>
        <w:shd w:val="clear" w:color="auto" w:fill="auto"/>
        <w:bidi w:val="0"/>
        <w:spacing w:before="0" w:after="0" w:line="313" w:lineRule="exact"/>
        <w:ind w:left="0" w:right="0"/>
        <w:jc w:val="left"/>
      </w:pPr>
      <w:bookmarkStart w:id="411" w:name="bookmark411"/>
      <w:r>
        <w:rPr>
          <w:rFonts w:ascii="Times New Roman" w:eastAsia="Times New Roman" w:hAnsi="Times New Roman" w:cs="Times New Roman"/>
          <w:color w:val="000000"/>
          <w:spacing w:val="0"/>
          <w:w w:val="100"/>
          <w:position w:val="0"/>
        </w:rPr>
        <w:t>5</w:t>
      </w:r>
      <w:bookmarkEnd w:id="411"/>
      <w:r>
        <w:rPr>
          <w:color w:val="000000"/>
          <w:spacing w:val="0"/>
          <w:w w:val="100"/>
          <w:position w:val="0"/>
        </w:rPr>
        <w:t>、黄维江先生，</w:t>
      </w:r>
      <w:r>
        <w:rPr>
          <w:rFonts w:ascii="Times New Roman" w:eastAsia="Times New Roman" w:hAnsi="Times New Roman" w:cs="Times New Roman"/>
          <w:color w:val="000000"/>
          <w:spacing w:val="0"/>
          <w:w w:val="100"/>
          <w:position w:val="0"/>
        </w:rPr>
        <w:t>1966</w:t>
      </w:r>
      <w:r>
        <w:rPr>
          <w:color w:val="000000"/>
          <w:spacing w:val="0"/>
          <w:w w:val="100"/>
          <w:position w:val="0"/>
        </w:rPr>
        <w:t>年出生，本科学历，中国国籍，无永久境外居留权，高级审计师，曾担任审计署驻南京特派员办 事处副主任科员、主任科员、外资运用审计处副处长、审计署信息化建设办公室应用组组长、审计署驻南京特派员办事处外 资运用审计处处长，江苏宏图高科技股份有限公司董事、副总裁兼财务总监、监事会主席。</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11</w:t>
      </w:r>
      <w:r>
        <w:rPr>
          <w:color w:val="000000"/>
          <w:spacing w:val="0"/>
          <w:w w:val="100"/>
          <w:position w:val="0"/>
        </w:rPr>
        <w:t>月任公司财务主 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月任公司财务总监兼董事会秘书；</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w:t>
      </w:r>
    </w:p>
    <w:p>
      <w:pPr>
        <w:pStyle w:val="Style28"/>
        <w:keepNext w:val="0"/>
        <w:keepLines w:val="0"/>
        <w:widowControl w:val="0"/>
        <w:shd w:val="clear" w:color="auto" w:fill="auto"/>
        <w:bidi w:val="0"/>
        <w:spacing w:before="0" w:after="0" w:line="313" w:lineRule="exact"/>
        <w:ind w:left="0" w:right="0" w:firstLine="160"/>
        <w:jc w:val="both"/>
      </w:pPr>
      <w:bookmarkStart w:id="412" w:name="bookmark412"/>
      <w:r>
        <w:rPr>
          <w:rFonts w:ascii="Times New Roman" w:eastAsia="Times New Roman" w:hAnsi="Times New Roman" w:cs="Times New Roman"/>
          <w:color w:val="000000"/>
          <w:spacing w:val="0"/>
          <w:w w:val="100"/>
          <w:position w:val="0"/>
        </w:rPr>
        <w:t>6</w:t>
      </w:r>
      <w:bookmarkEnd w:id="412"/>
      <w:r>
        <w:rPr>
          <w:color w:val="000000"/>
          <w:spacing w:val="0"/>
          <w:w w:val="100"/>
          <w:position w:val="0"/>
        </w:rPr>
        <w:t>、朱祖龙先生，男，</w:t>
      </w:r>
      <w:r>
        <w:rPr>
          <w:rFonts w:ascii="Times New Roman" w:eastAsia="Times New Roman" w:hAnsi="Times New Roman" w:cs="Times New Roman"/>
          <w:color w:val="000000"/>
          <w:spacing w:val="0"/>
          <w:w w:val="100"/>
          <w:position w:val="0"/>
        </w:rPr>
        <w:t>1976</w:t>
      </w:r>
      <w:r>
        <w:rPr>
          <w:color w:val="000000"/>
          <w:spacing w:val="0"/>
          <w:w w:val="100"/>
          <w:position w:val="0"/>
        </w:rPr>
        <w:t>年出生，大学专科学历，中国国籍，无永久境外居留权</w:t>
      </w:r>
      <w:r>
        <w:rPr>
          <w:color w:val="000000"/>
          <w:spacing w:val="0"/>
          <w:w w:val="100"/>
          <w:position w:val="0"/>
        </w:rPr>
        <w:t>，</w:t>
      </w:r>
      <w:r>
        <w:rPr>
          <w:color w:val="000000"/>
          <w:spacing w:val="0"/>
          <w:w w:val="100"/>
          <w:position w:val="0"/>
        </w:rPr>
        <w:t>中国注册会计师</w:t>
      </w:r>
      <w:r>
        <w:rPr>
          <w:color w:val="000000"/>
          <w:spacing w:val="0"/>
          <w:w w:val="100"/>
          <w:position w:val="0"/>
        </w:rPr>
        <w:t>，</w:t>
      </w:r>
      <w:r>
        <w:rPr>
          <w:color w:val="000000"/>
          <w:spacing w:val="0"/>
          <w:w w:val="100"/>
          <w:position w:val="0"/>
        </w:rPr>
        <w:t>曾担任马鞍山市当涂县 粮食局下属收储公司财务科长、马鞍山统力回转支承有限公司监事、供应部长，华普天健会计师事务所（北京）有限公司项 目经理、项目总监、分所现场负责人等职，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月起任江苏润和软件股份有限公司财务主管，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月至今任公司董事;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月至今任公司财务总监；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日起至今任公司董事会秘书。</w:t>
      </w:r>
    </w:p>
    <w:p>
      <w:pPr>
        <w:pStyle w:val="Style28"/>
        <w:keepNext w:val="0"/>
        <w:keepLines w:val="0"/>
        <w:widowControl w:val="0"/>
        <w:shd w:val="clear" w:color="auto" w:fill="auto"/>
        <w:tabs>
          <w:tab w:pos="577" w:val="left"/>
        </w:tabs>
        <w:bidi w:val="0"/>
        <w:spacing w:before="0" w:after="0" w:line="313" w:lineRule="exact"/>
        <w:ind w:left="0" w:right="0"/>
        <w:jc w:val="left"/>
      </w:pPr>
      <w:bookmarkStart w:id="413" w:name="bookmark413"/>
      <w:r>
        <w:rPr>
          <w:rFonts w:ascii="Times New Roman" w:eastAsia="Times New Roman" w:hAnsi="Times New Roman" w:cs="Times New Roman"/>
          <w:color w:val="000000"/>
          <w:spacing w:val="0"/>
          <w:w w:val="100"/>
          <w:position w:val="0"/>
        </w:rPr>
        <w:t>7</w:t>
      </w:r>
      <w:bookmarkEnd w:id="413"/>
      <w:r>
        <w:rPr>
          <w:color w:val="000000"/>
          <w:spacing w:val="0"/>
          <w:w w:val="100"/>
          <w:position w:val="0"/>
        </w:rPr>
        <w:t>、</w:t>
        <w:tab/>
        <w:t>沈锦华先生，</w:t>
      </w:r>
      <w:r>
        <w:rPr>
          <w:rFonts w:ascii="Times New Roman" w:eastAsia="Times New Roman" w:hAnsi="Times New Roman" w:cs="Times New Roman"/>
          <w:color w:val="000000"/>
          <w:spacing w:val="0"/>
          <w:w w:val="100"/>
          <w:position w:val="0"/>
        </w:rPr>
        <w:t>1967</w:t>
      </w:r>
      <w:r>
        <w:rPr>
          <w:color w:val="000000"/>
          <w:spacing w:val="0"/>
          <w:w w:val="100"/>
          <w:position w:val="0"/>
        </w:rPr>
        <w:t>年出生，硕士学历，中国国籍，无永久境外居留权，历任南化集团化工机械厂技术员、南京方正 新技术有限公司经营部副主任。现任焦点科技股份有限公司董事长兼总经理、南京艾普太阳能设备有限公司董事</w:t>
      </w:r>
      <w:r>
        <w:rPr>
          <w:color w:val="000000"/>
          <w:spacing w:val="0"/>
          <w:w w:val="100"/>
          <w:position w:val="0"/>
        </w:rPr>
        <w:t>＞</w:t>
      </w:r>
      <w:r>
        <w:rPr>
          <w:rFonts w:ascii="Times New Roman" w:eastAsia="Times New Roman" w:hAnsi="Times New Roman" w:cs="Times New Roman"/>
          <w:color w:val="000000"/>
          <w:spacing w:val="0"/>
          <w:w w:val="100"/>
          <w:position w:val="0"/>
        </w:rPr>
        <w:t xml:space="preserve">Apncus Inc. </w:t>
      </w:r>
      <w:r>
        <w:rPr>
          <w:color w:val="000000"/>
          <w:spacing w:val="0"/>
          <w:w w:val="100"/>
          <w:position w:val="0"/>
        </w:rPr>
        <w:t>董事、新一站保险代理有限公司董事长、江苏赛联信息产业研究院股份有限公司董事、文笔网路科技有限公司（台湾）董事、 焦点进出口服务有限公司执行董事。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月至今任本公司董事。</w:t>
      </w:r>
    </w:p>
    <w:p>
      <w:pPr>
        <w:pStyle w:val="Style28"/>
        <w:keepNext w:val="0"/>
        <w:keepLines w:val="0"/>
        <w:widowControl w:val="0"/>
        <w:shd w:val="clear" w:color="auto" w:fill="auto"/>
        <w:tabs>
          <w:tab w:pos="577" w:val="left"/>
        </w:tabs>
        <w:bidi w:val="0"/>
        <w:spacing w:before="0" w:after="0" w:line="313" w:lineRule="exact"/>
        <w:ind w:left="0" w:right="0"/>
        <w:jc w:val="left"/>
      </w:pPr>
      <w:bookmarkStart w:id="414" w:name="bookmark414"/>
      <w:r>
        <w:rPr>
          <w:rFonts w:ascii="Times New Roman" w:eastAsia="Times New Roman" w:hAnsi="Times New Roman" w:cs="Times New Roman"/>
          <w:color w:val="000000"/>
          <w:spacing w:val="0"/>
          <w:w w:val="100"/>
          <w:position w:val="0"/>
        </w:rPr>
        <w:t>8</w:t>
      </w:r>
      <w:bookmarkEnd w:id="414"/>
      <w:r>
        <w:rPr>
          <w:color w:val="000000"/>
          <w:spacing w:val="0"/>
          <w:w w:val="100"/>
          <w:position w:val="0"/>
        </w:rPr>
        <w:t>、</w:t>
        <w:tab/>
        <w:t>董化礼先生，</w:t>
      </w:r>
      <w:r>
        <w:rPr>
          <w:rFonts w:ascii="Times New Roman" w:eastAsia="Times New Roman" w:hAnsi="Times New Roman" w:cs="Times New Roman"/>
          <w:color w:val="000000"/>
          <w:spacing w:val="0"/>
          <w:w w:val="100"/>
          <w:position w:val="0"/>
        </w:rPr>
        <w:t>1946</w:t>
      </w:r>
      <w:r>
        <w:rPr>
          <w:color w:val="000000"/>
          <w:spacing w:val="0"/>
          <w:w w:val="100"/>
          <w:position w:val="0"/>
        </w:rPr>
        <w:t>年出生，本科学历，中国国籍，无永久境外居留权，曾担任南京军区空军司令部政治部干事、安 徽省蚌埠市委办公室秘书、安徽省政府办公厅秘书、安徽省经济委员会干部处副处长、安徽省经济委员会调研室主任、安徽 省直工委工商分委会书记、安徽省经济贸易委员会副主任、党组副书记、安徽省政府副秘书长、办公厅党组成员、审计署驻 南京特派员办事处特派员、党组书记、江苏省政协委员。</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月至今任公司独立董事，同时兼任江苏省广电有线信息网 络股份有限公司独立董事、上海大屯能源股份有限公司独立董事。</w:t>
      </w:r>
    </w:p>
    <w:p>
      <w:pPr>
        <w:pStyle w:val="Style28"/>
        <w:keepNext w:val="0"/>
        <w:keepLines w:val="0"/>
        <w:widowControl w:val="0"/>
        <w:shd w:val="clear" w:color="auto" w:fill="auto"/>
        <w:tabs>
          <w:tab w:pos="577" w:val="left"/>
        </w:tabs>
        <w:bidi w:val="0"/>
        <w:spacing w:before="0" w:after="0" w:line="313" w:lineRule="exact"/>
        <w:ind w:left="0" w:right="0"/>
        <w:jc w:val="left"/>
      </w:pPr>
      <w:bookmarkStart w:id="415" w:name="bookmark415"/>
      <w:r>
        <w:rPr>
          <w:rFonts w:ascii="Times New Roman" w:eastAsia="Times New Roman" w:hAnsi="Times New Roman" w:cs="Times New Roman"/>
          <w:color w:val="000000"/>
          <w:spacing w:val="0"/>
          <w:w w:val="100"/>
          <w:position w:val="0"/>
        </w:rPr>
        <w:t>9</w:t>
      </w:r>
      <w:bookmarkEnd w:id="415"/>
      <w:r>
        <w:rPr>
          <w:color w:val="000000"/>
          <w:spacing w:val="0"/>
          <w:w w:val="100"/>
          <w:position w:val="0"/>
        </w:rPr>
        <w:t>、</w:t>
        <w:tab/>
        <w:t>张顺颐先生，</w:t>
      </w:r>
      <w:r>
        <w:rPr>
          <w:rFonts w:ascii="Times New Roman" w:eastAsia="Times New Roman" w:hAnsi="Times New Roman" w:cs="Times New Roman"/>
          <w:color w:val="000000"/>
          <w:spacing w:val="0"/>
          <w:w w:val="100"/>
          <w:position w:val="0"/>
        </w:rPr>
        <w:t>1944</w:t>
      </w:r>
      <w:r>
        <w:rPr>
          <w:color w:val="000000"/>
          <w:spacing w:val="0"/>
          <w:w w:val="100"/>
          <w:position w:val="0"/>
        </w:rPr>
        <w:t>年出生，本科学历，中国国籍，无永久境外居留权，南京邮电大学教授、博士生导师。</w:t>
      </w:r>
      <w:r>
        <w:rPr>
          <w:rFonts w:ascii="Times New Roman" w:eastAsia="Times New Roman" w:hAnsi="Times New Roman" w:cs="Times New Roman"/>
          <w:color w:val="000000"/>
          <w:spacing w:val="0"/>
          <w:w w:val="100"/>
          <w:position w:val="0"/>
        </w:rPr>
        <w:t>1968</w:t>
      </w:r>
      <w:r>
        <w:rPr>
          <w:color w:val="000000"/>
          <w:spacing w:val="0"/>
          <w:w w:val="100"/>
          <w:position w:val="0"/>
        </w:rPr>
        <w:t>年毕 业于天津大学无线电系，曾任南京邮电大学副校长。</w:t>
      </w:r>
      <w:r>
        <w:rPr>
          <w:rFonts w:ascii="Times New Roman" w:eastAsia="Times New Roman" w:hAnsi="Times New Roman" w:cs="Times New Roman"/>
          <w:color w:val="000000"/>
          <w:spacing w:val="0"/>
          <w:w w:val="100"/>
          <w:position w:val="0"/>
        </w:rPr>
        <w:t>1992</w:t>
      </w:r>
      <w:r>
        <w:rPr>
          <w:color w:val="000000"/>
          <w:spacing w:val="0"/>
          <w:w w:val="100"/>
          <w:position w:val="0"/>
        </w:rPr>
        <w:t>年起享受国务院政府特殊津贴，曾获邮电部教育先进工作者，教育 部九五期间全国普通高校科研管理先进个人等称号，先后</w:t>
      </w:r>
      <w:r>
        <w:rPr>
          <w:rFonts w:ascii="Times New Roman" w:eastAsia="Times New Roman" w:hAnsi="Times New Roman" w:cs="Times New Roman"/>
          <w:color w:val="000000"/>
          <w:spacing w:val="0"/>
          <w:w w:val="100"/>
          <w:position w:val="0"/>
        </w:rPr>
        <w:t>11</w:t>
      </w:r>
      <w:r>
        <w:rPr>
          <w:color w:val="000000"/>
          <w:spacing w:val="0"/>
          <w:w w:val="100"/>
          <w:position w:val="0"/>
        </w:rPr>
        <w:t>次获省部级以上科技进步奖。</w:t>
      </w:r>
      <w:r>
        <w:rPr>
          <w:rFonts w:ascii="Times New Roman" w:eastAsia="Times New Roman" w:hAnsi="Times New Roman" w:cs="Times New Roman"/>
          <w:color w:val="000000"/>
          <w:spacing w:val="0"/>
          <w:w w:val="100"/>
          <w:position w:val="0"/>
        </w:rPr>
        <w:t>2006</w:t>
      </w:r>
      <w:r>
        <w:rPr>
          <w:color w:val="000000"/>
          <w:spacing w:val="0"/>
          <w:w w:val="100"/>
          <w:position w:val="0"/>
        </w:rPr>
        <w:t>年评为江苏省优秀科技工作 者</w:t>
      </w:r>
      <w:r>
        <w:rPr>
          <w:rFonts w:ascii="Times New Roman" w:eastAsia="Times New Roman" w:hAnsi="Times New Roman" w:cs="Times New Roman"/>
          <w:color w:val="000000"/>
          <w:spacing w:val="0"/>
          <w:w w:val="100"/>
          <w:position w:val="0"/>
        </w:rPr>
        <w:t>,2008</w:t>
      </w:r>
      <w:r>
        <w:rPr>
          <w:color w:val="000000"/>
          <w:spacing w:val="0"/>
          <w:w w:val="100"/>
          <w:position w:val="0"/>
        </w:rPr>
        <w:t>年获江苏省五一劳动奖章</w:t>
      </w:r>
      <w:r>
        <w:rPr>
          <w:rFonts w:ascii="Times New Roman" w:eastAsia="Times New Roman" w:hAnsi="Times New Roman" w:cs="Times New Roman"/>
          <w:color w:val="000000"/>
          <w:spacing w:val="0"/>
          <w:w w:val="100"/>
          <w:position w:val="0"/>
        </w:rPr>
        <w:t>,2012</w:t>
      </w:r>
      <w:r>
        <w:rPr>
          <w:color w:val="000000"/>
          <w:spacing w:val="0"/>
          <w:w w:val="100"/>
          <w:position w:val="0"/>
        </w:rPr>
        <w:t>年评为中国电子学会优秀科技工作者。</w:t>
      </w:r>
      <w:r>
        <w:rPr>
          <w:rFonts w:ascii="Times New Roman" w:eastAsia="Times New Roman" w:hAnsi="Times New Roman" w:cs="Times New Roman"/>
          <w:color w:val="000000"/>
          <w:spacing w:val="0"/>
          <w:w w:val="100"/>
          <w:position w:val="0"/>
        </w:rPr>
        <w:t>2010</w:t>
      </w:r>
      <w:r>
        <w:rPr>
          <w:color w:val="000000"/>
          <w:spacing w:val="0"/>
          <w:w w:val="100"/>
          <w:position w:val="0"/>
        </w:rPr>
        <w:t>年被工信部聘为无锡国家传感网创新示范 区专家咨询委员会专家，被无锡市政府聘为发展物联网技术专家。现任江苏省通信与网络技术工程研究中心主任，中国通信 学会理事、会士，</w:t>
      </w:r>
      <w:r>
        <w:rPr>
          <w:rFonts w:ascii="Times New Roman" w:eastAsia="Times New Roman" w:hAnsi="Times New Roman" w:cs="Times New Roman"/>
          <w:color w:val="000000"/>
          <w:spacing w:val="0"/>
          <w:w w:val="100"/>
          <w:position w:val="0"/>
        </w:rPr>
        <w:t>IP</w:t>
      </w:r>
      <w:r>
        <w:rPr>
          <w:color w:val="000000"/>
          <w:spacing w:val="0"/>
          <w:w w:val="100"/>
          <w:position w:val="0"/>
        </w:rPr>
        <w:t>应用与增值电信技术专委会主任、通信软件技术委员会委员，中国电子学会通信学分会副主任，南京普 天通信股份有限公司独立董事，无锡邮信通物联网技术有限公司董事长等。</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月至今任本公司独立董事。</w:t>
      </w:r>
    </w:p>
    <w:p>
      <w:pPr>
        <w:pStyle w:val="Style28"/>
        <w:keepNext w:val="0"/>
        <w:keepLines w:val="0"/>
        <w:widowControl w:val="0"/>
        <w:shd w:val="clear" w:color="auto" w:fill="auto"/>
        <w:tabs>
          <w:tab w:pos="663" w:val="left"/>
        </w:tabs>
        <w:bidi w:val="0"/>
        <w:spacing w:before="0" w:after="300" w:line="313" w:lineRule="exact"/>
        <w:ind w:left="0" w:right="0"/>
        <w:jc w:val="left"/>
      </w:pPr>
      <w:bookmarkStart w:id="416" w:name="bookmark416"/>
      <w:r>
        <w:rPr>
          <w:rFonts w:ascii="Times New Roman" w:eastAsia="Times New Roman" w:hAnsi="Times New Roman" w:cs="Times New Roman"/>
          <w:color w:val="000000"/>
          <w:spacing w:val="0"/>
          <w:w w:val="100"/>
          <w:position w:val="0"/>
        </w:rPr>
        <w:t>1</w:t>
      </w:r>
      <w:bookmarkEnd w:id="416"/>
      <w:r>
        <w:rPr>
          <w:rFonts w:ascii="Times New Roman" w:eastAsia="Times New Roman" w:hAnsi="Times New Roman" w:cs="Times New Roman"/>
          <w:color w:val="000000"/>
          <w:spacing w:val="0"/>
          <w:w w:val="100"/>
          <w:position w:val="0"/>
        </w:rPr>
        <w:t>0</w:t>
      </w:r>
      <w:r>
        <w:rPr>
          <w:color w:val="000000"/>
          <w:spacing w:val="0"/>
          <w:w w:val="100"/>
          <w:position w:val="0"/>
        </w:rPr>
        <w:t>、</w:t>
        <w:tab/>
        <w:t>张洪发先生，</w:t>
      </w:r>
      <w:r>
        <w:rPr>
          <w:rFonts w:ascii="Times New Roman" w:eastAsia="Times New Roman" w:hAnsi="Times New Roman" w:cs="Times New Roman"/>
          <w:color w:val="000000"/>
          <w:spacing w:val="0"/>
          <w:w w:val="100"/>
          <w:position w:val="0"/>
        </w:rPr>
        <w:t>1964</w:t>
      </w:r>
      <w:r>
        <w:rPr>
          <w:color w:val="000000"/>
          <w:spacing w:val="0"/>
          <w:w w:val="100"/>
          <w:position w:val="0"/>
        </w:rPr>
        <w:t>年出生，本科学历，中国国籍，无永久境外居留权，正高级会计师，中国注册会计师，曾任江苏 省广播电视大学教师，江苏省会计师事务所项目经理、主审、部门经理。现任江苏省注册会计师协会副秘书长，江苏宏宝五 金股份有限公司独立董事，江苏金智科技股份有限公司独立董事、南京吉隆光纤通信股份有限公司独立董事、无锡威孚高科 技集团股份有限公司独立董事。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月至今担任本公司独立董事。</w:t>
      </w:r>
    </w:p>
    <w:p>
      <w:pPr>
        <w:pStyle w:val="Style28"/>
        <w:keepNext w:val="0"/>
        <w:keepLines w:val="0"/>
        <w:widowControl w:val="0"/>
        <w:shd w:val="clear" w:color="auto" w:fill="auto"/>
        <w:bidi w:val="0"/>
        <w:spacing w:before="0" w:after="0" w:line="313" w:lineRule="exact"/>
        <w:ind w:left="0" w:right="0" w:firstLine="0"/>
        <w:jc w:val="both"/>
      </w:pPr>
      <w:bookmarkStart w:id="417" w:name="bookmark417"/>
      <w:r>
        <w:rPr>
          <w:color w:val="000000"/>
          <w:spacing w:val="0"/>
          <w:w w:val="100"/>
          <w:position w:val="0"/>
        </w:rPr>
        <w:t>（</w:t>
      </w:r>
      <w:bookmarkEnd w:id="417"/>
      <w:r>
        <w:rPr>
          <w:color w:val="000000"/>
          <w:spacing w:val="0"/>
          <w:w w:val="100"/>
          <w:position w:val="0"/>
        </w:rPr>
        <w:t>二）公司现任监事工作经历</w:t>
      </w:r>
    </w:p>
    <w:p>
      <w:pPr>
        <w:pStyle w:val="Style28"/>
        <w:keepNext w:val="0"/>
        <w:keepLines w:val="0"/>
        <w:widowControl w:val="0"/>
        <w:shd w:val="clear" w:color="auto" w:fill="auto"/>
        <w:bidi w:val="0"/>
        <w:spacing w:before="0" w:after="0" w:line="313" w:lineRule="exact"/>
        <w:ind w:left="0" w:right="0"/>
        <w:jc w:val="both"/>
      </w:pPr>
      <w:bookmarkStart w:id="418" w:name="bookmark418"/>
      <w:r>
        <w:rPr>
          <w:rFonts w:ascii="Times New Roman" w:eastAsia="Times New Roman" w:hAnsi="Times New Roman" w:cs="Times New Roman"/>
          <w:color w:val="000000"/>
          <w:spacing w:val="0"/>
          <w:w w:val="100"/>
          <w:position w:val="0"/>
        </w:rPr>
        <w:t>1</w:t>
      </w:r>
      <w:bookmarkEnd w:id="418"/>
      <w:r>
        <w:rPr>
          <w:color w:val="000000"/>
          <w:spacing w:val="0"/>
          <w:w w:val="100"/>
          <w:position w:val="0"/>
        </w:rPr>
        <w:t>、 周庆先生，</w:t>
      </w:r>
      <w:r>
        <w:rPr>
          <w:rFonts w:ascii="Times New Roman" w:eastAsia="Times New Roman" w:hAnsi="Times New Roman" w:cs="Times New Roman"/>
          <w:color w:val="000000"/>
          <w:spacing w:val="0"/>
          <w:w w:val="100"/>
          <w:position w:val="0"/>
        </w:rPr>
        <w:t>1972</w:t>
      </w:r>
      <w:r>
        <w:rPr>
          <w:color w:val="000000"/>
          <w:spacing w:val="0"/>
          <w:w w:val="100"/>
          <w:position w:val="0"/>
        </w:rPr>
        <w:t>年出生，本科学历，中国国籍，无永久境外居留权，曾担任东南大学生物医学工程系教师。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月至今任公司项目总监；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日至今担任公司职工监事、监事会主席。</w:t>
      </w:r>
    </w:p>
    <w:p>
      <w:pPr>
        <w:pStyle w:val="Style28"/>
        <w:keepNext w:val="0"/>
        <w:keepLines w:val="0"/>
        <w:widowControl w:val="0"/>
        <w:shd w:val="clear" w:color="auto" w:fill="auto"/>
        <w:tabs>
          <w:tab w:pos="577" w:val="left"/>
        </w:tabs>
        <w:bidi w:val="0"/>
        <w:spacing w:before="0" w:after="0" w:line="313" w:lineRule="exact"/>
        <w:ind w:left="0" w:right="0"/>
        <w:jc w:val="both"/>
      </w:pPr>
      <w:bookmarkStart w:id="419" w:name="bookmark419"/>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廉智慧女士，</w:t>
      </w:r>
      <w:r>
        <w:rPr>
          <w:rFonts w:ascii="Times New Roman" w:eastAsia="Times New Roman" w:hAnsi="Times New Roman" w:cs="Times New Roman"/>
          <w:color w:val="000000"/>
          <w:spacing w:val="0"/>
          <w:w w:val="100"/>
          <w:position w:val="0"/>
        </w:rPr>
        <w:t>1978</w:t>
      </w:r>
      <w:r>
        <w:rPr>
          <w:color w:val="000000"/>
          <w:spacing w:val="0"/>
          <w:w w:val="100"/>
          <w:position w:val="0"/>
        </w:rPr>
        <w:t>年出生，大专学历，中国国籍，无永久境外居留权，</w:t>
      </w:r>
      <w:r>
        <w:rPr>
          <w:rFonts w:ascii="Times New Roman" w:eastAsia="Times New Roman" w:hAnsi="Times New Roman" w:cs="Times New Roman"/>
          <w:color w:val="000000"/>
          <w:spacing w:val="0"/>
          <w:w w:val="100"/>
          <w:position w:val="0"/>
        </w:rPr>
        <w:t>2006</w:t>
      </w:r>
      <w:r>
        <w:rPr>
          <w:color w:val="000000"/>
          <w:spacing w:val="0"/>
          <w:w w:val="100"/>
          <w:position w:val="0"/>
        </w:rPr>
        <w:t>年至今任公司财务人员。</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 今任公司监事。</w:t>
      </w:r>
    </w:p>
    <w:p>
      <w:pPr>
        <w:pStyle w:val="Style28"/>
        <w:keepNext w:val="0"/>
        <w:keepLines w:val="0"/>
        <w:widowControl w:val="0"/>
        <w:shd w:val="clear" w:color="auto" w:fill="auto"/>
        <w:bidi w:val="0"/>
        <w:spacing w:before="0" w:after="0" w:line="313" w:lineRule="exact"/>
        <w:ind w:left="0" w:right="0"/>
        <w:jc w:val="both"/>
      </w:pPr>
      <w:bookmarkStart w:id="420" w:name="bookmark420"/>
      <w:r>
        <w:rPr>
          <w:rFonts w:ascii="Times New Roman" w:eastAsia="Times New Roman" w:hAnsi="Times New Roman" w:cs="Times New Roman"/>
          <w:color w:val="000000"/>
          <w:spacing w:val="0"/>
          <w:w w:val="100"/>
          <w:position w:val="0"/>
        </w:rPr>
        <w:t>3</w:t>
      </w:r>
      <w:bookmarkEnd w:id="420"/>
      <w:r>
        <w:rPr>
          <w:color w:val="000000"/>
          <w:spacing w:val="0"/>
          <w:w w:val="100"/>
          <w:position w:val="0"/>
        </w:rPr>
        <w:t>、 吴昊先生，</w:t>
      </w:r>
      <w:r>
        <w:rPr>
          <w:rFonts w:ascii="Times New Roman" w:eastAsia="Times New Roman" w:hAnsi="Times New Roman" w:cs="Times New Roman"/>
          <w:color w:val="000000"/>
          <w:spacing w:val="0"/>
          <w:w w:val="100"/>
          <w:position w:val="0"/>
        </w:rPr>
        <w:t>1975</w:t>
      </w:r>
      <w:r>
        <w:rPr>
          <w:color w:val="000000"/>
          <w:spacing w:val="0"/>
          <w:w w:val="100"/>
          <w:position w:val="0"/>
        </w:rPr>
        <w:t>年出生，硕士学历，中国国籍，无永久境外居留权，曾担任腾龙软件（上海）有限公司高级软件工 程师。</w:t>
      </w:r>
      <w:r>
        <w:rPr>
          <w:rFonts w:ascii="Times New Roman" w:eastAsia="Times New Roman" w:hAnsi="Times New Roman" w:cs="Times New Roman"/>
          <w:color w:val="000000"/>
          <w:spacing w:val="0"/>
          <w:w w:val="100"/>
          <w:position w:val="0"/>
        </w:rPr>
        <w:t>2007</w:t>
      </w:r>
      <w:r>
        <w:rPr>
          <w:color w:val="000000"/>
          <w:spacing w:val="0"/>
          <w:w w:val="100"/>
          <w:position w:val="0"/>
        </w:rPr>
        <w:t>年至今任公司供应链管理软件外包中心副部长。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月至今任公司监事。</w:t>
      </w:r>
    </w:p>
    <w:p>
      <w:pPr>
        <w:pStyle w:val="Style28"/>
        <w:keepNext w:val="0"/>
        <w:keepLines w:val="0"/>
        <w:widowControl w:val="0"/>
        <w:shd w:val="clear" w:color="auto" w:fill="auto"/>
        <w:bidi w:val="0"/>
        <w:spacing w:before="0" w:after="300" w:line="313" w:lineRule="exact"/>
        <w:ind w:left="0" w:right="0" w:firstLine="160"/>
        <w:jc w:val="both"/>
      </w:pPr>
      <w:bookmarkStart w:id="421" w:name="bookmark421"/>
      <w:r>
        <w:rPr>
          <w:rFonts w:ascii="Times New Roman" w:eastAsia="Times New Roman" w:hAnsi="Times New Roman" w:cs="Times New Roman"/>
          <w:color w:val="000000"/>
          <w:spacing w:val="0"/>
          <w:w w:val="100"/>
          <w:position w:val="0"/>
        </w:rPr>
        <w:t>4</w:t>
      </w:r>
      <w:bookmarkEnd w:id="421"/>
      <w:r>
        <w:rPr>
          <w:color w:val="000000"/>
          <w:spacing w:val="0"/>
          <w:w w:val="100"/>
          <w:position w:val="0"/>
        </w:rPr>
        <w:t>、王辉先生，</w:t>
      </w:r>
      <w:r>
        <w:rPr>
          <w:rFonts w:ascii="Times New Roman" w:eastAsia="Times New Roman" w:hAnsi="Times New Roman" w:cs="Times New Roman"/>
          <w:color w:val="000000"/>
          <w:spacing w:val="0"/>
          <w:w w:val="100"/>
          <w:position w:val="0"/>
        </w:rPr>
        <w:t>1978</w:t>
      </w:r>
      <w:r>
        <w:rPr>
          <w:color w:val="000000"/>
          <w:spacing w:val="0"/>
          <w:w w:val="100"/>
          <w:position w:val="0"/>
        </w:rPr>
        <w:t xml:space="preserve">年出生，本科学历，中国国籍，无永久境外居留权，曾担任江苏南大苏富特科技股份有限公司程序员。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月至今任公司供应链管理软件外包中心开发主管。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月任公司职工监事、监事会主席。</w:t>
      </w:r>
    </w:p>
    <w:p>
      <w:pPr>
        <w:pStyle w:val="Style28"/>
        <w:keepNext w:val="0"/>
        <w:keepLines w:val="0"/>
        <w:widowControl w:val="0"/>
        <w:shd w:val="clear" w:color="auto" w:fill="auto"/>
        <w:bidi w:val="0"/>
        <w:spacing w:before="0" w:after="80" w:line="313" w:lineRule="exact"/>
        <w:ind w:left="0" w:right="0" w:firstLine="0"/>
        <w:jc w:val="both"/>
      </w:pPr>
      <w:bookmarkStart w:id="422" w:name="bookmark422"/>
      <w:r>
        <w:rPr>
          <w:color w:val="000000"/>
          <w:spacing w:val="0"/>
          <w:w w:val="100"/>
          <w:position w:val="0"/>
        </w:rPr>
        <w:t>（</w:t>
      </w:r>
      <w:bookmarkEnd w:id="422"/>
      <w:r>
        <w:rPr>
          <w:color w:val="000000"/>
          <w:spacing w:val="0"/>
          <w:w w:val="100"/>
          <w:position w:val="0"/>
        </w:rPr>
        <w:t>三）公司现任高级管理人员工作经历</w:t>
      </w:r>
    </w:p>
    <w:p>
      <w:pPr>
        <w:pStyle w:val="Style28"/>
        <w:keepNext w:val="0"/>
        <w:keepLines w:val="0"/>
        <w:widowControl w:val="0"/>
        <w:shd w:val="clear" w:color="auto" w:fill="auto"/>
        <w:tabs>
          <w:tab w:pos="577" w:val="left"/>
        </w:tabs>
        <w:bidi w:val="0"/>
        <w:spacing w:before="0" w:after="0"/>
        <w:ind w:left="0" w:right="0"/>
        <w:jc w:val="both"/>
      </w:pPr>
      <w:bookmarkStart w:id="423" w:name="bookmark423"/>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周红卫先生，现任公司总裁，请参见本节</w:t>
      </w:r>
      <w:r>
        <w:rPr>
          <w:rFonts w:ascii="Times New Roman" w:eastAsia="Times New Roman" w:hAnsi="Times New Roman" w:cs="Times New Roman"/>
          <w:color w:val="000000"/>
          <w:spacing w:val="0"/>
          <w:w w:val="100"/>
          <w:position w:val="0"/>
        </w:rPr>
        <w:t>“</w:t>
      </w:r>
      <w:r>
        <w:rPr>
          <w:color w:val="000000"/>
          <w:spacing w:val="0"/>
          <w:w w:val="100"/>
          <w:position w:val="0"/>
        </w:rPr>
        <w:t>公司现任董事工作经历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tabs>
          <w:tab w:pos="594" w:val="left"/>
        </w:tabs>
        <w:bidi w:val="0"/>
        <w:spacing w:before="0" w:after="0" w:line="313" w:lineRule="exact"/>
        <w:ind w:left="0" w:right="0"/>
        <w:jc w:val="both"/>
      </w:pPr>
      <w:bookmarkStart w:id="424" w:name="bookmark424"/>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姚宁先生，现任公司常务副总裁兼技术总监，请参见本节</w:t>
      </w:r>
      <w:r>
        <w:rPr>
          <w:rFonts w:ascii="Times New Roman" w:eastAsia="Times New Roman" w:hAnsi="Times New Roman" w:cs="Times New Roman"/>
          <w:color w:val="000000"/>
          <w:spacing w:val="0"/>
          <w:w w:val="100"/>
          <w:position w:val="0"/>
        </w:rPr>
        <w:t>”</w:t>
      </w:r>
      <w:r>
        <w:rPr>
          <w:color w:val="000000"/>
          <w:spacing w:val="0"/>
          <w:w w:val="100"/>
          <w:position w:val="0"/>
        </w:rPr>
        <w:t>公司现任董事工作经历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tabs>
          <w:tab w:pos="594" w:val="left"/>
        </w:tabs>
        <w:bidi w:val="0"/>
        <w:spacing w:before="0" w:after="0" w:line="313" w:lineRule="exact"/>
        <w:ind w:left="0" w:right="0"/>
        <w:jc w:val="both"/>
      </w:pPr>
      <w:bookmarkStart w:id="425" w:name="bookmark425"/>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马玉峰先生，现任公司副总裁，请参见本节</w:t>
      </w:r>
      <w:r>
        <w:rPr>
          <w:rFonts w:ascii="Times New Roman" w:eastAsia="Times New Roman" w:hAnsi="Times New Roman" w:cs="Times New Roman"/>
          <w:color w:val="000000"/>
          <w:spacing w:val="0"/>
          <w:w w:val="100"/>
          <w:position w:val="0"/>
        </w:rPr>
        <w:t>“</w:t>
      </w:r>
      <w:r>
        <w:rPr>
          <w:color w:val="000000"/>
          <w:spacing w:val="0"/>
          <w:w w:val="100"/>
          <w:position w:val="0"/>
        </w:rPr>
        <w:t>公司现任董事工作经历</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28"/>
        <w:keepNext w:val="0"/>
        <w:keepLines w:val="0"/>
        <w:widowControl w:val="0"/>
        <w:shd w:val="clear" w:color="auto" w:fill="auto"/>
        <w:tabs>
          <w:tab w:pos="674" w:val="left"/>
        </w:tabs>
        <w:bidi w:val="0"/>
        <w:spacing w:before="0" w:after="0" w:line="317" w:lineRule="exact"/>
        <w:ind w:left="180" w:right="0" w:firstLine="140"/>
        <w:jc w:val="left"/>
      </w:pPr>
      <w:bookmarkStart w:id="426" w:name="bookmark426"/>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朱祖龙先生，现任公司财务总监兼董事会秘书，请参见本节</w:t>
      </w:r>
      <w:r>
        <w:rPr>
          <w:rFonts w:ascii="Times New Roman" w:eastAsia="Times New Roman" w:hAnsi="Times New Roman" w:cs="Times New Roman"/>
          <w:color w:val="000000"/>
          <w:spacing w:val="0"/>
          <w:w w:val="100"/>
          <w:position w:val="0"/>
        </w:rPr>
        <w:t>”</w:t>
      </w:r>
      <w:r>
        <w:rPr>
          <w:color w:val="000000"/>
          <w:spacing w:val="0"/>
          <w:w w:val="100"/>
          <w:position w:val="0"/>
        </w:rPr>
        <w:t>公司现任董事工作经历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tabs>
          <w:tab w:pos="673" w:val="left"/>
        </w:tabs>
        <w:bidi w:val="0"/>
        <w:spacing w:before="0" w:after="340" w:line="317" w:lineRule="exact"/>
        <w:ind w:left="180" w:right="0" w:firstLine="140"/>
        <w:jc w:val="left"/>
      </w:pPr>
      <w:bookmarkStart w:id="427" w:name="bookmark427"/>
      <w:r>
        <w:rPr>
          <w:rFonts w:ascii="Times New Roman" w:eastAsia="Times New Roman" w:hAnsi="Times New Roman" w:cs="Times New Roman"/>
          <w:color w:val="000000"/>
          <w:spacing w:val="0"/>
          <w:w w:val="100"/>
          <w:position w:val="0"/>
        </w:rPr>
        <w:t>5</w:t>
      </w:r>
      <w:bookmarkEnd w:id="427"/>
      <w:r>
        <w:rPr>
          <w:color w:val="000000"/>
          <w:spacing w:val="0"/>
          <w:w w:val="100"/>
          <w:position w:val="0"/>
        </w:rPr>
        <w:t>、</w:t>
        <w:tab/>
        <w:t>黄维江先生，离任公司财务总监兼董事会秘书，请参见本节</w:t>
      </w:r>
      <w:r>
        <w:rPr>
          <w:rFonts w:ascii="Times New Roman" w:eastAsia="Times New Roman" w:hAnsi="Times New Roman" w:cs="Times New Roman"/>
          <w:color w:val="000000"/>
          <w:spacing w:val="0"/>
          <w:w w:val="100"/>
          <w:position w:val="0"/>
        </w:rPr>
        <w:t>“</w:t>
      </w:r>
      <w:r>
        <w:rPr>
          <w:color w:val="000000"/>
          <w:spacing w:val="0"/>
          <w:w w:val="100"/>
          <w:position w:val="0"/>
        </w:rPr>
        <w:t>公司现任董事工作经历。</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公司董事、监事和高级管理人员不存在受证券监管机构处罚的情况。</w:t>
      </w:r>
    </w:p>
    <w:p>
      <w:pPr>
        <w:pStyle w:val="Style2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在股东单位任职情况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30"/>
        <w:gridCol w:w="159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25"/>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342" w:val="left"/>
              </w:tabs>
              <w:bidi w:val="0"/>
              <w:spacing w:before="0" w:after="0" w:line="240" w:lineRule="auto"/>
              <w:ind w:left="0" w:right="0" w:firstLine="0"/>
              <w:jc w:val="left"/>
            </w:pPr>
            <w:r>
              <w:rPr>
                <w:color w:val="000000"/>
                <w:spacing w:val="0"/>
                <w:w w:val="100"/>
                <w:position w:val="0"/>
              </w:rPr>
              <w:t>株式会社润和</w:t>
            </w:r>
            <w:r>
              <w:rPr>
                <w:rFonts w:ascii="Times New Roman" w:eastAsia="Times New Roman" w:hAnsi="Times New Roman" w:cs="Times New Roman"/>
                <w:color w:val="000000"/>
                <w:spacing w:val="0"/>
                <w:w w:val="100"/>
                <w:position w:val="0"/>
              </w:rPr>
              <w:t>7</w:t>
              <w:tab/>
            </w:r>
            <w:r>
              <w:rPr>
                <w:color w:val="000000"/>
                <w:spacing w:val="0"/>
                <w:w w:val="100"/>
                <w:position w:val="0"/>
              </w:rPr>
              <w:t>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代表取缔役、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南京淳泰投资管理有限公司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南京澜和电子商贸有限公司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MMAX DIGITAL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 Singapore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342" w:val="left"/>
              </w:tabs>
              <w:bidi w:val="0"/>
              <w:spacing w:before="0" w:after="0" w:line="240" w:lineRule="auto"/>
              <w:ind w:left="0" w:right="0" w:firstLine="0"/>
              <w:jc w:val="left"/>
            </w:pPr>
            <w:r>
              <w:rPr>
                <w:color w:val="000000"/>
                <w:spacing w:val="0"/>
                <w:w w:val="100"/>
                <w:position w:val="0"/>
              </w:rPr>
              <w:t>株式会社润和</w:t>
            </w:r>
            <w:r>
              <w:rPr>
                <w:rFonts w:ascii="Times New Roman" w:eastAsia="Times New Roman" w:hAnsi="Times New Roman" w:cs="Times New Roman"/>
                <w:color w:val="000000"/>
                <w:spacing w:val="0"/>
                <w:w w:val="100"/>
                <w:position w:val="0"/>
              </w:rPr>
              <w:t>7</w:t>
              <w:tab/>
            </w:r>
            <w:r>
              <w:rPr>
                <w:color w:val="000000"/>
                <w:spacing w:val="0"/>
                <w:w w:val="100"/>
                <w:position w:val="0"/>
              </w:rPr>
              <w:t>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取缔役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斯润天朗（北京）科技有限公司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MMAX DIGITAL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深圳市润和创新信息科技有限公司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MMAX DIGITAL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新一站保险代理有限公司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南京艾普太阳能设备有限公司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江苏赛联信息产业研究院股份有限公司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Apricus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文笔网路科技有限公司（台湾）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焦点进出口服务有限公司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Focus Technology (USA)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育见科技股份有限公司（台湾）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董化礼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江苏省广电有限信息网络股份有限公司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董化礼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上海大屯能源股份有限公司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江苏宏宝五金股份有限公司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江苏金智科技股份有限公司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南京吉隆光纤通信股份有限公司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无锡威孚高科技集团股份有限公司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南京普天通信股份有限公司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无锡邮信通物联网技术有限公司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三、董事、监事、高级管理人员报酬情况</w:t>
      </w:r>
      <w:bookmarkEnd w:id="428"/>
      <w:bookmarkEnd w:id="429"/>
      <w:bookmarkEnd w:id="430"/>
    </w:p>
    <w:tbl>
      <w:tblPr>
        <w:tblOverlap w:val="never"/>
        <w:jc w:val="center"/>
        <w:tblLayout w:type="fixed"/>
      </w:tblPr>
      <w:tblGrid>
        <w:gridCol w:w="3590"/>
        <w:gridCol w:w="599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公司董事、监事报酬由股东大会决定，高级管理人员报酬由董事会决定；公 司承担职务的董事、监事、高级管理人员报酬由公司支付，董事、监事不另 外支付津贴。独立董事津贴依据股东大会决议支付，独立董事会务费据实报 销。</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依据公司盈利水平及各董事、监事、高级管理人员的分工及履行情况确定。</w:t>
            </w:r>
          </w:p>
        </w:tc>
      </w:tr>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公司报告期内董事、监事、高级管理人员共</w:t>
            </w:r>
            <w:r>
              <w:rPr>
                <w:rFonts w:ascii="Times New Roman" w:eastAsia="Times New Roman" w:hAnsi="Times New Roman" w:cs="Times New Roman"/>
                <w:color w:val="000000"/>
                <w:spacing w:val="0"/>
                <w:w w:val="100"/>
                <w:position w:val="0"/>
              </w:rPr>
              <w:t>13</w:t>
            </w:r>
            <w:r>
              <w:rPr>
                <w:color w:val="000000"/>
                <w:spacing w:val="0"/>
                <w:w w:val="100"/>
                <w:position w:val="0"/>
              </w:rPr>
              <w:t>人（含离任人员），</w:t>
            </w:r>
            <w:r>
              <w:rPr>
                <w:rFonts w:ascii="Times New Roman" w:eastAsia="Times New Roman" w:hAnsi="Times New Roman" w:cs="Times New Roman"/>
                <w:color w:val="000000"/>
                <w:spacing w:val="0"/>
                <w:w w:val="100"/>
                <w:position w:val="0"/>
              </w:rPr>
              <w:t>2013</w:t>
            </w:r>
            <w:r>
              <w:rPr>
                <w:color w:val="000000"/>
                <w:spacing w:val="0"/>
                <w:w w:val="100"/>
                <w:position w:val="0"/>
              </w:rPr>
              <w:t>年实</w:t>
            </w:r>
          </w:p>
        </w:tc>
      </w:tr>
    </w:tbl>
    <w:p>
      <w:pPr>
        <w:spacing w:lineRule="exact" w:line="1"/>
        <w:rPr>
          <w:sz w:val="2"/>
          <w:szCs w:val="2"/>
        </w:rPr>
      </w:pPr>
      <w:r>
        <w:br w:type="page"/>
      </w:r>
    </w:p>
    <w:tbl>
      <w:tblPr>
        <w:tblOverlap w:val="never"/>
        <w:jc w:val="center"/>
        <w:tblLayout w:type="fixed"/>
      </w:tblPr>
      <w:tblGrid>
        <w:gridCol w:w="3586"/>
        <w:gridCol w:w="6000"/>
      </w:tblGrid>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际支付</w:t>
            </w:r>
            <w:r>
              <w:rPr>
                <w:rFonts w:ascii="Times New Roman" w:eastAsia="Times New Roman" w:hAnsi="Times New Roman" w:cs="Times New Roman"/>
                <w:color w:val="000000"/>
                <w:spacing w:val="0"/>
                <w:w w:val="100"/>
                <w:position w:val="0"/>
              </w:rPr>
              <w:t>242.57</w:t>
            </w:r>
            <w:r>
              <w:rPr>
                <w:color w:val="000000"/>
                <w:spacing w:val="0"/>
                <w:w w:val="100"/>
                <w:position w:val="0"/>
              </w:rPr>
              <w:t>万元。</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195"/>
        <w:gridCol w:w="1195"/>
        <w:gridCol w:w="1195"/>
        <w:gridCol w:w="121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董事、高级副 总裁兼技术总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董事、高级副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董事（原财务 总监、董事会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董化礼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294.94</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四、公司董事、监事、高级管理人员变动情况</w:t>
      </w:r>
      <w:bookmarkEnd w:id="431"/>
      <w:bookmarkEnd w:id="432"/>
      <w:bookmarkEnd w:id="433"/>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董事会秘书、财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代行董事会秘书职责</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代行董事会秘书职责</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五</w:t>
      </w:r>
      <w:bookmarkEnd w:id="436"/>
      <w:r>
        <w:rPr>
          <w:color w:val="000000"/>
          <w:spacing w:val="0"/>
          <w:w w:val="100"/>
          <w:position w:val="0"/>
          <w:sz w:val="24"/>
          <w:szCs w:val="24"/>
        </w:rPr>
        <w:t>、报告期核心技术团队或关键技术人员变动情况（非董事、监事、高级管理人员）</w:t>
      </w:r>
      <w:bookmarkEnd w:id="434"/>
      <w:bookmarkEnd w:id="435"/>
      <w:bookmarkEnd w:id="43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六</w:t>
      </w:r>
      <w:bookmarkEnd w:id="440"/>
      <w:r>
        <w:rPr>
          <w:color w:val="000000"/>
          <w:spacing w:val="0"/>
          <w:w w:val="100"/>
          <w:position w:val="0"/>
          <w:sz w:val="24"/>
          <w:szCs w:val="24"/>
        </w:rPr>
        <w:t>、公司员工情况</w:t>
      </w:r>
      <w:bookmarkEnd w:id="438"/>
      <w:bookmarkEnd w:id="439"/>
      <w:bookmarkEnd w:id="441"/>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日，公司员工总数为</w:t>
      </w:r>
      <w:r>
        <w:rPr>
          <w:rFonts w:ascii="Times New Roman" w:eastAsia="Times New Roman" w:hAnsi="Times New Roman" w:cs="Times New Roman"/>
          <w:color w:val="000000"/>
          <w:spacing w:val="0"/>
          <w:w w:val="100"/>
          <w:position w:val="0"/>
        </w:rPr>
        <w:t>1764</w:t>
      </w:r>
      <w:r>
        <w:rPr>
          <w:color w:val="000000"/>
          <w:spacing w:val="0"/>
          <w:w w:val="100"/>
          <w:position w:val="0"/>
        </w:rPr>
        <w:t>人（包含公司和各子公司），公司员工按专业、学历、年龄划分的构成如下:</w:t>
      </w:r>
    </w:p>
    <w:p>
      <w:pPr>
        <w:pStyle w:val="Style19"/>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、按专业结构划分</w:t>
      </w:r>
    </w:p>
    <w:tbl>
      <w:tblPr>
        <w:tblOverlap w:val="never"/>
        <w:jc w:val="left"/>
        <w:tblLayout w:type="fixed"/>
      </w:tblPr>
      <w:tblGrid>
        <w:gridCol w:w="2208"/>
        <w:gridCol w:w="960"/>
        <w:gridCol w:w="1848"/>
      </w:tblGrid>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专业结构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占员工总数的比例</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86.62%</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5.27%</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8.11%</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、按学历结构划分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学历结构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占员工总数的比例</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大学本科及以上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81.41%</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大学专科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0.79%</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、按年龄结构划分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年龄结构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占员工总数的比例</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15.14%</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83.11%</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16"/>
        <w:keepNext/>
        <w:keepLines/>
        <w:widowControl w:val="0"/>
        <w:shd w:val="clear" w:color="auto" w:fill="auto"/>
        <w:bidi w:val="0"/>
        <w:spacing w:before="0" w:line="240" w:lineRule="auto"/>
        <w:ind w:left="0" w:right="0" w:firstLine="0"/>
        <w:jc w:val="center"/>
      </w:pPr>
      <w:bookmarkStart w:id="442" w:name="bookmark442"/>
      <w:bookmarkStart w:id="443" w:name="bookmark443"/>
      <w:bookmarkStart w:id="444" w:name="bookmark444"/>
      <w:r>
        <w:rPr>
          <w:color w:val="000000"/>
          <w:spacing w:val="0"/>
          <w:w w:val="100"/>
          <w:position w:val="0"/>
        </w:rPr>
        <w:t>第八节公司治理</w:t>
      </w:r>
      <w:bookmarkEnd w:id="442"/>
      <w:bookmarkEnd w:id="443"/>
      <w:bookmarkEnd w:id="444"/>
    </w:p>
    <w:p>
      <w:pPr>
        <w:pStyle w:val="Style31"/>
        <w:keepNext/>
        <w:keepLines/>
        <w:widowControl w:val="0"/>
        <w:shd w:val="clear" w:color="auto" w:fill="auto"/>
        <w:bidi w:val="0"/>
        <w:spacing w:before="0" w:after="26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一、公司治理的基本状况</w:t>
      </w:r>
      <w:bookmarkEnd w:id="446"/>
      <w:bookmarkEnd w:id="447"/>
      <w:bookmarkEnd w:id="448"/>
      <w:bookmarkEnd w:id="445"/>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报告期内，公司严格按照《公司法》、《证券法》、《上市公司治理准则》、《深圳证券交易所创业板股票上市规则》、</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《深圳证券交易所创业板上市公司规范运作指引》和其他有关法律法规的要求，不断完善公司法人治理结构，进一步规范公 司法人治理结构，建立健全公司内部管理和控制制度。公司本着对投资者高度负责的精神，诚信经营并规范运作，提高公司 治理水品，切实履行上市公司义务，促进公司健康发展。截至报告期末，公司治理结构的实际情况符合中国证监会发布的有 关上市公司治理规范性文件的要求。</w:t>
      </w:r>
    </w:p>
    <w:p>
      <w:pPr>
        <w:pStyle w:val="Style28"/>
        <w:keepNext w:val="0"/>
        <w:keepLines w:val="0"/>
        <w:widowControl w:val="0"/>
        <w:shd w:val="clear" w:color="auto" w:fill="auto"/>
        <w:tabs>
          <w:tab w:pos="634" w:val="left"/>
        </w:tabs>
        <w:bidi w:val="0"/>
        <w:spacing w:before="0" w:after="0" w:line="315" w:lineRule="exact"/>
        <w:ind w:left="0" w:right="0"/>
        <w:jc w:val="both"/>
      </w:pPr>
      <w:bookmarkStart w:id="449" w:name="bookmark449"/>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关于股东和股东大会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公司严格按照《公司法》、《公司章程》和《股东大会议事规则》等法律、法规要求，规范股东大会召集、召开、表决 程序，确保所有股东享有平等地位、平等权利，充分行使自己的权利，并承担相应的义务。</w:t>
      </w:r>
    </w:p>
    <w:p>
      <w:pPr>
        <w:pStyle w:val="Style28"/>
        <w:keepNext w:val="0"/>
        <w:keepLines w:val="0"/>
        <w:widowControl w:val="0"/>
        <w:shd w:val="clear" w:color="auto" w:fill="auto"/>
        <w:tabs>
          <w:tab w:pos="654" w:val="left"/>
        </w:tabs>
        <w:bidi w:val="0"/>
        <w:spacing w:before="0" w:after="0" w:line="315" w:lineRule="exact"/>
        <w:ind w:left="0" w:right="0"/>
        <w:jc w:val="both"/>
      </w:pPr>
      <w:bookmarkStart w:id="450" w:name="bookmark450"/>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t>关于公司与控股股东</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公司控股股东严格规范自身行为，没有直接或间接干预公司的决策和经营活动。公司具有独立的经营能力，在业务、人 员、资产、机构、财务上独立于控股股东，公司董事会、监事会和内部机构能够独立运作。</w:t>
      </w:r>
    </w:p>
    <w:p>
      <w:pPr>
        <w:pStyle w:val="Style28"/>
        <w:keepNext w:val="0"/>
        <w:keepLines w:val="0"/>
        <w:widowControl w:val="0"/>
        <w:shd w:val="clear" w:color="auto" w:fill="auto"/>
        <w:tabs>
          <w:tab w:pos="654" w:val="left"/>
        </w:tabs>
        <w:bidi w:val="0"/>
        <w:spacing w:before="0" w:after="0" w:line="315" w:lineRule="exact"/>
        <w:ind w:left="0" w:right="0"/>
        <w:jc w:val="both"/>
      </w:pPr>
      <w:bookmarkStart w:id="451" w:name="bookmark451"/>
      <w:r>
        <w:rPr>
          <w:rFonts w:ascii="Times New Roman" w:eastAsia="Times New Roman" w:hAnsi="Times New Roman" w:cs="Times New Roman"/>
          <w:color w:val="000000"/>
          <w:spacing w:val="0"/>
          <w:w w:val="100"/>
          <w:position w:val="0"/>
        </w:rPr>
        <w:t>3</w:t>
      </w:r>
      <w:bookmarkEnd w:id="451"/>
      <w:r>
        <w:rPr>
          <w:color w:val="000000"/>
          <w:spacing w:val="0"/>
          <w:w w:val="100"/>
          <w:position w:val="0"/>
        </w:rPr>
        <w:t>、</w:t>
        <w:tab/>
        <w:t>关于董事与董事会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名，董事会的人数及人员构成符合法律、法规和《公司章程》的要求。各位董事 能够严格按照《公司法》、《公司章程》和《董事会议事规则》等法律、法规开展工作，诚信、勤勉地履行职责，出席董事 会会议和股东大会，勤勉尽责地履行职责和义务，同时积极参加有关培训，熟悉有关法律法规。</w:t>
      </w:r>
    </w:p>
    <w:p>
      <w:pPr>
        <w:pStyle w:val="Style28"/>
        <w:keepNext w:val="0"/>
        <w:keepLines w:val="0"/>
        <w:widowControl w:val="0"/>
        <w:shd w:val="clear" w:color="auto" w:fill="auto"/>
        <w:tabs>
          <w:tab w:pos="654" w:val="left"/>
        </w:tabs>
        <w:bidi w:val="0"/>
        <w:spacing w:before="0" w:after="0" w:line="315" w:lineRule="exact"/>
        <w:ind w:left="0" w:right="0"/>
        <w:jc w:val="both"/>
      </w:pPr>
      <w:bookmarkStart w:id="452" w:name="bookmark452"/>
      <w:r>
        <w:rPr>
          <w:rFonts w:ascii="Times New Roman" w:eastAsia="Times New Roman" w:hAnsi="Times New Roman" w:cs="Times New Roman"/>
          <w:color w:val="000000"/>
          <w:spacing w:val="0"/>
          <w:w w:val="100"/>
          <w:position w:val="0"/>
        </w:rPr>
        <w:t>4</w:t>
      </w:r>
      <w:bookmarkEnd w:id="452"/>
      <w:r>
        <w:rPr>
          <w:color w:val="000000"/>
          <w:spacing w:val="0"/>
          <w:w w:val="100"/>
          <w:position w:val="0"/>
        </w:rPr>
        <w:t>、</w:t>
        <w:tab/>
        <w:t>监事与监事会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《公司章程》和《监事会议事规则》的有关规定认真履行职责，对公司财务状况、重大事项、关联交易以及公司董事及高级 管理人员履行职责的合法合规性进行监督，维护公司及股东的合法权益。</w:t>
      </w:r>
    </w:p>
    <w:p>
      <w:pPr>
        <w:pStyle w:val="Style28"/>
        <w:keepNext w:val="0"/>
        <w:keepLines w:val="0"/>
        <w:widowControl w:val="0"/>
        <w:shd w:val="clear" w:color="auto" w:fill="auto"/>
        <w:tabs>
          <w:tab w:pos="654" w:val="left"/>
        </w:tabs>
        <w:bidi w:val="0"/>
        <w:spacing w:before="0" w:after="0" w:line="315" w:lineRule="exact"/>
        <w:ind w:left="0" w:right="0"/>
        <w:jc w:val="left"/>
      </w:pPr>
      <w:bookmarkStart w:id="453" w:name="bookmark453"/>
      <w:r>
        <w:rPr>
          <w:rFonts w:ascii="Times New Roman" w:eastAsia="Times New Roman" w:hAnsi="Times New Roman" w:cs="Times New Roman"/>
          <w:color w:val="000000"/>
          <w:spacing w:val="0"/>
          <w:w w:val="100"/>
          <w:position w:val="0"/>
        </w:rPr>
        <w:t>5</w:t>
      </w:r>
      <w:bookmarkEnd w:id="453"/>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公司董事会下设的提名、薪酬与考核委员会负责对公司的董事、监事、高级管理人员进行绩效考核，公司现有的考核及 激励约束机制符合公司的发展现状。</w:t>
      </w:r>
    </w:p>
    <w:p>
      <w:pPr>
        <w:pStyle w:val="Style28"/>
        <w:keepNext w:val="0"/>
        <w:keepLines w:val="0"/>
        <w:widowControl w:val="0"/>
        <w:shd w:val="clear" w:color="auto" w:fill="auto"/>
        <w:tabs>
          <w:tab w:pos="654" w:val="left"/>
        </w:tabs>
        <w:bidi w:val="0"/>
        <w:spacing w:before="0" w:after="0" w:line="315" w:lineRule="exact"/>
        <w:ind w:left="0" w:right="0"/>
        <w:jc w:val="left"/>
      </w:pPr>
      <w:bookmarkStart w:id="454" w:name="bookmark454"/>
      <w:r>
        <w:rPr>
          <w:rFonts w:ascii="Times New Roman" w:eastAsia="Times New Roman" w:hAnsi="Times New Roman" w:cs="Times New Roman"/>
          <w:color w:val="000000"/>
          <w:spacing w:val="0"/>
          <w:w w:val="100"/>
          <w:position w:val="0"/>
        </w:rPr>
        <w:t>6</w:t>
      </w:r>
      <w:bookmarkEnd w:id="454"/>
      <w:r>
        <w:rPr>
          <w:color w:val="000000"/>
          <w:spacing w:val="0"/>
          <w:w w:val="100"/>
          <w:position w:val="0"/>
        </w:rPr>
        <w:t>、</w:t>
        <w:tab/>
        <w:t>关于信息披露与透明度</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公司严格按照有关法律法规以及《信息披露制度》、《投资者关系管理制度》等的要求，真实、准确、及时、公平、完 整地披露有关信息；并指定公司董事会秘书负责信息披露工作，协调公司与投资者的关系，接待股东来访</w:t>
      </w:r>
      <w:r>
        <w:rPr>
          <w:color w:val="000000"/>
          <w:spacing w:val="0"/>
          <w:w w:val="100"/>
          <w:position w:val="0"/>
        </w:rPr>
        <w:t>，</w:t>
      </w:r>
      <w:r>
        <w:rPr>
          <w:color w:val="000000"/>
          <w:spacing w:val="0"/>
          <w:w w:val="100"/>
          <w:position w:val="0"/>
        </w:rPr>
        <w:t>回答投资者咨询， 向投资者提供公司已披露的资料；并指定《证券时报》、《中国证券报》、《上海证券报》、《证券日报》和巨潮资讯网</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r>
        <w:rPr>
          <w:rFonts w:ascii="Times New Roman" w:eastAsia="Times New Roman" w:hAnsi="Times New Roman" w:cs="Times New Roman"/>
          <w:color w:val="000000"/>
          <w:spacing w:val="0"/>
          <w:w w:val="100"/>
          <w:position w:val="0"/>
        </w:rPr>
        <w:t>2013</w:t>
      </w:r>
      <w:r>
        <w:rPr>
          <w:color w:val="000000"/>
          <w:spacing w:val="0"/>
          <w:w w:val="100"/>
          <w:position w:val="0"/>
        </w:rPr>
        <w:t>年，公司 新制定了《年度报告信息重大差错责任追究制度》、《董事、监事和高级管理人员所持本公司股份及其变动管理制度》，并 对《公司章程》、《信息披露管理制度》、《内部审计制度》、《对外投资管理制度》、《内幕信息知情人登记和报备制度》 作出了修订。</w:t>
      </w:r>
    </w:p>
    <w:p>
      <w:pPr>
        <w:pStyle w:val="Style28"/>
        <w:keepNext w:val="0"/>
        <w:keepLines w:val="0"/>
        <w:widowControl w:val="0"/>
        <w:shd w:val="clear" w:color="auto" w:fill="auto"/>
        <w:tabs>
          <w:tab w:pos="654" w:val="left"/>
        </w:tabs>
        <w:bidi w:val="0"/>
        <w:spacing w:before="0" w:after="0" w:line="315" w:lineRule="exact"/>
        <w:ind w:left="0" w:right="0"/>
        <w:jc w:val="both"/>
      </w:pPr>
      <w:bookmarkStart w:id="455" w:name="bookmark455"/>
      <w:r>
        <w:rPr>
          <w:rFonts w:ascii="Times New Roman" w:eastAsia="Times New Roman" w:hAnsi="Times New Roman" w:cs="Times New Roman"/>
          <w:color w:val="000000"/>
          <w:spacing w:val="0"/>
          <w:w w:val="100"/>
          <w:position w:val="0"/>
        </w:rPr>
        <w:t>7</w:t>
      </w:r>
      <w:bookmarkEnd w:id="455"/>
      <w:r>
        <w:rPr>
          <w:color w:val="000000"/>
          <w:spacing w:val="0"/>
          <w:w w:val="100"/>
          <w:position w:val="0"/>
        </w:rPr>
        <w:t>、</w:t>
        <w:tab/>
        <w:t>关于相关利益者</w:t>
      </w:r>
    </w:p>
    <w:p>
      <w:pPr>
        <w:pStyle w:val="Style28"/>
        <w:keepNext w:val="0"/>
        <w:keepLines w:val="0"/>
        <w:widowControl w:val="0"/>
        <w:shd w:val="clear" w:color="auto" w:fill="auto"/>
        <w:bidi w:val="0"/>
        <w:spacing w:before="0" w:after="340" w:line="315" w:lineRule="exact"/>
        <w:ind w:left="0" w:right="0"/>
        <w:jc w:val="both"/>
      </w:pPr>
      <w:r>
        <w:rPr>
          <w:color w:val="000000"/>
          <w:spacing w:val="0"/>
          <w:w w:val="100"/>
          <w:position w:val="0"/>
        </w:rPr>
        <w:t>公司能够充分尊重和维护相关利益者的合法权益，积极与相关利益者合作，加强与各方的沟通和交流，实现股东、员工、 社会等各方面的均衡，共同推动公司持续、稳定、健康地发展。</w:t>
      </w:r>
    </w:p>
    <w:p>
      <w:pPr>
        <w:pStyle w:val="Style28"/>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1"/>
        <w:keepNext/>
        <w:keepLines/>
        <w:widowControl w:val="0"/>
        <w:shd w:val="clear" w:color="auto" w:fill="auto"/>
        <w:bidi w:val="0"/>
        <w:spacing w:before="0" w:after="32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二</w:t>
      </w:r>
      <w:bookmarkEnd w:id="458"/>
      <w:r>
        <w:rPr>
          <w:color w:val="000000"/>
          <w:spacing w:val="0"/>
          <w:w w:val="100"/>
          <w:position w:val="0"/>
          <w:sz w:val="24"/>
          <w:szCs w:val="24"/>
        </w:rPr>
        <w:t>、报告期内召开的年度股东大会和临时股东大会的有关情况</w:t>
      </w:r>
      <w:bookmarkEnd w:id="456"/>
      <w:bookmarkEnd w:id="457"/>
      <w:bookmarkEnd w:id="459"/>
    </w:p>
    <w:p>
      <w:pPr>
        <w:pStyle w:val="Style33"/>
        <w:keepNext/>
        <w:keepLines/>
        <w:widowControl w:val="0"/>
        <w:shd w:val="clear" w:color="auto" w:fill="auto"/>
        <w:bidi w:val="0"/>
        <w:spacing w:before="0" w:after="32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、本报告期年度股东大会情况</w:t>
      </w:r>
      <w:bookmarkEnd w:id="460"/>
      <w:bookmarkEnd w:id="461"/>
      <w:bookmarkEnd w:id="463"/>
    </w:p>
    <w:tbl>
      <w:tblPr>
        <w:tblOverlap w:val="never"/>
        <w:jc w:val="center"/>
        <w:tblLayout w:type="fixed"/>
      </w:tblPr>
      <w:tblGrid>
        <w:gridCol w:w="2400"/>
        <w:gridCol w:w="2405"/>
        <w:gridCol w:w="2376"/>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、本报告期临时股东大会情况</w:t>
      </w:r>
      <w:bookmarkEnd w:id="464"/>
      <w:bookmarkEnd w:id="465"/>
      <w:bookmarkEnd w:id="467"/>
    </w:p>
    <w:tbl>
      <w:tblPr>
        <w:tblOverlap w:val="never"/>
        <w:jc w:val="center"/>
        <w:tblLayout w:type="fixed"/>
      </w:tblPr>
      <w:tblGrid>
        <w:gridCol w:w="2400"/>
        <w:gridCol w:w="2400"/>
        <w:gridCol w:w="2381"/>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、报告期董事会召开情况</w:t>
      </w:r>
      <w:bookmarkEnd w:id="468"/>
      <w:bookmarkEnd w:id="469"/>
      <w:bookmarkEnd w:id="471"/>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第三届董事会第二十二次会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四</w:t>
      </w:r>
      <w:bookmarkEnd w:id="474"/>
      <w:r>
        <w:rPr>
          <w:color w:val="000000"/>
          <w:spacing w:val="0"/>
          <w:w w:val="100"/>
          <w:position w:val="0"/>
          <w:sz w:val="24"/>
          <w:szCs w:val="24"/>
        </w:rPr>
        <w:t>、年度报告重大差错责任追究制度的建立与执行情况</w:t>
      </w:r>
      <w:bookmarkEnd w:id="472"/>
      <w:bookmarkEnd w:id="473"/>
      <w:bookmarkEnd w:id="475"/>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公司严格按照《公司法》、《证券法》、《上市公司信息披露管理办法》、《深圳证券交易所创业板股票上市交易规则》、《创 业板上市公司规范运作指引》等法律法规、规范性文件及《公司章程》、《信息披露管理制度》的有关规定，健全公司信息披 露管理制度，提高规范运作水平，增强信息披露的真实性、准确性、完整性和及时性。公司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日召开的第三届 董事会第二十二次会议审议通过了《年度报告信息重大差错责任追究制度》。该制度的建立，完善了公司内部控制，加大了 </w:t>
      </w:r>
      <w:r>
        <w:rPr>
          <w:color w:val="000000"/>
          <w:spacing w:val="0"/>
          <w:w w:val="100"/>
          <w:position w:val="0"/>
        </w:rPr>
        <w:t>对年报信息披露责任人的问责力度，提高年报信息披露的质量和透明度，确保年报信息披露的真实性、准确性、完整性和及 时性。截至报告期末，公司不存在有关监管部门对责任人采取问责措施的情形。</w:t>
      </w:r>
    </w:p>
    <w:p>
      <w:pPr>
        <w:pStyle w:val="Style31"/>
        <w:keepNext/>
        <w:keepLines/>
        <w:widowControl w:val="0"/>
        <w:shd w:val="clear" w:color="auto" w:fill="auto"/>
        <w:bidi w:val="0"/>
        <w:spacing w:before="0" w:after="2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五</w:t>
      </w:r>
      <w:bookmarkEnd w:id="478"/>
      <w:r>
        <w:rPr>
          <w:color w:val="000000"/>
          <w:spacing w:val="0"/>
          <w:w w:val="100"/>
          <w:position w:val="0"/>
          <w:sz w:val="24"/>
          <w:szCs w:val="24"/>
        </w:rPr>
        <w:t>、监事会工作情况</w:t>
      </w:r>
      <w:bookmarkEnd w:id="476"/>
      <w:bookmarkEnd w:id="477"/>
      <w:bookmarkEnd w:id="479"/>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60" w:line="312" w:lineRule="exact"/>
        <w:ind w:left="0" w:right="0" w:firstLine="0"/>
        <w:jc w:val="left"/>
        <w:sectPr>
          <w:footnotePr>
            <w:pos w:val="pageBottom"/>
            <w:numFmt w:val="decimal"/>
            <w:numRestart w:val="continuous"/>
          </w:footnotePr>
          <w:pgSz w:w="11900" w:h="16840"/>
          <w:pgMar w:top="1374" w:right="1068" w:bottom="1451" w:left="1054" w:header="0" w:footer="3" w:gutter="0"/>
          <w:cols w:space="720"/>
          <w:noEndnote/>
          <w:rtlGutter w:val="0"/>
          <w:docGrid w:linePitch="360"/>
        </w:sectPr>
      </w:pPr>
      <w:r>
        <w:rPr>
          <w:color w:val="000000"/>
          <w:spacing w:val="0"/>
          <w:w w:val="100"/>
          <w:position w:val="0"/>
        </w:rPr>
        <w:t>公司监事会对报告期内的监督事项无异议。</w:t>
      </w:r>
    </w:p>
    <w:p>
      <w:pPr>
        <w:pStyle w:val="Style16"/>
        <w:keepNext/>
        <w:keepLines/>
        <w:widowControl w:val="0"/>
        <w:shd w:val="clear" w:color="auto" w:fill="auto"/>
        <w:bidi w:val="0"/>
        <w:spacing w:before="780" w:after="520" w:line="240" w:lineRule="auto"/>
        <w:ind w:left="0" w:right="0" w:firstLine="0"/>
        <w:jc w:val="center"/>
      </w:pPr>
      <w:bookmarkStart w:id="480" w:name="bookmark480"/>
      <w:bookmarkStart w:id="481" w:name="bookmark481"/>
      <w:bookmarkStart w:id="482" w:name="bookmark482"/>
      <w:r>
        <w:rPr>
          <w:color w:val="000000"/>
          <w:spacing w:val="0"/>
          <w:w w:val="100"/>
          <w:position w:val="0"/>
        </w:rPr>
        <w:t>第九节财务报告</w:t>
      </w:r>
      <w:bookmarkEnd w:id="480"/>
      <w:bookmarkEnd w:id="481"/>
      <w:bookmarkEnd w:id="482"/>
    </w:p>
    <w:p>
      <w:pPr>
        <w:pStyle w:val="Style31"/>
        <w:keepNext/>
        <w:keepLines/>
        <w:widowControl w:val="0"/>
        <w:shd w:val="clear" w:color="auto" w:fill="auto"/>
        <w:bidi w:val="0"/>
        <w:spacing w:before="0" w:after="340" w:line="240" w:lineRule="auto"/>
        <w:ind w:left="0" w:right="0" w:firstLine="260"/>
        <w:jc w:val="both"/>
      </w:pPr>
      <w:bookmarkStart w:id="483" w:name="bookmark483"/>
      <w:bookmarkStart w:id="484" w:name="bookmark484"/>
      <w:bookmarkStart w:id="485" w:name="bookmark485"/>
      <w:bookmarkStart w:id="486" w:name="bookmark486"/>
      <w:r>
        <w:rPr>
          <w:color w:val="000000"/>
          <w:spacing w:val="0"/>
          <w:w w:val="100"/>
          <w:position w:val="0"/>
          <w:sz w:val="24"/>
          <w:szCs w:val="24"/>
        </w:rPr>
        <w:t>、审计报告</w:t>
      </w:r>
      <w:bookmarkEnd w:id="484"/>
      <w:bookmarkEnd w:id="485"/>
      <w:bookmarkEnd w:id="486"/>
      <w:bookmarkEnd w:id="48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会审字</w:t>
            </w:r>
            <w:r>
              <w:rPr>
                <w:rFonts w:ascii="Times New Roman" w:eastAsia="Times New Roman" w:hAnsi="Times New Roman" w:cs="Times New Roman"/>
                <w:color w:val="000000"/>
                <w:spacing w:val="0"/>
                <w:w w:val="100"/>
                <w:position w:val="0"/>
              </w:rPr>
              <w:t>[2014]0912</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张全心、褚诗炜、程飞龙</w:t>
            </w:r>
          </w:p>
        </w:tc>
      </w:tr>
    </w:tbl>
    <w:p>
      <w:pPr>
        <w:pStyle w:val="Style1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江苏润和软件股份有限公司全体股东：</w:t>
      </w:r>
    </w:p>
    <w:p>
      <w:pPr>
        <w:pStyle w:val="Style28"/>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我们审计了后附的江苏润和软件股份有限公司（以下简称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润和软件</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年度的合并及母公司利润表、合并及母公司现金流量表、合并及母公司股东权益变动表以及财务报表附 注。</w:t>
      </w:r>
    </w:p>
    <w:p>
      <w:pPr>
        <w:pStyle w:val="Style28"/>
        <w:keepNext w:val="0"/>
        <w:keepLines w:val="0"/>
        <w:widowControl w:val="0"/>
        <w:shd w:val="clear" w:color="auto" w:fill="auto"/>
        <w:tabs>
          <w:tab w:pos="955" w:val="left"/>
        </w:tabs>
        <w:bidi w:val="0"/>
        <w:spacing w:before="0" w:after="0" w:line="310" w:lineRule="exact"/>
        <w:ind w:left="0" w:right="0" w:firstLine="520"/>
        <w:jc w:val="both"/>
      </w:pPr>
      <w:bookmarkStart w:id="487" w:name="bookmark487"/>
      <w:r>
        <w:rPr>
          <w:color w:val="000000"/>
          <w:spacing w:val="0"/>
          <w:w w:val="100"/>
          <w:position w:val="0"/>
        </w:rPr>
        <w:t>一</w:t>
      </w:r>
      <w:bookmarkEnd w:id="487"/>
      <w:r>
        <w:rPr>
          <w:color w:val="000000"/>
          <w:spacing w:val="0"/>
          <w:w w:val="100"/>
          <w:position w:val="0"/>
        </w:rPr>
        <w:t>、</w:t>
        <w:tab/>
        <w:t>管理层对财务报表的责任</w:t>
      </w:r>
    </w:p>
    <w:p>
      <w:pPr>
        <w:pStyle w:val="Style28"/>
        <w:keepNext w:val="0"/>
        <w:keepLines w:val="0"/>
        <w:widowControl w:val="0"/>
        <w:shd w:val="clear" w:color="auto" w:fill="auto"/>
        <w:bidi w:val="0"/>
        <w:spacing w:before="0" w:after="0" w:line="310" w:lineRule="exact"/>
        <w:ind w:left="0" w:right="0" w:firstLine="520"/>
        <w:jc w:val="both"/>
      </w:pPr>
      <w:r>
        <w:rPr>
          <w:color w:val="000000"/>
          <w:spacing w:val="0"/>
          <w:w w:val="100"/>
          <w:position w:val="0"/>
        </w:rPr>
        <w:t>编制和公允列报财务报表是润和软件管理层的责任，这种责任包括：（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955" w:val="left"/>
        </w:tabs>
        <w:bidi w:val="0"/>
        <w:spacing w:before="0" w:after="0" w:line="310" w:lineRule="exact"/>
        <w:ind w:left="0" w:right="0" w:firstLine="520"/>
        <w:jc w:val="both"/>
      </w:pPr>
      <w:bookmarkStart w:id="488" w:name="bookmark488"/>
      <w:r>
        <w:rPr>
          <w:color w:val="000000"/>
          <w:spacing w:val="0"/>
          <w:w w:val="100"/>
          <w:position w:val="0"/>
        </w:rPr>
        <w:t>二</w:t>
      </w:r>
      <w:bookmarkEnd w:id="488"/>
      <w:r>
        <w:rPr>
          <w:color w:val="000000"/>
          <w:spacing w:val="0"/>
          <w:w w:val="100"/>
          <w:position w:val="0"/>
        </w:rPr>
        <w:t>、</w:t>
        <w:tab/>
        <w:t>注册会计师的责任</w:t>
      </w:r>
    </w:p>
    <w:p>
      <w:pPr>
        <w:pStyle w:val="Style28"/>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8"/>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bidi w:val="0"/>
        <w:spacing w:before="0" w:after="0" w:line="310" w:lineRule="exact"/>
        <w:ind w:left="0" w:right="0" w:firstLine="440"/>
        <w:jc w:val="both"/>
      </w:pPr>
      <w:bookmarkStart w:id="489" w:name="bookmark489"/>
      <w:r>
        <w:rPr>
          <w:color w:val="000000"/>
          <w:spacing w:val="0"/>
          <w:w w:val="100"/>
          <w:position w:val="0"/>
        </w:rPr>
        <w:t>三</w:t>
      </w:r>
      <w:bookmarkEnd w:id="489"/>
      <w:r>
        <w:rPr>
          <w:color w:val="000000"/>
          <w:spacing w:val="0"/>
          <w:w w:val="100"/>
          <w:position w:val="0"/>
        </w:rPr>
        <w:t>、审计意见</w:t>
      </w:r>
    </w:p>
    <w:p>
      <w:pPr>
        <w:pStyle w:val="Style28"/>
        <w:keepNext w:val="0"/>
        <w:keepLines w:val="0"/>
        <w:widowControl w:val="0"/>
        <w:shd w:val="clear" w:color="auto" w:fill="auto"/>
        <w:bidi w:val="0"/>
        <w:spacing w:before="0" w:after="700" w:line="310" w:lineRule="exact"/>
        <w:ind w:left="0" w:right="0" w:firstLine="440"/>
        <w:jc w:val="both"/>
      </w:pPr>
      <w:r>
        <w:rPr>
          <w:color w:val="000000"/>
          <w:spacing w:val="0"/>
          <w:w w:val="100"/>
          <w:position w:val="0"/>
        </w:rPr>
        <w:t>我们认为，润和软件财务报表在所有重大方面按照企业会计准则的规定编制，公允反映了润和软件</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年度的合并及母公司经营成果和现金流量。</w:t>
      </w:r>
    </w:p>
    <w:p>
      <w:pPr>
        <w:pStyle w:val="Style31"/>
        <w:keepNext/>
        <w:keepLines/>
        <w:widowControl w:val="0"/>
        <w:shd w:val="clear" w:color="auto" w:fill="auto"/>
        <w:bidi w:val="0"/>
        <w:spacing w:before="0" w:after="34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二</w:t>
      </w:r>
      <w:bookmarkEnd w:id="492"/>
      <w:r>
        <w:rPr>
          <w:color w:val="000000"/>
          <w:spacing w:val="0"/>
          <w:w w:val="100"/>
          <w:position w:val="0"/>
          <w:sz w:val="24"/>
          <w:szCs w:val="24"/>
        </w:rPr>
        <w:t>、财务报表</w:t>
      </w:r>
      <w:bookmarkEnd w:id="490"/>
      <w:bookmarkEnd w:id="491"/>
      <w:bookmarkEnd w:id="493"/>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财务附注中报表的单位为：人民币元</w:t>
      </w:r>
    </w:p>
    <w:p>
      <w:pPr>
        <w:pStyle w:val="Style33"/>
        <w:keepNext/>
        <w:keepLines/>
        <w:widowControl w:val="0"/>
        <w:shd w:val="clear" w:color="auto" w:fill="auto"/>
        <w:bidi w:val="0"/>
        <w:spacing w:before="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、合并资产负债表</w:t>
      </w:r>
      <w:bookmarkEnd w:id="494"/>
      <w:bookmarkEnd w:id="495"/>
      <w:bookmarkEnd w:id="49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编制单位：江苏润和软件股份有限公司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433,166,369.98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513,711,110.43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5,914,180.00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1,018,000.00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184,348,835.07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127,484,338.76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14,369,068.58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763,580.40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1,439,227.81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3,778,543.39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27,670,684.95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8,717,415.42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40,830,809.05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21,156,410.06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4,178,204.05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1,176,662.75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711,917,379.49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678,703,661.21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1,051,535.39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130,732,217.03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121,898,492.10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176,170,376.06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6,327,788.29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58,826,498.34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40,217,160.14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12,597,330.80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1,040,688.94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1,109,300.46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238,426.67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1,103,888.52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1,070,844.03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381,591,146.60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170,793,400.17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1,093,508,526.09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849,497,061.38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17,106,221.43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43,361,000.00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59,090,956.26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18,955,294.96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12,804,800.83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802,767.13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21,466,397.42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18,659,760.39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9,237,572.65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2,563,026.03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415,708.56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184,457.78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14,526,887.55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2,168,402.11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1,169,368.39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233,603,342.87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172,894,076.79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111,076,389.27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2,530,417.36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6,657,500.00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12,687,500.00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117,733,889.27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15,352,557.36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351,337,232.14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188,246,634.15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338,820,152.54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415,560,152.54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26,216,320.19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19,344,049.39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198,693,902.13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143,746,211.88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-4,622,245.44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-649,537.24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712,588,129.42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654,740,876.57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29,583,164.53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6,509,550.66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742,171,293.95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661,250,427.23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1,093,508,526.09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849,497,061.38</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8" behindDoc="0" locked="0" layoutInCell="1" allowOverlap="1">
                <wp:simplePos x="0" y="0"/>
                <wp:positionH relativeFrom="page">
                  <wp:posOffset>707390</wp:posOffset>
                </wp:positionH>
                <wp:positionV relativeFrom="margin">
                  <wp:posOffset>5200650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50" type="#_x0000_t202" style="position:absolute;margin-left:55.700000000000003pt;margin-top:409.5pt;width:83.049999999999997pt;height:11.75pt;z-index:-125829365;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3175" distL="2293620" distR="2519045" simplePos="0" relativeHeight="125829390" behindDoc="0" locked="0" layoutInCell="1" allowOverlap="1">
                <wp:simplePos x="0" y="0"/>
                <wp:positionH relativeFrom="page">
                  <wp:posOffset>2886710</wp:posOffset>
                </wp:positionH>
                <wp:positionV relativeFrom="margin">
                  <wp:posOffset>5200650</wp:posOffset>
                </wp:positionV>
                <wp:extent cx="1505585" cy="146050"/>
                <wp:wrapTopAndBottom/>
                <wp:docPr id="26" name="Shape 2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52" type="#_x0000_t202" style="position:absolute;margin-left:227.30000000000001pt;margin-top:409.5pt;width:118.55pt;height:11.5pt;z-index:-125829363;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52400" distB="0" distL="4918075" distR="113665" simplePos="0" relativeHeight="125829392" behindDoc="0" locked="0" layoutInCell="1" allowOverlap="1">
                <wp:simplePos x="0" y="0"/>
                <wp:positionH relativeFrom="page">
                  <wp:posOffset>5511165</wp:posOffset>
                </wp:positionH>
                <wp:positionV relativeFrom="margin">
                  <wp:posOffset>5200650</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54" type="#_x0000_t202" style="position:absolute;margin-left:433.94999999999999pt;margin-top:409.5pt;width:101.3pt;height:11.75pt;z-index:-125829361;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、母公司资产负债表</w:t>
      </w:r>
      <w:bookmarkEnd w:id="498"/>
      <w:bookmarkEnd w:id="499"/>
      <w:bookmarkEnd w:id="50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编制单位：江苏润和软件股份有限公司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318,056,809.34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443,519,902.14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4,724,180.00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140,099,892.76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111,860,870.91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609,829.00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1,439,227.81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3,778,543.39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76,336,294.00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64,030,257.07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14,521,742.61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21,156,410.06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4,059,974.05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1,176,662.75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559,744,283.76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648,048,075.32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281,413,400.40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129,948,800.40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11,884,333.20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12,952,326.38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4,521,111.97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5,204,015.27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238,426.67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1,296,808.86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1,486,360.56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299,115,654.43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149,829,929.28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858,859,938.19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797,878,004.60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16,791,000.00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27,654,688.98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14,083,700.80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3,566,834.00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756,340.00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16,711,864.30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17,820,257.09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2,515,816.86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675,682.55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184,457.78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9,314,622.20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892,022.54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149,945,326.34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136,203,460.76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7,234,640.00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151,045,326.34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143,438,100.76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340,369,049.73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417,109,049.73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26,096,456.22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19,224,185.42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187,869,105.90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141,366,668.69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707,814,611.85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654,439,903.84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858,859,938.19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797,878,004.60</w:t>
            </w:r>
          </w:p>
        </w:tc>
      </w:tr>
    </w:tbl>
    <w:p>
      <w:pPr>
        <w:pStyle w:val="Style33"/>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9215" simplePos="0" relativeHeight="125829394" behindDoc="0" locked="0" layoutInCell="1" allowOverlap="1">
                <wp:simplePos x="0" y="0"/>
                <wp:positionH relativeFrom="page">
                  <wp:posOffset>707390</wp:posOffset>
                </wp:positionH>
                <wp:positionV relativeFrom="margin">
                  <wp:posOffset>6986270</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56" type="#_x0000_t202" style="position:absolute;margin-left:55.700000000000003pt;margin-top:550.10000000000002pt;width:83.049999999999997pt;height:11.75pt;z-index:-125829359;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3175" distL="2293620" distR="2519045" simplePos="0" relativeHeight="125829396" behindDoc="0" locked="0" layoutInCell="1" allowOverlap="1">
                <wp:simplePos x="0" y="0"/>
                <wp:positionH relativeFrom="page">
                  <wp:posOffset>2886710</wp:posOffset>
                </wp:positionH>
                <wp:positionV relativeFrom="margin">
                  <wp:posOffset>6986270</wp:posOffset>
                </wp:positionV>
                <wp:extent cx="1505585" cy="146050"/>
                <wp:wrapTopAndBottom/>
                <wp:docPr id="32" name="Shape 3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58" type="#_x0000_t202" style="position:absolute;margin-left:227.30000000000001pt;margin-top:550.10000000000002pt;width:118.55pt;height:11.5pt;z-index:-125829357;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52400" distB="0" distL="4918075" distR="113665" simplePos="0" relativeHeight="125829398" behindDoc="0" locked="0" layoutInCell="1" allowOverlap="1">
                <wp:simplePos x="0" y="0"/>
                <wp:positionH relativeFrom="page">
                  <wp:posOffset>5511165</wp:posOffset>
                </wp:positionH>
                <wp:positionV relativeFrom="margin">
                  <wp:posOffset>6986270</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60" type="#_x0000_t202" style="position:absolute;margin-left:433.94999999999999pt;margin-top:550.10000000000002pt;width:101.3pt;height:11.75pt;z-index:-125829355;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、合并利润表</w:t>
      </w:r>
      <w:bookmarkEnd w:id="502"/>
      <w:bookmarkEnd w:id="503"/>
      <w:bookmarkEnd w:id="50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编制单位：江苏润和软件股份有限公司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476,797,826.03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379,535,216.02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476,797,826.03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379,535,216.02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420,369,307.53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327,417,865.83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291,261,872.48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229,222,712.53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1,970,653.96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2,526,812.07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31,595,339.08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27,368,479.77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88,284,280.30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60,764,635.95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3,888,066.26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3,935,387.39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3,369,095.45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3,599,838.12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1,663,790.55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57,174,139.05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54,183,850.19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28,968,886.67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17,503,243.07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215,732.00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31,419.68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85,835,806.04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71,471,361.26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7,792,152.08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5,690,750.00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78,043,653.96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65,780,611.26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77,167,961.05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65,547,736.31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875,692.91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232,874.95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-4,044,201.44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-750,542.11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73,999,452.52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65,030,069.15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73,195,252.85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64,777,671.16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804,199.67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252,397.99</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00" behindDoc="0" locked="0" layoutInCell="1" allowOverlap="1">
                <wp:simplePos x="0" y="0"/>
                <wp:positionH relativeFrom="page">
                  <wp:posOffset>707390</wp:posOffset>
                </wp:positionH>
                <wp:positionV relativeFrom="margin">
                  <wp:posOffset>2901950</wp:posOffset>
                </wp:positionV>
                <wp:extent cx="1054735" cy="149225"/>
                <wp:wrapTopAndBottom/>
                <wp:docPr id="36" name="Shape 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62" type="#_x0000_t202" style="position:absolute;margin-left:55.700000000000003pt;margin-top:228.5pt;width:83.049999999999997pt;height:11.75pt;z-index:-125829353;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3175" distL="2293620" distR="2519045" simplePos="0" relativeHeight="125829402" behindDoc="0" locked="0" layoutInCell="1" allowOverlap="1">
                <wp:simplePos x="0" y="0"/>
                <wp:positionH relativeFrom="page">
                  <wp:posOffset>2886710</wp:posOffset>
                </wp:positionH>
                <wp:positionV relativeFrom="margin">
                  <wp:posOffset>2901950</wp:posOffset>
                </wp:positionV>
                <wp:extent cx="1505585" cy="146050"/>
                <wp:wrapTopAndBottom/>
                <wp:docPr id="38" name="Shape 3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64" type="#_x0000_t202" style="position:absolute;margin-left:227.30000000000001pt;margin-top:228.5pt;width:118.55pt;height:11.5pt;z-index:-125829351;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52400" distB="0" distL="4918075" distR="113665" simplePos="0" relativeHeight="125829404" behindDoc="0" locked="0" layoutInCell="1" allowOverlap="1">
                <wp:simplePos x="0" y="0"/>
                <wp:positionH relativeFrom="page">
                  <wp:posOffset>5511165</wp:posOffset>
                </wp:positionH>
                <wp:positionV relativeFrom="margin">
                  <wp:posOffset>2901950</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66" type="#_x0000_t202" style="position:absolute;margin-left:433.94999999999999pt;margin-top:228.5pt;width:101.3pt;height:11.75pt;z-index:-125829349;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、母公司利润表</w:t>
      </w:r>
      <w:bookmarkEnd w:id="506"/>
      <w:bookmarkEnd w:id="507"/>
      <w:bookmarkEnd w:id="50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编制单位：江苏润和软件股份有限公司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303,167,335.45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260,901,991.50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179,047,239.04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146,480,470.16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618,606.33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1,549,688.23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10,962,489.72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12,841,061.81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60,004,352.16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42,732,612.14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2,871,697.83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3,089,220.29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3,158,454.70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4,169,930.86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1,664,100.00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47,270,995.67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52,105,508.01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27,962,012.77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17,447,726.00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293,656.07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27,856.07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74,939,352.37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69,353,234.01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6,216,644.36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5,041,794.25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68,722,708.01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64,311,439.76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68,722,708.01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64,311,439.76</w:t>
            </w:r>
          </w:p>
        </w:tc>
      </w:tr>
    </w:tbl>
    <w:p>
      <w:pPr>
        <w:pStyle w:val="Style33"/>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9215" simplePos="0" relativeHeight="125829406" behindDoc="0" locked="0" layoutInCell="1" allowOverlap="1">
                <wp:simplePos x="0" y="0"/>
                <wp:positionH relativeFrom="page">
                  <wp:posOffset>707390</wp:posOffset>
                </wp:positionH>
                <wp:positionV relativeFrom="margin">
                  <wp:posOffset>2195195</wp:posOffset>
                </wp:positionV>
                <wp:extent cx="1054735" cy="149225"/>
                <wp:wrapTopAndBottom/>
                <wp:docPr id="42" name="Shape 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68" type="#_x0000_t202" style="position:absolute;margin-left:55.700000000000003pt;margin-top:172.84999999999999pt;width:83.049999999999997pt;height:11.75pt;z-index:-125829347;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5715" distL="2293620" distR="2519045" simplePos="0" relativeHeight="125829408" behindDoc="0" locked="0" layoutInCell="1" allowOverlap="1">
                <wp:simplePos x="0" y="0"/>
                <wp:positionH relativeFrom="page">
                  <wp:posOffset>2886710</wp:posOffset>
                </wp:positionH>
                <wp:positionV relativeFrom="margin">
                  <wp:posOffset>2195195</wp:posOffset>
                </wp:positionV>
                <wp:extent cx="1505585" cy="143510"/>
                <wp:wrapTopAndBottom/>
                <wp:docPr id="44" name="Shape 44"/>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70" type="#_x0000_t202" style="position:absolute;margin-left:227.30000000000001pt;margin-top:172.84999999999999pt;width:118.55pt;height:11.300000000000001pt;z-index:-125829345;mso-wrap-distance-left:180.59999999999999pt;mso-wrap-distance-top:12.pt;mso-wrap-distance-right:198.34999999999999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52400" distB="0" distL="4918075" distR="113665" simplePos="0" relativeHeight="125829410" behindDoc="0" locked="0" layoutInCell="1" allowOverlap="1">
                <wp:simplePos x="0" y="0"/>
                <wp:positionH relativeFrom="page">
                  <wp:posOffset>5511165</wp:posOffset>
                </wp:positionH>
                <wp:positionV relativeFrom="margin">
                  <wp:posOffset>2195195</wp:posOffset>
                </wp:positionV>
                <wp:extent cx="1286510" cy="149225"/>
                <wp:wrapTopAndBottom/>
                <wp:docPr id="46" name="Shape 4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72" type="#_x0000_t202" style="position:absolute;margin-left:433.94999999999999pt;margin-top:172.84999999999999pt;width:101.3pt;height:11.75pt;z-index:-125829343;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5</w:t>
      </w:r>
      <w:bookmarkEnd w:id="512"/>
      <w:r>
        <w:rPr>
          <w:color w:val="000000"/>
          <w:spacing w:val="0"/>
          <w:w w:val="100"/>
          <w:position w:val="0"/>
        </w:rPr>
        <w:t>、合并现金流量表</w:t>
      </w:r>
      <w:bookmarkEnd w:id="510"/>
      <w:bookmarkEnd w:id="511"/>
      <w:bookmarkEnd w:id="5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编制单位：江苏润和软件股份有限公司</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433,911,303.12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328,919,674.99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1,219,473.17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21,933,367.35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28,113,264.26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457,064,143.64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357,032,939.25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181,809,371.02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105,996,611.57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188,200,737.36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134,098,857.72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20,362,567.01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15,201,989.79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42,391,256.64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44,298,809.63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432,763,932.03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299,596,268.71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24,300,211.61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57,436,670.54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6,028.53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12,352,604.21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4,394,755.25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12,358,632.74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4,394,755.25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187,029,645.45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19,610,823.58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-1,353,118.80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14,834,334.00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200,510,860.65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19,610,823.58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-188,152,227.91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-15,216,068.33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355,861,903.00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2,847,204.33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455,861,903.00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115,698,598.31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112,706,215.81</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21,113,479.79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19,730,439.39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136,812,078.10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132,436,655.20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90,687,921.90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323,425,247.80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-7,380,646.05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-1,283,101.80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-80,544,740.45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364,362,748.21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513,711,110.43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149,348,362.22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433,166,369.98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513,711,110.43</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12" behindDoc="0" locked="0" layoutInCell="1" allowOverlap="1">
                <wp:simplePos x="0" y="0"/>
                <wp:positionH relativeFrom="page">
                  <wp:posOffset>707390</wp:posOffset>
                </wp:positionH>
                <wp:positionV relativeFrom="margin">
                  <wp:posOffset>3298190</wp:posOffset>
                </wp:positionV>
                <wp:extent cx="1054735" cy="149225"/>
                <wp:wrapTopAndBottom/>
                <wp:docPr id="48" name="Shape 4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74" type="#_x0000_t202" style="position:absolute;margin-left:55.700000000000003pt;margin-top:259.69999999999999pt;width:83.049999999999997pt;height:11.75pt;z-index:-125829341;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3175" distL="2293620" distR="2519045" simplePos="0" relativeHeight="125829414" behindDoc="0" locked="0" layoutInCell="1" allowOverlap="1">
                <wp:simplePos x="0" y="0"/>
                <wp:positionH relativeFrom="page">
                  <wp:posOffset>2886710</wp:posOffset>
                </wp:positionH>
                <wp:positionV relativeFrom="margin">
                  <wp:posOffset>3298190</wp:posOffset>
                </wp:positionV>
                <wp:extent cx="1505585" cy="146050"/>
                <wp:wrapTopAndBottom/>
                <wp:docPr id="50" name="Shape 5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76" type="#_x0000_t202" style="position:absolute;margin-left:227.30000000000001pt;margin-top:259.69999999999999pt;width:118.55pt;height:11.5pt;z-index:-125829339;mso-wrap-distance-left:180.59999999999999pt;mso-wrap-distance-top:12.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52400" distB="0" distL="4918075" distR="113665" simplePos="0" relativeHeight="125829416" behindDoc="0" locked="0" layoutInCell="1" allowOverlap="1">
                <wp:simplePos x="0" y="0"/>
                <wp:positionH relativeFrom="page">
                  <wp:posOffset>5511165</wp:posOffset>
                </wp:positionH>
                <wp:positionV relativeFrom="margin">
                  <wp:posOffset>3298190</wp:posOffset>
                </wp:positionV>
                <wp:extent cx="1286510" cy="149225"/>
                <wp:wrapTopAndBottom/>
                <wp:docPr id="52" name="Shape 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78" type="#_x0000_t202" style="position:absolute;margin-left:433.94999999999999pt;margin-top:259.69999999999999pt;width:101.3pt;height:11.75pt;z-index:-125829337;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6</w:t>
      </w:r>
      <w:bookmarkEnd w:id="516"/>
      <w:r>
        <w:rPr>
          <w:color w:val="000000"/>
          <w:spacing w:val="0"/>
          <w:w w:val="100"/>
          <w:position w:val="0"/>
        </w:rPr>
        <w:t>、母公司现金流量表</w:t>
      </w:r>
      <w:bookmarkEnd w:id="514"/>
      <w:bookmarkEnd w:id="515"/>
      <w:bookmarkEnd w:id="51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编制单位：江苏润和软件股份有限公司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278,549,474.49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196,738,251.70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1,219,473.17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22,368,672.77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23,488,726.62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302,137,620.43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220,226,978.32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85,792,942.91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52,826,190.32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141,219,647.03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112,468,429.91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14,914,732.99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11,186,737.04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18,159,053.13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23,464,134.32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260,086,376.06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199,945,491.59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42,051,244.37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20,281,486.73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661,961.19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70,117,417.74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4,341,051.07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70,779,378.93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4,341,051.07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4,188,400.61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9,863,774.40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146,264,600.00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26,663,985.00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69,258,777.87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6,361,775.33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219,711,778.48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42,889,534.73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-148,932,399.55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-38,548,483.66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353,014,698.67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453,014,698.67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111,000,000.00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20,858,458.81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19,621,785.12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125,858,458.81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130,621,785.12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-15,858,458.81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322,392,913.55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-2,723,478.81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-276,959.78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-125,463,092.80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303,848,956.84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443,519,902.14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139,670,945.30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318,056,809.34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443,519,902.14</w:t>
            </w:r>
          </w:p>
        </w:tc>
      </w:tr>
    </w:tbl>
    <w:p>
      <w:pPr>
        <w:pStyle w:val="Style33"/>
        <w:keepNext/>
        <w:keepLines/>
        <w:widowControl w:val="0"/>
        <w:shd w:val="clear" w:color="auto" w:fill="auto"/>
        <w:bidi w:val="0"/>
        <w:spacing w:before="0" w:after="360" w:line="240" w:lineRule="auto"/>
        <w:ind w:left="0" w:right="0" w:firstLine="0"/>
        <w:jc w:val="left"/>
      </w:pPr>
      <w:r>
        <mc:AlternateContent>
          <mc:Choice Requires="wps">
            <w:drawing>
              <wp:anchor distT="139700" distB="0" distL="114300" distR="5149215" simplePos="0" relativeHeight="125829418" behindDoc="0" locked="0" layoutInCell="1" allowOverlap="1">
                <wp:simplePos x="0" y="0"/>
                <wp:positionH relativeFrom="page">
                  <wp:posOffset>706120</wp:posOffset>
                </wp:positionH>
                <wp:positionV relativeFrom="margin">
                  <wp:posOffset>7522845</wp:posOffset>
                </wp:positionV>
                <wp:extent cx="1054735" cy="149225"/>
                <wp:wrapTopAndBottom/>
                <wp:docPr id="54" name="Shape 5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80" type="#_x0000_t202" style="position:absolute;margin-left:55.600000000000001pt;margin-top:592.35000000000002pt;width:83.049999999999997pt;height:11.75pt;z-index:-125829335;mso-wrap-distance-left:9.pt;mso-wrap-distance-top:11.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39700" distB="3175" distL="2293620" distR="2519045" simplePos="0" relativeHeight="125829420" behindDoc="0" locked="0" layoutInCell="1" allowOverlap="1">
                <wp:simplePos x="0" y="0"/>
                <wp:positionH relativeFrom="page">
                  <wp:posOffset>2885440</wp:posOffset>
                </wp:positionH>
                <wp:positionV relativeFrom="margin">
                  <wp:posOffset>7522845</wp:posOffset>
                </wp:positionV>
                <wp:extent cx="1505585" cy="146050"/>
                <wp:wrapTopAndBottom/>
                <wp:docPr id="56" name="Shape 5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82" type="#_x0000_t202" style="position:absolute;margin-left:227.20000000000002pt;margin-top:592.35000000000002pt;width:118.55pt;height:11.5pt;z-index:-125829333;mso-wrap-distance-left:180.59999999999999pt;mso-wrap-distance-top:11.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39700" distB="0" distL="4918075" distR="113665" simplePos="0" relativeHeight="125829422" behindDoc="0" locked="0" layoutInCell="1" allowOverlap="1">
                <wp:simplePos x="0" y="0"/>
                <wp:positionH relativeFrom="page">
                  <wp:posOffset>5509895</wp:posOffset>
                </wp:positionH>
                <wp:positionV relativeFrom="margin">
                  <wp:posOffset>7522845</wp:posOffset>
                </wp:positionV>
                <wp:extent cx="1286510" cy="149225"/>
                <wp:wrapTopAndBottom/>
                <wp:docPr id="58" name="Shape 5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84" type="#_x0000_t202" style="position:absolute;margin-left:433.85000000000002pt;margin-top:592.35000000000002pt;width:101.3pt;height:11.75pt;z-index:-125829331;mso-wrap-distance-left:387.25pt;mso-wrap-distance-top:11.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7</w:t>
      </w:r>
      <w:bookmarkEnd w:id="520"/>
      <w:r>
        <w:rPr>
          <w:color w:val="000000"/>
          <w:spacing w:val="0"/>
          <w:w w:val="100"/>
          <w:position w:val="0"/>
        </w:rPr>
        <w:t>、合并所有者权益变动表</w:t>
      </w:r>
      <w:bookmarkEnd w:id="518"/>
      <w:bookmarkEnd w:id="519"/>
      <w:bookmarkEnd w:id="52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编制单位：江苏润和软件股份有限公司 </w:t>
      </w:r>
      <w:r>
        <w:rPr>
          <w:color w:val="000000"/>
          <w:spacing w:val="0"/>
          <w:w w:val="100"/>
          <w:position w:val="0"/>
        </w:rPr>
        <w:t>本期金额</w:t>
      </w:r>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661,250,42</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211.88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661,250,42</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211.88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r>
      <w:tr>
        <w:trPr>
          <w:trHeight w:val="36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54,947,6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23,073,61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80,920,866</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875,692.9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78,043,653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-4,044,201.</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804,199.6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73,999,452</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22,269,41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22,269,414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22,269,41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22,269,414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-15,348,00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-15,348,00</w:t>
            </w:r>
          </w:p>
        </w:tc>
      </w:tr>
      <w:tr>
        <w:trPr>
          <w:trHeight w:val="346"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66"/>
        <w:gridCol w:w="691"/>
        <w:gridCol w:w="686"/>
        <w:gridCol w:w="686"/>
        <w:gridCol w:w="686"/>
        <w:gridCol w:w="686"/>
        <w:gridCol w:w="682"/>
        <w:gridCol w:w="686"/>
        <w:gridCol w:w="686"/>
        <w:gridCol w:w="821"/>
        <w:gridCol w:w="90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153,480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338,820,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26,216,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198,693,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-4,622,2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29,583,16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742,171,29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57,550,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82,935,4</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96,140,6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120,527.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3,409,948</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253,069,45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57,550,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82,935,4</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96,140,6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120,527.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3,409,948</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253,069,45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19,190,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332,624,</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47,605,5</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-770,06</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3,099,602</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408,180,97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65,547,7</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232,874.9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65,780,611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-770,06</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-750,542.1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65,547,7</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-770,06</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252,397.9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65,030,069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19,190,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332,624,</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698.67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2,847,204</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354,661,90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332,624,</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2,847,204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354,661,90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-11,511,00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-11,511,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-11,511,00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415,560,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143,746,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-649,53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6,509,550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661,250,42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424" behindDoc="0" locked="0" layoutInCell="1" allowOverlap="1">
                <wp:simplePos x="0" y="0"/>
                <wp:positionH relativeFrom="page">
                  <wp:posOffset>707390</wp:posOffset>
                </wp:positionH>
                <wp:positionV relativeFrom="margin">
                  <wp:posOffset>6584315</wp:posOffset>
                </wp:positionV>
                <wp:extent cx="1054735" cy="149225"/>
                <wp:wrapTopAndBottom/>
                <wp:docPr id="60" name="Shape 6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86" type="#_x0000_t202" style="position:absolute;margin-left:55.700000000000003pt;margin-top:518.45000000000005pt;width:83.049999999999997pt;height:11.75pt;z-index:-125829329;mso-wrap-distance-left:9.pt;mso-wrap-distance-top:11.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39700" distB="3175" distL="2293620" distR="2519045" simplePos="0" relativeHeight="125829426" behindDoc="0" locked="0" layoutInCell="1" allowOverlap="1">
                <wp:simplePos x="0" y="0"/>
                <wp:positionH relativeFrom="page">
                  <wp:posOffset>2886710</wp:posOffset>
                </wp:positionH>
                <wp:positionV relativeFrom="margin">
                  <wp:posOffset>6584315</wp:posOffset>
                </wp:positionV>
                <wp:extent cx="1505585" cy="146050"/>
                <wp:wrapTopAndBottom/>
                <wp:docPr id="62" name="Shape 6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88" type="#_x0000_t202" style="position:absolute;margin-left:227.30000000000001pt;margin-top:518.45000000000005pt;width:118.55pt;height:11.5pt;z-index:-125829327;mso-wrap-distance-left:180.59999999999999pt;mso-wrap-distance-top:11.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39700" distB="0" distL="4918075" distR="113665" simplePos="0" relativeHeight="125829428" behindDoc="0" locked="0" layoutInCell="1" allowOverlap="1">
                <wp:simplePos x="0" y="0"/>
                <wp:positionH relativeFrom="page">
                  <wp:posOffset>5511165</wp:posOffset>
                </wp:positionH>
                <wp:positionV relativeFrom="margin">
                  <wp:posOffset>6584315</wp:posOffset>
                </wp:positionV>
                <wp:extent cx="1286510" cy="149225"/>
                <wp:wrapTopAndBottom/>
                <wp:docPr id="64" name="Shape 6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90" type="#_x0000_t202" style="position:absolute;margin-left:433.94999999999999pt;margin-top:518.45000000000005pt;width:101.3pt;height:11.75pt;z-index:-125829325;mso-wrap-distance-left:387.25pt;mso-wrap-distance-top:11.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8</w:t>
      </w:r>
      <w:bookmarkEnd w:id="524"/>
      <w:r>
        <w:rPr>
          <w:color w:val="000000"/>
          <w:spacing w:val="0"/>
          <w:w w:val="100"/>
          <w:position w:val="0"/>
        </w:rPr>
        <w:t>、母公司所有者权益变动表</w:t>
      </w:r>
      <w:bookmarkEnd w:id="522"/>
      <w:bookmarkEnd w:id="523"/>
      <w:bookmarkEnd w:id="5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编制单位：江苏润和软件股份有限公司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8"/>
        <w:gridCol w:w="89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417,109,04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19,224,185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141,366,66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654,439,90</w:t>
            </w: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8"/>
        <w:gridCol w:w="89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417,109,04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19,224,185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141,366,66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654,439,90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6,872,270.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46,502,437</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53,374,708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68,722,708</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68,722,708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68,722,708</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68,722,708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6,872,270.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-22,220,27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-15,348,00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6,872,270.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-6,872,270.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-15,348,00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-15,348,00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8"/>
        <w:gridCol w:w="89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153,480,00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340,369,04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26,096,456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187,869,10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707,814,61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8"/>
        <w:gridCol w:w="878"/>
        <w:gridCol w:w="888"/>
        <w:gridCol w:w="883"/>
        <w:gridCol w:w="883"/>
        <w:gridCol w:w="89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57,550,000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84,484,351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12,793,041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94,997,372</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249,824,76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57,550,000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84,484,351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12,793,041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94,997,372</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249,824,76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19,190,000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332,624,69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6,431,143.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46,369,295</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404,615,13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64,311,439</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64,311,439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64,311,439</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64,311,439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19,190,000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332,624,69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351,814,69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19,190,000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332,624,69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351,814,69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6,431,143.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-17,942,14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-11,511,00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6,431,143.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-6,431,143.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-11,511,00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-11,511,00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883"/>
        <w:gridCol w:w="888"/>
        <w:gridCol w:w="888"/>
        <w:gridCol w:w="878"/>
        <w:gridCol w:w="888"/>
        <w:gridCol w:w="883"/>
        <w:gridCol w:w="883"/>
        <w:gridCol w:w="89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76,740,000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417,109,04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19,224,185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141,366,66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654,439,90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bl>
    <w:p>
      <w:pPr>
        <w:widowControl w:val="0"/>
        <w:spacing w:after="339" w:line="1" w:lineRule="exact"/>
      </w:pPr>
    </w:p>
    <w:p>
      <w:pPr>
        <w:pStyle w:val="Style28"/>
        <w:keepNext w:val="0"/>
        <w:keepLines w:val="0"/>
        <w:widowControl w:val="0"/>
        <w:shd w:val="clear" w:color="auto" w:fill="auto"/>
        <w:tabs>
          <w:tab w:pos="3379" w:val="left"/>
          <w:tab w:pos="7560" w:val="left"/>
        </w:tabs>
        <w:bidi w:val="0"/>
        <w:spacing w:before="0" w:after="340" w:line="240" w:lineRule="auto"/>
        <w:ind w:left="0" w:right="0" w:firstLine="0"/>
        <w:jc w:val="left"/>
      </w:pPr>
      <w:r>
        <w:rPr>
          <w:color w:val="000000"/>
          <w:spacing w:val="0"/>
          <w:w w:val="100"/>
          <w:position w:val="0"/>
        </w:rPr>
        <w:t>法定代表人：周红卫</w:t>
        <w:tab/>
        <w:t>主管会计工作负责人：朱祖龙</w:t>
        <w:tab/>
        <w:t>会计机构负责人：朱祖龙</w:t>
      </w:r>
    </w:p>
    <w:p>
      <w:pPr>
        <w:pStyle w:val="Style31"/>
        <w:keepNext/>
        <w:keepLines/>
        <w:widowControl w:val="0"/>
        <w:shd w:val="clear" w:color="auto" w:fill="auto"/>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三</w:t>
      </w:r>
      <w:bookmarkEnd w:id="528"/>
      <w:r>
        <w:rPr>
          <w:color w:val="000000"/>
          <w:spacing w:val="0"/>
          <w:w w:val="100"/>
          <w:position w:val="0"/>
          <w:sz w:val="24"/>
          <w:szCs w:val="24"/>
        </w:rPr>
        <w:t>、公司基本情况</w:t>
      </w:r>
      <w:bookmarkEnd w:id="526"/>
      <w:bookmarkEnd w:id="527"/>
      <w:bookmarkEnd w:id="529"/>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）系周红卫、姚宁、孙强、周庆、隋宏旭、马玉峰、蒋志坚、殷则 堂等八位自然人共同发起设立的股份有限公司，于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日取得江苏省工商行政管理局核准登记。公司设立时注册资 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万元，经历次变更后公司注册资本为人民币</w:t>
      </w:r>
      <w:r>
        <w:rPr>
          <w:rFonts w:ascii="Times New Roman" w:eastAsia="Times New Roman" w:hAnsi="Times New Roman" w:cs="Times New Roman"/>
          <w:color w:val="000000"/>
          <w:spacing w:val="0"/>
          <w:w w:val="100"/>
          <w:position w:val="0"/>
        </w:rPr>
        <w:t>5,755</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日，经中国证券监督管理委员会《关于核准江苏润和软件股份有限公司首次公开发行股票并在创业板上市的批 复》证监许可</w:t>
      </w:r>
      <w:r>
        <w:rPr>
          <w:rFonts w:ascii="Times New Roman" w:eastAsia="Times New Roman" w:hAnsi="Times New Roman" w:cs="Times New Roman"/>
          <w:color w:val="000000"/>
          <w:spacing w:val="0"/>
          <w:w w:val="100"/>
          <w:position w:val="0"/>
        </w:rPr>
        <w:t>[2012]812</w:t>
      </w:r>
      <w:r>
        <w:rPr>
          <w:color w:val="000000"/>
          <w:spacing w:val="0"/>
          <w:w w:val="100"/>
          <w:position w:val="0"/>
        </w:rPr>
        <w:t>号文核准，本公司首次向社会公开发行人民币普通股</w:t>
      </w:r>
      <w:r>
        <w:rPr>
          <w:rFonts w:ascii="Times New Roman" w:eastAsia="Times New Roman" w:hAnsi="Times New Roman" w:cs="Times New Roman"/>
          <w:color w:val="000000"/>
          <w:spacing w:val="0"/>
          <w:w w:val="100"/>
          <w:position w:val="0"/>
        </w:rPr>
        <w:t>1,919</w:t>
      </w:r>
      <w:r>
        <w:rPr>
          <w:color w:val="000000"/>
          <w:spacing w:val="0"/>
          <w:w w:val="100"/>
          <w:position w:val="0"/>
        </w:rPr>
        <w:t>万股，并于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日在深圳证券交易 所创业板上市交易（股票简称</w:t>
      </w:r>
      <w:r>
        <w:rPr>
          <w:rFonts w:ascii="Times New Roman" w:eastAsia="Times New Roman" w:hAnsi="Times New Roman" w:cs="Times New Roman"/>
          <w:color w:val="000000"/>
          <w:spacing w:val="0"/>
          <w:w w:val="100"/>
          <w:position w:val="0"/>
        </w:rPr>
        <w:t>“</w:t>
      </w:r>
      <w:r>
        <w:rPr>
          <w:color w:val="000000"/>
          <w:spacing w:val="0"/>
          <w:w w:val="100"/>
          <w:position w:val="0"/>
        </w:rPr>
        <w:t>润和软件</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“300339”</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rPr>
        <w:t>7,674</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日，本公司召开</w:t>
      </w:r>
      <w:r>
        <w:rPr>
          <w:rFonts w:ascii="Times New Roman" w:eastAsia="Times New Roman" w:hAnsi="Times New Roman" w:cs="Times New Roman"/>
          <w:color w:val="000000"/>
          <w:spacing w:val="0"/>
          <w:w w:val="100"/>
          <w:position w:val="0"/>
        </w:rPr>
        <w:t>2 012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w:t>
      </w:r>
      <w:r>
        <w:rPr>
          <w:color w:val="000000"/>
          <w:spacing w:val="0"/>
          <w:w w:val="100"/>
          <w:position w:val="0"/>
        </w:rPr>
        <w:t>万股为基数，用资本公积向全体股东每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w:t>
      </w:r>
      <w:r>
        <w:rPr>
          <w:color w:val="000000"/>
          <w:spacing w:val="0"/>
          <w:w w:val="100"/>
          <w:position w:val="0"/>
        </w:rPr>
        <w:t>万股，转增后公司注册资本变更为人民币</w:t>
      </w:r>
      <w:r>
        <w:rPr>
          <w:rFonts w:ascii="Times New Roman" w:eastAsia="Times New Roman" w:hAnsi="Times New Roman" w:cs="Times New Roman"/>
          <w:color w:val="000000"/>
          <w:spacing w:val="0"/>
          <w:w w:val="100"/>
          <w:position w:val="0"/>
        </w:rPr>
        <w:t>15,348</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公司的经营范围：计算机软件的研发，相关产品的销售以及售后综合技术服务；自营和代理各类商品及技术的进出口业务。 计算机网络系统集成，楼宇智能化系统工程的设计、施工、安装。公司的经营地址：南京市雨花台区铁心桥工业园。法定代 表人：周红卫。</w:t>
      </w:r>
    </w:p>
    <w:p>
      <w:pPr>
        <w:pStyle w:val="Style28"/>
        <w:keepNext w:val="0"/>
        <w:keepLines w:val="0"/>
        <w:widowControl w:val="0"/>
        <w:shd w:val="clear" w:color="auto" w:fill="auto"/>
        <w:bidi w:val="0"/>
        <w:spacing w:before="0" w:after="1300" w:line="312" w:lineRule="exact"/>
        <w:ind w:left="0" w:right="0" w:firstLine="0"/>
        <w:jc w:val="left"/>
      </w:pPr>
      <w:r>
        <w:rPr>
          <w:color w:val="000000"/>
          <w:spacing w:val="0"/>
          <w:w w:val="100"/>
          <w:position w:val="0"/>
        </w:rPr>
        <w:t>本公司目前的基本组织架构为：公司的最高权力机构是股东大会，股东大会下设董事会和监事会，董事会和监事会向股东大 会负责。公司董事会聘任了总裁、副总裁、财务总监、董事会秘书等高级管理人员，同时设立了智能电网信息化软件外包中 心、智能终端嵌入式软件外包中心、供应链管理软件外包中心、研发中心、培训中心、市场管理部、质量管理部、运营管理 部、财务部、证券部、人力资源部、行政部、法务部、审计部等主要职能部门。</w:t>
      </w:r>
    </w:p>
    <w:p>
      <w:pPr>
        <w:pStyle w:val="Style31"/>
        <w:keepNext/>
        <w:keepLines/>
        <w:widowControl w:val="0"/>
        <w:shd w:val="clear" w:color="auto" w:fill="auto"/>
        <w:bidi w:val="0"/>
        <w:spacing w:before="0" w:after="34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四</w:t>
      </w:r>
      <w:bookmarkEnd w:id="532"/>
      <w:r>
        <w:rPr>
          <w:color w:val="000000"/>
          <w:spacing w:val="0"/>
          <w:w w:val="100"/>
          <w:position w:val="0"/>
          <w:sz w:val="24"/>
          <w:szCs w:val="24"/>
        </w:rPr>
        <w:t>、公司主要会计政策、会计估计和前期差错</w:t>
      </w:r>
      <w:bookmarkEnd w:id="530"/>
      <w:bookmarkEnd w:id="531"/>
      <w:bookmarkEnd w:id="533"/>
    </w:p>
    <w:p>
      <w:pPr>
        <w:pStyle w:val="Style33"/>
        <w:keepNext/>
        <w:keepLines/>
        <w:widowControl w:val="0"/>
        <w:shd w:val="clear" w:color="auto" w:fill="auto"/>
        <w:bidi w:val="0"/>
        <w:spacing w:before="0" w:after="26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、财务报表的编制基础</w:t>
      </w:r>
      <w:bookmarkEnd w:id="534"/>
      <w:bookmarkEnd w:id="535"/>
      <w:bookmarkEnd w:id="537"/>
    </w:p>
    <w:p>
      <w:pPr>
        <w:pStyle w:val="Style28"/>
        <w:keepNext w:val="0"/>
        <w:keepLines w:val="0"/>
        <w:widowControl w:val="0"/>
        <w:shd w:val="clear" w:color="auto" w:fill="auto"/>
        <w:bidi w:val="0"/>
        <w:spacing w:before="0" w:after="340" w:line="312" w:lineRule="exact"/>
        <w:ind w:left="0" w:right="0"/>
        <w:jc w:val="both"/>
      </w:pPr>
      <w:r>
        <w:rPr>
          <w:color w:val="000000"/>
          <w:spacing w:val="0"/>
          <w:w w:val="100"/>
          <w:position w:val="0"/>
        </w:rPr>
        <w:t>本公司以持续经营为基础，根据实际发生的交易和事项，按照《企业会计准则》及其应用指南和准则解释的规定进行确 认和计量，在此基础上编制财务报表。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w:t>
        <w:tab/>
        <w:t>遵循企业会计准则的声明</w:t>
      </w:r>
      <w:bookmarkEnd w:id="538"/>
      <w:bookmarkEnd w:id="539"/>
      <w:bookmarkEnd w:id="541"/>
    </w:p>
    <w:p>
      <w:pPr>
        <w:pStyle w:val="Style28"/>
        <w:keepNext w:val="0"/>
        <w:keepLines w:val="0"/>
        <w:widowControl w:val="0"/>
        <w:shd w:val="clear" w:color="auto" w:fill="auto"/>
        <w:bidi w:val="0"/>
        <w:spacing w:before="0" w:after="340" w:line="302" w:lineRule="exact"/>
        <w:ind w:left="0" w:right="0" w:firstLine="520"/>
        <w:jc w:val="both"/>
      </w:pPr>
      <w:r>
        <w:rPr>
          <w:color w:val="000000"/>
          <w:spacing w:val="0"/>
          <w:w w:val="100"/>
          <w:position w:val="0"/>
        </w:rPr>
        <w:t xml:space="preserve">本公司按上述基础编制的财务报表符合《企业会计准则》及其应用指南和准则解释的要求，真实完整地反映了本公司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年度的经营成果和现金流量等有关信息。</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3</w:t>
      </w:r>
      <w:bookmarkEnd w:id="544"/>
      <w:r>
        <w:rPr>
          <w:color w:val="000000"/>
          <w:spacing w:val="0"/>
          <w:w w:val="100"/>
          <w:position w:val="0"/>
        </w:rPr>
        <w:t>、</w:t>
        <w:tab/>
        <w:t>会计期间</w:t>
      </w:r>
      <w:bookmarkEnd w:id="542"/>
      <w:bookmarkEnd w:id="543"/>
      <w:bookmarkEnd w:id="545"/>
    </w:p>
    <w:p>
      <w:pPr>
        <w:pStyle w:val="Style28"/>
        <w:keepNext w:val="0"/>
        <w:keepLines w:val="0"/>
        <w:widowControl w:val="0"/>
        <w:shd w:val="clear" w:color="auto" w:fill="auto"/>
        <w:bidi w:val="0"/>
        <w:spacing w:before="0" w:after="340" w:line="312" w:lineRule="exact"/>
        <w:ind w:left="0" w:right="0" w:firstLine="460"/>
        <w:jc w:val="left"/>
      </w:pPr>
      <w:r>
        <w:rPr>
          <w:color w:val="000000"/>
          <w:spacing w:val="0"/>
          <w:w w:val="100"/>
          <w:position w:val="0"/>
        </w:rPr>
        <w:t>本公司会计年度采用公历制，即公历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日为一个会计年度。</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4</w:t>
      </w:r>
      <w:bookmarkEnd w:id="548"/>
      <w:r>
        <w:rPr>
          <w:color w:val="000000"/>
          <w:spacing w:val="0"/>
          <w:w w:val="100"/>
          <w:position w:val="0"/>
        </w:rPr>
        <w:t>、</w:t>
        <w:tab/>
        <w:t>记账本位币</w:t>
      </w:r>
      <w:bookmarkEnd w:id="546"/>
      <w:bookmarkEnd w:id="547"/>
      <w:bookmarkEnd w:id="549"/>
    </w:p>
    <w:p>
      <w:pPr>
        <w:pStyle w:val="Style28"/>
        <w:keepNext w:val="0"/>
        <w:keepLines w:val="0"/>
        <w:widowControl w:val="0"/>
        <w:shd w:val="clear" w:color="auto" w:fill="auto"/>
        <w:bidi w:val="0"/>
        <w:spacing w:before="0" w:after="340" w:line="302" w:lineRule="exact"/>
        <w:ind w:left="0" w:right="0" w:firstLine="460"/>
        <w:jc w:val="both"/>
      </w:pPr>
      <w:r>
        <w:rPr>
          <w:color w:val="000000"/>
          <w:spacing w:val="0"/>
          <w:w w:val="100"/>
          <w:position w:val="0"/>
        </w:rPr>
        <w:t>本公司以人民币为记账本位币，境外子公司以所在国家或地区的货币为记账本位币，编制合并财务报表时折算为人民 币。</w:t>
      </w:r>
    </w:p>
    <w:p>
      <w:pPr>
        <w:pStyle w:val="Style33"/>
        <w:keepNext/>
        <w:keepLines/>
        <w:widowControl w:val="0"/>
        <w:shd w:val="clear" w:color="auto" w:fill="auto"/>
        <w:tabs>
          <w:tab w:pos="378" w:val="left"/>
        </w:tabs>
        <w:bidi w:val="0"/>
        <w:spacing w:before="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5</w:t>
      </w:r>
      <w:bookmarkEnd w:id="552"/>
      <w:r>
        <w:rPr>
          <w:color w:val="000000"/>
          <w:spacing w:val="0"/>
          <w:w w:val="100"/>
          <w:position w:val="0"/>
        </w:rPr>
        <w:t>、</w:t>
        <w:tab/>
        <w:t>同一控制下和非同一控制下企业合并的会计处理方法</w:t>
      </w:r>
      <w:bookmarkEnd w:id="550"/>
      <w:bookmarkEnd w:id="551"/>
      <w:bookmarkEnd w:id="553"/>
    </w:p>
    <w:p>
      <w:pPr>
        <w:pStyle w:val="Style36"/>
        <w:keepNext/>
        <w:keepLines/>
        <w:widowControl w:val="0"/>
        <w:shd w:val="clear" w:color="auto" w:fill="auto"/>
        <w:tabs>
          <w:tab w:pos="488" w:val="left"/>
        </w:tabs>
        <w:bidi w:val="0"/>
        <w:spacing w:before="0" w:after="2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54"/>
      <w:bookmarkEnd w:id="555"/>
      <w:bookmarkEnd w:id="557"/>
    </w:p>
    <w:p>
      <w:pPr>
        <w:pStyle w:val="Style28"/>
        <w:keepNext w:val="0"/>
        <w:keepLines w:val="0"/>
        <w:widowControl w:val="0"/>
        <w:shd w:val="clear" w:color="auto" w:fill="auto"/>
        <w:bidi w:val="0"/>
        <w:spacing w:before="0" w:after="340" w:line="322" w:lineRule="exact"/>
        <w:ind w:left="0" w:right="0" w:firstLine="520"/>
        <w:jc w:val="both"/>
      </w:pPr>
      <w:r>
        <w:rPr>
          <w:color w:val="000000"/>
          <w:spacing w:val="0"/>
          <w:w w:val="100"/>
          <w:position w:val="0"/>
        </w:rPr>
        <w:t>本公司在企业合并中取得的资产和负债，按照合并日被合并方的账面价值计量。本公司取得的净资产账面价值与支付 的合并对价账面价值（或发生股份面值总额）的差额，应当调整资本公积；资本公积不足冲减的，调整留存收益。</w:t>
      </w:r>
    </w:p>
    <w:p>
      <w:pPr>
        <w:pStyle w:val="Style36"/>
        <w:keepNext/>
        <w:keepLines/>
        <w:widowControl w:val="0"/>
        <w:shd w:val="clear" w:color="auto" w:fill="auto"/>
        <w:tabs>
          <w:tab w:pos="488" w:val="left"/>
        </w:tabs>
        <w:bidi w:val="0"/>
        <w:spacing w:before="0" w:after="26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58"/>
      <w:bookmarkEnd w:id="559"/>
      <w:bookmarkEnd w:id="561"/>
    </w:p>
    <w:p>
      <w:pPr>
        <w:pStyle w:val="Style28"/>
        <w:keepNext w:val="0"/>
        <w:keepLines w:val="0"/>
        <w:widowControl w:val="0"/>
        <w:shd w:val="clear" w:color="auto" w:fill="auto"/>
        <w:bidi w:val="0"/>
        <w:spacing w:before="0" w:after="340" w:line="314" w:lineRule="exact"/>
        <w:ind w:left="0" w:right="0" w:firstLine="520"/>
        <w:jc w:val="left"/>
      </w:pPr>
      <w:r>
        <w:rPr>
          <w:color w:val="000000"/>
          <w:spacing w:val="0"/>
          <w:w w:val="100"/>
          <w:position w:val="0"/>
        </w:rPr>
        <w:t>本公司在购买日对合并成本大于合并中取得的被购买方可辨认净资产公允价值份额的差额，确认为商誉；如果合并成 本小于合并中取得的被购买方可辨认净资产公允价值份额的差额，首先对取得的被购买方的各项可辨认资产、负债及或有负 债的公允价值以及合并成本的计量进行复核，经复核后合并成本仍小于合并中取得的被购买方可辨认净资产公允价值份额 的，其差额应当计入当期损益。</w:t>
      </w:r>
    </w:p>
    <w:p>
      <w:pPr>
        <w:pStyle w:val="Style33"/>
        <w:keepNext/>
        <w:keepLines/>
        <w:widowControl w:val="0"/>
        <w:shd w:val="clear" w:color="auto" w:fill="auto"/>
        <w:tabs>
          <w:tab w:pos="378" w:val="left"/>
        </w:tabs>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6</w:t>
      </w:r>
      <w:bookmarkEnd w:id="564"/>
      <w:r>
        <w:rPr>
          <w:color w:val="000000"/>
          <w:spacing w:val="0"/>
          <w:w w:val="100"/>
          <w:position w:val="0"/>
        </w:rPr>
        <w:t>、</w:t>
        <w:tab/>
        <w:t>分步处置股权至丧失控制权相关的具体会计政策</w:t>
      </w:r>
      <w:bookmarkEnd w:id="562"/>
      <w:bookmarkEnd w:id="563"/>
      <w:bookmarkEnd w:id="565"/>
    </w:p>
    <w:p>
      <w:pPr>
        <w:pStyle w:val="Style36"/>
        <w:keepNext/>
        <w:keepLines/>
        <w:widowControl w:val="0"/>
        <w:shd w:val="clear" w:color="auto" w:fill="auto"/>
        <w:tabs>
          <w:tab w:pos="488" w:val="left"/>
        </w:tabs>
        <w:bidi w:val="0"/>
        <w:spacing w:before="0" w:after="34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66"/>
      <w:bookmarkEnd w:id="567"/>
      <w:bookmarkEnd w:id="569"/>
    </w:p>
    <w:p>
      <w:pPr>
        <w:pStyle w:val="Style36"/>
        <w:keepNext/>
        <w:keepLines/>
        <w:widowControl w:val="0"/>
        <w:shd w:val="clear" w:color="auto" w:fill="auto"/>
        <w:tabs>
          <w:tab w:pos="488" w:val="left"/>
        </w:tabs>
        <w:bidi w:val="0"/>
        <w:spacing w:before="0" w:after="34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70"/>
      <w:bookmarkEnd w:id="571"/>
      <w:bookmarkEnd w:id="573"/>
    </w:p>
    <w:p>
      <w:pPr>
        <w:pStyle w:val="Style36"/>
        <w:keepNext/>
        <w:keepLines/>
        <w:widowControl w:val="0"/>
        <w:shd w:val="clear" w:color="auto" w:fill="auto"/>
        <w:tabs>
          <w:tab w:pos="488" w:val="left"/>
        </w:tabs>
        <w:bidi w:val="0"/>
        <w:spacing w:before="0" w:after="34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74"/>
      <w:bookmarkEnd w:id="575"/>
      <w:bookmarkEnd w:id="577"/>
    </w:p>
    <w:p>
      <w:pPr>
        <w:pStyle w:val="Style33"/>
        <w:keepNext/>
        <w:keepLines/>
        <w:widowControl w:val="0"/>
        <w:shd w:val="clear" w:color="auto" w:fill="auto"/>
        <w:tabs>
          <w:tab w:pos="378" w:val="left"/>
        </w:tabs>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7</w:t>
      </w:r>
      <w:bookmarkEnd w:id="580"/>
      <w:r>
        <w:rPr>
          <w:color w:val="000000"/>
          <w:spacing w:val="0"/>
          <w:w w:val="100"/>
          <w:position w:val="0"/>
        </w:rPr>
        <w:t>、</w:t>
        <w:tab/>
        <w:t>合并财务报表的编制方法</w:t>
      </w:r>
      <w:bookmarkEnd w:id="578"/>
      <w:bookmarkEnd w:id="579"/>
      <w:bookmarkEnd w:id="581"/>
    </w:p>
    <w:p>
      <w:pPr>
        <w:pStyle w:val="Style36"/>
        <w:keepNext/>
        <w:keepLines/>
        <w:widowControl w:val="0"/>
        <w:shd w:val="clear" w:color="auto" w:fill="auto"/>
        <w:bidi w:val="0"/>
        <w:spacing w:before="0" w:after="2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82"/>
      <w:bookmarkEnd w:id="583"/>
      <w:bookmarkEnd w:id="585"/>
    </w:p>
    <w:p>
      <w:pPr>
        <w:pStyle w:val="Style28"/>
        <w:keepNext w:val="0"/>
        <w:keepLines w:val="0"/>
        <w:widowControl w:val="0"/>
        <w:shd w:val="clear" w:color="auto" w:fill="auto"/>
        <w:bidi w:val="0"/>
        <w:spacing w:before="0" w:after="340" w:line="312" w:lineRule="exact"/>
        <w:ind w:left="0" w:right="0" w:firstLine="520"/>
        <w:jc w:val="left"/>
      </w:pPr>
      <w:r>
        <w:rPr>
          <w:color w:val="000000"/>
          <w:spacing w:val="0"/>
          <w:w w:val="100"/>
          <w:position w:val="0"/>
        </w:rPr>
        <w:t>凡本公司能够控制的子公司以及特殊目的主体（以下简称</w:t>
      </w:r>
      <w:r>
        <w:rPr>
          <w:rFonts w:ascii="Times New Roman" w:eastAsia="Times New Roman" w:hAnsi="Times New Roman" w:cs="Times New Roman"/>
          <w:color w:val="000000"/>
          <w:spacing w:val="0"/>
          <w:w w:val="100"/>
          <w:position w:val="0"/>
        </w:rPr>
        <w:t>“</w:t>
      </w:r>
      <w:r>
        <w:rPr>
          <w:color w:val="000000"/>
          <w:spacing w:val="0"/>
          <w:w w:val="100"/>
          <w:position w:val="0"/>
        </w:rPr>
        <w:t>纳入合并范围的公司</w:t>
      </w:r>
      <w:r>
        <w:rPr>
          <w:color w:val="000000"/>
          <w:spacing w:val="0"/>
          <w:w w:val="100"/>
          <w:position w:val="0"/>
        </w:rPr>
        <w:t>''）</w:t>
      </w:r>
      <w:r>
        <w:rPr>
          <w:color w:val="000000"/>
          <w:spacing w:val="0"/>
          <w:w w:val="100"/>
          <w:position w:val="0"/>
        </w:rPr>
        <w:t>都纳入合并范围；纳入合并范围的 公司所采用的会计期间、会计政策与母公司不一致的，已按照母公司的会计期间、会计政策对其财务报表进行调整；以母公 司和纳入合并范围公司调整后的财务报表为基础，按照权益法调整对纳入合并范围公司的长期股权投资后，由母公司编制； 合并报表范围内母公司与纳入合并范围的公司、纳入合并范围的公司相互之间发生的内部交易、资金往来在合并时予以抵销。</w:t>
      </w:r>
    </w:p>
    <w:p>
      <w:pPr>
        <w:pStyle w:val="Style36"/>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86"/>
      <w:bookmarkEnd w:id="587"/>
      <w:bookmarkEnd w:id="589"/>
    </w:p>
    <w:p>
      <w:pPr>
        <w:pStyle w:val="Style33"/>
        <w:keepNext/>
        <w:keepLines/>
        <w:widowControl w:val="0"/>
        <w:shd w:val="clear" w:color="auto" w:fill="auto"/>
        <w:bidi w:val="0"/>
        <w:spacing w:before="0" w:after="2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8</w:t>
      </w:r>
      <w:bookmarkEnd w:id="592"/>
      <w:r>
        <w:rPr>
          <w:color w:val="000000"/>
          <w:spacing w:val="0"/>
          <w:w w:val="100"/>
          <w:position w:val="0"/>
        </w:rPr>
        <w:t>、现金及现金等价物的确定标准</w:t>
      </w:r>
      <w:bookmarkEnd w:id="590"/>
      <w:bookmarkEnd w:id="591"/>
      <w:bookmarkEnd w:id="593"/>
    </w:p>
    <w:p>
      <w:pPr>
        <w:pStyle w:val="Style28"/>
        <w:keepNext w:val="0"/>
        <w:keepLines w:val="0"/>
        <w:widowControl w:val="0"/>
        <w:shd w:val="clear" w:color="auto" w:fill="auto"/>
        <w:bidi w:val="0"/>
        <w:spacing w:before="0" w:after="680" w:line="317" w:lineRule="exact"/>
        <w:ind w:left="0" w:right="0" w:firstLine="500"/>
        <w:jc w:val="both"/>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3"/>
        <w:keepNext/>
        <w:keepLines/>
        <w:widowControl w:val="0"/>
        <w:shd w:val="clear" w:color="auto" w:fill="auto"/>
        <w:tabs>
          <w:tab w:pos="378" w:val="left"/>
        </w:tabs>
        <w:bidi w:val="0"/>
        <w:spacing w:before="0" w:after="36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9</w:t>
      </w:r>
      <w:bookmarkEnd w:id="596"/>
      <w:r>
        <w:rPr>
          <w:color w:val="000000"/>
          <w:spacing w:val="0"/>
          <w:w w:val="100"/>
          <w:position w:val="0"/>
        </w:rPr>
        <w:t>、</w:t>
        <w:tab/>
        <w:t>外币业务和外币报表折算</w:t>
      </w:r>
      <w:bookmarkEnd w:id="594"/>
      <w:bookmarkEnd w:id="595"/>
      <w:bookmarkEnd w:id="597"/>
    </w:p>
    <w:p>
      <w:pPr>
        <w:pStyle w:val="Style36"/>
        <w:keepNext/>
        <w:keepLines/>
        <w:widowControl w:val="0"/>
        <w:shd w:val="clear" w:color="auto" w:fill="auto"/>
        <w:tabs>
          <w:tab w:pos="488"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w:t>
      </w:r>
      <w:bookmarkEnd w:id="600"/>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98"/>
      <w:bookmarkEnd w:id="599"/>
      <w:bookmarkEnd w:id="601"/>
    </w:p>
    <w:p>
      <w:pPr>
        <w:pStyle w:val="Style2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本公司外币交易初始确认时采用交易发生日的即期汇率折算为记账本位币。</w:t>
      </w:r>
    </w:p>
    <w:p>
      <w:pPr>
        <w:pStyle w:val="Style2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在资产负债表日，公司按照下列规定对外币货币性项目和外币非货币性项目进行处理：</w:t>
      </w:r>
    </w:p>
    <w:p>
      <w:pPr>
        <w:pStyle w:val="Style28"/>
        <w:keepNext w:val="0"/>
        <w:keepLines w:val="0"/>
        <w:widowControl w:val="0"/>
        <w:numPr>
          <w:ilvl w:val="0"/>
          <w:numId w:val="15"/>
        </w:numPr>
        <w:shd w:val="clear" w:color="auto" w:fill="auto"/>
        <w:tabs>
          <w:tab w:pos="373" w:val="left"/>
        </w:tabs>
        <w:bidi w:val="0"/>
        <w:spacing w:before="0" w:after="0" w:line="307" w:lineRule="exact"/>
        <w:ind w:left="0" w:right="0" w:firstLine="0"/>
        <w:jc w:val="left"/>
      </w:pPr>
      <w:bookmarkStart w:id="602" w:name="bookmark602"/>
      <w:bookmarkEnd w:id="602"/>
      <w:r>
        <w:rPr>
          <w:color w:val="000000"/>
          <w:spacing w:val="0"/>
          <w:w w:val="100"/>
          <w:position w:val="0"/>
        </w:rPr>
        <w:t>外币货币性项目，采用资产负债表日即期汇率折算。因资产负债表日即期汇率与初始确认时或前一资产负债表日即期汇率 不同而产生的汇兑差额，计入当期损益。</w:t>
      </w:r>
    </w:p>
    <w:p>
      <w:pPr>
        <w:pStyle w:val="Style28"/>
        <w:keepNext w:val="0"/>
        <w:keepLines w:val="0"/>
        <w:widowControl w:val="0"/>
        <w:numPr>
          <w:ilvl w:val="0"/>
          <w:numId w:val="15"/>
        </w:numPr>
        <w:shd w:val="clear" w:color="auto" w:fill="auto"/>
        <w:tabs>
          <w:tab w:pos="373" w:val="left"/>
        </w:tabs>
        <w:bidi w:val="0"/>
        <w:spacing w:before="0" w:after="360" w:line="307" w:lineRule="exact"/>
        <w:ind w:left="0" w:right="0" w:firstLine="0"/>
        <w:jc w:val="left"/>
      </w:pPr>
      <w:bookmarkStart w:id="603" w:name="bookmark603"/>
      <w:bookmarkEnd w:id="603"/>
      <w:r>
        <w:rPr>
          <w:color w:val="000000"/>
          <w:spacing w:val="0"/>
          <w:w w:val="100"/>
          <w:position w:val="0"/>
        </w:rPr>
        <w:t>以历史成本计量的外币非货币性项目，仍采用交易发生日的即期汇率折算，不改变其记账本位币金额。</w:t>
      </w:r>
    </w:p>
    <w:p>
      <w:pPr>
        <w:pStyle w:val="Style36"/>
        <w:keepNext/>
        <w:keepLines/>
        <w:widowControl w:val="0"/>
        <w:shd w:val="clear" w:color="auto" w:fill="auto"/>
        <w:tabs>
          <w:tab w:pos="488" w:val="left"/>
        </w:tabs>
        <w:bidi w:val="0"/>
        <w:spacing w:before="0" w:after="2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604"/>
      <w:bookmarkEnd w:id="605"/>
      <w:bookmarkEnd w:id="607"/>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对企业境外经营财务报表进行折算前先调整境外经营的会计期间和会计政策，使之与企业会计期间和会计政策相一 致，再根据调整后会计政策及会计期间编制相应货币（记账本位币以外的货币）的财务报表，再按照以下方法对境外经营财 务报表进行折算：</w:t>
      </w:r>
    </w:p>
    <w:p>
      <w:pPr>
        <w:pStyle w:val="Style28"/>
        <w:keepNext w:val="0"/>
        <w:keepLines w:val="0"/>
        <w:widowControl w:val="0"/>
        <w:numPr>
          <w:ilvl w:val="0"/>
          <w:numId w:val="17"/>
        </w:numPr>
        <w:shd w:val="clear" w:color="auto" w:fill="auto"/>
        <w:tabs>
          <w:tab w:pos="848" w:val="left"/>
        </w:tabs>
        <w:bidi w:val="0"/>
        <w:spacing w:before="0" w:after="100" w:line="312" w:lineRule="exact"/>
        <w:ind w:left="0" w:right="0" w:firstLine="500"/>
        <w:jc w:val="both"/>
      </w:pPr>
      <w:bookmarkStart w:id="608" w:name="bookmark608"/>
      <w:bookmarkEnd w:id="608"/>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 他项目采用发生时的即期汇率折算。</w:t>
      </w:r>
    </w:p>
    <w:p>
      <w:pPr>
        <w:pStyle w:val="Style28"/>
        <w:keepNext w:val="0"/>
        <w:keepLines w:val="0"/>
        <w:widowControl w:val="0"/>
        <w:numPr>
          <w:ilvl w:val="0"/>
          <w:numId w:val="17"/>
        </w:numPr>
        <w:shd w:val="clear" w:color="auto" w:fill="auto"/>
        <w:tabs>
          <w:tab w:pos="873" w:val="left"/>
        </w:tabs>
        <w:bidi w:val="0"/>
        <w:spacing w:before="0" w:after="100" w:line="312" w:lineRule="exact"/>
        <w:ind w:left="0" w:right="0" w:firstLine="500"/>
        <w:jc w:val="both"/>
      </w:pPr>
      <w:bookmarkStart w:id="609" w:name="bookmark609"/>
      <w:bookmarkEnd w:id="609"/>
      <w:r>
        <w:rPr>
          <w:color w:val="000000"/>
          <w:spacing w:val="0"/>
          <w:w w:val="100"/>
          <w:position w:val="0"/>
        </w:rPr>
        <w:t>利润表中的收入和费用项目，采用交易发生日的即期汇率或即期汇率的近似汇率折算。</w:t>
      </w:r>
    </w:p>
    <w:p>
      <w:pPr>
        <w:pStyle w:val="Style28"/>
        <w:keepNext w:val="0"/>
        <w:keepLines w:val="0"/>
        <w:widowControl w:val="0"/>
        <w:numPr>
          <w:ilvl w:val="0"/>
          <w:numId w:val="17"/>
        </w:numPr>
        <w:shd w:val="clear" w:color="auto" w:fill="auto"/>
        <w:tabs>
          <w:tab w:pos="853" w:val="left"/>
        </w:tabs>
        <w:bidi w:val="0"/>
        <w:spacing w:before="0" w:after="360" w:line="317" w:lineRule="exact"/>
        <w:ind w:left="0" w:right="0" w:firstLine="500"/>
        <w:jc w:val="both"/>
      </w:pPr>
      <w:bookmarkStart w:id="610" w:name="bookmark610"/>
      <w:bookmarkEnd w:id="610"/>
      <w:r>
        <w:rPr>
          <w:color w:val="000000"/>
          <w:spacing w:val="0"/>
          <w:w w:val="100"/>
          <w:position w:val="0"/>
        </w:rPr>
        <w:t>产生的外币财务报表折算差额，在编制合并财务报表时，在合并资产负债表中所有者权益项目下单独作为</w:t>
      </w:r>
      <w:r>
        <w:rPr>
          <w:rFonts w:ascii="Times New Roman" w:eastAsia="Times New Roman" w:hAnsi="Times New Roman" w:cs="Times New Roman"/>
          <w:color w:val="000000"/>
          <w:spacing w:val="0"/>
          <w:w w:val="100"/>
          <w:position w:val="0"/>
        </w:rPr>
        <w:t>“</w:t>
      </w:r>
      <w:r>
        <w:rPr>
          <w:color w:val="000000"/>
          <w:spacing w:val="0"/>
          <w:w w:val="100"/>
          <w:position w:val="0"/>
        </w:rPr>
        <w:t>外币报 表折算差额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3"/>
        <w:keepNext/>
        <w:keepLines/>
        <w:widowControl w:val="0"/>
        <w:shd w:val="clear" w:color="auto" w:fill="auto"/>
        <w:tabs>
          <w:tab w:pos="469" w:val="left"/>
        </w:tabs>
        <w:bidi w:val="0"/>
        <w:spacing w:before="0" w:after="156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11"/>
      <w:bookmarkEnd w:id="612"/>
      <w:bookmarkEnd w:id="614"/>
    </w:p>
    <w:p>
      <w:pPr>
        <w:pStyle w:val="Style36"/>
        <w:keepNext/>
        <w:keepLines/>
        <w:widowControl w:val="0"/>
        <w:shd w:val="clear" w:color="auto" w:fill="auto"/>
        <w:bidi w:val="0"/>
        <w:spacing w:before="0" w:line="240" w:lineRule="auto"/>
        <w:ind w:left="0" w:right="0" w:firstLine="14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w:t>
      </w:r>
      <w:bookmarkEnd w:id="617"/>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615"/>
      <w:bookmarkEnd w:id="616"/>
      <w:bookmarkEnd w:id="618"/>
    </w:p>
    <w:p>
      <w:pPr>
        <w:pStyle w:val="Style28"/>
        <w:keepNext w:val="0"/>
        <w:keepLines w:val="0"/>
        <w:widowControl w:val="0"/>
        <w:numPr>
          <w:ilvl w:val="0"/>
          <w:numId w:val="19"/>
        </w:numPr>
        <w:shd w:val="clear" w:color="auto" w:fill="auto"/>
        <w:tabs>
          <w:tab w:pos="513" w:val="left"/>
        </w:tabs>
        <w:bidi w:val="0"/>
        <w:spacing w:before="0" w:after="100" w:line="240" w:lineRule="auto"/>
        <w:ind w:left="0" w:right="0" w:firstLine="140"/>
        <w:jc w:val="left"/>
      </w:pPr>
      <w:bookmarkStart w:id="619" w:name="bookmark619"/>
      <w:bookmarkEnd w:id="619"/>
      <w:r>
        <w:rPr>
          <w:color w:val="000000"/>
          <w:spacing w:val="0"/>
          <w:w w:val="100"/>
          <w:position w:val="0"/>
        </w:rPr>
        <w:t>金融资产划分为以下四类：</w:t>
      </w:r>
    </w:p>
    <w:p>
      <w:pPr>
        <w:pStyle w:val="Style28"/>
        <w:keepNext w:val="0"/>
        <w:keepLines w:val="0"/>
        <w:widowControl w:val="0"/>
        <w:numPr>
          <w:ilvl w:val="0"/>
          <w:numId w:val="21"/>
        </w:numPr>
        <w:shd w:val="clear" w:color="auto" w:fill="auto"/>
        <w:tabs>
          <w:tab w:pos="503" w:val="left"/>
        </w:tabs>
        <w:bidi w:val="0"/>
        <w:spacing w:before="0" w:after="100" w:line="240" w:lineRule="auto"/>
        <w:ind w:left="0" w:right="0" w:firstLine="140"/>
        <w:jc w:val="both"/>
      </w:pPr>
      <w:bookmarkStart w:id="620" w:name="bookmark620"/>
      <w:bookmarkEnd w:id="620"/>
      <w:r>
        <w:rPr>
          <w:color w:val="000000"/>
          <w:spacing w:val="0"/>
          <w:w w:val="100"/>
          <w:position w:val="0"/>
        </w:rPr>
        <w:t>以公允价值计量且其变动计入当期损益的金融资产;</w:t>
      </w:r>
    </w:p>
    <w:p>
      <w:pPr>
        <w:pStyle w:val="Style28"/>
        <w:keepNext w:val="0"/>
        <w:keepLines w:val="0"/>
        <w:widowControl w:val="0"/>
        <w:numPr>
          <w:ilvl w:val="0"/>
          <w:numId w:val="21"/>
        </w:numPr>
        <w:shd w:val="clear" w:color="auto" w:fill="auto"/>
        <w:tabs>
          <w:tab w:pos="503" w:val="left"/>
        </w:tabs>
        <w:bidi w:val="0"/>
        <w:spacing w:before="0" w:after="100" w:line="240" w:lineRule="auto"/>
        <w:ind w:left="0" w:right="0" w:firstLine="140"/>
        <w:jc w:val="both"/>
      </w:pPr>
      <w:bookmarkStart w:id="621" w:name="bookmark621"/>
      <w:bookmarkEnd w:id="621"/>
      <w:r>
        <w:rPr>
          <w:color w:val="000000"/>
          <w:spacing w:val="0"/>
          <w:w w:val="100"/>
          <w:position w:val="0"/>
        </w:rPr>
        <w:t>持有至到期投资；</w:t>
      </w:r>
    </w:p>
    <w:p>
      <w:pPr>
        <w:pStyle w:val="Style28"/>
        <w:keepNext w:val="0"/>
        <w:keepLines w:val="0"/>
        <w:widowControl w:val="0"/>
        <w:numPr>
          <w:ilvl w:val="0"/>
          <w:numId w:val="21"/>
        </w:numPr>
        <w:shd w:val="clear" w:color="auto" w:fill="auto"/>
        <w:tabs>
          <w:tab w:pos="503" w:val="left"/>
        </w:tabs>
        <w:bidi w:val="0"/>
        <w:spacing w:before="0" w:after="100" w:line="240" w:lineRule="auto"/>
        <w:ind w:left="0" w:right="0" w:firstLine="140"/>
        <w:jc w:val="both"/>
      </w:pPr>
      <w:bookmarkStart w:id="622" w:name="bookmark622"/>
      <w:bookmarkEnd w:id="622"/>
      <w:r>
        <w:rPr>
          <w:color w:val="000000"/>
          <w:spacing w:val="0"/>
          <w:w w:val="100"/>
          <w:position w:val="0"/>
        </w:rPr>
        <w:t>应收款项；</w:t>
      </w:r>
    </w:p>
    <w:p>
      <w:pPr>
        <w:pStyle w:val="Style28"/>
        <w:keepNext w:val="0"/>
        <w:keepLines w:val="0"/>
        <w:widowControl w:val="0"/>
        <w:numPr>
          <w:ilvl w:val="0"/>
          <w:numId w:val="21"/>
        </w:numPr>
        <w:shd w:val="clear" w:color="auto" w:fill="auto"/>
        <w:tabs>
          <w:tab w:pos="503" w:val="left"/>
        </w:tabs>
        <w:bidi w:val="0"/>
        <w:spacing w:before="0" w:after="100" w:line="240" w:lineRule="auto"/>
        <w:ind w:left="0" w:right="0" w:firstLine="140"/>
        <w:jc w:val="both"/>
      </w:pPr>
      <w:bookmarkStart w:id="623" w:name="bookmark623"/>
      <w:bookmarkEnd w:id="623"/>
      <w:r>
        <w:rPr>
          <w:color w:val="000000"/>
          <w:spacing w:val="0"/>
          <w:w w:val="100"/>
          <w:position w:val="0"/>
        </w:rPr>
        <w:t>可供出售金融资产。</w:t>
      </w:r>
    </w:p>
    <w:p>
      <w:pPr>
        <w:pStyle w:val="Style28"/>
        <w:keepNext w:val="0"/>
        <w:keepLines w:val="0"/>
        <w:widowControl w:val="0"/>
        <w:numPr>
          <w:ilvl w:val="0"/>
          <w:numId w:val="19"/>
        </w:numPr>
        <w:shd w:val="clear" w:color="auto" w:fill="auto"/>
        <w:tabs>
          <w:tab w:pos="513" w:val="left"/>
        </w:tabs>
        <w:bidi w:val="0"/>
        <w:spacing w:before="0" w:after="100" w:line="240" w:lineRule="auto"/>
        <w:ind w:left="0" w:right="0" w:firstLine="140"/>
        <w:jc w:val="both"/>
      </w:pPr>
      <w:bookmarkStart w:id="624" w:name="bookmark624"/>
      <w:bookmarkEnd w:id="624"/>
      <w:r>
        <w:rPr>
          <w:color w:val="000000"/>
          <w:spacing w:val="0"/>
          <w:w w:val="100"/>
          <w:position w:val="0"/>
        </w:rPr>
        <w:t>金融负债在初始确认时划分为以下两类：</w:t>
      </w:r>
    </w:p>
    <w:p>
      <w:pPr>
        <w:pStyle w:val="Style28"/>
        <w:keepNext w:val="0"/>
        <w:keepLines w:val="0"/>
        <w:widowControl w:val="0"/>
        <w:numPr>
          <w:ilvl w:val="0"/>
          <w:numId w:val="23"/>
        </w:numPr>
        <w:shd w:val="clear" w:color="auto" w:fill="auto"/>
        <w:bidi w:val="0"/>
        <w:spacing w:before="0" w:after="100" w:line="240" w:lineRule="auto"/>
        <w:ind w:left="0" w:right="0" w:firstLine="140"/>
        <w:jc w:val="both"/>
      </w:pPr>
      <w:bookmarkStart w:id="625" w:name="bookmark625"/>
      <w:bookmarkEnd w:id="625"/>
      <w:r>
        <w:rPr>
          <w:color w:val="000000"/>
          <w:spacing w:val="0"/>
          <w:w w:val="100"/>
          <w:position w:val="0"/>
        </w:rPr>
        <w:t>以公允价值计量且其变动计入当期损益的金融负债;</w:t>
      </w:r>
    </w:p>
    <w:p>
      <w:pPr>
        <w:pStyle w:val="Style28"/>
        <w:keepNext w:val="0"/>
        <w:keepLines w:val="0"/>
        <w:widowControl w:val="0"/>
        <w:numPr>
          <w:ilvl w:val="0"/>
          <w:numId w:val="23"/>
        </w:numPr>
        <w:shd w:val="clear" w:color="auto" w:fill="auto"/>
        <w:bidi w:val="0"/>
        <w:spacing w:before="0" w:after="360" w:line="312" w:lineRule="exact"/>
        <w:ind w:left="0" w:right="0" w:firstLine="160"/>
        <w:jc w:val="left"/>
      </w:pPr>
      <w:bookmarkStart w:id="626" w:name="bookmark626"/>
      <w:bookmarkEnd w:id="626"/>
      <w:r>
        <w:rPr>
          <w:color w:val="000000"/>
          <w:spacing w:val="0"/>
          <w:w w:val="100"/>
          <w:position w:val="0"/>
        </w:rPr>
        <w:t>其他金融负债。</w:t>
      </w:r>
    </w:p>
    <w:p>
      <w:pPr>
        <w:pStyle w:val="Style36"/>
        <w:keepNext/>
        <w:keepLines/>
        <w:widowControl w:val="0"/>
        <w:numPr>
          <w:ilvl w:val="0"/>
          <w:numId w:val="25"/>
        </w:numPr>
        <w:shd w:val="clear" w:color="auto" w:fill="auto"/>
        <w:tabs>
          <w:tab w:pos="488" w:val="left"/>
        </w:tabs>
        <w:bidi w:val="0"/>
        <w:spacing w:before="0" w:after="280" w:line="240" w:lineRule="auto"/>
        <w:ind w:left="0" w:right="0" w:firstLine="0"/>
        <w:jc w:val="left"/>
      </w:pPr>
      <w:bookmarkStart w:id="627" w:name="bookmark627"/>
      <w:bookmarkStart w:id="628" w:name="bookmark628"/>
      <w:bookmarkStart w:id="629" w:name="bookmark629"/>
      <w:bookmarkStart w:id="630" w:name="bookmark630"/>
      <w:bookmarkEnd w:id="629"/>
      <w:r>
        <w:rPr>
          <w:color w:val="000000"/>
          <w:spacing w:val="0"/>
          <w:w w:val="100"/>
          <w:position w:val="0"/>
        </w:rPr>
        <w:t>金融工具的确认依据和计量方法</w:t>
      </w:r>
      <w:bookmarkEnd w:id="627"/>
      <w:bookmarkEnd w:id="628"/>
      <w:bookmarkEnd w:id="630"/>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①金融资产划分为以下四类：</w:t>
      </w:r>
    </w:p>
    <w:p>
      <w:pPr>
        <w:pStyle w:val="Style28"/>
        <w:keepNext w:val="0"/>
        <w:keepLines w:val="0"/>
        <w:widowControl w:val="0"/>
        <w:numPr>
          <w:ilvl w:val="0"/>
          <w:numId w:val="27"/>
        </w:numPr>
        <w:shd w:val="clear" w:color="auto" w:fill="auto"/>
        <w:bidi w:val="0"/>
        <w:spacing w:before="0" w:after="0" w:line="312" w:lineRule="exact"/>
        <w:ind w:left="0" w:right="0" w:firstLine="0"/>
        <w:jc w:val="left"/>
      </w:pPr>
      <w:bookmarkStart w:id="631" w:name="bookmark631"/>
      <w:bookmarkEnd w:id="631"/>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主要是指本公司为了近期内出售而持有的股票、债券、基金以及不作为有效套期工具的衍生工具。包括交易性金融资 产和直接指定为以公允价值计量且其变动计入当期损益的金融资产。这类资产在初始计量时按照取得时的公允价值作为初始 确认金额，相关的交易费用在发生时计入当期损益。支付的价款中包含已宣告但尚未发放的现金股利或已到付息但尚未领取 的债券利息，单独确认为应收项目。在持有期间取得利息或现金股利，确认为投资收益。资产负债表日，本公司将这类金融 资产以公允价值计量且其变动计入当期损益。这类金融资产在处置时，其公允价值与初始入账金额之间的差额确认为投资收 益，同时调整公允价值变动损益。</w:t>
      </w:r>
    </w:p>
    <w:p>
      <w:pPr>
        <w:pStyle w:val="Style28"/>
        <w:keepNext w:val="0"/>
        <w:keepLines w:val="0"/>
        <w:widowControl w:val="0"/>
        <w:numPr>
          <w:ilvl w:val="0"/>
          <w:numId w:val="27"/>
        </w:numPr>
        <w:shd w:val="clear" w:color="auto" w:fill="auto"/>
        <w:tabs>
          <w:tab w:pos="509" w:val="left"/>
        </w:tabs>
        <w:bidi w:val="0"/>
        <w:spacing w:before="0" w:after="0" w:line="312" w:lineRule="exact"/>
        <w:ind w:left="0" w:right="0" w:firstLine="160"/>
        <w:jc w:val="left"/>
      </w:pPr>
      <w:bookmarkStart w:id="632" w:name="bookmark632"/>
      <w:bookmarkEnd w:id="632"/>
      <w:r>
        <w:rPr>
          <w:color w:val="000000"/>
          <w:spacing w:val="0"/>
          <w:w w:val="100"/>
          <w:position w:val="0"/>
        </w:rPr>
        <w:t>持有至到期投资</w:t>
      </w:r>
    </w:p>
    <w:p>
      <w:pPr>
        <w:pStyle w:val="Style28"/>
        <w:keepNext w:val="0"/>
        <w:keepLines w:val="0"/>
        <w:widowControl w:val="0"/>
        <w:shd w:val="clear" w:color="auto" w:fill="auto"/>
        <w:bidi w:val="0"/>
        <w:spacing w:before="0" w:after="80" w:line="312" w:lineRule="exact"/>
        <w:ind w:left="0" w:right="0" w:firstLine="520"/>
        <w:jc w:val="both"/>
      </w:pPr>
      <w:r>
        <w:rPr>
          <w:color w:val="000000"/>
          <w:spacing w:val="0"/>
          <w:w w:val="100"/>
          <w:position w:val="0"/>
        </w:rPr>
        <w:t>主要是指到期日固定、回收金额固定或可确定，且本公司具有明确意图和能力持有至到期的国债、公司债券等。这类 金融资产按照取得时的公允价值和相关交易费用之和作为初始确认金额。支付价款中包含的已到付息期但尚未发放的债券利 息，单独确认为应收项目。持有至到期投资在持有期间按照摊余成本和实际利率计算确认利息收入，计入投资收益。处置持 有至到期投资时，将所取得价款与该投资账面价值之间的差额计入投资收益。</w:t>
      </w:r>
    </w:p>
    <w:p>
      <w:pPr>
        <w:pStyle w:val="Style28"/>
        <w:keepNext w:val="0"/>
        <w:keepLines w:val="0"/>
        <w:widowControl w:val="0"/>
        <w:numPr>
          <w:ilvl w:val="0"/>
          <w:numId w:val="27"/>
        </w:numPr>
        <w:shd w:val="clear" w:color="auto" w:fill="auto"/>
        <w:tabs>
          <w:tab w:pos="509" w:val="left"/>
        </w:tabs>
        <w:bidi w:val="0"/>
        <w:spacing w:before="0" w:after="0"/>
        <w:ind w:left="0" w:right="0" w:firstLine="160"/>
        <w:jc w:val="left"/>
      </w:pPr>
      <w:bookmarkStart w:id="633" w:name="bookmark633"/>
      <w:bookmarkEnd w:id="633"/>
      <w:r>
        <w:rPr>
          <w:color w:val="000000"/>
          <w:spacing w:val="0"/>
          <w:w w:val="100"/>
          <w:position w:val="0"/>
        </w:rPr>
        <w:t>应收款项</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应收款项包括应收账款和其他应收款等。应收账款是指本公司销售商品或提供劳务形成的应收款项。应收账款按从购 货方应收的合同或协议价款作为初始确认金额。</w:t>
      </w:r>
    </w:p>
    <w:p>
      <w:pPr>
        <w:pStyle w:val="Style28"/>
        <w:keepNext w:val="0"/>
        <w:keepLines w:val="0"/>
        <w:widowControl w:val="0"/>
        <w:numPr>
          <w:ilvl w:val="0"/>
          <w:numId w:val="27"/>
        </w:numPr>
        <w:shd w:val="clear" w:color="auto" w:fill="auto"/>
        <w:bidi w:val="0"/>
        <w:spacing w:before="0" w:after="0" w:line="312" w:lineRule="exact"/>
        <w:ind w:left="0" w:right="0" w:firstLine="0"/>
        <w:jc w:val="left"/>
      </w:pPr>
      <w:bookmarkStart w:id="634" w:name="bookmark634"/>
      <w:bookmarkEnd w:id="634"/>
      <w:r>
        <w:rPr>
          <w:color w:val="000000"/>
          <w:spacing w:val="0"/>
          <w:w w:val="100"/>
          <w:position w:val="0"/>
        </w:rPr>
        <w:t>可供出售金融资产</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主要是指本公司没有划分为以公允价值计量且其变动计入当期损益的金融资产、持有至到期投资、贷款和应收款项的 金融资产。可供出售金融资产按照取得该金融资产的公允价值和相关交易费用之和作为初始确认金额。支付的价款中包含的 已到付息期但尚未领取的债券利息或已宣告但尚未发放的现金股利，单独确认为应收项目。可供出售金融资产持有期间取得 的利息或现金股利计入投资收益。资产负债表日，可供出售金融资产以公允价值计量且公允价值变动计入资本公积。处置可 供出售金融资产时，将取得的价款与该金融资产账面价值之间差额计入投资收益；同时，将原计入所有者权益的公允价值变 动累计额对应处置部分的金额转出，计入投资收益。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②金融负债在初始确认时划分为以下两类：</w:t>
      </w:r>
    </w:p>
    <w:p>
      <w:pPr>
        <w:pStyle w:val="Style28"/>
        <w:keepNext w:val="0"/>
        <w:keepLines w:val="0"/>
        <w:widowControl w:val="0"/>
        <w:numPr>
          <w:ilvl w:val="0"/>
          <w:numId w:val="29"/>
        </w:numPr>
        <w:shd w:val="clear" w:color="auto" w:fill="auto"/>
        <w:bidi w:val="0"/>
        <w:spacing w:before="0" w:after="0" w:line="312" w:lineRule="exact"/>
        <w:ind w:left="0" w:right="0" w:firstLine="0"/>
        <w:jc w:val="both"/>
      </w:pPr>
      <w:bookmarkStart w:id="635" w:name="bookmark635"/>
      <w:bookmarkEnd w:id="635"/>
      <w:r>
        <w:rPr>
          <w:color w:val="000000"/>
          <w:spacing w:val="0"/>
          <w:w w:val="100"/>
          <w:position w:val="0"/>
        </w:rPr>
        <w:t>以公允价值计量且其变动计入当期损益的金融负债，包括交易性金融负债和指定为以公允价值计量且其变动计入当期损 益的金融负债；这类金融负债初始确认时以公允价值计量，相关交易费用直接计入当期损益，资产负债表日将公允价值变动 计入当期损益。</w:t>
      </w:r>
    </w:p>
    <w:p>
      <w:pPr>
        <w:pStyle w:val="Style28"/>
        <w:keepNext w:val="0"/>
        <w:keepLines w:val="0"/>
        <w:widowControl w:val="0"/>
        <w:numPr>
          <w:ilvl w:val="0"/>
          <w:numId w:val="29"/>
        </w:numPr>
        <w:shd w:val="clear" w:color="auto" w:fill="auto"/>
        <w:bidi w:val="0"/>
        <w:spacing w:before="0" w:after="360" w:line="312" w:lineRule="exact"/>
        <w:ind w:left="0" w:right="0" w:firstLine="0"/>
        <w:jc w:val="left"/>
      </w:pPr>
      <w:bookmarkStart w:id="636" w:name="bookmark636"/>
      <w:bookmarkEnd w:id="636"/>
      <w:r>
        <w:rPr>
          <w:color w:val="000000"/>
          <w:spacing w:val="0"/>
          <w:w w:val="100"/>
          <w:position w:val="0"/>
        </w:rPr>
        <w:t>其他金融负债，是指以公允价值计量且其变动计入当期损益的金融负债以外的金融负债。</w:t>
      </w:r>
    </w:p>
    <w:p>
      <w:pPr>
        <w:pStyle w:val="Style36"/>
        <w:keepNext/>
        <w:keepLines/>
        <w:widowControl w:val="0"/>
        <w:numPr>
          <w:ilvl w:val="0"/>
          <w:numId w:val="25"/>
        </w:numPr>
        <w:shd w:val="clear" w:color="auto" w:fill="auto"/>
        <w:tabs>
          <w:tab w:pos="488" w:val="left"/>
        </w:tabs>
        <w:bidi w:val="0"/>
        <w:spacing w:before="0" w:after="280" w:line="240" w:lineRule="auto"/>
        <w:ind w:left="0" w:right="0" w:firstLine="0"/>
        <w:jc w:val="left"/>
      </w:pPr>
      <w:bookmarkStart w:id="637" w:name="bookmark637"/>
      <w:bookmarkStart w:id="638" w:name="bookmark638"/>
      <w:bookmarkStart w:id="639" w:name="bookmark639"/>
      <w:bookmarkStart w:id="640" w:name="bookmark640"/>
      <w:bookmarkEnd w:id="639"/>
      <w:r>
        <w:rPr>
          <w:color w:val="000000"/>
          <w:spacing w:val="0"/>
          <w:w w:val="100"/>
          <w:position w:val="0"/>
        </w:rPr>
        <w:t>金融资产转移的确认依据和计量方法</w:t>
      </w:r>
      <w:bookmarkEnd w:id="637"/>
      <w:bookmarkEnd w:id="638"/>
      <w:bookmarkEnd w:id="640"/>
    </w:p>
    <w:p>
      <w:pPr>
        <w:pStyle w:val="Style28"/>
        <w:keepNext w:val="0"/>
        <w:keepLines w:val="0"/>
        <w:widowControl w:val="0"/>
        <w:numPr>
          <w:ilvl w:val="0"/>
          <w:numId w:val="31"/>
        </w:numPr>
        <w:shd w:val="clear" w:color="auto" w:fill="auto"/>
        <w:tabs>
          <w:tab w:pos="373" w:val="left"/>
        </w:tabs>
        <w:bidi w:val="0"/>
        <w:spacing w:before="0" w:after="0" w:line="312" w:lineRule="exact"/>
        <w:ind w:left="0" w:right="0" w:firstLine="0"/>
        <w:jc w:val="left"/>
      </w:pPr>
      <w:bookmarkStart w:id="641" w:name="bookmark641"/>
      <w:bookmarkEnd w:id="641"/>
      <w:r>
        <w:rPr>
          <w:color w:val="000000"/>
          <w:spacing w:val="0"/>
          <w:w w:val="100"/>
          <w:position w:val="0"/>
        </w:rPr>
        <w:t>已将金融资产所有权上几乎所有的风险和报酬转移给转入方时终止对该项金融资产的确认。</w:t>
      </w:r>
    </w:p>
    <w:p>
      <w:pPr>
        <w:pStyle w:val="Style28"/>
        <w:keepNext w:val="0"/>
        <w:keepLines w:val="0"/>
        <w:widowControl w:val="0"/>
        <w:shd w:val="clear" w:color="auto" w:fill="auto"/>
        <w:bidi w:val="0"/>
        <w:spacing w:before="0" w:after="0" w:line="312" w:lineRule="exact"/>
        <w:ind w:left="0" w:right="0" w:firstLine="520"/>
        <w:jc w:val="left"/>
      </w:pPr>
      <w:r>
        <w:rPr>
          <w:color w:val="000000"/>
          <w:spacing w:val="0"/>
          <w:w w:val="100"/>
          <w:position w:val="0"/>
        </w:rPr>
        <w:t>金融资产整体转移满足终止确认条件的，将下列两项的差额计入当期损益：</w:t>
      </w:r>
    </w:p>
    <w:p>
      <w:pPr>
        <w:pStyle w:val="Style28"/>
        <w:keepNext w:val="0"/>
        <w:keepLines w:val="0"/>
        <w:widowControl w:val="0"/>
        <w:numPr>
          <w:ilvl w:val="0"/>
          <w:numId w:val="33"/>
        </w:numPr>
        <w:shd w:val="clear" w:color="auto" w:fill="auto"/>
        <w:tabs>
          <w:tab w:pos="363" w:val="left"/>
        </w:tabs>
        <w:bidi w:val="0"/>
        <w:spacing w:before="0" w:after="0" w:line="312" w:lineRule="exact"/>
        <w:ind w:left="0" w:right="0" w:firstLine="0"/>
        <w:jc w:val="left"/>
      </w:pPr>
      <w:bookmarkStart w:id="642" w:name="bookmark642"/>
      <w:bookmarkEnd w:id="642"/>
      <w:r>
        <w:rPr>
          <w:color w:val="000000"/>
          <w:spacing w:val="0"/>
          <w:w w:val="100"/>
          <w:position w:val="0"/>
        </w:rPr>
        <w:t>所转移金融资产的账面价值。</w:t>
      </w:r>
    </w:p>
    <w:p>
      <w:pPr>
        <w:pStyle w:val="Style28"/>
        <w:keepNext w:val="0"/>
        <w:keepLines w:val="0"/>
        <w:widowControl w:val="0"/>
        <w:numPr>
          <w:ilvl w:val="0"/>
          <w:numId w:val="33"/>
        </w:numPr>
        <w:shd w:val="clear" w:color="auto" w:fill="auto"/>
        <w:tabs>
          <w:tab w:pos="363" w:val="left"/>
        </w:tabs>
        <w:bidi w:val="0"/>
        <w:spacing w:before="0" w:after="0" w:line="312" w:lineRule="exact"/>
        <w:ind w:left="0" w:right="0" w:firstLine="0"/>
        <w:jc w:val="left"/>
      </w:pPr>
      <w:bookmarkStart w:id="643" w:name="bookmark643"/>
      <w:bookmarkEnd w:id="643"/>
      <w:r>
        <w:rPr>
          <w:color w:val="000000"/>
          <w:spacing w:val="0"/>
          <w:w w:val="100"/>
          <w:position w:val="0"/>
        </w:rPr>
        <w:t>因转移而收到的对价，与原直接计入所有者权益的公允价值变动累计额之和。</w:t>
      </w:r>
    </w:p>
    <w:p>
      <w:pPr>
        <w:pStyle w:val="Style28"/>
        <w:keepNext w:val="0"/>
        <w:keepLines w:val="0"/>
        <w:widowControl w:val="0"/>
        <w:shd w:val="clear" w:color="auto" w:fill="auto"/>
        <w:bidi w:val="0"/>
        <w:spacing w:before="0" w:after="0" w:line="312" w:lineRule="exact"/>
        <w:ind w:left="0" w:right="0" w:firstLine="52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8"/>
        <w:keepNext w:val="0"/>
        <w:keepLines w:val="0"/>
        <w:widowControl w:val="0"/>
        <w:numPr>
          <w:ilvl w:val="0"/>
          <w:numId w:val="35"/>
        </w:numPr>
        <w:shd w:val="clear" w:color="auto" w:fill="auto"/>
        <w:tabs>
          <w:tab w:pos="363" w:val="left"/>
        </w:tabs>
        <w:bidi w:val="0"/>
        <w:spacing w:before="0" w:after="0" w:line="312" w:lineRule="exact"/>
        <w:ind w:left="0" w:right="0" w:firstLine="0"/>
        <w:jc w:val="left"/>
      </w:pPr>
      <w:bookmarkStart w:id="644" w:name="bookmark644"/>
      <w:bookmarkEnd w:id="644"/>
      <w:r>
        <w:rPr>
          <w:color w:val="000000"/>
          <w:spacing w:val="0"/>
          <w:w w:val="100"/>
          <w:position w:val="0"/>
        </w:rPr>
        <w:t>终止确认部分的账面价值。</w:t>
      </w:r>
    </w:p>
    <w:p>
      <w:pPr>
        <w:pStyle w:val="Style28"/>
        <w:keepNext w:val="0"/>
        <w:keepLines w:val="0"/>
        <w:widowControl w:val="0"/>
        <w:numPr>
          <w:ilvl w:val="0"/>
          <w:numId w:val="35"/>
        </w:numPr>
        <w:shd w:val="clear" w:color="auto" w:fill="auto"/>
        <w:tabs>
          <w:tab w:pos="363" w:val="left"/>
        </w:tabs>
        <w:bidi w:val="0"/>
        <w:spacing w:before="0" w:after="0" w:line="312" w:lineRule="exact"/>
        <w:ind w:left="0" w:right="0" w:firstLine="0"/>
        <w:jc w:val="left"/>
      </w:pPr>
      <w:bookmarkStart w:id="645" w:name="bookmark645"/>
      <w:bookmarkEnd w:id="645"/>
      <w:r>
        <w:rPr>
          <w:color w:val="000000"/>
          <w:spacing w:val="0"/>
          <w:w w:val="100"/>
          <w:position w:val="0"/>
        </w:rPr>
        <w:t>终止确认部分的对价，与原直接计入所有者权益的公允价值变动累计额中对应终止确认部分的金额之和。</w:t>
      </w:r>
    </w:p>
    <w:p>
      <w:pPr>
        <w:pStyle w:val="Style28"/>
        <w:keepNext w:val="0"/>
        <w:keepLines w:val="0"/>
        <w:widowControl w:val="0"/>
        <w:numPr>
          <w:ilvl w:val="0"/>
          <w:numId w:val="31"/>
        </w:numPr>
        <w:shd w:val="clear" w:color="auto" w:fill="auto"/>
        <w:tabs>
          <w:tab w:pos="373" w:val="left"/>
        </w:tabs>
        <w:bidi w:val="0"/>
        <w:spacing w:before="0" w:after="180" w:line="312" w:lineRule="exact"/>
        <w:ind w:left="0" w:right="0" w:firstLine="0"/>
        <w:jc w:val="left"/>
      </w:pPr>
      <w:bookmarkStart w:id="646" w:name="bookmark646"/>
      <w:bookmarkEnd w:id="646"/>
      <w:r>
        <w:rPr>
          <w:color w:val="000000"/>
          <w:spacing w:val="0"/>
          <w:w w:val="100"/>
          <w:position w:val="0"/>
        </w:rPr>
        <w:t>金融资产转移不满足终止确认条件的，继续确认该金融资产，将所收到的对价确认为一项金融负债。</w:t>
      </w:r>
    </w:p>
    <w:p>
      <w:pPr>
        <w:pStyle w:val="Style36"/>
        <w:keepNext/>
        <w:keepLines/>
        <w:widowControl w:val="0"/>
        <w:numPr>
          <w:ilvl w:val="0"/>
          <w:numId w:val="25"/>
        </w:numPr>
        <w:shd w:val="clear" w:color="auto" w:fill="auto"/>
        <w:tabs>
          <w:tab w:pos="488" w:val="left"/>
        </w:tabs>
        <w:bidi w:val="0"/>
        <w:spacing w:before="0" w:after="260" w:line="240" w:lineRule="auto"/>
        <w:ind w:left="0" w:right="0" w:firstLine="0"/>
        <w:jc w:val="left"/>
      </w:pPr>
      <w:bookmarkStart w:id="647" w:name="bookmark647"/>
      <w:bookmarkStart w:id="648" w:name="bookmark648"/>
      <w:bookmarkStart w:id="649" w:name="bookmark649"/>
      <w:bookmarkStart w:id="650" w:name="bookmark650"/>
      <w:bookmarkEnd w:id="649"/>
      <w:r>
        <w:rPr>
          <w:color w:val="000000"/>
          <w:spacing w:val="0"/>
          <w:w w:val="100"/>
          <w:position w:val="0"/>
        </w:rPr>
        <w:t>金融负债终止确认条件</w:t>
      </w:r>
      <w:bookmarkEnd w:id="647"/>
      <w:bookmarkEnd w:id="648"/>
      <w:bookmarkEnd w:id="650"/>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无</w:t>
      </w:r>
    </w:p>
    <w:p>
      <w:pPr>
        <w:pStyle w:val="Style36"/>
        <w:keepNext/>
        <w:keepLines/>
        <w:widowControl w:val="0"/>
        <w:numPr>
          <w:ilvl w:val="0"/>
          <w:numId w:val="25"/>
        </w:numPr>
        <w:shd w:val="clear" w:color="auto" w:fill="auto"/>
        <w:tabs>
          <w:tab w:pos="488"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金融资产和金融负债公允价值的确定方法</w:t>
      </w:r>
      <w:bookmarkEnd w:id="651"/>
      <w:bookmarkEnd w:id="652"/>
      <w:bookmarkEnd w:id="654"/>
    </w:p>
    <w:p>
      <w:pPr>
        <w:pStyle w:val="Style28"/>
        <w:keepNext w:val="0"/>
        <w:keepLines w:val="0"/>
        <w:widowControl w:val="0"/>
        <w:numPr>
          <w:ilvl w:val="0"/>
          <w:numId w:val="37"/>
        </w:numPr>
        <w:shd w:val="clear" w:color="auto" w:fill="auto"/>
        <w:tabs>
          <w:tab w:pos="373" w:val="left"/>
        </w:tabs>
        <w:bidi w:val="0"/>
        <w:spacing w:before="0" w:after="0" w:line="322" w:lineRule="exact"/>
        <w:ind w:left="0" w:right="0" w:firstLine="0"/>
        <w:jc w:val="left"/>
      </w:pPr>
      <w:bookmarkStart w:id="655" w:name="bookmark655"/>
      <w:bookmarkEnd w:id="655"/>
      <w:r>
        <w:rPr>
          <w:color w:val="000000"/>
          <w:spacing w:val="0"/>
          <w:w w:val="100"/>
          <w:position w:val="0"/>
        </w:rPr>
        <w:t>存在活跃市场的金融资产或金融负债，采用活跃市场中的报价来确定公允价值；</w:t>
      </w:r>
    </w:p>
    <w:p>
      <w:pPr>
        <w:pStyle w:val="Style28"/>
        <w:keepNext w:val="0"/>
        <w:keepLines w:val="0"/>
        <w:widowControl w:val="0"/>
        <w:numPr>
          <w:ilvl w:val="0"/>
          <w:numId w:val="37"/>
        </w:numPr>
        <w:shd w:val="clear" w:color="auto" w:fill="auto"/>
        <w:tabs>
          <w:tab w:pos="373" w:val="left"/>
        </w:tabs>
        <w:bidi w:val="0"/>
        <w:spacing w:before="0" w:after="360" w:line="322" w:lineRule="exact"/>
        <w:ind w:left="0" w:right="0" w:firstLine="0"/>
        <w:jc w:val="left"/>
      </w:pPr>
      <w:bookmarkStart w:id="656" w:name="bookmark656"/>
      <w:bookmarkEnd w:id="656"/>
      <w:r>
        <w:rPr>
          <w:color w:val="000000"/>
          <w:spacing w:val="0"/>
          <w:w w:val="100"/>
          <w:position w:val="0"/>
        </w:rPr>
        <w:t>金融工具不存在活跃市场的，本公司采用估值技术确定其公允价值。</w:t>
      </w:r>
    </w:p>
    <w:p>
      <w:pPr>
        <w:pStyle w:val="Style36"/>
        <w:keepNext/>
        <w:keepLines/>
        <w:widowControl w:val="0"/>
        <w:numPr>
          <w:ilvl w:val="0"/>
          <w:numId w:val="25"/>
        </w:numPr>
        <w:shd w:val="clear" w:color="auto" w:fill="auto"/>
        <w:tabs>
          <w:tab w:pos="488" w:val="left"/>
        </w:tabs>
        <w:bidi w:val="0"/>
        <w:spacing w:before="0" w:after="260" w:line="240" w:lineRule="auto"/>
        <w:ind w:left="0" w:right="0" w:firstLine="0"/>
        <w:jc w:val="left"/>
      </w:pPr>
      <w:bookmarkStart w:id="657" w:name="bookmark657"/>
      <w:bookmarkStart w:id="658" w:name="bookmark658"/>
      <w:bookmarkStart w:id="659" w:name="bookmark659"/>
      <w:bookmarkStart w:id="660" w:name="bookmark660"/>
      <w:bookmarkEnd w:id="659"/>
      <w:r>
        <w:rPr>
          <w:color w:val="000000"/>
          <w:spacing w:val="0"/>
          <w:w w:val="100"/>
          <w:position w:val="0"/>
        </w:rPr>
        <w:t>金融资产(不含应收款项)减值测试方法、减值准备计提方法</w:t>
      </w:r>
      <w:bookmarkEnd w:id="657"/>
      <w:bookmarkEnd w:id="658"/>
      <w:bookmarkEnd w:id="660"/>
    </w:p>
    <w:p>
      <w:pPr>
        <w:pStyle w:val="Style2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①本公司在有以下证据表明该金融资产发生减值的，计提减值准备：</w:t>
      </w:r>
    </w:p>
    <w:p>
      <w:pPr>
        <w:pStyle w:val="Style28"/>
        <w:keepNext w:val="0"/>
        <w:keepLines w:val="0"/>
        <w:widowControl w:val="0"/>
        <w:numPr>
          <w:ilvl w:val="0"/>
          <w:numId w:val="39"/>
        </w:numPr>
        <w:shd w:val="clear" w:color="auto" w:fill="auto"/>
        <w:tabs>
          <w:tab w:pos="363" w:val="left"/>
        </w:tabs>
        <w:bidi w:val="0"/>
        <w:spacing w:before="0" w:after="0" w:line="322" w:lineRule="exact"/>
        <w:ind w:left="0" w:right="0" w:firstLine="0"/>
        <w:jc w:val="left"/>
      </w:pPr>
      <w:bookmarkStart w:id="661" w:name="bookmark661"/>
      <w:bookmarkEnd w:id="661"/>
      <w:r>
        <w:rPr>
          <w:color w:val="000000"/>
          <w:spacing w:val="0"/>
          <w:w w:val="100"/>
          <w:position w:val="0"/>
        </w:rPr>
        <w:t>发行方或债务人发生严重财务困难；</w:t>
      </w:r>
    </w:p>
    <w:p>
      <w:pPr>
        <w:pStyle w:val="Style28"/>
        <w:keepNext w:val="0"/>
        <w:keepLines w:val="0"/>
        <w:widowControl w:val="0"/>
        <w:numPr>
          <w:ilvl w:val="0"/>
          <w:numId w:val="39"/>
        </w:numPr>
        <w:shd w:val="clear" w:color="auto" w:fill="auto"/>
        <w:tabs>
          <w:tab w:pos="363" w:val="left"/>
        </w:tabs>
        <w:bidi w:val="0"/>
        <w:spacing w:before="0" w:after="0" w:line="322" w:lineRule="exact"/>
        <w:ind w:left="0" w:right="0" w:firstLine="0"/>
        <w:jc w:val="left"/>
      </w:pPr>
      <w:bookmarkStart w:id="662" w:name="bookmark662"/>
      <w:bookmarkEnd w:id="662"/>
      <w:r>
        <w:rPr>
          <w:color w:val="000000"/>
          <w:spacing w:val="0"/>
          <w:w w:val="100"/>
          <w:position w:val="0"/>
        </w:rPr>
        <w:t>债务人违反了合同条款，如偿付利息或本金发生违约或逾期等；</w:t>
      </w:r>
    </w:p>
    <w:p>
      <w:pPr>
        <w:pStyle w:val="Style28"/>
        <w:keepNext w:val="0"/>
        <w:keepLines w:val="0"/>
        <w:widowControl w:val="0"/>
        <w:numPr>
          <w:ilvl w:val="0"/>
          <w:numId w:val="39"/>
        </w:numPr>
        <w:shd w:val="clear" w:color="auto" w:fill="auto"/>
        <w:tabs>
          <w:tab w:pos="363" w:val="left"/>
        </w:tabs>
        <w:bidi w:val="0"/>
        <w:spacing w:before="0" w:after="0" w:line="322" w:lineRule="exact"/>
        <w:ind w:left="0" w:right="0" w:firstLine="0"/>
        <w:jc w:val="left"/>
      </w:pPr>
      <w:bookmarkStart w:id="663" w:name="bookmark663"/>
      <w:bookmarkEnd w:id="663"/>
      <w:r>
        <w:rPr>
          <w:color w:val="000000"/>
          <w:spacing w:val="0"/>
          <w:w w:val="100"/>
          <w:position w:val="0"/>
        </w:rPr>
        <w:t>债权人出于经济或法律等方面的考虑，对发生财务困难的债务人作出让步；</w:t>
      </w:r>
    </w:p>
    <w:p>
      <w:pPr>
        <w:pStyle w:val="Style28"/>
        <w:keepNext w:val="0"/>
        <w:keepLines w:val="0"/>
        <w:widowControl w:val="0"/>
        <w:numPr>
          <w:ilvl w:val="0"/>
          <w:numId w:val="39"/>
        </w:numPr>
        <w:shd w:val="clear" w:color="auto" w:fill="auto"/>
        <w:tabs>
          <w:tab w:pos="363" w:val="left"/>
        </w:tabs>
        <w:bidi w:val="0"/>
        <w:spacing w:before="0" w:after="0" w:line="322" w:lineRule="exact"/>
        <w:ind w:left="0" w:right="0" w:firstLine="0"/>
        <w:jc w:val="left"/>
      </w:pPr>
      <w:bookmarkStart w:id="664" w:name="bookmark664"/>
      <w:bookmarkEnd w:id="664"/>
      <w:r>
        <w:rPr>
          <w:color w:val="000000"/>
          <w:spacing w:val="0"/>
          <w:w w:val="100"/>
          <w:position w:val="0"/>
        </w:rPr>
        <w:t>债务人可能倒闭或进行其他财务重组；</w:t>
      </w:r>
    </w:p>
    <w:p>
      <w:pPr>
        <w:pStyle w:val="Style28"/>
        <w:keepNext w:val="0"/>
        <w:keepLines w:val="0"/>
        <w:widowControl w:val="0"/>
        <w:numPr>
          <w:ilvl w:val="0"/>
          <w:numId w:val="39"/>
        </w:numPr>
        <w:shd w:val="clear" w:color="auto" w:fill="auto"/>
        <w:tabs>
          <w:tab w:pos="363" w:val="left"/>
        </w:tabs>
        <w:bidi w:val="0"/>
        <w:spacing w:before="0" w:after="0" w:line="322" w:lineRule="exact"/>
        <w:ind w:left="0" w:right="0" w:firstLine="0"/>
        <w:jc w:val="left"/>
      </w:pPr>
      <w:bookmarkStart w:id="665" w:name="bookmark665"/>
      <w:bookmarkEnd w:id="665"/>
      <w:r>
        <w:rPr>
          <w:color w:val="000000"/>
          <w:spacing w:val="0"/>
          <w:w w:val="100"/>
          <w:position w:val="0"/>
        </w:rPr>
        <w:t>因发行方发生重大财务困难，该金融资产无法在活跃市场继续交易；</w:t>
      </w:r>
    </w:p>
    <w:p>
      <w:pPr>
        <w:pStyle w:val="Style28"/>
        <w:keepNext w:val="0"/>
        <w:keepLines w:val="0"/>
        <w:widowControl w:val="0"/>
        <w:numPr>
          <w:ilvl w:val="0"/>
          <w:numId w:val="39"/>
        </w:numPr>
        <w:shd w:val="clear" w:color="auto" w:fill="auto"/>
        <w:tabs>
          <w:tab w:pos="363" w:val="left"/>
        </w:tabs>
        <w:bidi w:val="0"/>
        <w:spacing w:before="0" w:after="0" w:line="322" w:lineRule="exact"/>
        <w:ind w:left="0" w:right="0" w:firstLine="0"/>
        <w:jc w:val="left"/>
      </w:pPr>
      <w:bookmarkStart w:id="666" w:name="bookmark666"/>
      <w:bookmarkEnd w:id="666"/>
      <w:r>
        <w:rPr>
          <w:color w:val="000000"/>
          <w:spacing w:val="0"/>
          <w:w w:val="100"/>
          <w:position w:val="0"/>
        </w:rPr>
        <w:t>无法辨认一组金融资产中的某项资产的现金流量是否已经减少，但根据公开的数据对其进行总体评价后发现，该组金融 资产自初始确认以来的预计未来现金流量确已减少且可计量；</w:t>
      </w:r>
    </w:p>
    <w:p>
      <w:pPr>
        <w:pStyle w:val="Style28"/>
        <w:keepNext w:val="0"/>
        <w:keepLines w:val="0"/>
        <w:widowControl w:val="0"/>
        <w:numPr>
          <w:ilvl w:val="0"/>
          <w:numId w:val="39"/>
        </w:numPr>
        <w:shd w:val="clear" w:color="auto" w:fill="auto"/>
        <w:tabs>
          <w:tab w:pos="363" w:val="left"/>
        </w:tabs>
        <w:bidi w:val="0"/>
        <w:spacing w:before="0" w:after="0" w:line="322" w:lineRule="exact"/>
        <w:ind w:left="0" w:right="0" w:firstLine="0"/>
        <w:jc w:val="left"/>
      </w:pPr>
      <w:bookmarkStart w:id="667" w:name="bookmark667"/>
      <w:bookmarkEnd w:id="667"/>
      <w:r>
        <w:rPr>
          <w:color w:val="000000"/>
          <w:spacing w:val="0"/>
          <w:w w:val="100"/>
          <w:position w:val="0"/>
        </w:rPr>
        <w:t>债务人经营所处的技术、市场、经济或法律环境等发生重大不利变化，使权益工具投资人可能无法收回投资成本；</w:t>
      </w:r>
    </w:p>
    <w:p>
      <w:pPr>
        <w:pStyle w:val="Style28"/>
        <w:keepNext w:val="0"/>
        <w:keepLines w:val="0"/>
        <w:widowControl w:val="0"/>
        <w:numPr>
          <w:ilvl w:val="0"/>
          <w:numId w:val="39"/>
        </w:numPr>
        <w:shd w:val="clear" w:color="auto" w:fill="auto"/>
        <w:tabs>
          <w:tab w:pos="363" w:val="left"/>
        </w:tabs>
        <w:bidi w:val="0"/>
        <w:spacing w:before="0" w:after="60" w:line="322" w:lineRule="exact"/>
        <w:ind w:left="0" w:right="0" w:firstLine="0"/>
        <w:jc w:val="left"/>
      </w:pPr>
      <w:bookmarkStart w:id="668" w:name="bookmark668"/>
      <w:bookmarkEnd w:id="668"/>
      <w:r>
        <w:rPr>
          <w:color w:val="000000"/>
          <w:spacing w:val="0"/>
          <w:w w:val="100"/>
          <w:position w:val="0"/>
        </w:rPr>
        <w:t>权益工具投资的公允价值发生严重或非暂时性下跌；</w:t>
      </w:r>
    </w:p>
    <w:p>
      <w:pPr>
        <w:pStyle w:val="Style28"/>
        <w:keepNext w:val="0"/>
        <w:keepLines w:val="0"/>
        <w:widowControl w:val="0"/>
        <w:numPr>
          <w:ilvl w:val="0"/>
          <w:numId w:val="39"/>
        </w:numPr>
        <w:shd w:val="clear" w:color="auto" w:fill="auto"/>
        <w:tabs>
          <w:tab w:pos="363" w:val="left"/>
        </w:tabs>
        <w:bidi w:val="0"/>
        <w:spacing w:before="0" w:after="60" w:line="240" w:lineRule="auto"/>
        <w:ind w:left="0" w:right="0" w:firstLine="0"/>
        <w:jc w:val="left"/>
      </w:pPr>
      <w:bookmarkStart w:id="669" w:name="bookmark669"/>
      <w:bookmarkEnd w:id="669"/>
      <w:r>
        <w:rPr>
          <w:color w:val="000000"/>
          <w:spacing w:val="0"/>
          <w:w w:val="100"/>
          <w:position w:val="0"/>
        </w:rPr>
        <w:t>其他表明金融资产发生减值的客观证据。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②本公司在资产负债表日分别不同类别的金融资产采取不同的方法进行减值测试，并计提减值准备：</w:t>
      </w:r>
    </w:p>
    <w:p>
      <w:pPr>
        <w:pStyle w:val="Style28"/>
        <w:keepNext w:val="0"/>
        <w:keepLines w:val="0"/>
        <w:widowControl w:val="0"/>
        <w:numPr>
          <w:ilvl w:val="0"/>
          <w:numId w:val="41"/>
        </w:numPr>
        <w:shd w:val="clear" w:color="auto" w:fill="auto"/>
        <w:tabs>
          <w:tab w:pos="358" w:val="left"/>
        </w:tabs>
        <w:bidi w:val="0"/>
        <w:spacing w:before="0" w:after="0" w:line="316" w:lineRule="exact"/>
        <w:ind w:left="0" w:right="0" w:firstLine="0"/>
        <w:jc w:val="left"/>
      </w:pPr>
      <w:bookmarkStart w:id="670" w:name="bookmark670"/>
      <w:bookmarkEnd w:id="670"/>
      <w:r>
        <w:rPr>
          <w:color w:val="000000"/>
          <w:spacing w:val="0"/>
          <w:w w:val="100"/>
          <w:position w:val="0"/>
        </w:rPr>
        <w:t>交易性金融资产：在资产负债表日以公允价值反映，公允价值的变动计入当期损益；</w:t>
      </w:r>
    </w:p>
    <w:p>
      <w:pPr>
        <w:pStyle w:val="Style28"/>
        <w:keepNext w:val="0"/>
        <w:keepLines w:val="0"/>
        <w:widowControl w:val="0"/>
        <w:numPr>
          <w:ilvl w:val="0"/>
          <w:numId w:val="41"/>
        </w:numPr>
        <w:shd w:val="clear" w:color="auto" w:fill="auto"/>
        <w:tabs>
          <w:tab w:pos="358" w:val="left"/>
        </w:tabs>
        <w:bidi w:val="0"/>
        <w:spacing w:before="0" w:after="0" w:line="316" w:lineRule="exact"/>
        <w:ind w:left="0" w:right="0" w:firstLine="0"/>
        <w:jc w:val="left"/>
      </w:pPr>
      <w:bookmarkStart w:id="671" w:name="bookmark671"/>
      <w:bookmarkEnd w:id="671"/>
      <w:r>
        <w:rPr>
          <w:color w:val="000000"/>
          <w:spacing w:val="0"/>
          <w:w w:val="100"/>
          <w:position w:val="0"/>
        </w:rPr>
        <w:t>持有至到期投资：在资产负债表日本公司对于持有至到期投资有客观证据表明其发生了减值的，根据其账面价值与预计 未来现金流量现值之间差额计算确认减值损失；</w:t>
      </w:r>
    </w:p>
    <w:p>
      <w:pPr>
        <w:pStyle w:val="Style28"/>
        <w:keepNext w:val="0"/>
        <w:keepLines w:val="0"/>
        <w:widowControl w:val="0"/>
        <w:numPr>
          <w:ilvl w:val="0"/>
          <w:numId w:val="41"/>
        </w:numPr>
        <w:shd w:val="clear" w:color="auto" w:fill="auto"/>
        <w:tabs>
          <w:tab w:pos="358" w:val="left"/>
        </w:tabs>
        <w:bidi w:val="0"/>
        <w:spacing w:before="0" w:after="360" w:line="316" w:lineRule="exact"/>
        <w:ind w:left="0" w:right="0" w:firstLine="0"/>
        <w:jc w:val="left"/>
      </w:pPr>
      <w:bookmarkStart w:id="672" w:name="bookmark672"/>
      <w:bookmarkEnd w:id="672"/>
      <w:r>
        <w:rPr>
          <w:color w:val="000000"/>
          <w:spacing w:val="0"/>
          <w:w w:val="100"/>
          <w:position w:val="0"/>
        </w:rPr>
        <w:t>可供出售金融资产：在资产负债表日本公司对可供出售金融资产的减值情况进行分析，判断该项金融资产公允价值是否 持续下降。通常情况下，如果可供出售金融资产的公允价值发生较大幅度下降，在综合考虑各种相关因素后，预期这种下降 趋势属于非暂时性的，可以认定该可供出售金融资产已发生减值，确认减值损失。可供出售金融资产发生减值的，在确认减 值损失时，将原直接计入所有者权益的公允价值下降形成的累计损失一并转出，计入资产减值损失。</w:t>
      </w:r>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各类可供出售金融资产减值的各项认定标准</w:t>
      </w:r>
    </w:p>
    <w:p>
      <w:pPr>
        <w:pStyle w:val="Style36"/>
        <w:keepNext/>
        <w:keepLines/>
        <w:widowControl w:val="0"/>
        <w:numPr>
          <w:ilvl w:val="0"/>
          <w:numId w:val="25"/>
        </w:numPr>
        <w:shd w:val="clear" w:color="auto" w:fill="auto"/>
        <w:tabs>
          <w:tab w:pos="488" w:val="left"/>
        </w:tabs>
        <w:bidi w:val="0"/>
        <w:spacing w:before="0" w:after="260" w:line="240" w:lineRule="auto"/>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将尚未到期的持有至到期投资重分类为可供出售金融资产的，说明持有意图或能力发生改变的依据</w:t>
      </w:r>
      <w:bookmarkEnd w:id="673"/>
      <w:bookmarkEnd w:id="674"/>
      <w:bookmarkEnd w:id="676"/>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77"/>
      <w:bookmarkEnd w:id="678"/>
      <w:bookmarkEnd w:id="680"/>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在资产负债表日对应收款项的账面价值进行检查，有客观证据表明其发生减值的，计提减值准备。</w:t>
      </w:r>
    </w:p>
    <w:p>
      <w:pPr>
        <w:pStyle w:val="Style36"/>
        <w:keepNext/>
        <w:keepLines/>
        <w:widowControl w:val="0"/>
        <w:numPr>
          <w:ilvl w:val="0"/>
          <w:numId w:val="43"/>
        </w:numPr>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bookmarkEnd w:id="683"/>
      <w:r>
        <w:rPr>
          <w:color w:val="000000"/>
          <w:spacing w:val="0"/>
          <w:w w:val="100"/>
          <w:position w:val="0"/>
        </w:rPr>
        <w:t>单项金额重大的应收款项坏账准备</w:t>
      </w:r>
      <w:bookmarkEnd w:id="681"/>
      <w:bookmarkEnd w:id="682"/>
      <w:bookmarkEnd w:id="684"/>
    </w:p>
    <w:tbl>
      <w:tblPr>
        <w:tblOverlap w:val="never"/>
        <w:jc w:val="center"/>
        <w:tblLayout w:type="fixed"/>
      </w:tblPr>
      <w:tblGrid>
        <w:gridCol w:w="5059"/>
        <w:gridCol w:w="452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本公司将</w:t>
            </w:r>
            <w:r>
              <w:rPr>
                <w:rFonts w:ascii="Times New Roman" w:eastAsia="Times New Roman" w:hAnsi="Times New Roman" w:cs="Times New Roman"/>
                <w:color w:val="000000"/>
                <w:spacing w:val="0"/>
                <w:w w:val="100"/>
                <w:position w:val="0"/>
              </w:rPr>
              <w:t>100</w:t>
            </w:r>
            <w:r>
              <w:rPr>
                <w:color w:val="000000"/>
                <w:spacing w:val="0"/>
                <w:w w:val="100"/>
                <w:position w:val="0"/>
              </w:rPr>
              <w:t>万元以上应收账款,</w:t>
            </w:r>
            <w:r>
              <w:rPr>
                <w:rFonts w:ascii="Times New Roman" w:eastAsia="Times New Roman" w:hAnsi="Times New Roman" w:cs="Times New Roman"/>
                <w:color w:val="000000"/>
                <w:spacing w:val="0"/>
                <w:w w:val="100"/>
                <w:position w:val="0"/>
              </w:rPr>
              <w:t>50</w:t>
            </w:r>
            <w:r>
              <w:rPr>
                <w:color w:val="000000"/>
                <w:spacing w:val="0"/>
                <w:w w:val="100"/>
                <w:position w:val="0"/>
              </w:rPr>
              <w:t>万元以上其他应收款</w:t>
            </w:r>
          </w:p>
        </w:tc>
      </w:tr>
    </w:tbl>
    <w:p>
      <w:pPr>
        <w:widowControl w:val="0"/>
        <w:spacing w:line="1" w:lineRule="exact"/>
      </w:pPr>
    </w:p>
    <w:tbl>
      <w:tblPr>
        <w:tblOverlap w:val="never"/>
        <w:jc w:val="center"/>
        <w:tblLayout w:type="fixed"/>
      </w:tblPr>
      <w:tblGrid>
        <w:gridCol w:w="5059"/>
        <w:gridCol w:w="4526"/>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对于单项金额重大的应收款项，单独进行减值测试。有客 观证据表明其发生了减值的，根据其未来现金流量现值低 于其账面价值的差额，确认减值损失，并据此计提相应的 坏账准备。</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w:t>
      </w:r>
      <w:bookmarkEnd w:id="687"/>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685"/>
      <w:bookmarkEnd w:id="686"/>
      <w:bookmarkEnd w:id="688"/>
    </w:p>
    <w:tbl>
      <w:tblPr>
        <w:tblOverlap w:val="never"/>
        <w:jc w:val="center"/>
        <w:tblLayout w:type="fixed"/>
      </w:tblPr>
      <w:tblGrid>
        <w:gridCol w:w="2606"/>
        <w:gridCol w:w="2184"/>
        <w:gridCol w:w="479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以账龄作为信用风险特征组合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对单项金额重大单独测试未发生减值的应收款项汇同单项金 额不重大的应收款项</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28"/>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89"/>
      <w:bookmarkEnd w:id="690"/>
      <w:bookmarkEnd w:id="692"/>
    </w:p>
    <w:p>
      <w:pPr>
        <w:pStyle w:val="Style33"/>
        <w:keepNext/>
        <w:keepLines/>
        <w:widowControl w:val="0"/>
        <w:shd w:val="clear" w:color="auto" w:fill="auto"/>
        <w:bidi w:val="0"/>
        <w:spacing w:before="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693"/>
      <w:bookmarkEnd w:id="694"/>
      <w:bookmarkEnd w:id="696"/>
    </w:p>
    <w:p>
      <w:pPr>
        <w:pStyle w:val="Style36"/>
        <w:keepNext/>
        <w:keepLines/>
        <w:widowControl w:val="0"/>
        <w:shd w:val="clear" w:color="auto" w:fill="auto"/>
        <w:tabs>
          <w:tab w:pos="488" w:val="left"/>
        </w:tabs>
        <w:bidi w:val="0"/>
        <w:spacing w:before="0" w:after="26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97"/>
      <w:bookmarkEnd w:id="698"/>
      <w:bookmarkEnd w:id="700"/>
    </w:p>
    <w:p>
      <w:pPr>
        <w:pStyle w:val="Style28"/>
        <w:keepNext w:val="0"/>
        <w:keepLines w:val="0"/>
        <w:widowControl w:val="0"/>
        <w:shd w:val="clear" w:color="auto" w:fill="auto"/>
        <w:bidi w:val="0"/>
        <w:spacing w:before="0" w:after="340" w:line="310" w:lineRule="exact"/>
        <w:ind w:left="0" w:right="0" w:firstLine="520"/>
        <w:jc w:val="both"/>
      </w:pPr>
      <w:r>
        <w:rPr>
          <w:color w:val="000000"/>
          <w:spacing w:val="0"/>
          <w:w w:val="100"/>
          <w:position w:val="0"/>
        </w:rPr>
        <w:t>存货是指本公司在日常活动中持有以备出售的产成品或商品、处在生产过程中的在产品、在生产过程或提供劳务过程 中耗用的材料和物料、处在开发过程中的软件产品、外购的以备出售的软件产品等，包括原材料、周转材料、库存商品、发 出商品、工程施工等。</w:t>
      </w:r>
    </w:p>
    <w:p>
      <w:pPr>
        <w:pStyle w:val="Style36"/>
        <w:keepNext/>
        <w:keepLines/>
        <w:widowControl w:val="0"/>
        <w:shd w:val="clear" w:color="auto" w:fill="auto"/>
        <w:tabs>
          <w:tab w:pos="488" w:val="left"/>
        </w:tabs>
        <w:bidi w:val="0"/>
        <w:spacing w:before="0" w:after="260" w:line="240" w:lineRule="auto"/>
        <w:ind w:left="0" w:right="0" w:firstLine="0"/>
        <w:jc w:val="both"/>
      </w:pPr>
      <w:bookmarkStart w:id="701" w:name="bookmark701"/>
      <w:bookmarkStart w:id="702" w:name="bookmark702"/>
      <w:bookmarkStart w:id="703" w:name="bookmark703"/>
      <w:bookmarkStart w:id="704" w:name="bookmark704"/>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01"/>
      <w:bookmarkEnd w:id="702"/>
      <w:bookmarkEnd w:id="704"/>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计价方法：加权平均法</w:t>
      </w:r>
    </w:p>
    <w:p>
      <w:pPr>
        <w:pStyle w:val="Style28"/>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工程施工核算方法：工程施工按累计已发生的成本和累计已确认的毛利（亏损）减已办理结算的价款金额计价。工程 施工成本以实际成本核算，包括已安装产品及耗用的材料成本、劳务费及其他费用。</w:t>
      </w:r>
    </w:p>
    <w:p>
      <w:pPr>
        <w:pStyle w:val="Style36"/>
        <w:keepNext/>
        <w:keepLines/>
        <w:widowControl w:val="0"/>
        <w:shd w:val="clear" w:color="auto" w:fill="auto"/>
        <w:bidi w:val="0"/>
        <w:spacing w:before="0" w:after="2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）存货可变现净值的确定依据及存货跌价准备的计提方法</w:t>
      </w:r>
      <w:bookmarkEnd w:id="705"/>
      <w:bookmarkEnd w:id="706"/>
      <w:bookmarkEnd w:id="708"/>
    </w:p>
    <w:p>
      <w:pPr>
        <w:pStyle w:val="Style28"/>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资产负债表日按成本与可变现净值孰低计量，存货成本高于其可变现净值的，计提存货跌价准备，计入当期损益。</w:t>
      </w:r>
    </w:p>
    <w:p>
      <w:pPr>
        <w:pStyle w:val="Style28"/>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在确定存货的可变现净值时，以取得的可靠证据为基础，并且考虑持有存货的目的、资产负债表日后事项的影响等因 素。</w:t>
      </w:r>
    </w:p>
    <w:p>
      <w:pPr>
        <w:pStyle w:val="Style28"/>
        <w:keepNext w:val="0"/>
        <w:keepLines w:val="0"/>
        <w:widowControl w:val="0"/>
        <w:numPr>
          <w:ilvl w:val="0"/>
          <w:numId w:val="45"/>
        </w:numPr>
        <w:shd w:val="clear" w:color="auto" w:fill="auto"/>
        <w:tabs>
          <w:tab w:pos="362" w:val="left"/>
        </w:tabs>
        <w:bidi w:val="0"/>
        <w:spacing w:before="0" w:after="0" w:line="314" w:lineRule="exact"/>
        <w:ind w:left="0" w:right="0" w:firstLine="0"/>
        <w:jc w:val="both"/>
      </w:pPr>
      <w:bookmarkStart w:id="709" w:name="bookmark709"/>
      <w:bookmarkEnd w:id="709"/>
      <w:r>
        <w:rPr>
          <w:color w:val="000000"/>
          <w:spacing w:val="0"/>
          <w:w w:val="100"/>
          <w:position w:val="0"/>
        </w:rPr>
        <w:t>产成品、库存商品、用于出售的材料和软件产品等等直接用于出售的存货，在正常生产经营过程中，以该存货的估计售价 减去估计的销售费用和相关税费后的金额确定其可变现净值。为执行销售合同或者劳务合同而持有的存货，以合同价格作为 其可变现净值的计量基础；如果持有存货的数量多于销售合同订购数量，超出部分的存货可变现净值以一般销售价格为计量 基础。用于出售的材料等，以市场价格作为其可变现净值的计量基础。</w:t>
      </w:r>
    </w:p>
    <w:p>
      <w:pPr>
        <w:pStyle w:val="Style28"/>
        <w:keepNext w:val="0"/>
        <w:keepLines w:val="0"/>
        <w:widowControl w:val="0"/>
        <w:numPr>
          <w:ilvl w:val="0"/>
          <w:numId w:val="45"/>
        </w:numPr>
        <w:shd w:val="clear" w:color="auto" w:fill="auto"/>
        <w:tabs>
          <w:tab w:pos="362" w:val="left"/>
        </w:tabs>
        <w:bidi w:val="0"/>
        <w:spacing w:before="0" w:after="0" w:line="314" w:lineRule="exact"/>
        <w:ind w:left="0" w:right="0" w:firstLine="0"/>
        <w:jc w:val="both"/>
      </w:pPr>
      <w:bookmarkStart w:id="710" w:name="bookmark710"/>
      <w:bookmarkEnd w:id="710"/>
      <w:r>
        <w:rPr>
          <w:color w:val="000000"/>
          <w:spacing w:val="0"/>
          <w:w w:val="100"/>
          <w:position w:val="0"/>
        </w:rPr>
        <w:t>需要经过加工的材料存货，在正常生产经营过程中，以所生产的产成品的估计售价减去至完工时估计将要发生的成本、估 计的销售费用和相关税费后的金额确定其可变现净值。如果用其生产的产成品的可变现净值高于成本，则该材料按成本计量; 如果材料价格的下降表明产成品的可变现净值低于成本，则该材料按可变现净值计量，按其差额计提存货跌价准备。</w:t>
      </w:r>
    </w:p>
    <w:p>
      <w:pPr>
        <w:pStyle w:val="Style28"/>
        <w:keepNext w:val="0"/>
        <w:keepLines w:val="0"/>
        <w:widowControl w:val="0"/>
        <w:numPr>
          <w:ilvl w:val="0"/>
          <w:numId w:val="45"/>
        </w:numPr>
        <w:shd w:val="clear" w:color="auto" w:fill="auto"/>
        <w:tabs>
          <w:tab w:pos="362" w:val="left"/>
        </w:tabs>
        <w:bidi w:val="0"/>
        <w:spacing w:before="0" w:after="0" w:line="314" w:lineRule="exact"/>
        <w:ind w:left="0" w:right="0" w:firstLine="0"/>
        <w:jc w:val="both"/>
      </w:pPr>
      <w:bookmarkStart w:id="711" w:name="bookmark711"/>
      <w:bookmarkEnd w:id="711"/>
      <w:r>
        <w:rPr>
          <w:color w:val="000000"/>
          <w:spacing w:val="0"/>
          <w:w w:val="100"/>
          <w:position w:val="0"/>
        </w:rPr>
        <w:t>工程施工成本，对预计工程总成本超过预计总收入（扣除相关税费）的工程项目，按照预计工程总成本超过预计总收入（扣 除相关税费）的部分，计提存货跌价准备。</w:t>
      </w:r>
    </w:p>
    <w:p>
      <w:pPr>
        <w:pStyle w:val="Style28"/>
        <w:keepNext w:val="0"/>
        <w:keepLines w:val="0"/>
        <w:widowControl w:val="0"/>
        <w:numPr>
          <w:ilvl w:val="0"/>
          <w:numId w:val="45"/>
        </w:numPr>
        <w:shd w:val="clear" w:color="auto" w:fill="auto"/>
        <w:tabs>
          <w:tab w:pos="362" w:val="left"/>
        </w:tabs>
        <w:bidi w:val="0"/>
        <w:spacing w:before="0" w:after="0" w:line="314" w:lineRule="exact"/>
        <w:ind w:left="0" w:right="0" w:firstLine="0"/>
        <w:jc w:val="both"/>
      </w:pPr>
      <w:bookmarkStart w:id="712" w:name="bookmark712"/>
      <w:bookmarkEnd w:id="712"/>
      <w:r>
        <w:rPr>
          <w:color w:val="000000"/>
          <w:spacing w:val="0"/>
          <w:w w:val="100"/>
          <w:position w:val="0"/>
        </w:rPr>
        <w:t>存货跌价准备一般按单个存货项目计提；对于数量繁多、单价较低的存货，按存货类别计提。</w:t>
      </w:r>
    </w:p>
    <w:p>
      <w:pPr>
        <w:pStyle w:val="Style28"/>
        <w:keepNext w:val="0"/>
        <w:keepLines w:val="0"/>
        <w:widowControl w:val="0"/>
        <w:numPr>
          <w:ilvl w:val="0"/>
          <w:numId w:val="45"/>
        </w:numPr>
        <w:shd w:val="clear" w:color="auto" w:fill="auto"/>
        <w:tabs>
          <w:tab w:pos="362" w:val="left"/>
        </w:tabs>
        <w:bidi w:val="0"/>
        <w:spacing w:before="0" w:after="680" w:line="314" w:lineRule="exact"/>
        <w:ind w:left="0" w:right="0" w:firstLine="0"/>
        <w:jc w:val="both"/>
      </w:pPr>
      <w:bookmarkStart w:id="713" w:name="bookmark713"/>
      <w:bookmarkEnd w:id="713"/>
      <w:r>
        <w:rPr>
          <w:color w:val="000000"/>
          <w:spacing w:val="0"/>
          <w:w w:val="100"/>
          <w:position w:val="0"/>
        </w:rPr>
        <w:t>资产负债表日如果以前减记存货价值的影响因素已经消失，则减记的金额予以恢复，并在原已计提的存货跌价准备的金额 内转回，转回的金额计入当期损益。</w:t>
      </w:r>
    </w:p>
    <w:p>
      <w:pPr>
        <w:pStyle w:val="Style36"/>
        <w:keepNext/>
        <w:keepLines/>
        <w:widowControl w:val="0"/>
        <w:shd w:val="clear" w:color="auto" w:fill="auto"/>
        <w:tabs>
          <w:tab w:pos="477" w:val="left"/>
        </w:tabs>
        <w:bidi w:val="0"/>
        <w:spacing w:before="0" w:after="260" w:line="240" w:lineRule="auto"/>
        <w:ind w:left="0" w:right="0" w:firstLine="0"/>
        <w:jc w:val="both"/>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14"/>
      <w:bookmarkEnd w:id="715"/>
      <w:bookmarkEnd w:id="717"/>
    </w:p>
    <w:p>
      <w:pPr>
        <w:pStyle w:val="Style28"/>
        <w:keepNext w:val="0"/>
        <w:keepLines w:val="0"/>
        <w:widowControl w:val="0"/>
        <w:shd w:val="clear" w:color="auto" w:fill="auto"/>
        <w:bidi w:val="0"/>
        <w:spacing w:before="0" w:after="360" w:line="311" w:lineRule="exact"/>
        <w:ind w:left="0" w:right="0" w:firstLine="0"/>
        <w:jc w:val="both"/>
      </w:pPr>
      <w:r>
        <w:rPr>
          <w:color w:val="000000"/>
          <w:spacing w:val="0"/>
          <w:w w:val="100"/>
          <w:position w:val="0"/>
        </w:rPr>
        <w:t>盘存制度：永续盘存制</w:t>
      </w:r>
    </w:p>
    <w:p>
      <w:pPr>
        <w:pStyle w:val="Style36"/>
        <w:keepNext/>
        <w:keepLines/>
        <w:widowControl w:val="0"/>
        <w:shd w:val="clear" w:color="auto" w:fill="auto"/>
        <w:tabs>
          <w:tab w:pos="477" w:val="left"/>
        </w:tabs>
        <w:bidi w:val="0"/>
        <w:spacing w:before="0" w:after="260" w:line="240" w:lineRule="auto"/>
        <w:ind w:left="0" w:right="0" w:firstLine="0"/>
        <w:jc w:val="both"/>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18"/>
      <w:bookmarkEnd w:id="719"/>
      <w:bookmarkEnd w:id="721"/>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低值易耗品</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摊销方法：一次摊销法</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包装物</w:t>
      </w:r>
    </w:p>
    <w:p>
      <w:pPr>
        <w:pStyle w:val="Style28"/>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摊销方法：一次摊销法</w:t>
      </w:r>
    </w:p>
    <w:p>
      <w:pPr>
        <w:pStyle w:val="Style33"/>
        <w:keepNext/>
        <w:keepLines/>
        <w:widowControl w:val="0"/>
        <w:shd w:val="clear" w:color="auto" w:fill="auto"/>
        <w:bidi w:val="0"/>
        <w:spacing w:before="0" w:after="3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22"/>
      <w:bookmarkEnd w:id="723"/>
      <w:bookmarkEnd w:id="725"/>
    </w:p>
    <w:p>
      <w:pPr>
        <w:pStyle w:val="Style36"/>
        <w:keepNext/>
        <w:keepLines/>
        <w:widowControl w:val="0"/>
        <w:shd w:val="clear" w:color="auto" w:fill="auto"/>
        <w:bidi w:val="0"/>
        <w:spacing w:before="0" w:after="26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26"/>
      <w:bookmarkEnd w:id="727"/>
      <w:bookmarkEnd w:id="729"/>
    </w:p>
    <w:p>
      <w:pPr>
        <w:pStyle w:val="Style28"/>
        <w:keepNext w:val="0"/>
        <w:keepLines w:val="0"/>
        <w:widowControl w:val="0"/>
        <w:shd w:val="clear" w:color="auto" w:fill="auto"/>
        <w:bidi w:val="0"/>
        <w:spacing w:before="0" w:after="360" w:line="311" w:lineRule="exact"/>
        <w:ind w:left="0" w:right="0" w:firstLine="660"/>
        <w:jc w:val="both"/>
      </w:pPr>
      <w:r>
        <w:rPr>
          <w:color w:val="000000"/>
          <w:spacing w:val="0"/>
          <w:w w:val="100"/>
          <w:position w:val="0"/>
        </w:rPr>
        <w:t>分别下列情况对长期股权投资进行计量</w:t>
      </w:r>
      <w:r>
        <w:rPr>
          <w:rFonts w:ascii="Times New Roman" w:eastAsia="Times New Roman" w:hAnsi="Times New Roman" w:cs="Times New Roman"/>
          <w:color w:val="000000"/>
          <w:spacing w:val="0"/>
          <w:w w:val="100"/>
          <w:position w:val="0"/>
        </w:rPr>
        <w:t>:</w:t>
      </w:r>
      <w:r>
        <w:rPr>
          <w:color w:val="000000"/>
          <w:spacing w:val="0"/>
          <w:w w:val="100"/>
          <w:position w:val="0"/>
        </w:rPr>
        <w:t>①企业合并形成的长期股权投资，按照下列规定确定其投资成本：</w:t>
      </w:r>
      <w:r>
        <w:rPr>
          <w:rFonts w:ascii="Times New Roman" w:eastAsia="Times New Roman" w:hAnsi="Times New Roman" w:cs="Times New Roman"/>
          <w:color w:val="000000"/>
          <w:spacing w:val="0"/>
          <w:w w:val="100"/>
          <w:position w:val="0"/>
        </w:rPr>
        <w:t>A.</w:t>
      </w:r>
      <w:r>
        <w:rPr>
          <w:color w:val="000000"/>
          <w:spacing w:val="0"/>
          <w:w w:val="100"/>
          <w:position w:val="0"/>
        </w:rPr>
        <w:t xml:space="preserve">同一 控制下的企业合并，合并方以支付现金、转让非现金资产或承担债务方式作为合并对价的，在合并日按照取得被合并方所有 者权益账面价值的份额作为长期股权投资的初始投资成本。长期股权投资初始投资成本与支付的现金、转让的非现金资产以 及所承担债务账面价值之间的差额，调整资本公积（股本溢价）；资本公积（股本溢价）的余额不足冲减的，调整留存收益； </w:t>
      </w:r>
      <w:r>
        <w:rPr>
          <w:rFonts w:ascii="Times New Roman" w:eastAsia="Times New Roman" w:hAnsi="Times New Roman" w:cs="Times New Roman"/>
          <w:color w:val="000000"/>
          <w:spacing w:val="0"/>
          <w:w w:val="100"/>
          <w:position w:val="0"/>
        </w:rPr>
        <w:t>B.</w:t>
      </w:r>
      <w:r>
        <w:rPr>
          <w:color w:val="000000"/>
          <w:spacing w:val="0"/>
          <w:w w:val="100"/>
          <w:position w:val="0"/>
        </w:rPr>
        <w:t>同一控制下的企业合并，合并方以发行权益性证券作为合并对价的，在合并日按照取得被合并方所有者权益账面价值的 份额作为长期股权投资的初始投资成本。按照发行股份的面值总额作为股本，长期股权投资的初始投资成本与所发行股份面 值总额之间的差额，调整资本公积（股本溢价）；资本公积（股本溢价）不足冲减的，调整留存收益；</w:t>
      </w:r>
      <w:r>
        <w:rPr>
          <w:rFonts w:ascii="Times New Roman" w:eastAsia="Times New Roman" w:hAnsi="Times New Roman" w:cs="Times New Roman"/>
          <w:color w:val="000000"/>
          <w:spacing w:val="0"/>
          <w:w w:val="100"/>
          <w:position w:val="0"/>
        </w:rPr>
        <w:t>C.</w:t>
      </w:r>
      <w:r>
        <w:rPr>
          <w:color w:val="000000"/>
          <w:spacing w:val="0"/>
          <w:w w:val="100"/>
          <w:position w:val="0"/>
        </w:rPr>
        <w:t>非同一控制下的企 业合并，以购买日为取得对被购买方的控制权而付出的资产、发生或承担的负债以及发行的权益性证券的公允价值确定为合 并成本作为长期股权投资的初始投资成本。②除企业合并形成的长期股权投资以外，其他方式取得的长期股权投资，按照 下列规定确定其投资成本：</w:t>
      </w:r>
      <w:r>
        <w:rPr>
          <w:rFonts w:ascii="Times New Roman" w:eastAsia="Times New Roman" w:hAnsi="Times New Roman" w:cs="Times New Roman"/>
          <w:color w:val="000000"/>
          <w:spacing w:val="0"/>
          <w:w w:val="100"/>
          <w:position w:val="0"/>
        </w:rPr>
        <w:t>A.</w:t>
      </w:r>
      <w:r>
        <w:rPr>
          <w:color w:val="000000"/>
          <w:spacing w:val="0"/>
          <w:w w:val="100"/>
          <w:position w:val="0"/>
        </w:rPr>
        <w:t xml:space="preserve">以支付现金取得的长期股权投资，按照实际支付的购买价款作为投资成本。投资成本包括与 </w:t>
      </w:r>
      <w:r>
        <w:rPr>
          <w:color w:val="000000"/>
          <w:spacing w:val="0"/>
          <w:w w:val="100"/>
          <w:position w:val="0"/>
        </w:rPr>
        <w:t>取得长期股权投资直接相关的费用、税金及其他必要支出，但实际支付的价款中包含的已宣告但尚未领取的现金股利，作为 应收项目单独核算；</w:t>
      </w:r>
      <w:r>
        <w:rPr>
          <w:rFonts w:ascii="Times New Roman" w:eastAsia="Times New Roman" w:hAnsi="Times New Roman" w:cs="Times New Roman"/>
          <w:color w:val="000000"/>
          <w:spacing w:val="0"/>
          <w:w w:val="100"/>
          <w:position w:val="0"/>
        </w:rPr>
        <w:t>B.</w:t>
      </w:r>
      <w:r>
        <w:rPr>
          <w:color w:val="000000"/>
          <w:spacing w:val="0"/>
          <w:w w:val="100"/>
          <w:position w:val="0"/>
        </w:rPr>
        <w:t>以发行权益性证券取得的长期股权投资，按照发行权益性证券的公允价值作为投资成本；</w:t>
      </w:r>
      <w:r>
        <w:rPr>
          <w:rFonts w:ascii="Times New Roman" w:eastAsia="Times New Roman" w:hAnsi="Times New Roman" w:cs="Times New Roman"/>
          <w:color w:val="000000"/>
          <w:spacing w:val="0"/>
          <w:w w:val="100"/>
          <w:position w:val="0"/>
        </w:rPr>
        <w:t>C.</w:t>
      </w:r>
      <w:r>
        <w:rPr>
          <w:color w:val="000000"/>
          <w:spacing w:val="0"/>
          <w:w w:val="100"/>
          <w:position w:val="0"/>
        </w:rPr>
        <w:t>投资者 投入的长期股权投资，按照投资合同或协议约定的价值作为投资成本，但合同或协议约定不公允的除外；</w:t>
      </w:r>
      <w:r>
        <w:rPr>
          <w:rFonts w:ascii="Times New Roman" w:eastAsia="Times New Roman" w:hAnsi="Times New Roman" w:cs="Times New Roman"/>
          <w:color w:val="000000"/>
          <w:spacing w:val="0"/>
          <w:w w:val="100"/>
          <w:position w:val="0"/>
        </w:rPr>
        <w:t>D.</w:t>
      </w:r>
      <w:r>
        <w:rPr>
          <w:color w:val="000000"/>
          <w:spacing w:val="0"/>
          <w:w w:val="100"/>
          <w:position w:val="0"/>
        </w:rPr>
        <w:t>通过非货币性 资产交换取得的长期股权投资，如果该项交换具有商业实质且换入资产或换出资产的公允价值能可靠计量，则以换出资产的 公允价值和相关税费作为初始投资成本，换出资产的公允价值与账面价值之间的差额计入当期损益；若非货币资产交换不同 时具备上述两个条件，则按换出资产的账面价值和相关税费作为初始投资成本。</w:t>
      </w:r>
      <w:r>
        <w:rPr>
          <w:rFonts w:ascii="Times New Roman" w:eastAsia="Times New Roman" w:hAnsi="Times New Roman" w:cs="Times New Roman"/>
          <w:color w:val="000000"/>
          <w:spacing w:val="0"/>
          <w:w w:val="100"/>
          <w:position w:val="0"/>
        </w:rPr>
        <w:t>E.</w:t>
      </w:r>
      <w:r>
        <w:rPr>
          <w:color w:val="000000"/>
          <w:spacing w:val="0"/>
          <w:w w:val="100"/>
          <w:position w:val="0"/>
        </w:rPr>
        <w:t>通过债务重组取得的长期股权投资，按 取得的股权的公允价值作为初始投资成本，初始投资成本与债权账面价值之间的差额计入当期损益。</w:t>
      </w:r>
    </w:p>
    <w:p>
      <w:pPr>
        <w:pStyle w:val="Style36"/>
        <w:keepNext/>
        <w:keepLines/>
        <w:widowControl w:val="0"/>
        <w:shd w:val="clear" w:color="auto" w:fill="auto"/>
        <w:tabs>
          <w:tab w:pos="428" w:val="left"/>
        </w:tabs>
        <w:bidi w:val="0"/>
        <w:spacing w:before="0" w:after="28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30"/>
      <w:bookmarkEnd w:id="731"/>
      <w:bookmarkEnd w:id="733"/>
    </w:p>
    <w:p>
      <w:pPr>
        <w:pStyle w:val="Style28"/>
        <w:keepNext w:val="0"/>
        <w:keepLines w:val="0"/>
        <w:widowControl w:val="0"/>
        <w:shd w:val="clear" w:color="auto" w:fill="auto"/>
        <w:bidi w:val="0"/>
        <w:spacing w:before="0" w:after="360" w:line="312" w:lineRule="exact"/>
        <w:ind w:left="0" w:right="0" w:firstLine="660"/>
        <w:jc w:val="both"/>
      </w:pPr>
      <w:r>
        <w:rPr>
          <w:color w:val="000000"/>
          <w:spacing w:val="0"/>
          <w:w w:val="100"/>
          <w:position w:val="0"/>
        </w:rPr>
        <w:t>根据是否对被投资单位具有控制、共同控制或重大影响分别对长期股权投资采用成本法或权益法核算。①采用成本 法核算的长期投资，追加或收回投资调整长期股权投资的成本。取得被投资单位宣告发放的现金股利或利润，除取得投资时 实际支付的价款或对价中包含的已宣告但尚未发放的现金股利或利润外，按照享有被投资单位宣告发放的现金股利或利润确 认当期投资收益。②采用权益法核算的长期股权投资，本公司在取得长期股权投资后，在计算投资损益时按本公司的会计 政策及会计期间对被投资单位的财务报表进行调整，在此基础上再抵销本公司与联营企业及合营企业之间发生的内部交易损 益按照应享有或应分担计算归属于本公司的部分，确认投资损益并调整长期股权投资账面价值。如果本公司取得投资时被投 资单位有关资产、负债的公允价值与其账面价值不同的,后续计量计算归属于投资企业应享有的净利润或应承担的净亏损时， 应考虑被投资单位计提的折旧额、摊销额以及资产减值准备金额等进行调整。以上调整均考虑重要性原则，在符合下列条件 之一的，本公司按被投资单位的账面净利润为基础，经调整未实现内部交易损益后，计算确认投资损益。</w:t>
      </w:r>
      <w:r>
        <w:rPr>
          <w:rFonts w:ascii="Times New Roman" w:eastAsia="Times New Roman" w:hAnsi="Times New Roman" w:cs="Times New Roman"/>
          <w:color w:val="000000"/>
          <w:spacing w:val="0"/>
          <w:w w:val="100"/>
          <w:position w:val="0"/>
        </w:rPr>
        <w:t>A.</w:t>
      </w:r>
      <w:r>
        <w:rPr>
          <w:color w:val="000000"/>
          <w:spacing w:val="0"/>
          <w:w w:val="100"/>
          <w:position w:val="0"/>
        </w:rPr>
        <w:t>无法合理确定 取得投资时被投资单位各项可辨认资产等的公允价值。</w:t>
      </w:r>
      <w:r>
        <w:rPr>
          <w:rFonts w:ascii="Times New Roman" w:eastAsia="Times New Roman" w:hAnsi="Times New Roman" w:cs="Times New Roman"/>
          <w:color w:val="000000"/>
          <w:spacing w:val="0"/>
          <w:w w:val="100"/>
          <w:position w:val="0"/>
        </w:rPr>
        <w:t>B.</w:t>
      </w:r>
      <w:r>
        <w:rPr>
          <w:color w:val="000000"/>
          <w:spacing w:val="0"/>
          <w:w w:val="100"/>
          <w:position w:val="0"/>
        </w:rPr>
        <w:t>投资时被投资单位可辨认资产的公允价值与其账面价值相比</w:t>
      </w:r>
      <w:r>
        <w:rPr>
          <w:color w:val="000000"/>
          <w:spacing w:val="0"/>
          <w:w w:val="100"/>
          <w:position w:val="0"/>
        </w:rPr>
        <w:t>，</w:t>
      </w:r>
      <w:r>
        <w:rPr>
          <w:color w:val="000000"/>
          <w:spacing w:val="0"/>
          <w:w w:val="100"/>
          <w:position w:val="0"/>
        </w:rPr>
        <w:t>两者 之间的差额不具重要性的。</w:t>
      </w:r>
      <w:r>
        <w:rPr>
          <w:rFonts w:ascii="Times New Roman" w:eastAsia="Times New Roman" w:hAnsi="Times New Roman" w:cs="Times New Roman"/>
          <w:color w:val="000000"/>
          <w:spacing w:val="0"/>
          <w:w w:val="100"/>
          <w:position w:val="0"/>
        </w:rPr>
        <w:t>C.</w:t>
      </w:r>
      <w:r>
        <w:rPr>
          <w:color w:val="000000"/>
          <w:spacing w:val="0"/>
          <w:w w:val="100"/>
          <w:position w:val="0"/>
        </w:rPr>
        <w:t>其他原因导致无法取得被投资单位的有关资料，不能按照准则中规定的原则对被投资单位的 净损益进行调整的。③在权益法下长期股权投资的账面价值减记至零的情况下</w:t>
      </w:r>
      <w:r>
        <w:rPr>
          <w:color w:val="000000"/>
          <w:spacing w:val="0"/>
          <w:w w:val="100"/>
          <w:position w:val="0"/>
        </w:rPr>
        <w:t>，</w:t>
      </w:r>
      <w:r>
        <w:rPr>
          <w:color w:val="000000"/>
          <w:spacing w:val="0"/>
          <w:w w:val="100"/>
          <w:position w:val="0"/>
        </w:rPr>
        <w:t>如果仍有未确认的投资损失</w:t>
      </w:r>
      <w:r>
        <w:rPr>
          <w:color w:val="000000"/>
          <w:spacing w:val="0"/>
          <w:w w:val="100"/>
          <w:position w:val="0"/>
        </w:rPr>
        <w:t>，</w:t>
      </w:r>
      <w:r>
        <w:rPr>
          <w:color w:val="000000"/>
          <w:spacing w:val="0"/>
          <w:w w:val="100"/>
          <w:position w:val="0"/>
        </w:rPr>
        <w:t>应以其他长期权 益的账面价值为基础继续确认。如果在投资合同或协议中约定将履行其他额外的损失补偿义务，还按《企业会计准则第</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或有事项》的规定确认预计将承担的损失金额。④按照权益法核算的长期股权投资，投资企业自被投资单位取得的现 金股利或利润，抵减长期股权投资的账面价值。自被投资单位取得的现金股利或利润超过已确认损益调整的部分视同投资成 本的收回，冲减长期股权投资的成本。</w:t>
      </w:r>
    </w:p>
    <w:p>
      <w:pPr>
        <w:pStyle w:val="Style36"/>
        <w:keepNext/>
        <w:keepLines/>
        <w:widowControl w:val="0"/>
        <w:shd w:val="clear" w:color="auto" w:fill="auto"/>
        <w:tabs>
          <w:tab w:pos="428" w:val="left"/>
        </w:tabs>
        <w:bidi w:val="0"/>
        <w:spacing w:before="0" w:after="28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34"/>
      <w:bookmarkEnd w:id="735"/>
      <w:bookmarkEnd w:id="737"/>
    </w:p>
    <w:p>
      <w:pPr>
        <w:pStyle w:val="Style28"/>
        <w:keepNext w:val="0"/>
        <w:keepLines w:val="0"/>
        <w:widowControl w:val="0"/>
        <w:numPr>
          <w:ilvl w:val="0"/>
          <w:numId w:val="47"/>
        </w:numPr>
        <w:shd w:val="clear" w:color="auto" w:fill="auto"/>
        <w:bidi w:val="0"/>
        <w:spacing w:before="0" w:after="0" w:line="312" w:lineRule="exact"/>
        <w:ind w:left="0" w:right="0" w:firstLine="380"/>
        <w:jc w:val="both"/>
      </w:pPr>
      <w:bookmarkStart w:id="738" w:name="bookmark738"/>
      <w:bookmarkEnd w:id="738"/>
      <w:r>
        <w:rPr>
          <w:color w:val="000000"/>
          <w:spacing w:val="0"/>
          <w:w w:val="100"/>
          <w:position w:val="0"/>
          <w:shd w:val="clear" w:color="auto" w:fill="FFFFFF"/>
        </w:rPr>
        <w:t>存在以下一种或几种情况时，确定对被投资单位具有共同控制：</w:t>
      </w:r>
      <w:r>
        <w:rPr>
          <w:rFonts w:ascii="Times New Roman" w:eastAsia="Times New Roman" w:hAnsi="Times New Roman" w:cs="Times New Roman"/>
          <w:color w:val="000000"/>
          <w:spacing w:val="0"/>
          <w:w w:val="100"/>
          <w:position w:val="0"/>
          <w:shd w:val="clear" w:color="auto" w:fill="FFFFFF"/>
        </w:rPr>
        <w:t>A.</w:t>
      </w:r>
      <w:r>
        <w:rPr>
          <w:color w:val="000000"/>
          <w:spacing w:val="0"/>
          <w:w w:val="100"/>
          <w:position w:val="0"/>
          <w:shd w:val="clear" w:color="auto" w:fill="FFFFFF"/>
        </w:rPr>
        <w:t>任何一个合营方均不能单独控制合营企业的生产 经营活动；</w:t>
      </w:r>
      <w:r>
        <w:rPr>
          <w:rFonts w:ascii="Times New Roman" w:eastAsia="Times New Roman" w:hAnsi="Times New Roman" w:cs="Times New Roman"/>
          <w:color w:val="000000"/>
          <w:spacing w:val="0"/>
          <w:w w:val="100"/>
          <w:position w:val="0"/>
          <w:shd w:val="clear" w:color="auto" w:fill="FFFFFF"/>
        </w:rPr>
        <w:t>B.</w:t>
      </w:r>
      <w:r>
        <w:rPr>
          <w:color w:val="000000"/>
          <w:spacing w:val="0"/>
          <w:w w:val="100"/>
          <w:position w:val="0"/>
          <w:shd w:val="clear" w:color="auto" w:fill="FFFFFF"/>
        </w:rPr>
        <w:t>涉及合营企业基本经营活动的决策需要各合营方一致同意；</w:t>
      </w:r>
      <w:r>
        <w:rPr>
          <w:rFonts w:ascii="Times New Roman" w:eastAsia="Times New Roman" w:hAnsi="Times New Roman" w:cs="Times New Roman"/>
          <w:color w:val="000000"/>
          <w:spacing w:val="0"/>
          <w:w w:val="100"/>
          <w:position w:val="0"/>
          <w:shd w:val="clear" w:color="auto" w:fill="FFFFFF"/>
        </w:rPr>
        <w:t>C.</w:t>
      </w:r>
      <w:r>
        <w:rPr>
          <w:color w:val="000000"/>
          <w:spacing w:val="0"/>
          <w:w w:val="100"/>
          <w:position w:val="0"/>
          <w:shd w:val="clear" w:color="auto" w:fill="FFFFFF"/>
        </w:rPr>
        <w:t>各合营方可能通过合同或协议的形式任命其中 的一个合营方对合营企业的日常活动进行管理</w:t>
      </w:r>
      <w:r>
        <w:rPr>
          <w:color w:val="000000"/>
          <w:spacing w:val="0"/>
          <w:w w:val="100"/>
          <w:position w:val="0"/>
          <w:shd w:val="clear" w:color="auto" w:fill="FFFFFF"/>
        </w:rPr>
        <w:t>，</w:t>
      </w:r>
      <w:r>
        <w:rPr>
          <w:color w:val="000000"/>
          <w:spacing w:val="0"/>
          <w:w w:val="100"/>
          <w:position w:val="0"/>
          <w:shd w:val="clear" w:color="auto" w:fill="FFFFFF"/>
        </w:rPr>
        <w:t>但其必须在各合营方已经一致同意的财务和经营政策范围内行使管理权。当 被投资单位处于法定重组或破产中，或者在向投资方转移资金的能力受到严格的长期限制情况下经营时，通常投资方对被投 资单位可能无法实施共同控制。但如果能够证明存在共同控制，合营各方仍按照长期股权投资准则的规定采用权益法核算。 ②存在以下一种或几种情况时，确定对被投资单位具有重大影响：</w:t>
      </w:r>
      <w:r>
        <w:rPr>
          <w:rFonts w:ascii="Times New Roman" w:eastAsia="Times New Roman" w:hAnsi="Times New Roman" w:cs="Times New Roman"/>
          <w:color w:val="000000"/>
          <w:spacing w:val="0"/>
          <w:w w:val="100"/>
          <w:position w:val="0"/>
          <w:shd w:val="clear" w:color="auto" w:fill="FFFFFF"/>
        </w:rPr>
        <w:t>A.</w:t>
      </w:r>
      <w:r>
        <w:rPr>
          <w:color w:val="000000"/>
          <w:spacing w:val="0"/>
          <w:w w:val="100"/>
          <w:position w:val="0"/>
          <w:shd w:val="clear" w:color="auto" w:fill="FFFFFF"/>
        </w:rPr>
        <w:t>在被投资单位的董事会或类似权力机构中派有代表；</w:t>
      </w:r>
    </w:p>
    <w:p>
      <w:pPr>
        <w:pStyle w:val="Style28"/>
        <w:keepNext w:val="0"/>
        <w:keepLines w:val="0"/>
        <w:widowControl w:val="0"/>
        <w:numPr>
          <w:ilvl w:val="0"/>
          <w:numId w:val="49"/>
        </w:numPr>
        <w:shd w:val="clear" w:color="auto" w:fill="auto"/>
        <w:bidi w:val="0"/>
        <w:spacing w:before="0" w:after="360" w:line="312" w:lineRule="exact"/>
        <w:ind w:left="0" w:right="0" w:firstLine="0"/>
        <w:jc w:val="left"/>
      </w:pPr>
      <w:bookmarkStart w:id="739" w:name="bookmark739"/>
      <w:bookmarkEnd w:id="739"/>
      <w:r>
        <w:rPr>
          <w:color w:val="000000"/>
          <w:spacing w:val="0"/>
          <w:w w:val="100"/>
          <w:position w:val="0"/>
        </w:rPr>
        <w:t>参与被投资单位的政策制定过程</w:t>
      </w:r>
      <w:r>
        <w:rPr>
          <w:color w:val="000000"/>
          <w:spacing w:val="0"/>
          <w:w w:val="100"/>
          <w:position w:val="0"/>
        </w:rPr>
        <w:t>，</w:t>
      </w:r>
      <w:r>
        <w:rPr>
          <w:color w:val="000000"/>
          <w:spacing w:val="0"/>
          <w:w w:val="100"/>
          <w:position w:val="0"/>
        </w:rPr>
        <w:t>包括股利分配政策等的制定；</w:t>
      </w:r>
      <w:r>
        <w:rPr>
          <w:rFonts w:ascii="Times New Roman" w:eastAsia="Times New Roman" w:hAnsi="Times New Roman" w:cs="Times New Roman"/>
          <w:color w:val="000000"/>
          <w:spacing w:val="0"/>
          <w:w w:val="100"/>
          <w:position w:val="0"/>
        </w:rPr>
        <w:t>C.</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D.</w:t>
      </w:r>
      <w:r>
        <w:rPr>
          <w:color w:val="000000"/>
          <w:spacing w:val="0"/>
          <w:w w:val="100"/>
          <w:position w:val="0"/>
        </w:rPr>
        <w:t>向被投资单位派出 管理人员；</w:t>
      </w:r>
      <w:r>
        <w:rPr>
          <w:rFonts w:ascii="Times New Roman" w:eastAsia="Times New Roman" w:hAnsi="Times New Roman" w:cs="Times New Roman"/>
          <w:color w:val="000000"/>
          <w:spacing w:val="0"/>
          <w:w w:val="100"/>
          <w:position w:val="0"/>
        </w:rPr>
        <w:t>E.</w:t>
      </w:r>
      <w:r>
        <w:rPr>
          <w:color w:val="000000"/>
          <w:spacing w:val="0"/>
          <w:w w:val="100"/>
          <w:position w:val="0"/>
        </w:rPr>
        <w:t>向被投资单位提供关键技术资料。</w:t>
      </w:r>
    </w:p>
    <w:p>
      <w:pPr>
        <w:pStyle w:val="Style36"/>
        <w:keepNext/>
        <w:keepLines/>
        <w:widowControl w:val="0"/>
        <w:shd w:val="clear" w:color="auto" w:fill="auto"/>
        <w:tabs>
          <w:tab w:pos="428"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40"/>
      <w:bookmarkEnd w:id="741"/>
      <w:bookmarkEnd w:id="743"/>
    </w:p>
    <w:p>
      <w:pPr>
        <w:pStyle w:val="Style28"/>
        <w:keepNext w:val="0"/>
        <w:keepLines w:val="0"/>
        <w:widowControl w:val="0"/>
        <w:shd w:val="clear" w:color="auto" w:fill="auto"/>
        <w:bidi w:val="0"/>
        <w:spacing w:before="0" w:after="320" w:line="310" w:lineRule="exact"/>
        <w:ind w:left="0" w:right="0" w:firstLine="660"/>
        <w:jc w:val="both"/>
      </w:pPr>
      <w:r>
        <w:rPr>
          <w:color w:val="000000"/>
          <w:spacing w:val="0"/>
          <w:w w:val="100"/>
          <w:position w:val="0"/>
        </w:rPr>
        <w:t>本公司在资产负债表日对长期股权投资进行逐项检查，根据被投资单位经营政策、法律环境、市场需求、行业及盈 利能力等的各种变化判断长期股权投资是否存在减值迹象。当长期股权投资可收回金额低于账面价值时，将可收回金额低于 长期股权投资账面价值的差额作为长期股权投资减值准备予以计提。资产减值损失一经确认，在以后会计期间不再转回。</w:t>
      </w:r>
    </w:p>
    <w:p>
      <w:pPr>
        <w:pStyle w:val="Style33"/>
        <w:keepNext/>
        <w:keepLines/>
        <w:widowControl w:val="0"/>
        <w:shd w:val="clear" w:color="auto" w:fill="auto"/>
        <w:tabs>
          <w:tab w:pos="469" w:val="left"/>
        </w:tabs>
        <w:bidi w:val="0"/>
        <w:spacing w:before="0" w:after="3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744"/>
      <w:bookmarkEnd w:id="745"/>
      <w:bookmarkEnd w:id="747"/>
    </w:p>
    <w:p>
      <w:pPr>
        <w:pStyle w:val="Style33"/>
        <w:keepNext/>
        <w:keepLines/>
        <w:widowControl w:val="0"/>
        <w:shd w:val="clear" w:color="auto" w:fill="auto"/>
        <w:tabs>
          <w:tab w:pos="469" w:val="left"/>
        </w:tabs>
        <w:bidi w:val="0"/>
        <w:spacing w:before="0" w:after="3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748"/>
      <w:bookmarkEnd w:id="749"/>
      <w:bookmarkEnd w:id="751"/>
    </w:p>
    <w:p>
      <w:pPr>
        <w:pStyle w:val="Style36"/>
        <w:keepNext/>
        <w:keepLines/>
        <w:widowControl w:val="0"/>
        <w:numPr>
          <w:ilvl w:val="0"/>
          <w:numId w:val="51"/>
        </w:numPr>
        <w:shd w:val="clear" w:color="auto" w:fill="auto"/>
        <w:tabs>
          <w:tab w:pos="488" w:val="left"/>
        </w:tabs>
        <w:bidi w:val="0"/>
        <w:spacing w:before="0" w:after="280" w:line="240" w:lineRule="auto"/>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固定资产确认条件</w:t>
      </w:r>
      <w:bookmarkEnd w:id="752"/>
      <w:bookmarkEnd w:id="753"/>
      <w:bookmarkEnd w:id="755"/>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固定资产是指为生产商品、提供劳务、出租或经营管理而持有的使用年限超过一年的单位价值较高的有形资产。固定资产在 同时满足下列条件时，按取得时的实际成本予以确认：①与该固定资产有关的经济利益很可能流入企业。②该固定资产的 成本能够可靠地计量。固定资产发生的后续支出，符合固定资产确认条件的计入固定资产成本；不符合固定资产确认条件的 在发生时计入当期损益。</w:t>
      </w:r>
    </w:p>
    <w:p>
      <w:pPr>
        <w:pStyle w:val="Style36"/>
        <w:keepNext/>
        <w:keepLines/>
        <w:widowControl w:val="0"/>
        <w:numPr>
          <w:ilvl w:val="0"/>
          <w:numId w:val="51"/>
        </w:numPr>
        <w:shd w:val="clear" w:color="auto" w:fill="auto"/>
        <w:tabs>
          <w:tab w:pos="488" w:val="left"/>
        </w:tabs>
        <w:bidi w:val="0"/>
        <w:spacing w:before="0" w:line="240" w:lineRule="auto"/>
        <w:ind w:left="0" w:right="0" w:firstLine="0"/>
        <w:jc w:val="both"/>
      </w:pPr>
      <w:bookmarkStart w:id="756" w:name="bookmark756"/>
      <w:bookmarkStart w:id="757" w:name="bookmark757"/>
      <w:bookmarkStart w:id="758" w:name="bookmark758"/>
      <w:bookmarkStart w:id="759" w:name="bookmark759"/>
      <w:bookmarkEnd w:id="758"/>
      <w:r>
        <w:rPr>
          <w:color w:val="000000"/>
          <w:spacing w:val="0"/>
          <w:w w:val="100"/>
          <w:position w:val="0"/>
        </w:rPr>
        <w:t>融资租入固定资产的认定依据、计价方法</w:t>
      </w:r>
      <w:bookmarkEnd w:id="756"/>
      <w:bookmarkEnd w:id="757"/>
      <w:bookmarkEnd w:id="759"/>
    </w:p>
    <w:p>
      <w:pPr>
        <w:pStyle w:val="Style36"/>
        <w:keepNext/>
        <w:keepLines/>
        <w:widowControl w:val="0"/>
        <w:numPr>
          <w:ilvl w:val="0"/>
          <w:numId w:val="51"/>
        </w:numPr>
        <w:shd w:val="clear" w:color="auto" w:fill="auto"/>
        <w:tabs>
          <w:tab w:pos="488" w:val="left"/>
        </w:tabs>
        <w:bidi w:val="0"/>
        <w:spacing w:before="0" w:after="280" w:line="240" w:lineRule="auto"/>
        <w:ind w:left="0" w:right="0" w:firstLine="0"/>
        <w:jc w:val="both"/>
      </w:pPr>
      <w:bookmarkStart w:id="760" w:name="bookmark760"/>
      <w:bookmarkStart w:id="761" w:name="bookmark761"/>
      <w:bookmarkStart w:id="762" w:name="bookmark762"/>
      <w:bookmarkStart w:id="763" w:name="bookmark763"/>
      <w:bookmarkEnd w:id="762"/>
      <w:r>
        <w:rPr>
          <w:color w:val="000000"/>
          <w:spacing w:val="0"/>
          <w:w w:val="100"/>
          <w:position w:val="0"/>
        </w:rPr>
        <w:t>各类固定资产的折旧方法</w:t>
      </w:r>
      <w:bookmarkEnd w:id="760"/>
      <w:bookmarkEnd w:id="761"/>
      <w:bookmarkEnd w:id="763"/>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本公司从固定资产达到预定可使用状态的次月起按年限平均法计提折旧，按固定资产的类别、估计的经济使用年限和预计的 净残值分别确定折旧年限和年折旧率如下：</w:t>
      </w:r>
    </w:p>
    <w:tbl>
      <w:tblPr>
        <w:tblOverlap w:val="never"/>
        <w:jc w:val="center"/>
        <w:tblLayout w:type="fixed"/>
      </w:tblPr>
      <w:tblGrid>
        <w:gridCol w:w="2530"/>
        <w:gridCol w:w="2098"/>
        <w:gridCol w:w="2222"/>
        <w:gridCol w:w="27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1.90%-4.75%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6"/>
        <w:keepNext/>
        <w:keepLines/>
        <w:widowControl w:val="0"/>
        <w:numPr>
          <w:ilvl w:val="0"/>
          <w:numId w:val="51"/>
        </w:numPr>
        <w:shd w:val="clear" w:color="auto" w:fill="auto"/>
        <w:bidi w:val="0"/>
        <w:spacing w:before="0" w:after="280" w:line="240" w:lineRule="auto"/>
        <w:ind w:left="0" w:right="0" w:firstLine="140"/>
        <w:jc w:val="left"/>
      </w:pPr>
      <w:bookmarkStart w:id="764" w:name="bookmark764"/>
      <w:bookmarkStart w:id="765" w:name="bookmark765"/>
      <w:bookmarkStart w:id="766" w:name="bookmark766"/>
      <w:bookmarkStart w:id="767" w:name="bookmark767"/>
      <w:bookmarkEnd w:id="766"/>
      <w:r>
        <w:rPr>
          <w:color w:val="000000"/>
          <w:spacing w:val="0"/>
          <w:w w:val="100"/>
          <w:position w:val="0"/>
        </w:rPr>
        <w:t>固定资产的减值测试方法、减值准备计提方法</w:t>
      </w:r>
      <w:bookmarkEnd w:id="764"/>
      <w:bookmarkEnd w:id="765"/>
      <w:bookmarkEnd w:id="767"/>
    </w:p>
    <w:p>
      <w:pPr>
        <w:pStyle w:val="Style2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本公司在资产负债表日对各项固定资产进行判断，当存在减值迹象，估计可收回金额低于其账面价值时，账面价值减 记至可收回金额，减记的金额确认为资产减值损失，计入当期损益，同时计提相应的资产减值准备。资产减值损失一经确认,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Style28"/>
        <w:keepNext w:val="0"/>
        <w:keepLines w:val="0"/>
        <w:widowControl w:val="0"/>
        <w:numPr>
          <w:ilvl w:val="0"/>
          <w:numId w:val="53"/>
        </w:numPr>
        <w:shd w:val="clear" w:color="auto" w:fill="auto"/>
        <w:tabs>
          <w:tab w:pos="373" w:val="left"/>
        </w:tabs>
        <w:bidi w:val="0"/>
        <w:spacing w:before="0" w:after="0" w:line="310" w:lineRule="exact"/>
        <w:ind w:left="0" w:right="0" w:firstLine="0"/>
        <w:jc w:val="left"/>
      </w:pPr>
      <w:bookmarkStart w:id="768" w:name="bookmark768"/>
      <w:bookmarkEnd w:id="768"/>
      <w:r>
        <w:rPr>
          <w:color w:val="000000"/>
          <w:spacing w:val="0"/>
          <w:w w:val="100"/>
          <w:position w:val="0"/>
        </w:rPr>
        <w:t>长期闲置不用，在可预见的未来不会再使用，且已无转让价值的固定资产；</w:t>
      </w:r>
    </w:p>
    <w:p>
      <w:pPr>
        <w:pStyle w:val="Style28"/>
        <w:keepNext w:val="0"/>
        <w:keepLines w:val="0"/>
        <w:widowControl w:val="0"/>
        <w:numPr>
          <w:ilvl w:val="0"/>
          <w:numId w:val="53"/>
        </w:numPr>
        <w:shd w:val="clear" w:color="auto" w:fill="auto"/>
        <w:tabs>
          <w:tab w:pos="373" w:val="left"/>
        </w:tabs>
        <w:bidi w:val="0"/>
        <w:spacing w:before="0" w:after="0" w:line="310" w:lineRule="exact"/>
        <w:ind w:left="0" w:right="0" w:firstLine="0"/>
        <w:jc w:val="left"/>
      </w:pPr>
      <w:bookmarkStart w:id="769" w:name="bookmark769"/>
      <w:bookmarkEnd w:id="769"/>
      <w:r>
        <w:rPr>
          <w:color w:val="000000"/>
          <w:spacing w:val="0"/>
          <w:w w:val="100"/>
          <w:position w:val="0"/>
        </w:rPr>
        <w:t>由于技术进步等原因，已不可使用的固定资产；</w:t>
      </w:r>
    </w:p>
    <w:p>
      <w:pPr>
        <w:pStyle w:val="Style28"/>
        <w:keepNext w:val="0"/>
        <w:keepLines w:val="0"/>
        <w:widowControl w:val="0"/>
        <w:numPr>
          <w:ilvl w:val="0"/>
          <w:numId w:val="53"/>
        </w:numPr>
        <w:shd w:val="clear" w:color="auto" w:fill="auto"/>
        <w:tabs>
          <w:tab w:pos="373" w:val="left"/>
        </w:tabs>
        <w:bidi w:val="0"/>
        <w:spacing w:before="0" w:after="0" w:line="310" w:lineRule="exact"/>
        <w:ind w:left="0" w:right="0" w:firstLine="0"/>
        <w:jc w:val="left"/>
      </w:pPr>
      <w:bookmarkStart w:id="770" w:name="bookmark770"/>
      <w:bookmarkEnd w:id="770"/>
      <w:r>
        <w:rPr>
          <w:color w:val="000000"/>
          <w:spacing w:val="0"/>
          <w:w w:val="100"/>
          <w:position w:val="0"/>
        </w:rPr>
        <w:t>虽然固定资产尚可使用，但使用后产生大量不合格品的固定资产；</w:t>
      </w:r>
    </w:p>
    <w:p>
      <w:pPr>
        <w:pStyle w:val="Style28"/>
        <w:keepNext w:val="0"/>
        <w:keepLines w:val="0"/>
        <w:widowControl w:val="0"/>
        <w:numPr>
          <w:ilvl w:val="0"/>
          <w:numId w:val="53"/>
        </w:numPr>
        <w:shd w:val="clear" w:color="auto" w:fill="auto"/>
        <w:tabs>
          <w:tab w:pos="373" w:val="left"/>
        </w:tabs>
        <w:bidi w:val="0"/>
        <w:spacing w:before="0" w:after="0" w:line="310" w:lineRule="exact"/>
        <w:ind w:left="0" w:right="0" w:firstLine="0"/>
        <w:jc w:val="left"/>
      </w:pPr>
      <w:bookmarkStart w:id="771" w:name="bookmark771"/>
      <w:bookmarkEnd w:id="771"/>
      <w:r>
        <w:rPr>
          <w:color w:val="000000"/>
          <w:spacing w:val="0"/>
          <w:w w:val="100"/>
          <w:position w:val="0"/>
        </w:rPr>
        <w:t>已遭毁损，以至于不再具有使用价值和转让价值的固定资产；</w:t>
      </w:r>
    </w:p>
    <w:p>
      <w:pPr>
        <w:pStyle w:val="Style28"/>
        <w:keepNext w:val="0"/>
        <w:keepLines w:val="0"/>
        <w:widowControl w:val="0"/>
        <w:numPr>
          <w:ilvl w:val="0"/>
          <w:numId w:val="53"/>
        </w:numPr>
        <w:shd w:val="clear" w:color="auto" w:fill="auto"/>
        <w:tabs>
          <w:tab w:pos="373" w:val="left"/>
        </w:tabs>
        <w:bidi w:val="0"/>
        <w:spacing w:before="0" w:after="280" w:line="310" w:lineRule="exact"/>
        <w:ind w:left="0" w:right="0" w:firstLine="0"/>
        <w:jc w:val="left"/>
      </w:pPr>
      <w:bookmarkStart w:id="772" w:name="bookmark772"/>
      <w:bookmarkEnd w:id="772"/>
      <w:r>
        <w:rPr>
          <w:color w:val="000000"/>
          <w:spacing w:val="0"/>
          <w:w w:val="100"/>
          <w:position w:val="0"/>
        </w:rPr>
        <w:t>其他实质上已经不能再给公司带来经济利益的固定资产。</w:t>
      </w:r>
    </w:p>
    <w:p>
      <w:pPr>
        <w:pStyle w:val="Style36"/>
        <w:keepNext/>
        <w:keepLines/>
        <w:widowControl w:val="0"/>
        <w:shd w:val="clear" w:color="auto" w:fill="auto"/>
        <w:bidi w:val="0"/>
        <w:spacing w:before="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773"/>
      <w:bookmarkEnd w:id="774"/>
      <w:bookmarkEnd w:id="776"/>
    </w:p>
    <w:p>
      <w:pPr>
        <w:pStyle w:val="Style33"/>
        <w:keepNext/>
        <w:keepLines/>
        <w:widowControl w:val="0"/>
        <w:shd w:val="clear" w:color="auto" w:fill="auto"/>
        <w:tabs>
          <w:tab w:pos="469" w:val="left"/>
        </w:tabs>
        <w:bidi w:val="0"/>
        <w:spacing w:before="0" w:after="3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777"/>
      <w:bookmarkEnd w:id="778"/>
      <w:bookmarkEnd w:id="780"/>
    </w:p>
    <w:p>
      <w:pPr>
        <w:pStyle w:val="Style36"/>
        <w:keepNext/>
        <w:keepLines/>
        <w:widowControl w:val="0"/>
        <w:shd w:val="clear" w:color="auto" w:fill="auto"/>
        <w:tabs>
          <w:tab w:pos="488"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81"/>
      <w:bookmarkEnd w:id="782"/>
      <w:bookmarkEnd w:id="784"/>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在建工程以立项项目分类核算。</w:t>
      </w:r>
    </w:p>
    <w:p>
      <w:pPr>
        <w:pStyle w:val="Style36"/>
        <w:keepNext/>
        <w:keepLines/>
        <w:widowControl w:val="0"/>
        <w:shd w:val="clear" w:color="auto" w:fill="auto"/>
        <w:tabs>
          <w:tab w:pos="488"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85"/>
      <w:bookmarkEnd w:id="786"/>
      <w:bookmarkEnd w:id="788"/>
    </w:p>
    <w:p>
      <w:pPr>
        <w:pStyle w:val="Style28"/>
        <w:keepNext w:val="0"/>
        <w:keepLines w:val="0"/>
        <w:widowControl w:val="0"/>
        <w:shd w:val="clear" w:color="auto" w:fill="auto"/>
        <w:bidi w:val="0"/>
        <w:spacing w:before="0" w:after="360" w:line="312" w:lineRule="exact"/>
        <w:ind w:left="0" w:right="0" w:firstLine="660"/>
        <w:jc w:val="left"/>
      </w:pPr>
      <w:r>
        <w:rPr>
          <w:color w:val="000000"/>
          <w:spacing w:val="0"/>
          <w:w w:val="100"/>
          <w:position w:val="0"/>
        </w:rPr>
        <w:t>在建工程项目按建造该项资产达到预定可使用状态前所发生的全部支出，作为固定资产的入账价值。包括建筑费用、 机器设备原价、其他为使在建工程达到预定可使用状态所发生的必要支出以及在资产达到预定可使用状态之前为该项目专门 借款所发生的借款费用及占用的一般借款发生的借款费用。本公司在工程安装或建设完成达到预定可使用状态时将在建工程 转入固定资产。所建造的已达到预定可使用状态、但尚未办理竣工决算的固定资产，自达到预定可使用状态之日起，根据工 程预算、造价或者工程实际成本等，按估计的价值转入固定资产，并按本公司固定资产折旧政策计提固定资产的折旧，待办 理竣工决算后，再按实际成本调整原来的暂估价值，但不调整原已计提的折旧额。</w:t>
      </w:r>
    </w:p>
    <w:p>
      <w:pPr>
        <w:pStyle w:val="Style36"/>
        <w:keepNext/>
        <w:keepLines/>
        <w:widowControl w:val="0"/>
        <w:shd w:val="clear" w:color="auto" w:fill="auto"/>
        <w:tabs>
          <w:tab w:pos="488"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89"/>
      <w:bookmarkEnd w:id="790"/>
      <w:bookmarkEnd w:id="792"/>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本公司于资产负债表日对在建工程进行全面检查，如果有证据表明在建工程已经发生了减值，估计可收回金额低于其账面价 值时，账面价值减记至可收回金额，减记的金额确认为资产减值损失，计入当期损益，同时计提相应的资产减值准备。资产 减值损失一经确认，在以后会计期间不再转回。存在下列一项或若干项情况的，对在建工程进行减值测试：</w:t>
      </w:r>
    </w:p>
    <w:p>
      <w:pPr>
        <w:pStyle w:val="Style28"/>
        <w:keepNext w:val="0"/>
        <w:keepLines w:val="0"/>
        <w:widowControl w:val="0"/>
        <w:numPr>
          <w:ilvl w:val="0"/>
          <w:numId w:val="55"/>
        </w:numPr>
        <w:shd w:val="clear" w:color="auto" w:fill="auto"/>
        <w:tabs>
          <w:tab w:pos="346" w:val="left"/>
        </w:tabs>
        <w:bidi w:val="0"/>
        <w:spacing w:before="0" w:after="0" w:line="312" w:lineRule="exact"/>
        <w:ind w:left="0" w:right="0" w:firstLine="0"/>
        <w:jc w:val="left"/>
      </w:pPr>
      <w:bookmarkStart w:id="793" w:name="bookmark793"/>
      <w:bookmarkEnd w:id="793"/>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28"/>
        <w:keepNext w:val="0"/>
        <w:keepLines w:val="0"/>
        <w:widowControl w:val="0"/>
        <w:numPr>
          <w:ilvl w:val="0"/>
          <w:numId w:val="55"/>
        </w:numPr>
        <w:shd w:val="clear" w:color="auto" w:fill="auto"/>
        <w:tabs>
          <w:tab w:pos="346" w:val="left"/>
        </w:tabs>
        <w:bidi w:val="0"/>
        <w:spacing w:before="0" w:after="0" w:line="312" w:lineRule="exact"/>
        <w:ind w:left="0" w:right="0" w:firstLine="0"/>
        <w:jc w:val="left"/>
      </w:pPr>
      <w:bookmarkStart w:id="794" w:name="bookmark794"/>
      <w:bookmarkEnd w:id="794"/>
      <w:r>
        <w:rPr>
          <w:color w:val="000000"/>
          <w:spacing w:val="0"/>
          <w:w w:val="100"/>
          <w:position w:val="0"/>
        </w:rPr>
        <w:t>所建项目无论在性能上，还是在技术上已经落后，并且给企业带来的经济利益具有很大的不确定性；</w:t>
      </w:r>
    </w:p>
    <w:p>
      <w:pPr>
        <w:pStyle w:val="Style28"/>
        <w:keepNext w:val="0"/>
        <w:keepLines w:val="0"/>
        <w:widowControl w:val="0"/>
        <w:numPr>
          <w:ilvl w:val="0"/>
          <w:numId w:val="55"/>
        </w:numPr>
        <w:shd w:val="clear" w:color="auto" w:fill="auto"/>
        <w:tabs>
          <w:tab w:pos="346" w:val="left"/>
        </w:tabs>
        <w:bidi w:val="0"/>
        <w:spacing w:before="0" w:after="360" w:line="312" w:lineRule="exact"/>
        <w:ind w:left="0" w:right="0" w:firstLine="0"/>
        <w:jc w:val="left"/>
      </w:pPr>
      <w:bookmarkStart w:id="795" w:name="bookmark795"/>
      <w:bookmarkEnd w:id="795"/>
      <w:r>
        <w:rPr>
          <w:color w:val="000000"/>
          <w:spacing w:val="0"/>
          <w:w w:val="100"/>
          <w:position w:val="0"/>
        </w:rPr>
        <w:t>其他足以证明在建工程已经发生减值的情形。</w:t>
      </w:r>
    </w:p>
    <w:p>
      <w:pPr>
        <w:pStyle w:val="Style33"/>
        <w:keepNext/>
        <w:keepLines/>
        <w:widowControl w:val="0"/>
        <w:shd w:val="clear" w:color="auto" w:fill="auto"/>
        <w:tabs>
          <w:tab w:pos="469" w:val="left"/>
        </w:tabs>
        <w:bidi w:val="0"/>
        <w:spacing w:before="0" w:after="3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96"/>
      <w:bookmarkEnd w:id="797"/>
      <w:bookmarkEnd w:id="799"/>
    </w:p>
    <w:p>
      <w:pPr>
        <w:pStyle w:val="Style36"/>
        <w:keepNext/>
        <w:keepLines/>
        <w:widowControl w:val="0"/>
        <w:shd w:val="clear" w:color="auto" w:fill="auto"/>
        <w:tabs>
          <w:tab w:pos="488" w:val="left"/>
        </w:tabs>
        <w:bidi w:val="0"/>
        <w:spacing w:before="0" w:after="26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00"/>
      <w:bookmarkEnd w:id="801"/>
      <w:bookmarkEnd w:id="803"/>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本公司发生的可直接归属于符合资本化条件的资产的购建或生产的借款费用在同时满足下列条件时予以资本化计入相关资 产成本：</w:t>
      </w:r>
    </w:p>
    <w:p>
      <w:pPr>
        <w:pStyle w:val="Style28"/>
        <w:keepNext w:val="0"/>
        <w:keepLines w:val="0"/>
        <w:widowControl w:val="0"/>
        <w:numPr>
          <w:ilvl w:val="0"/>
          <w:numId w:val="57"/>
        </w:numPr>
        <w:shd w:val="clear" w:color="auto" w:fill="auto"/>
        <w:tabs>
          <w:tab w:pos="346" w:val="left"/>
        </w:tabs>
        <w:bidi w:val="0"/>
        <w:spacing w:before="0" w:after="0" w:line="312" w:lineRule="exact"/>
        <w:ind w:left="0" w:right="0" w:firstLine="0"/>
        <w:jc w:val="left"/>
      </w:pPr>
      <w:bookmarkStart w:id="804" w:name="bookmark804"/>
      <w:bookmarkEnd w:id="804"/>
      <w:r>
        <w:rPr>
          <w:color w:val="000000"/>
          <w:spacing w:val="0"/>
          <w:w w:val="100"/>
          <w:position w:val="0"/>
        </w:rPr>
        <w:t>资产支出已经发生；</w:t>
      </w:r>
    </w:p>
    <w:p>
      <w:pPr>
        <w:pStyle w:val="Style28"/>
        <w:keepNext w:val="0"/>
        <w:keepLines w:val="0"/>
        <w:widowControl w:val="0"/>
        <w:numPr>
          <w:ilvl w:val="0"/>
          <w:numId w:val="57"/>
        </w:numPr>
        <w:shd w:val="clear" w:color="auto" w:fill="auto"/>
        <w:tabs>
          <w:tab w:pos="346" w:val="left"/>
        </w:tabs>
        <w:bidi w:val="0"/>
        <w:spacing w:before="0" w:after="0" w:line="312" w:lineRule="exact"/>
        <w:ind w:left="0" w:right="0" w:firstLine="0"/>
        <w:jc w:val="left"/>
      </w:pPr>
      <w:bookmarkStart w:id="805" w:name="bookmark805"/>
      <w:bookmarkEnd w:id="805"/>
      <w:r>
        <w:rPr>
          <w:color w:val="000000"/>
          <w:spacing w:val="0"/>
          <w:w w:val="100"/>
          <w:position w:val="0"/>
        </w:rPr>
        <w:t>借款费用已经发生；</w:t>
      </w:r>
    </w:p>
    <w:p>
      <w:pPr>
        <w:pStyle w:val="Style28"/>
        <w:keepNext w:val="0"/>
        <w:keepLines w:val="0"/>
        <w:widowControl w:val="0"/>
        <w:numPr>
          <w:ilvl w:val="0"/>
          <w:numId w:val="57"/>
        </w:numPr>
        <w:shd w:val="clear" w:color="auto" w:fill="auto"/>
        <w:tabs>
          <w:tab w:pos="346" w:val="left"/>
        </w:tabs>
        <w:bidi w:val="0"/>
        <w:spacing w:before="0" w:after="0" w:line="312" w:lineRule="exact"/>
        <w:ind w:left="0" w:right="0" w:firstLine="0"/>
        <w:jc w:val="left"/>
      </w:pPr>
      <w:bookmarkStart w:id="806" w:name="bookmark806"/>
      <w:bookmarkEnd w:id="806"/>
      <w:r>
        <w:rPr>
          <w:color w:val="000000"/>
          <w:spacing w:val="0"/>
          <w:w w:val="100"/>
          <w:position w:val="0"/>
        </w:rPr>
        <w:t>为使资产达到预定可使用状态所必要的购建或者生产活动已经开始。</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其他的借款利息、折价或溢价和汇兑差额，计入发生当期的损益。</w:t>
      </w:r>
    </w:p>
    <w:p>
      <w:pPr>
        <w:pStyle w:val="Style36"/>
        <w:keepNext/>
        <w:keepLines/>
        <w:widowControl w:val="0"/>
        <w:shd w:val="clear" w:color="auto" w:fill="auto"/>
        <w:tabs>
          <w:tab w:pos="488"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07"/>
      <w:bookmarkEnd w:id="808"/>
      <w:bookmarkEnd w:id="810"/>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自资产的购建或生产的借款费用符合资本化条件时起，至该资产达到预定可使用或者可销售状态时止，为借款费用资本化期 间。</w:t>
      </w:r>
    </w:p>
    <w:p>
      <w:pPr>
        <w:pStyle w:val="Style36"/>
        <w:keepNext/>
        <w:keepLines/>
        <w:widowControl w:val="0"/>
        <w:shd w:val="clear" w:color="auto" w:fill="auto"/>
        <w:tabs>
          <w:tab w:pos="488" w:val="left"/>
        </w:tabs>
        <w:bidi w:val="0"/>
        <w:spacing w:before="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11"/>
      <w:bookmarkEnd w:id="812"/>
      <w:bookmarkEnd w:id="81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w:t>
      </w:r>
    </w:p>
    <w:p>
      <w:pPr>
        <w:pStyle w:val="Style36"/>
        <w:keepNext/>
        <w:keepLines/>
        <w:widowControl w:val="0"/>
        <w:shd w:val="clear" w:color="auto" w:fill="auto"/>
        <w:bidi w:val="0"/>
        <w:spacing w:before="0" w:after="28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815"/>
      <w:bookmarkEnd w:id="816"/>
      <w:bookmarkEnd w:id="818"/>
    </w:p>
    <w:p>
      <w:pPr>
        <w:pStyle w:val="Style28"/>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为购建或者生产符合资本化条件的资产而借入专门借款的，以专门借款当期实际发生的利息费用，减去将尚未动用的 借款资金存入银行取得的利息收入或者进行暂时性投资取得的投资收益后的金额，确定为专门借款利息费用的资本化金额。</w:t>
      </w:r>
    </w:p>
    <w:p>
      <w:pPr>
        <w:pStyle w:val="Style28"/>
        <w:keepNext w:val="0"/>
        <w:keepLines w:val="0"/>
        <w:widowControl w:val="0"/>
        <w:shd w:val="clear" w:color="auto" w:fill="auto"/>
        <w:bidi w:val="0"/>
        <w:spacing w:before="0" w:after="980" w:line="312" w:lineRule="exact"/>
        <w:ind w:left="0" w:right="0" w:firstLine="520"/>
        <w:jc w:val="left"/>
      </w:pPr>
      <w:r>
        <w:rPr>
          <w:color w:val="000000"/>
          <w:spacing w:val="0"/>
          <w:w w:val="100"/>
          <w:position w:val="0"/>
        </w:rPr>
        <w:t>购建或者生产符合资本化条件的资产占用了一般借款的，一般借款应予资本化的利息金额按累计资产支出超过专门借 款部分的资产支出加权平均数乘以所占用一般借款的资本化率计算。</w:t>
      </w:r>
    </w:p>
    <w:p>
      <w:pPr>
        <w:pStyle w:val="Style33"/>
        <w:keepNext/>
        <w:keepLines/>
        <w:widowControl w:val="0"/>
        <w:shd w:val="clear" w:color="auto" w:fill="auto"/>
        <w:tabs>
          <w:tab w:pos="469" w:val="left"/>
        </w:tabs>
        <w:bidi w:val="0"/>
        <w:spacing w:before="0" w:after="36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819"/>
      <w:bookmarkEnd w:id="820"/>
      <w:bookmarkEnd w:id="82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after="3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823"/>
      <w:bookmarkEnd w:id="824"/>
      <w:bookmarkEnd w:id="82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27"/>
      <w:bookmarkEnd w:id="828"/>
      <w:bookmarkEnd w:id="830"/>
    </w:p>
    <w:p>
      <w:pPr>
        <w:pStyle w:val="Style36"/>
        <w:keepNext/>
        <w:keepLines/>
        <w:widowControl w:val="0"/>
        <w:shd w:val="clear" w:color="auto" w:fill="auto"/>
        <w:tabs>
          <w:tab w:pos="488" w:val="left"/>
        </w:tabs>
        <w:bidi w:val="0"/>
        <w:spacing w:before="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831"/>
      <w:bookmarkEnd w:id="832"/>
      <w:bookmarkEnd w:id="83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按取得时的实际成本入账。</w:t>
      </w:r>
    </w:p>
    <w:p>
      <w:pPr>
        <w:pStyle w:val="Style36"/>
        <w:keepNext/>
        <w:keepLines/>
        <w:widowControl w:val="0"/>
        <w:shd w:val="clear" w:color="auto" w:fill="auto"/>
        <w:tabs>
          <w:tab w:pos="488"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835"/>
      <w:bookmarkEnd w:id="836"/>
      <w:bookmarkEnd w:id="838"/>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每年年度终了，公司对使用寿命有限的无形资产的使用寿命及摊销方法进行复核。经复核，本年末无形资产的使用寿命及摊 销方法与以前估计未有不同。</w:t>
      </w:r>
    </w:p>
    <w:tbl>
      <w:tblPr>
        <w:tblOverlap w:val="never"/>
        <w:jc w:val="center"/>
        <w:tblLayout w:type="fixed"/>
      </w:tblPr>
      <w:tblGrid>
        <w:gridCol w:w="2285"/>
        <w:gridCol w:w="2218"/>
        <w:gridCol w:w="508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法定使用权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widowControl w:val="0"/>
        <w:spacing w:after="279" w:line="1" w:lineRule="exact"/>
      </w:pPr>
    </w:p>
    <w:p>
      <w:pPr>
        <w:pStyle w:val="Style36"/>
        <w:keepNext/>
        <w:keepLines/>
        <w:widowControl w:val="0"/>
        <w:shd w:val="clear" w:color="auto" w:fill="auto"/>
        <w:tabs>
          <w:tab w:pos="488"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39"/>
      <w:bookmarkEnd w:id="840"/>
      <w:bookmarkEnd w:id="842"/>
    </w:p>
    <w:p>
      <w:pPr>
        <w:pStyle w:val="Style28"/>
        <w:keepNext w:val="0"/>
        <w:keepLines w:val="0"/>
        <w:widowControl w:val="0"/>
        <w:shd w:val="clear" w:color="auto" w:fill="auto"/>
        <w:bidi w:val="0"/>
        <w:spacing w:before="0" w:after="360" w:line="310" w:lineRule="exact"/>
        <w:ind w:left="0" w:right="0" w:firstLine="520"/>
        <w:jc w:val="left"/>
      </w:pPr>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w:t>
      </w:r>
      <w:r>
        <w:rPr>
          <w:color w:val="000000"/>
          <w:spacing w:val="0"/>
          <w:w w:val="100"/>
          <w:position w:val="0"/>
        </w:rPr>
        <w:t>，</w:t>
      </w:r>
      <w:r>
        <w:rPr>
          <w:color w:val="000000"/>
          <w:spacing w:val="0"/>
          <w:w w:val="100"/>
          <w:position w:val="0"/>
        </w:rPr>
        <w:t>于在资产负债表日 进行减值测试。</w:t>
      </w:r>
    </w:p>
    <w:p>
      <w:pPr>
        <w:pStyle w:val="Style36"/>
        <w:keepNext/>
        <w:keepLines/>
        <w:widowControl w:val="0"/>
        <w:shd w:val="clear" w:color="auto" w:fill="auto"/>
        <w:tabs>
          <w:tab w:pos="488"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43"/>
      <w:bookmarkEnd w:id="844"/>
      <w:bookmarkEnd w:id="846"/>
    </w:p>
    <w:p>
      <w:pPr>
        <w:pStyle w:val="Style28"/>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当无形资产的可收回金额低于其账面价值时，将资产的账面价值减记至可收回金额，减记的金额确认为资产减值损失, 计入当期损益，同时计提相应的无形资产减值准备。无形资产减值损失一经确认，在以后会计期间不再转回。存在下列一项 或多项以下情况的，对无形资产进行减值测试：</w:t>
      </w:r>
    </w:p>
    <w:p>
      <w:pPr>
        <w:pStyle w:val="Style28"/>
        <w:keepNext w:val="0"/>
        <w:keepLines w:val="0"/>
        <w:widowControl w:val="0"/>
        <w:numPr>
          <w:ilvl w:val="0"/>
          <w:numId w:val="59"/>
        </w:numPr>
        <w:shd w:val="clear" w:color="auto" w:fill="auto"/>
        <w:tabs>
          <w:tab w:pos="379" w:val="left"/>
        </w:tabs>
        <w:bidi w:val="0"/>
        <w:spacing w:before="0" w:after="0" w:line="312" w:lineRule="exact"/>
        <w:ind w:left="0" w:right="0" w:firstLine="0"/>
        <w:jc w:val="left"/>
      </w:pPr>
      <w:bookmarkStart w:id="847" w:name="bookmark847"/>
      <w:bookmarkEnd w:id="847"/>
      <w:r>
        <w:rPr>
          <w:color w:val="000000"/>
          <w:spacing w:val="0"/>
          <w:w w:val="100"/>
          <w:position w:val="0"/>
        </w:rPr>
        <w:t>该无形资产已被其他新技术等所替代，使其为企业创造经济利益的能力受到重大不利影响；</w:t>
      </w:r>
    </w:p>
    <w:p>
      <w:pPr>
        <w:pStyle w:val="Style28"/>
        <w:keepNext w:val="0"/>
        <w:keepLines w:val="0"/>
        <w:widowControl w:val="0"/>
        <w:numPr>
          <w:ilvl w:val="0"/>
          <w:numId w:val="59"/>
        </w:numPr>
        <w:shd w:val="clear" w:color="auto" w:fill="auto"/>
        <w:tabs>
          <w:tab w:pos="379" w:val="left"/>
        </w:tabs>
        <w:bidi w:val="0"/>
        <w:spacing w:before="0" w:after="360" w:line="312" w:lineRule="exact"/>
        <w:ind w:left="0" w:right="0" w:firstLine="0"/>
        <w:jc w:val="left"/>
      </w:pPr>
      <w:bookmarkStart w:id="848" w:name="bookmark848"/>
      <w:bookmarkEnd w:id="848"/>
      <w:r>
        <w:rPr>
          <w:color w:val="000000"/>
          <w:spacing w:val="0"/>
          <w:w w:val="100"/>
          <w:position w:val="0"/>
        </w:rPr>
        <w:t>该无形资产的市价在当期大幅下跌，并在剩余年限内可能不会回升；</w:t>
      </w:r>
    </w:p>
    <w:p>
      <w:pPr>
        <w:pStyle w:val="Style28"/>
        <w:keepNext w:val="0"/>
        <w:keepLines w:val="0"/>
        <w:widowControl w:val="0"/>
        <w:numPr>
          <w:ilvl w:val="0"/>
          <w:numId w:val="59"/>
        </w:numPr>
        <w:shd w:val="clear" w:color="auto" w:fill="auto"/>
        <w:bidi w:val="0"/>
        <w:spacing w:before="0" w:after="360" w:line="322" w:lineRule="exact"/>
        <w:ind w:left="0" w:right="0" w:firstLine="0"/>
        <w:jc w:val="left"/>
      </w:pPr>
      <w:bookmarkStart w:id="849" w:name="bookmark849"/>
      <w:bookmarkEnd w:id="849"/>
      <w:r>
        <w:rPr>
          <w:color w:val="000000"/>
          <w:spacing w:val="0"/>
          <w:w w:val="100"/>
          <w:position w:val="0"/>
        </w:rPr>
        <w:t>其他足以表明该无形资产的账面价值已超过可收回金额的情况。</w:t>
      </w:r>
    </w:p>
    <w:p>
      <w:pPr>
        <w:pStyle w:val="Style36"/>
        <w:keepNext/>
        <w:keepLines/>
        <w:widowControl w:val="0"/>
        <w:shd w:val="clear" w:color="auto" w:fill="auto"/>
        <w:tabs>
          <w:tab w:pos="488" w:val="left"/>
        </w:tabs>
        <w:bidi w:val="0"/>
        <w:spacing w:before="0" w:after="26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50"/>
      <w:bookmarkEnd w:id="851"/>
      <w:bookmarkEnd w:id="853"/>
    </w:p>
    <w:p>
      <w:pPr>
        <w:pStyle w:val="Style28"/>
        <w:keepNext w:val="0"/>
        <w:keepLines w:val="0"/>
        <w:widowControl w:val="0"/>
        <w:numPr>
          <w:ilvl w:val="0"/>
          <w:numId w:val="61"/>
        </w:numPr>
        <w:shd w:val="clear" w:color="auto" w:fill="auto"/>
        <w:tabs>
          <w:tab w:pos="373" w:val="left"/>
        </w:tabs>
        <w:bidi w:val="0"/>
        <w:spacing w:before="0" w:after="80" w:line="341" w:lineRule="exact"/>
        <w:ind w:left="0" w:right="0" w:firstLine="0"/>
        <w:jc w:val="left"/>
      </w:pPr>
      <w:bookmarkStart w:id="854" w:name="bookmark854"/>
      <w:bookmarkEnd w:id="854"/>
      <w:r>
        <w:rPr>
          <w:color w:val="000000"/>
          <w:spacing w:val="0"/>
          <w:w w:val="100"/>
          <w:position w:val="0"/>
        </w:rPr>
        <w:t>本公司将为进一步开发活动进行的资料及相关方面的准备活动作为研究阶段，无形资产研究阶段的支出在发生时计入当期 损益。</w:t>
      </w:r>
    </w:p>
    <w:p>
      <w:pPr>
        <w:pStyle w:val="Style28"/>
        <w:keepNext w:val="0"/>
        <w:keepLines w:val="0"/>
        <w:widowControl w:val="0"/>
        <w:numPr>
          <w:ilvl w:val="0"/>
          <w:numId w:val="61"/>
        </w:numPr>
        <w:shd w:val="clear" w:color="auto" w:fill="auto"/>
        <w:tabs>
          <w:tab w:pos="373" w:val="left"/>
        </w:tabs>
        <w:bidi w:val="0"/>
        <w:spacing w:before="0" w:after="0" w:line="240" w:lineRule="auto"/>
        <w:ind w:left="0" w:right="0" w:firstLine="0"/>
        <w:jc w:val="left"/>
      </w:pPr>
      <w:bookmarkStart w:id="855" w:name="bookmark855"/>
      <w:bookmarkEnd w:id="855"/>
      <w:r>
        <w:rPr>
          <w:color w:val="000000"/>
          <w:spacing w:val="0"/>
          <w:w w:val="100"/>
          <w:position w:val="0"/>
        </w:rPr>
        <w:t>在本公司已完成研究阶段的工作后再进行的开发活动作为开发阶段。</w:t>
      </w:r>
    </w:p>
    <w:p>
      <w:pPr>
        <w:pStyle w:val="Style28"/>
        <w:keepNext w:val="0"/>
        <w:keepLines w:val="0"/>
        <w:widowControl w:val="0"/>
        <w:numPr>
          <w:ilvl w:val="0"/>
          <w:numId w:val="61"/>
        </w:numPr>
        <w:shd w:val="clear" w:color="auto" w:fill="auto"/>
        <w:tabs>
          <w:tab w:pos="373" w:val="left"/>
        </w:tabs>
        <w:bidi w:val="0"/>
        <w:spacing w:before="0" w:after="80" w:line="322" w:lineRule="exact"/>
        <w:ind w:left="0" w:right="0" w:firstLine="0"/>
        <w:jc w:val="left"/>
      </w:pPr>
      <w:bookmarkStart w:id="856" w:name="bookmark856"/>
      <w:bookmarkEnd w:id="856"/>
      <w:r>
        <w:rPr>
          <w:color w:val="000000"/>
          <w:spacing w:val="0"/>
          <w:w w:val="100"/>
          <w:position w:val="0"/>
        </w:rPr>
        <w:t>开发阶段的支出同时满足下列条件时确认为无形资产：</w:t>
      </w:r>
    </w:p>
    <w:p>
      <w:pPr>
        <w:pStyle w:val="Style28"/>
        <w:keepNext w:val="0"/>
        <w:keepLines w:val="0"/>
        <w:widowControl w:val="0"/>
        <w:numPr>
          <w:ilvl w:val="0"/>
          <w:numId w:val="63"/>
        </w:numPr>
        <w:shd w:val="clear" w:color="auto" w:fill="auto"/>
        <w:tabs>
          <w:tab w:pos="363" w:val="left"/>
        </w:tabs>
        <w:bidi w:val="0"/>
        <w:spacing w:before="0" w:after="0" w:line="374" w:lineRule="auto"/>
        <w:ind w:left="0" w:right="0" w:firstLine="0"/>
        <w:jc w:val="left"/>
      </w:pPr>
      <w:bookmarkStart w:id="857" w:name="bookmark857"/>
      <w:bookmarkEnd w:id="857"/>
      <w:r>
        <w:rPr>
          <w:color w:val="000000"/>
          <w:spacing w:val="0"/>
          <w:w w:val="100"/>
          <w:position w:val="0"/>
        </w:rPr>
        <w:t>完成该无形资产以使其能够使用或出售在技术上具有可行性；</w:t>
      </w:r>
    </w:p>
    <w:p>
      <w:pPr>
        <w:pStyle w:val="Style28"/>
        <w:keepNext w:val="0"/>
        <w:keepLines w:val="0"/>
        <w:widowControl w:val="0"/>
        <w:numPr>
          <w:ilvl w:val="0"/>
          <w:numId w:val="63"/>
        </w:numPr>
        <w:shd w:val="clear" w:color="auto" w:fill="auto"/>
        <w:tabs>
          <w:tab w:pos="363" w:val="left"/>
        </w:tabs>
        <w:bidi w:val="0"/>
        <w:spacing w:before="0" w:after="0" w:line="374" w:lineRule="auto"/>
        <w:ind w:left="0" w:right="0" w:firstLine="0"/>
        <w:jc w:val="left"/>
      </w:pPr>
      <w:bookmarkStart w:id="858" w:name="bookmark858"/>
      <w:bookmarkEnd w:id="858"/>
      <w:r>
        <w:rPr>
          <w:color w:val="000000"/>
          <w:spacing w:val="0"/>
          <w:w w:val="100"/>
          <w:position w:val="0"/>
        </w:rPr>
        <w:t>具有完成该无形资产并使用或出售的意图；</w:t>
      </w:r>
    </w:p>
    <w:p>
      <w:pPr>
        <w:pStyle w:val="Style28"/>
        <w:keepNext w:val="0"/>
        <w:keepLines w:val="0"/>
        <w:widowControl w:val="0"/>
        <w:numPr>
          <w:ilvl w:val="0"/>
          <w:numId w:val="63"/>
        </w:numPr>
        <w:shd w:val="clear" w:color="auto" w:fill="auto"/>
        <w:tabs>
          <w:tab w:pos="363" w:val="left"/>
        </w:tabs>
        <w:bidi w:val="0"/>
        <w:spacing w:before="0" w:after="0" w:line="322" w:lineRule="exact"/>
        <w:ind w:left="0" w:right="0" w:firstLine="0"/>
        <w:jc w:val="left"/>
      </w:pPr>
      <w:bookmarkStart w:id="859" w:name="bookmark859"/>
      <w:bookmarkEnd w:id="859"/>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28"/>
        <w:keepNext w:val="0"/>
        <w:keepLines w:val="0"/>
        <w:widowControl w:val="0"/>
        <w:numPr>
          <w:ilvl w:val="0"/>
          <w:numId w:val="63"/>
        </w:numPr>
        <w:shd w:val="clear" w:color="auto" w:fill="auto"/>
        <w:tabs>
          <w:tab w:pos="363" w:val="left"/>
        </w:tabs>
        <w:bidi w:val="0"/>
        <w:spacing w:before="0" w:after="80" w:line="322" w:lineRule="exact"/>
        <w:ind w:left="0" w:right="0" w:firstLine="0"/>
        <w:jc w:val="left"/>
      </w:pPr>
      <w:bookmarkStart w:id="860" w:name="bookmark860"/>
      <w:bookmarkEnd w:id="860"/>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63"/>
        </w:numPr>
        <w:shd w:val="clear" w:color="auto" w:fill="auto"/>
        <w:tabs>
          <w:tab w:pos="363" w:val="left"/>
        </w:tabs>
        <w:bidi w:val="0"/>
        <w:spacing w:before="0" w:after="260" w:line="374" w:lineRule="auto"/>
        <w:ind w:left="0" w:right="0" w:firstLine="0"/>
        <w:jc w:val="left"/>
      </w:pPr>
      <w:bookmarkStart w:id="861" w:name="bookmark861"/>
      <w:bookmarkEnd w:id="861"/>
      <w:r>
        <w:rPr>
          <w:color w:val="000000"/>
          <w:spacing w:val="0"/>
          <w:w w:val="100"/>
          <w:position w:val="0"/>
        </w:rPr>
        <w:t>归属于该无形资产开发阶段的支出能够可靠地计量。</w:t>
      </w:r>
    </w:p>
    <w:p>
      <w:pPr>
        <w:pStyle w:val="Style36"/>
        <w:keepNext/>
        <w:keepLines/>
        <w:widowControl w:val="0"/>
        <w:shd w:val="clear" w:color="auto" w:fill="auto"/>
        <w:tabs>
          <w:tab w:pos="488" w:val="left"/>
        </w:tabs>
        <w:bidi w:val="0"/>
        <w:spacing w:before="0" w:after="26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862"/>
      <w:bookmarkEnd w:id="863"/>
      <w:bookmarkEnd w:id="865"/>
    </w:p>
    <w:p>
      <w:pPr>
        <w:pStyle w:val="Style28"/>
        <w:keepNext w:val="0"/>
        <w:keepLines w:val="0"/>
        <w:widowControl w:val="0"/>
        <w:shd w:val="clear" w:color="auto" w:fill="auto"/>
        <w:bidi w:val="0"/>
        <w:spacing w:before="0" w:after="680" w:line="322"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66"/>
      <w:bookmarkEnd w:id="867"/>
      <w:bookmarkEnd w:id="869"/>
    </w:p>
    <w:p>
      <w:pPr>
        <w:pStyle w:val="Style28"/>
        <w:keepNext w:val="0"/>
        <w:keepLines w:val="0"/>
        <w:widowControl w:val="0"/>
        <w:shd w:val="clear" w:color="auto" w:fill="auto"/>
        <w:bidi w:val="0"/>
        <w:spacing w:before="0" w:after="680" w:line="240" w:lineRule="auto"/>
        <w:ind w:left="0" w:right="0" w:firstLine="0"/>
        <w:jc w:val="left"/>
      </w:pPr>
      <w:r>
        <w:rPr>
          <w:color w:val="000000"/>
          <w:spacing w:val="0"/>
          <w:w w:val="100"/>
          <w:position w:val="0"/>
        </w:rPr>
        <w:t>长期待摊费用在受益期内平均摊销，其中经营租赁方式租入的固定资产改良支出，按最佳预期经济利益实现方式合理摊销。</w:t>
      </w:r>
    </w:p>
    <w:p>
      <w:pPr>
        <w:pStyle w:val="Style33"/>
        <w:keepNext/>
        <w:keepLines/>
        <w:widowControl w:val="0"/>
        <w:shd w:val="clear" w:color="auto" w:fill="auto"/>
        <w:tabs>
          <w:tab w:pos="478" w:val="left"/>
        </w:tabs>
        <w:bidi w:val="0"/>
        <w:spacing w:before="0" w:after="2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70"/>
      <w:bookmarkEnd w:id="871"/>
      <w:bookmarkEnd w:id="873"/>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74"/>
      <w:bookmarkEnd w:id="875"/>
      <w:bookmarkEnd w:id="877"/>
    </w:p>
    <w:p>
      <w:pPr>
        <w:pStyle w:val="Style36"/>
        <w:keepNext/>
        <w:keepLines/>
        <w:widowControl w:val="0"/>
        <w:shd w:val="clear" w:color="auto" w:fill="auto"/>
        <w:tabs>
          <w:tab w:pos="488" w:val="left"/>
        </w:tabs>
        <w:bidi w:val="0"/>
        <w:spacing w:before="0" w:after="26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78"/>
      <w:bookmarkEnd w:id="879"/>
      <w:bookmarkEnd w:id="88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如果与或有事项相关的义务同时符合以下条件，本公司将其确认为预计负债：</w:t>
      </w:r>
    </w:p>
    <w:p>
      <w:pPr>
        <w:pStyle w:val="Style28"/>
        <w:keepNext w:val="0"/>
        <w:keepLines w:val="0"/>
        <w:widowControl w:val="0"/>
        <w:numPr>
          <w:ilvl w:val="0"/>
          <w:numId w:val="65"/>
        </w:numPr>
        <w:shd w:val="clear" w:color="auto" w:fill="auto"/>
        <w:tabs>
          <w:tab w:pos="373" w:val="left"/>
        </w:tabs>
        <w:bidi w:val="0"/>
        <w:spacing w:before="0" w:after="0" w:line="312" w:lineRule="exact"/>
        <w:ind w:left="0" w:right="0" w:firstLine="0"/>
        <w:jc w:val="left"/>
      </w:pPr>
      <w:bookmarkStart w:id="882" w:name="bookmark882"/>
      <w:bookmarkEnd w:id="882"/>
      <w:r>
        <w:rPr>
          <w:color w:val="000000"/>
          <w:spacing w:val="0"/>
          <w:w w:val="100"/>
          <w:position w:val="0"/>
        </w:rPr>
        <w:t>该义务是本公司承担的现时义务；</w:t>
      </w:r>
    </w:p>
    <w:p>
      <w:pPr>
        <w:pStyle w:val="Style28"/>
        <w:keepNext w:val="0"/>
        <w:keepLines w:val="0"/>
        <w:widowControl w:val="0"/>
        <w:numPr>
          <w:ilvl w:val="0"/>
          <w:numId w:val="65"/>
        </w:numPr>
        <w:shd w:val="clear" w:color="auto" w:fill="auto"/>
        <w:tabs>
          <w:tab w:pos="373" w:val="left"/>
        </w:tabs>
        <w:bidi w:val="0"/>
        <w:spacing w:before="0" w:after="0" w:line="312" w:lineRule="exact"/>
        <w:ind w:left="0" w:right="0" w:firstLine="0"/>
        <w:jc w:val="left"/>
      </w:pPr>
      <w:bookmarkStart w:id="883" w:name="bookmark883"/>
      <w:bookmarkEnd w:id="883"/>
      <w:r>
        <w:rPr>
          <w:color w:val="000000"/>
          <w:spacing w:val="0"/>
          <w:w w:val="100"/>
          <w:position w:val="0"/>
        </w:rPr>
        <w:t>该义务的履行很可能导致经济利益流出本公司；</w:t>
      </w:r>
    </w:p>
    <w:p>
      <w:pPr>
        <w:pStyle w:val="Style28"/>
        <w:keepNext w:val="0"/>
        <w:keepLines w:val="0"/>
        <w:widowControl w:val="0"/>
        <w:numPr>
          <w:ilvl w:val="0"/>
          <w:numId w:val="65"/>
        </w:numPr>
        <w:shd w:val="clear" w:color="auto" w:fill="auto"/>
        <w:tabs>
          <w:tab w:pos="373" w:val="left"/>
        </w:tabs>
        <w:bidi w:val="0"/>
        <w:spacing w:before="0" w:after="360" w:line="312" w:lineRule="exact"/>
        <w:ind w:left="0" w:right="0" w:firstLine="0"/>
        <w:jc w:val="left"/>
      </w:pPr>
      <w:bookmarkStart w:id="884" w:name="bookmark884"/>
      <w:bookmarkEnd w:id="884"/>
      <w:r>
        <w:rPr>
          <w:color w:val="000000"/>
          <w:spacing w:val="0"/>
          <w:w w:val="100"/>
          <w:position w:val="0"/>
        </w:rPr>
        <w:t>该义务的金额能够可靠地计量。</w:t>
      </w:r>
    </w:p>
    <w:p>
      <w:pPr>
        <w:pStyle w:val="Style36"/>
        <w:keepNext/>
        <w:keepLines/>
        <w:widowControl w:val="0"/>
        <w:shd w:val="clear" w:color="auto" w:fill="auto"/>
        <w:tabs>
          <w:tab w:pos="488" w:val="left"/>
        </w:tabs>
        <w:bidi w:val="0"/>
        <w:spacing w:before="0" w:after="26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85"/>
      <w:bookmarkEnd w:id="886"/>
      <w:bookmarkEnd w:id="888"/>
    </w:p>
    <w:p>
      <w:pPr>
        <w:pStyle w:val="Style28"/>
        <w:keepNext w:val="0"/>
        <w:keepLines w:val="0"/>
        <w:widowControl w:val="0"/>
        <w:shd w:val="clear" w:color="auto" w:fill="auto"/>
        <w:bidi w:val="0"/>
        <w:spacing w:before="0" w:after="260" w:line="312" w:lineRule="exact"/>
        <w:ind w:left="0" w:right="0" w:firstLine="520"/>
        <w:jc w:val="both"/>
      </w:pPr>
      <w:r>
        <w:rPr>
          <w:color w:val="000000"/>
          <w:spacing w:val="0"/>
          <w:w w:val="100"/>
          <w:position w:val="0"/>
        </w:rPr>
        <w:t>预计负债按照履行相关现时义务所需支出的最佳估计数进行初始计量，并综合考虑与或事项有关的风险、不确定性和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3"/>
        <w:keepNext/>
        <w:keepLines/>
        <w:widowControl w:val="0"/>
        <w:shd w:val="clear" w:color="auto" w:fill="auto"/>
        <w:tabs>
          <w:tab w:pos="478" w:val="left"/>
        </w:tabs>
        <w:bidi w:val="0"/>
        <w:spacing w:before="0" w:after="3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889"/>
      <w:bookmarkEnd w:id="890"/>
      <w:bookmarkEnd w:id="892"/>
    </w:p>
    <w:p>
      <w:pPr>
        <w:pStyle w:val="Style36"/>
        <w:keepNext/>
        <w:keepLines/>
        <w:widowControl w:val="0"/>
        <w:shd w:val="clear" w:color="auto" w:fill="auto"/>
        <w:tabs>
          <w:tab w:pos="488" w:val="left"/>
        </w:tabs>
        <w:bidi w:val="0"/>
        <w:spacing w:before="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93"/>
      <w:bookmarkEnd w:id="894"/>
      <w:bookmarkEnd w:id="896"/>
    </w:p>
    <w:p>
      <w:pPr>
        <w:pStyle w:val="Style36"/>
        <w:keepNext/>
        <w:keepLines/>
        <w:widowControl w:val="0"/>
        <w:shd w:val="clear" w:color="auto" w:fill="auto"/>
        <w:tabs>
          <w:tab w:pos="488" w:val="left"/>
        </w:tabs>
        <w:bidi w:val="0"/>
        <w:spacing w:before="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97"/>
      <w:bookmarkEnd w:id="898"/>
      <w:bookmarkEnd w:id="900"/>
    </w:p>
    <w:p>
      <w:pPr>
        <w:pStyle w:val="Style36"/>
        <w:keepNext/>
        <w:keepLines/>
        <w:widowControl w:val="0"/>
        <w:shd w:val="clear" w:color="auto" w:fill="auto"/>
        <w:tabs>
          <w:tab w:pos="488" w:val="left"/>
        </w:tabs>
        <w:bidi w:val="0"/>
        <w:spacing w:before="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901"/>
      <w:bookmarkEnd w:id="902"/>
      <w:bookmarkEnd w:id="904"/>
    </w:p>
    <w:p>
      <w:pPr>
        <w:pStyle w:val="Style36"/>
        <w:keepNext/>
        <w:keepLines/>
        <w:widowControl w:val="0"/>
        <w:shd w:val="clear" w:color="auto" w:fill="auto"/>
        <w:tabs>
          <w:tab w:pos="488" w:val="left"/>
        </w:tabs>
        <w:bidi w:val="0"/>
        <w:spacing w:before="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05"/>
      <w:bookmarkEnd w:id="906"/>
      <w:bookmarkEnd w:id="908"/>
    </w:p>
    <w:p>
      <w:pPr>
        <w:pStyle w:val="Style33"/>
        <w:keepNext/>
        <w:keepLines/>
        <w:widowControl w:val="0"/>
        <w:shd w:val="clear" w:color="auto" w:fill="auto"/>
        <w:tabs>
          <w:tab w:pos="478"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909"/>
      <w:bookmarkEnd w:id="910"/>
      <w:bookmarkEnd w:id="912"/>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6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13"/>
      <w:bookmarkEnd w:id="914"/>
      <w:bookmarkEnd w:id="916"/>
    </w:p>
    <w:p>
      <w:pPr>
        <w:pStyle w:val="Style36"/>
        <w:keepNext/>
        <w:keepLines/>
        <w:widowControl w:val="0"/>
        <w:shd w:val="clear" w:color="auto" w:fill="auto"/>
        <w:tabs>
          <w:tab w:pos="488"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17"/>
      <w:bookmarkEnd w:id="918"/>
      <w:bookmarkEnd w:id="920"/>
    </w:p>
    <w:p>
      <w:pPr>
        <w:pStyle w:val="Style28"/>
        <w:keepNext w:val="0"/>
        <w:keepLines w:val="0"/>
        <w:widowControl w:val="0"/>
        <w:shd w:val="clear" w:color="auto" w:fill="auto"/>
        <w:bidi w:val="0"/>
        <w:spacing w:before="0" w:after="360" w:line="312" w:lineRule="exact"/>
        <w:ind w:left="0" w:right="0" w:firstLine="640"/>
        <w:jc w:val="both"/>
      </w:pPr>
      <w:r>
        <w:rPr>
          <w:color w:val="000000"/>
          <w:spacing w:val="0"/>
          <w:w w:val="100"/>
          <w:position w:val="0"/>
        </w:rPr>
        <w:t>公司已将商品所有权上的主要风险和报酬转移给购买方；公司既没有保留与所有权相联系的继续管理权，也没有对 已售出的商品实施有效控制；收入的金额能够可靠地计量；相关的经济利益很可能流入企业；相关的已发生或将发生的成本 能够可靠地计量时，确认商品销售收入实现</w:t>
      </w:r>
      <w:r>
        <w:rPr>
          <w:rFonts w:ascii="Times New Roman" w:eastAsia="Times New Roman" w:hAnsi="Times New Roman" w:cs="Times New Roman"/>
          <w:color w:val="000000"/>
          <w:spacing w:val="0"/>
          <w:w w:val="100"/>
          <w:position w:val="0"/>
        </w:rPr>
        <w:t>.</w:t>
      </w:r>
    </w:p>
    <w:p>
      <w:pPr>
        <w:pStyle w:val="Style36"/>
        <w:keepNext/>
        <w:keepLines/>
        <w:widowControl w:val="0"/>
        <w:shd w:val="clear" w:color="auto" w:fill="auto"/>
        <w:tabs>
          <w:tab w:pos="488" w:val="left"/>
        </w:tabs>
        <w:bidi w:val="0"/>
        <w:spacing w:before="0" w:after="28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21"/>
      <w:bookmarkEnd w:id="922"/>
      <w:bookmarkEnd w:id="924"/>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numPr>
          <w:ilvl w:val="0"/>
          <w:numId w:val="67"/>
        </w:numPr>
        <w:shd w:val="clear" w:color="auto" w:fill="auto"/>
        <w:tabs>
          <w:tab w:pos="813" w:val="left"/>
        </w:tabs>
        <w:bidi w:val="0"/>
        <w:spacing w:before="0" w:after="0" w:line="313" w:lineRule="exact"/>
        <w:ind w:left="0" w:right="0" w:firstLine="440"/>
        <w:jc w:val="left"/>
      </w:pPr>
      <w:bookmarkStart w:id="925" w:name="bookmark925"/>
      <w:bookmarkEnd w:id="925"/>
      <w:r>
        <w:rPr>
          <w:color w:val="000000"/>
          <w:spacing w:val="0"/>
          <w:w w:val="100"/>
          <w:position w:val="0"/>
        </w:rPr>
        <w:t>利息收入金额，按照他人使用本企业货币资金的时间和实际利率计算确定；</w:t>
      </w:r>
    </w:p>
    <w:p>
      <w:pPr>
        <w:pStyle w:val="Style28"/>
        <w:keepNext w:val="0"/>
        <w:keepLines w:val="0"/>
        <w:widowControl w:val="0"/>
        <w:numPr>
          <w:ilvl w:val="0"/>
          <w:numId w:val="67"/>
        </w:numPr>
        <w:shd w:val="clear" w:color="auto" w:fill="auto"/>
        <w:tabs>
          <w:tab w:pos="813" w:val="left"/>
        </w:tabs>
        <w:bidi w:val="0"/>
        <w:spacing w:before="0" w:after="360" w:line="313" w:lineRule="exact"/>
        <w:ind w:left="0" w:right="0" w:firstLine="440"/>
        <w:jc w:val="left"/>
      </w:pPr>
      <w:bookmarkStart w:id="926" w:name="bookmark926"/>
      <w:bookmarkEnd w:id="926"/>
      <w:r>
        <w:rPr>
          <w:color w:val="000000"/>
          <w:spacing w:val="0"/>
          <w:w w:val="100"/>
          <w:position w:val="0"/>
        </w:rPr>
        <w:t>使用费收入金额，按照有关合同或协议约定的收费时间和方法计算确定。</w:t>
      </w:r>
    </w:p>
    <w:p>
      <w:pPr>
        <w:pStyle w:val="Style36"/>
        <w:keepNext/>
        <w:keepLines/>
        <w:widowControl w:val="0"/>
        <w:shd w:val="clear" w:color="auto" w:fill="auto"/>
        <w:tabs>
          <w:tab w:pos="488"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927"/>
      <w:bookmarkEnd w:id="928"/>
      <w:bookmarkEnd w:id="930"/>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在资产负债表日提供劳务交易的结果能够可靠估计的，采用完工百分比法确认提供劳务收入。提供劳务交易的完工进 度，依据已完工作的测量确定。</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按照已收或应收的合同或协议价款确定提供劳务收入总额，但已收或应收的合同或协议价款不公允的除外。资产负债 表日按照提供劳务收入总额乘以完工进度扣除以前会计期间累计已确认提供劳务收入后的金额，确认当期提供劳务收入；同 时，按照提供劳务估计总成本乘以完工进度扣除以前会计期间累计已确认劳务成本后的金额，结转当期劳务成本。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在资产负债表日提供劳务交易结果不能够可靠估计的，分别下列情况处理：</w:t>
      </w:r>
    </w:p>
    <w:p>
      <w:pPr>
        <w:pStyle w:val="Style28"/>
        <w:keepNext w:val="0"/>
        <w:keepLines w:val="0"/>
        <w:widowControl w:val="0"/>
        <w:numPr>
          <w:ilvl w:val="0"/>
          <w:numId w:val="69"/>
        </w:numPr>
        <w:shd w:val="clear" w:color="auto" w:fill="auto"/>
        <w:tabs>
          <w:tab w:pos="656" w:val="left"/>
        </w:tabs>
        <w:bidi w:val="0"/>
        <w:spacing w:before="0" w:after="0" w:line="313" w:lineRule="exact"/>
        <w:ind w:left="0" w:right="0"/>
        <w:jc w:val="both"/>
      </w:pPr>
      <w:bookmarkStart w:id="931" w:name="bookmark931"/>
      <w:bookmarkEnd w:id="931"/>
      <w:r>
        <w:rPr>
          <w:color w:val="000000"/>
          <w:spacing w:val="0"/>
          <w:w w:val="100"/>
          <w:position w:val="0"/>
        </w:rPr>
        <w:t>已经发生的劳务成本预计能够得到补偿的，按照已经发生的劳务成本金额确认提供劳务收入，并按相同金额结转劳务 成本。</w:t>
      </w:r>
    </w:p>
    <w:p>
      <w:pPr>
        <w:pStyle w:val="Style28"/>
        <w:keepNext w:val="0"/>
        <w:keepLines w:val="0"/>
        <w:widowControl w:val="0"/>
        <w:numPr>
          <w:ilvl w:val="0"/>
          <w:numId w:val="69"/>
        </w:numPr>
        <w:shd w:val="clear" w:color="auto" w:fill="auto"/>
        <w:tabs>
          <w:tab w:pos="673" w:val="left"/>
        </w:tabs>
        <w:bidi w:val="0"/>
        <w:spacing w:before="0" w:after="360" w:line="313" w:lineRule="exact"/>
        <w:ind w:left="0" w:right="0"/>
        <w:jc w:val="both"/>
      </w:pPr>
      <w:bookmarkStart w:id="932" w:name="bookmark932"/>
      <w:bookmarkEnd w:id="932"/>
      <w:r>
        <w:rPr>
          <w:color w:val="000000"/>
          <w:spacing w:val="0"/>
          <w:w w:val="100"/>
          <w:position w:val="0"/>
        </w:rPr>
        <w:t>已经发生的劳务成本预计不能够得到补偿的，将已经发生的劳务成本计入当期损益，不确认提供劳务收入。</w:t>
      </w:r>
    </w:p>
    <w:p>
      <w:pPr>
        <w:pStyle w:val="Style36"/>
        <w:keepNext/>
        <w:keepLines/>
        <w:widowControl w:val="0"/>
        <w:shd w:val="clear" w:color="auto" w:fill="auto"/>
        <w:tabs>
          <w:tab w:pos="488"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933"/>
      <w:bookmarkEnd w:id="934"/>
      <w:bookmarkEnd w:id="936"/>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在建造合同的结果能够可靠估计的情况下，于资产负债表日根据完工百分比法确认合同收入和合同费用。完工百分比 法根据合同完工进度确认收入与费用。合同完工进度按累计实际发生的合同成本占合同预计总成本的比例确定。</w:t>
      </w:r>
    </w:p>
    <w:p>
      <w:pPr>
        <w:pStyle w:val="Style28"/>
        <w:keepNext w:val="0"/>
        <w:keepLines w:val="0"/>
        <w:widowControl w:val="0"/>
        <w:shd w:val="clear" w:color="auto" w:fill="auto"/>
        <w:bidi w:val="0"/>
        <w:spacing w:before="0" w:after="680" w:line="312" w:lineRule="exact"/>
        <w:ind w:left="0" w:right="0" w:firstLine="520"/>
        <w:jc w:val="left"/>
      </w:pPr>
      <w:r>
        <w:rPr>
          <w:color w:val="000000"/>
          <w:spacing w:val="0"/>
          <w:w w:val="100"/>
          <w:position w:val="0"/>
        </w:rPr>
        <w:t xml:space="preserve">如果建造合同的结果不能可靠地估计,但预计合同成本能够收回时，合同收入根据能够收回的实际合同成本予以确认, </w:t>
      </w:r>
      <w:r>
        <w:rPr>
          <w:color w:val="000000"/>
          <w:spacing w:val="0"/>
          <w:w w:val="100"/>
          <w:position w:val="0"/>
        </w:rPr>
        <w:t>合同成本在其发生的当期确认为合同费用；预计合同成本不可能收回时，在发生时立即确认为合同费用，不确认合同收入。 如果预计合同总成本超过合同总收入，则将预计损失确认为当期费用。</w:t>
      </w:r>
    </w:p>
    <w:p>
      <w:pPr>
        <w:pStyle w:val="Style33"/>
        <w:keepNext/>
        <w:keepLines/>
        <w:widowControl w:val="0"/>
        <w:shd w:val="clear" w:color="auto" w:fill="auto"/>
        <w:tabs>
          <w:tab w:pos="476" w:val="left"/>
        </w:tabs>
        <w:bidi w:val="0"/>
        <w:spacing w:before="0" w:after="36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37"/>
      <w:bookmarkEnd w:id="938"/>
      <w:bookmarkEnd w:id="940"/>
    </w:p>
    <w:p>
      <w:pPr>
        <w:pStyle w:val="Style36"/>
        <w:keepNext/>
        <w:keepLines/>
        <w:widowControl w:val="0"/>
        <w:shd w:val="clear" w:color="auto" w:fill="auto"/>
        <w:tabs>
          <w:tab w:pos="486" w:val="left"/>
        </w:tabs>
        <w:bidi w:val="0"/>
        <w:spacing w:before="0" w:after="28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41"/>
      <w:bookmarkEnd w:id="942"/>
      <w:bookmarkEnd w:id="944"/>
    </w:p>
    <w:p>
      <w:pPr>
        <w:pStyle w:val="Style28"/>
        <w:keepNext w:val="0"/>
        <w:keepLines w:val="0"/>
        <w:widowControl w:val="0"/>
        <w:shd w:val="clear" w:color="auto" w:fill="auto"/>
        <w:bidi w:val="0"/>
        <w:spacing w:before="0" w:after="360" w:line="307" w:lineRule="exact"/>
        <w:ind w:left="0" w:right="0" w:firstLine="660"/>
        <w:jc w:val="both"/>
      </w:pPr>
      <w:r>
        <w:rPr>
          <w:color w:val="000000"/>
          <w:spacing w:val="0"/>
          <w:w w:val="100"/>
          <w:position w:val="0"/>
        </w:rPr>
        <w:t>公司将从政府无偿取得货币性资产或非货币性资产，但不包括政府作为企业所有者投入的资本作为政府补助核算。 政府补助分为与资产相关的政府补助和与收益相关的政府补助。</w:t>
      </w:r>
    </w:p>
    <w:p>
      <w:pPr>
        <w:pStyle w:val="Style36"/>
        <w:keepNext/>
        <w:keepLines/>
        <w:widowControl w:val="0"/>
        <w:shd w:val="clear" w:color="auto" w:fill="auto"/>
        <w:tabs>
          <w:tab w:pos="486" w:val="left"/>
        </w:tabs>
        <w:bidi w:val="0"/>
        <w:spacing w:before="0" w:after="280" w:line="240" w:lineRule="auto"/>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45"/>
      <w:bookmarkEnd w:id="946"/>
      <w:bookmarkEnd w:id="948"/>
    </w:p>
    <w:p>
      <w:pPr>
        <w:pStyle w:val="Style28"/>
        <w:keepNext w:val="0"/>
        <w:keepLines w:val="0"/>
        <w:widowControl w:val="0"/>
        <w:numPr>
          <w:ilvl w:val="0"/>
          <w:numId w:val="71"/>
        </w:numPr>
        <w:shd w:val="clear" w:color="auto" w:fill="auto"/>
        <w:tabs>
          <w:tab w:pos="371" w:val="left"/>
        </w:tabs>
        <w:bidi w:val="0"/>
        <w:spacing w:before="0" w:after="0" w:line="312" w:lineRule="exact"/>
        <w:ind w:left="0" w:right="0" w:firstLine="0"/>
        <w:jc w:val="both"/>
      </w:pPr>
      <w:bookmarkStart w:id="949" w:name="bookmark949"/>
      <w:bookmarkEnd w:id="949"/>
      <w:r>
        <w:rPr>
          <w:color w:val="000000"/>
          <w:spacing w:val="0"/>
          <w:w w:val="100"/>
          <w:position w:val="0"/>
        </w:rPr>
        <w:t>政府补助为货币性资产的，按照收到或应收的金额计量；政府补助为非货币性资产的，按照公允价值计量，公允价值不能 可靠取得的，按照名义金额计量。</w:t>
      </w:r>
    </w:p>
    <w:p>
      <w:pPr>
        <w:pStyle w:val="Style28"/>
        <w:keepNext w:val="0"/>
        <w:keepLines w:val="0"/>
        <w:widowControl w:val="0"/>
        <w:numPr>
          <w:ilvl w:val="0"/>
          <w:numId w:val="71"/>
        </w:numPr>
        <w:shd w:val="clear" w:color="auto" w:fill="auto"/>
        <w:tabs>
          <w:tab w:pos="371" w:val="left"/>
        </w:tabs>
        <w:bidi w:val="0"/>
        <w:spacing w:before="0" w:after="0" w:line="312" w:lineRule="exact"/>
        <w:ind w:left="0" w:right="0" w:firstLine="0"/>
        <w:jc w:val="both"/>
      </w:pPr>
      <w:bookmarkStart w:id="950" w:name="bookmark950"/>
      <w:bookmarkEnd w:id="950"/>
      <w:r>
        <w:rPr>
          <w:color w:val="000000"/>
          <w:spacing w:val="0"/>
          <w:w w:val="100"/>
          <w:position w:val="0"/>
        </w:rPr>
        <w:t>与资产相关的政府补助，确认为递延收益，并在相关资产使用寿命内平均分配，计入当期损益。但是，以名义金额计量的 政府补助，直接计入当期损益。</w:t>
      </w:r>
    </w:p>
    <w:p>
      <w:pPr>
        <w:pStyle w:val="Style28"/>
        <w:keepNext w:val="0"/>
        <w:keepLines w:val="0"/>
        <w:widowControl w:val="0"/>
        <w:numPr>
          <w:ilvl w:val="0"/>
          <w:numId w:val="71"/>
        </w:numPr>
        <w:shd w:val="clear" w:color="auto" w:fill="auto"/>
        <w:tabs>
          <w:tab w:pos="371" w:val="left"/>
        </w:tabs>
        <w:bidi w:val="0"/>
        <w:spacing w:before="0" w:after="0" w:line="312" w:lineRule="exact"/>
        <w:ind w:left="0" w:right="0" w:firstLine="0"/>
        <w:jc w:val="both"/>
      </w:pPr>
      <w:bookmarkStart w:id="951" w:name="bookmark951"/>
      <w:bookmarkEnd w:id="951"/>
      <w:r>
        <w:rPr>
          <w:color w:val="000000"/>
          <w:spacing w:val="0"/>
          <w:w w:val="100"/>
          <w:position w:val="0"/>
        </w:rPr>
        <w:t>与收益相关的政府补助，分别下列情况处理：</w:t>
      </w:r>
    </w:p>
    <w:p>
      <w:pPr>
        <w:pStyle w:val="Style28"/>
        <w:keepNext w:val="0"/>
        <w:keepLines w:val="0"/>
        <w:widowControl w:val="0"/>
        <w:numPr>
          <w:ilvl w:val="0"/>
          <w:numId w:val="73"/>
        </w:numPr>
        <w:shd w:val="clear" w:color="auto" w:fill="auto"/>
        <w:tabs>
          <w:tab w:pos="361" w:val="left"/>
        </w:tabs>
        <w:bidi w:val="0"/>
        <w:spacing w:before="0" w:after="0" w:line="312" w:lineRule="exact"/>
        <w:ind w:left="0" w:right="0" w:firstLine="0"/>
        <w:jc w:val="left"/>
      </w:pPr>
      <w:bookmarkStart w:id="952" w:name="bookmark952"/>
      <w:bookmarkEnd w:id="952"/>
      <w:r>
        <w:rPr>
          <w:color w:val="000000"/>
          <w:spacing w:val="0"/>
          <w:w w:val="100"/>
          <w:position w:val="0"/>
        </w:rPr>
        <w:t>用于补偿公司以后期间的相关费用或损失的，确认为递延收益，并在确认相关费用的期间，计入当期损益；</w:t>
      </w:r>
    </w:p>
    <w:p>
      <w:pPr>
        <w:pStyle w:val="Style28"/>
        <w:keepNext w:val="0"/>
        <w:keepLines w:val="0"/>
        <w:widowControl w:val="0"/>
        <w:numPr>
          <w:ilvl w:val="0"/>
          <w:numId w:val="73"/>
        </w:numPr>
        <w:shd w:val="clear" w:color="auto" w:fill="auto"/>
        <w:tabs>
          <w:tab w:pos="361" w:val="left"/>
        </w:tabs>
        <w:bidi w:val="0"/>
        <w:spacing w:before="0" w:after="360" w:line="312" w:lineRule="exact"/>
        <w:ind w:left="0" w:right="0" w:firstLine="0"/>
        <w:jc w:val="left"/>
      </w:pPr>
      <w:bookmarkStart w:id="953" w:name="bookmark953"/>
      <w:bookmarkEnd w:id="953"/>
      <w:r>
        <w:rPr>
          <w:color w:val="000000"/>
          <w:spacing w:val="0"/>
          <w:w w:val="100"/>
          <w:position w:val="0"/>
        </w:rPr>
        <w:t>用于补偿公司已发生的相关费用或损失的，计入当期损益。</w:t>
      </w:r>
    </w:p>
    <w:p>
      <w:pPr>
        <w:pStyle w:val="Style33"/>
        <w:keepNext/>
        <w:keepLines/>
        <w:widowControl w:val="0"/>
        <w:shd w:val="clear" w:color="auto" w:fill="auto"/>
        <w:tabs>
          <w:tab w:pos="476" w:val="left"/>
        </w:tabs>
        <w:bidi w:val="0"/>
        <w:spacing w:before="0" w:after="36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954"/>
      <w:bookmarkEnd w:id="955"/>
      <w:bookmarkEnd w:id="957"/>
    </w:p>
    <w:p>
      <w:pPr>
        <w:pStyle w:val="Style36"/>
        <w:keepNext/>
        <w:keepLines/>
        <w:widowControl w:val="0"/>
        <w:shd w:val="clear" w:color="auto" w:fill="auto"/>
        <w:tabs>
          <w:tab w:pos="486" w:val="left"/>
        </w:tabs>
        <w:bidi w:val="0"/>
        <w:spacing w:before="0" w:after="28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58"/>
      <w:bookmarkEnd w:id="959"/>
      <w:bookmarkEnd w:id="961"/>
    </w:p>
    <w:p>
      <w:pPr>
        <w:pStyle w:val="Style28"/>
        <w:keepNext w:val="0"/>
        <w:keepLines w:val="0"/>
        <w:widowControl w:val="0"/>
        <w:numPr>
          <w:ilvl w:val="0"/>
          <w:numId w:val="75"/>
        </w:numPr>
        <w:shd w:val="clear" w:color="auto" w:fill="auto"/>
        <w:tabs>
          <w:tab w:pos="371" w:val="left"/>
        </w:tabs>
        <w:bidi w:val="0"/>
        <w:spacing w:before="0" w:after="360" w:line="313" w:lineRule="exact"/>
        <w:ind w:left="0" w:right="0" w:firstLine="0"/>
        <w:jc w:val="left"/>
      </w:pPr>
      <w:bookmarkStart w:id="962" w:name="bookmark962"/>
      <w:bookmarkEnd w:id="962"/>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可抵扣亏损和税款抵减的未来应纳税所得额为限，确认由此产生的递延所得税资产。同时具有下列特征的交易中因资产或负 债的初始确认所产生的递延所得税资产不予确认：</w:t>
      </w:r>
      <w:r>
        <w:rPr>
          <w:rFonts w:ascii="Times New Roman" w:eastAsia="Times New Roman" w:hAnsi="Times New Roman" w:cs="Times New Roman"/>
          <w:color w:val="000000"/>
          <w:spacing w:val="0"/>
          <w:w w:val="100"/>
          <w:position w:val="0"/>
        </w:rPr>
        <w:t>A.</w:t>
      </w:r>
      <w:r>
        <w:rPr>
          <w:color w:val="000000"/>
          <w:spacing w:val="0"/>
          <w:w w:val="100"/>
          <w:position w:val="0"/>
        </w:rPr>
        <w:t>该项交易不是企业合并；</w:t>
      </w:r>
      <w:r>
        <w:rPr>
          <w:rFonts w:ascii="Times New Roman" w:eastAsia="Times New Roman" w:hAnsi="Times New Roman" w:cs="Times New Roman"/>
          <w:color w:val="000000"/>
          <w:spacing w:val="0"/>
          <w:w w:val="100"/>
          <w:position w:val="0"/>
        </w:rPr>
        <w:t>B.</w:t>
      </w:r>
      <w:r>
        <w:rPr>
          <w:color w:val="000000"/>
          <w:spacing w:val="0"/>
          <w:w w:val="100"/>
          <w:position w:val="0"/>
        </w:rPr>
        <w:t>交易发生时既不影响会计利润也不影响应 纳税所得额（或可抵扣亏损）。②本公司对与子公司、联营公司及合营企业投资相关的可抵扣暂时性差异，同时满足下列条 件的，确认相应的递延所得税资产：</w:t>
      </w:r>
      <w:r>
        <w:rPr>
          <w:rFonts w:ascii="Times New Roman" w:eastAsia="Times New Roman" w:hAnsi="Times New Roman" w:cs="Times New Roman"/>
          <w:color w:val="000000"/>
          <w:spacing w:val="0"/>
          <w:w w:val="100"/>
          <w:position w:val="0"/>
        </w:rPr>
        <w:t>A.</w:t>
      </w:r>
      <w:r>
        <w:rPr>
          <w:color w:val="000000"/>
          <w:spacing w:val="0"/>
          <w:w w:val="100"/>
          <w:position w:val="0"/>
        </w:rPr>
        <w:t>暂时性差异在可预见的未来可能转回；</w:t>
      </w:r>
      <w:r>
        <w:rPr>
          <w:rFonts w:ascii="Times New Roman" w:eastAsia="Times New Roman" w:hAnsi="Times New Roman" w:cs="Times New Roman"/>
          <w:color w:val="000000"/>
          <w:spacing w:val="0"/>
          <w:w w:val="100"/>
          <w:position w:val="0"/>
        </w:rPr>
        <w:t>B.</w:t>
      </w:r>
      <w:r>
        <w:rPr>
          <w:color w:val="000000"/>
          <w:spacing w:val="0"/>
          <w:w w:val="100"/>
          <w:position w:val="0"/>
        </w:rPr>
        <w:t>未来很可能获得用来抵扣暂时性差异的应 纳税所得额。</w:t>
      </w:r>
      <w:r>
        <w:rPr>
          <w:rFonts w:ascii="Times New Roman" w:eastAsia="Times New Roman" w:hAnsi="Times New Roman" w:cs="Times New Roman"/>
          <w:color w:val="000000"/>
          <w:spacing w:val="0"/>
          <w:w w:val="100"/>
          <w:position w:val="0"/>
        </w:rPr>
        <w:t>C.</w:t>
      </w:r>
      <w:r>
        <w:rPr>
          <w:color w:val="000000"/>
          <w:spacing w:val="0"/>
          <w:w w:val="100"/>
          <w:position w:val="0"/>
        </w:rPr>
        <w:t>本公司对于能够结转以后年度的可抵扣亏损和税款抵减，以很可能获得用来抵扣可抵扣亏损和税款抵减的 未来应纳税所得额为限，确认相应的递延所得税资产。③于资产负债表日，本公司对递延所得税资产的账面价值进行复核。 如果未来期间很可能无法获得足够的应纳税所得额用以抵扣递延所得税资产的利益，减记递延所得税资产的账面价值。在很 可能获得足够的应纳税所得额时，减记的金额予以转回。</w:t>
      </w:r>
    </w:p>
    <w:p>
      <w:pPr>
        <w:pStyle w:val="Style36"/>
        <w:keepNext/>
        <w:keepLines/>
        <w:widowControl w:val="0"/>
        <w:shd w:val="clear" w:color="auto" w:fill="auto"/>
        <w:tabs>
          <w:tab w:pos="486"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63"/>
      <w:bookmarkEnd w:id="964"/>
      <w:bookmarkEnd w:id="966"/>
    </w:p>
    <w:p>
      <w:pPr>
        <w:pStyle w:val="Style28"/>
        <w:keepNext w:val="0"/>
        <w:keepLines w:val="0"/>
        <w:widowControl w:val="0"/>
        <w:shd w:val="clear" w:color="auto" w:fill="auto"/>
        <w:bidi w:val="0"/>
        <w:spacing w:before="0" w:after="0" w:line="314" w:lineRule="exact"/>
        <w:ind w:left="0" w:right="0" w:firstLine="740"/>
        <w:jc w:val="both"/>
      </w:pPr>
      <w:r>
        <w:rPr>
          <w:color w:val="000000"/>
          <w:spacing w:val="0"/>
          <w:w w:val="100"/>
          <w:position w:val="0"/>
        </w:rPr>
        <w:t>递延所得税负债应按各种应纳税暂时性差异确认，同时具有下列特征的交易中因资产或负债的初始确认所产生的递 延所得税负债不予确认：①应纳税暂时性差异是在以下交易中产生的：</w:t>
      </w:r>
      <w:r>
        <w:rPr>
          <w:rFonts w:ascii="Times New Roman" w:eastAsia="Times New Roman" w:hAnsi="Times New Roman" w:cs="Times New Roman"/>
          <w:color w:val="000000"/>
          <w:spacing w:val="0"/>
          <w:w w:val="100"/>
          <w:position w:val="0"/>
        </w:rPr>
        <w:t>A.</w:t>
      </w:r>
      <w:r>
        <w:rPr>
          <w:color w:val="000000"/>
          <w:spacing w:val="0"/>
          <w:w w:val="100"/>
          <w:position w:val="0"/>
        </w:rPr>
        <w:t>商誉的初始确认；</w:t>
      </w:r>
      <w:r>
        <w:rPr>
          <w:rFonts w:ascii="Times New Roman" w:eastAsia="Times New Roman" w:hAnsi="Times New Roman" w:cs="Times New Roman"/>
          <w:color w:val="000000"/>
          <w:spacing w:val="0"/>
          <w:w w:val="100"/>
          <w:position w:val="0"/>
        </w:rPr>
        <w:t>B.</w:t>
      </w:r>
      <w:r>
        <w:rPr>
          <w:color w:val="000000"/>
          <w:spacing w:val="0"/>
          <w:w w:val="100"/>
          <w:position w:val="0"/>
        </w:rPr>
        <w:t>具有以下特征的交易中产 生的资产或负债的初始确认:该交易不是企业合并，并且交易发生时既不影响会计利润也不影响应纳税所得额或可抵扣亏损。</w:t>
      </w:r>
    </w:p>
    <w:p>
      <w:pPr>
        <w:pStyle w:val="Style28"/>
        <w:keepNext w:val="0"/>
        <w:keepLines w:val="0"/>
        <w:widowControl w:val="0"/>
        <w:numPr>
          <w:ilvl w:val="0"/>
          <w:numId w:val="75"/>
        </w:numPr>
        <w:shd w:val="clear" w:color="auto" w:fill="auto"/>
        <w:tabs>
          <w:tab w:pos="371" w:val="left"/>
        </w:tabs>
        <w:bidi w:val="0"/>
        <w:spacing w:before="0" w:after="320" w:line="314" w:lineRule="exact"/>
        <w:ind w:left="0" w:right="0" w:firstLine="0"/>
        <w:jc w:val="both"/>
      </w:pPr>
      <w:bookmarkStart w:id="967" w:name="bookmark967"/>
      <w:bookmarkEnd w:id="967"/>
      <w:r>
        <w:rPr>
          <w:color w:val="000000"/>
          <w:spacing w:val="0"/>
          <w:w w:val="100"/>
          <w:position w:val="0"/>
        </w:rPr>
        <w:t>对于与子公司、合营企业及联营企业投资相关的应纳税暂时性差异，该暂时性差异转回的时间能够控制并且该暂时性差 异在可预见的未来很可能不会转回。</w:t>
      </w:r>
    </w:p>
    <w:p>
      <w:pPr>
        <w:pStyle w:val="Style33"/>
        <w:keepNext/>
        <w:keepLines/>
        <w:widowControl w:val="0"/>
        <w:shd w:val="clear" w:color="auto" w:fill="auto"/>
        <w:tabs>
          <w:tab w:pos="478" w:val="left"/>
        </w:tabs>
        <w:bidi w:val="0"/>
        <w:spacing w:before="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968"/>
      <w:bookmarkEnd w:id="969"/>
      <w:bookmarkEnd w:id="971"/>
    </w:p>
    <w:p>
      <w:pPr>
        <w:pStyle w:val="Style36"/>
        <w:keepNext/>
        <w:keepLines/>
        <w:widowControl w:val="0"/>
        <w:shd w:val="clear" w:color="auto" w:fill="auto"/>
        <w:tabs>
          <w:tab w:pos="488" w:val="left"/>
        </w:tabs>
        <w:bidi w:val="0"/>
        <w:spacing w:before="0" w:after="34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972"/>
      <w:bookmarkEnd w:id="973"/>
      <w:bookmarkEnd w:id="975"/>
    </w:p>
    <w:p>
      <w:pPr>
        <w:pStyle w:val="Style36"/>
        <w:keepNext/>
        <w:keepLines/>
        <w:widowControl w:val="0"/>
        <w:shd w:val="clear" w:color="auto" w:fill="auto"/>
        <w:tabs>
          <w:tab w:pos="488" w:val="left"/>
        </w:tabs>
        <w:bidi w:val="0"/>
        <w:spacing w:before="0" w:after="34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76"/>
      <w:bookmarkEnd w:id="977"/>
      <w:bookmarkEnd w:id="979"/>
    </w:p>
    <w:p>
      <w:pPr>
        <w:pStyle w:val="Style36"/>
        <w:keepNext/>
        <w:keepLines/>
        <w:widowControl w:val="0"/>
        <w:shd w:val="clear" w:color="auto" w:fill="auto"/>
        <w:tabs>
          <w:tab w:pos="488" w:val="left"/>
        </w:tabs>
        <w:bidi w:val="0"/>
        <w:spacing w:before="0" w:after="34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980"/>
      <w:bookmarkEnd w:id="981"/>
      <w:bookmarkEnd w:id="983"/>
    </w:p>
    <w:p>
      <w:pPr>
        <w:pStyle w:val="Style33"/>
        <w:keepNext/>
        <w:keepLines/>
        <w:widowControl w:val="0"/>
        <w:shd w:val="clear" w:color="auto" w:fill="auto"/>
        <w:tabs>
          <w:tab w:pos="478" w:val="left"/>
        </w:tabs>
        <w:bidi w:val="0"/>
        <w:spacing w:before="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984"/>
      <w:bookmarkEnd w:id="985"/>
      <w:bookmarkEnd w:id="987"/>
    </w:p>
    <w:p>
      <w:pPr>
        <w:pStyle w:val="Style36"/>
        <w:keepNext/>
        <w:keepLines/>
        <w:widowControl w:val="0"/>
        <w:shd w:val="clear" w:color="auto" w:fill="auto"/>
        <w:tabs>
          <w:tab w:pos="488" w:val="left"/>
        </w:tabs>
        <w:bidi w:val="0"/>
        <w:spacing w:before="0" w:after="34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88"/>
      <w:bookmarkEnd w:id="989"/>
      <w:bookmarkEnd w:id="991"/>
    </w:p>
    <w:p>
      <w:pPr>
        <w:pStyle w:val="Style36"/>
        <w:keepNext/>
        <w:keepLines/>
        <w:widowControl w:val="0"/>
        <w:shd w:val="clear" w:color="auto" w:fill="auto"/>
        <w:tabs>
          <w:tab w:pos="488" w:val="left"/>
        </w:tabs>
        <w:bidi w:val="0"/>
        <w:spacing w:before="0" w:after="34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92"/>
      <w:bookmarkEnd w:id="993"/>
      <w:bookmarkEnd w:id="995"/>
    </w:p>
    <w:p>
      <w:pPr>
        <w:pStyle w:val="Style33"/>
        <w:keepNext/>
        <w:keepLines/>
        <w:widowControl w:val="0"/>
        <w:shd w:val="clear" w:color="auto" w:fill="auto"/>
        <w:tabs>
          <w:tab w:pos="478" w:val="left"/>
        </w:tabs>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96"/>
      <w:bookmarkEnd w:id="997"/>
      <w:bookmarkEnd w:id="999"/>
    </w:p>
    <w:p>
      <w:pPr>
        <w:pStyle w:val="Style33"/>
        <w:keepNext/>
        <w:keepLines/>
        <w:widowControl w:val="0"/>
        <w:shd w:val="clear" w:color="auto" w:fill="auto"/>
        <w:tabs>
          <w:tab w:pos="478" w:val="left"/>
        </w:tabs>
        <w:bidi w:val="0"/>
        <w:spacing w:before="0" w:after="2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1000"/>
      <w:bookmarkEnd w:id="1001"/>
      <w:bookmarkEnd w:id="1003"/>
    </w:p>
    <w:p>
      <w:pPr>
        <w:pStyle w:val="Style28"/>
        <w:keepNext w:val="0"/>
        <w:keepLines w:val="0"/>
        <w:widowControl w:val="0"/>
        <w:shd w:val="clear" w:color="auto" w:fill="auto"/>
        <w:tabs>
          <w:tab w:pos="402" w:val="left"/>
        </w:tabs>
        <w:bidi w:val="0"/>
        <w:spacing w:before="0" w:after="0" w:line="313" w:lineRule="exact"/>
        <w:ind w:left="0" w:right="0" w:firstLine="0"/>
        <w:jc w:val="left"/>
      </w:pPr>
      <w:bookmarkStart w:id="1004" w:name="bookmark1004"/>
      <w:r>
        <w:rPr>
          <w:rFonts w:ascii="Times New Roman" w:eastAsia="Times New Roman" w:hAnsi="Times New Roman" w:cs="Times New Roman"/>
          <w:color w:val="000000"/>
          <w:spacing w:val="0"/>
          <w:w w:val="100"/>
          <w:position w:val="0"/>
        </w:rPr>
        <w:t>（</w:t>
      </w:r>
      <w:bookmarkEnd w:id="1004"/>
      <w:r>
        <w:rPr>
          <w:rFonts w:ascii="Times New Roman" w:eastAsia="Times New Roman" w:hAnsi="Times New Roman" w:cs="Times New Roman"/>
          <w:color w:val="000000"/>
          <w:spacing w:val="0"/>
          <w:w w:val="100"/>
          <w:position w:val="0"/>
        </w:rPr>
        <w:t>1）</w:t>
        <w:tab/>
      </w:r>
      <w:r>
        <w:rPr>
          <w:color w:val="000000"/>
          <w:spacing w:val="0"/>
          <w:w w:val="100"/>
          <w:position w:val="0"/>
        </w:rPr>
        <w:t>公司被套期项目主要是使公司面临现金流量变动风险，且被指定为被套期对象的预期商品销售、预期商品购买等项目。</w:t>
      </w:r>
    </w:p>
    <w:p>
      <w:pPr>
        <w:pStyle w:val="Style28"/>
        <w:keepNext w:val="0"/>
        <w:keepLines w:val="0"/>
        <w:widowControl w:val="0"/>
        <w:shd w:val="clear" w:color="auto" w:fill="auto"/>
        <w:tabs>
          <w:tab w:pos="402" w:val="left"/>
        </w:tabs>
        <w:bidi w:val="0"/>
        <w:spacing w:before="0" w:after="0" w:line="313" w:lineRule="exact"/>
        <w:ind w:left="0" w:right="0" w:firstLine="0"/>
        <w:jc w:val="left"/>
      </w:pPr>
      <w:bookmarkStart w:id="1005" w:name="bookmark1005"/>
      <w:r>
        <w:rPr>
          <w:rFonts w:ascii="Times New Roman" w:eastAsia="Times New Roman" w:hAnsi="Times New Roman" w:cs="Times New Roman"/>
          <w:color w:val="000000"/>
          <w:spacing w:val="0"/>
          <w:w w:val="100"/>
          <w:position w:val="0"/>
        </w:rPr>
        <w:t>（</w:t>
      </w:r>
      <w:bookmarkEnd w:id="1005"/>
      <w:r>
        <w:rPr>
          <w:rFonts w:ascii="Times New Roman" w:eastAsia="Times New Roman" w:hAnsi="Times New Roman" w:cs="Times New Roman"/>
          <w:color w:val="000000"/>
          <w:spacing w:val="0"/>
          <w:w w:val="100"/>
          <w:position w:val="0"/>
        </w:rPr>
        <w:t>2）</w:t>
        <w:tab/>
      </w:r>
      <w:r>
        <w:rPr>
          <w:color w:val="000000"/>
          <w:spacing w:val="0"/>
          <w:w w:val="100"/>
          <w:position w:val="0"/>
        </w:rPr>
        <w:t>公司套期工具是为进行套期而指定的、其现金流量变动预期可抵销被套期项目的现金流量变动的衍生工具，包括期货合 同、期权等。</w:t>
      </w:r>
    </w:p>
    <w:p>
      <w:pPr>
        <w:pStyle w:val="Style28"/>
        <w:keepNext w:val="0"/>
        <w:keepLines w:val="0"/>
        <w:widowControl w:val="0"/>
        <w:shd w:val="clear" w:color="auto" w:fill="auto"/>
        <w:tabs>
          <w:tab w:pos="402" w:val="left"/>
        </w:tabs>
        <w:bidi w:val="0"/>
        <w:spacing w:before="0" w:after="0" w:line="313" w:lineRule="exact"/>
        <w:ind w:left="0" w:right="0" w:firstLine="0"/>
        <w:jc w:val="left"/>
      </w:pPr>
      <w:bookmarkStart w:id="1006" w:name="bookmark1006"/>
      <w:r>
        <w:rPr>
          <w:rFonts w:ascii="Times New Roman" w:eastAsia="Times New Roman" w:hAnsi="Times New Roman" w:cs="Times New Roman"/>
          <w:color w:val="000000"/>
          <w:spacing w:val="0"/>
          <w:w w:val="100"/>
          <w:position w:val="0"/>
        </w:rPr>
        <w:t>（</w:t>
      </w:r>
      <w:bookmarkEnd w:id="1006"/>
      <w:r>
        <w:rPr>
          <w:rFonts w:ascii="Times New Roman" w:eastAsia="Times New Roman" w:hAnsi="Times New Roman" w:cs="Times New Roman"/>
          <w:color w:val="000000"/>
          <w:spacing w:val="0"/>
          <w:w w:val="100"/>
          <w:position w:val="0"/>
        </w:rPr>
        <w:t>3）</w:t>
        <w:tab/>
      </w:r>
      <w:r>
        <w:rPr>
          <w:color w:val="000000"/>
          <w:spacing w:val="0"/>
          <w:w w:val="100"/>
          <w:position w:val="0"/>
        </w:rPr>
        <w:t>现金流量套期同时满足下列条件的，才能运用套期会计方法进行处理：</w:t>
      </w:r>
    </w:p>
    <w:p>
      <w:pPr>
        <w:pStyle w:val="Style28"/>
        <w:keepNext w:val="0"/>
        <w:keepLines w:val="0"/>
        <w:widowControl w:val="0"/>
        <w:numPr>
          <w:ilvl w:val="0"/>
          <w:numId w:val="77"/>
        </w:numPr>
        <w:shd w:val="clear" w:color="auto" w:fill="auto"/>
        <w:tabs>
          <w:tab w:pos="373" w:val="left"/>
        </w:tabs>
        <w:bidi w:val="0"/>
        <w:spacing w:before="0" w:after="0" w:line="313" w:lineRule="exact"/>
        <w:ind w:left="0" w:right="0" w:firstLine="0"/>
        <w:jc w:val="left"/>
      </w:pPr>
      <w:bookmarkStart w:id="1007" w:name="bookmark1007"/>
      <w:bookmarkEnd w:id="1007"/>
      <w:r>
        <w:rPr>
          <w:color w:val="000000"/>
          <w:spacing w:val="0"/>
          <w:w w:val="100"/>
          <w:position w:val="0"/>
        </w:rPr>
        <w:t>在套期开始时，公司对套期关系（即套期工具和被套期项目之间的关系）有正式指定，并准备了关于套期关系、风险管理 目标和套期策略的正式书面文件。该文件载明了套期工具、被套期项目、被套期风险的性质以及套期有效性评价方法等内容。</w:t>
      </w:r>
    </w:p>
    <w:p>
      <w:pPr>
        <w:pStyle w:val="Style28"/>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套期必须与具体可辨认并被指定的风险有关，且最终影响公司的损益。</w:t>
      </w:r>
    </w:p>
    <w:p>
      <w:pPr>
        <w:pStyle w:val="Style28"/>
        <w:keepNext w:val="0"/>
        <w:keepLines w:val="0"/>
        <w:widowControl w:val="0"/>
        <w:numPr>
          <w:ilvl w:val="0"/>
          <w:numId w:val="77"/>
        </w:numPr>
        <w:shd w:val="clear" w:color="auto" w:fill="auto"/>
        <w:tabs>
          <w:tab w:pos="373" w:val="left"/>
        </w:tabs>
        <w:bidi w:val="0"/>
        <w:spacing w:before="0" w:after="0" w:line="313" w:lineRule="exact"/>
        <w:ind w:left="0" w:right="0" w:firstLine="0"/>
        <w:jc w:val="left"/>
      </w:pPr>
      <w:bookmarkStart w:id="1008" w:name="bookmark1008"/>
      <w:bookmarkEnd w:id="1008"/>
      <w:r>
        <w:rPr>
          <w:color w:val="000000"/>
          <w:spacing w:val="0"/>
          <w:w w:val="100"/>
          <w:position w:val="0"/>
        </w:rPr>
        <w:t>该套期预期高度有效，且符合公司最初为该套期关系所确定的风险管理策略。</w:t>
      </w:r>
    </w:p>
    <w:p>
      <w:pPr>
        <w:pStyle w:val="Style28"/>
        <w:keepNext w:val="0"/>
        <w:keepLines w:val="0"/>
        <w:widowControl w:val="0"/>
        <w:numPr>
          <w:ilvl w:val="0"/>
          <w:numId w:val="77"/>
        </w:numPr>
        <w:shd w:val="clear" w:color="auto" w:fill="auto"/>
        <w:tabs>
          <w:tab w:pos="373" w:val="left"/>
        </w:tabs>
        <w:bidi w:val="0"/>
        <w:spacing w:before="0" w:after="0" w:line="313" w:lineRule="exact"/>
        <w:ind w:left="0" w:right="0" w:firstLine="0"/>
        <w:jc w:val="left"/>
      </w:pPr>
      <w:bookmarkStart w:id="1009" w:name="bookmark1009"/>
      <w:bookmarkEnd w:id="1009"/>
      <w:r>
        <w:rPr>
          <w:color w:val="000000"/>
          <w:spacing w:val="0"/>
          <w:w w:val="100"/>
          <w:position w:val="0"/>
        </w:rPr>
        <w:t>对预期交易的现金流量套期，预期交易很可能发生，且必须使公司面临最终将影响损益的现金流量变动风险。</w:t>
      </w:r>
    </w:p>
    <w:p>
      <w:pPr>
        <w:pStyle w:val="Style28"/>
        <w:keepNext w:val="0"/>
        <w:keepLines w:val="0"/>
        <w:widowControl w:val="0"/>
        <w:numPr>
          <w:ilvl w:val="0"/>
          <w:numId w:val="77"/>
        </w:numPr>
        <w:shd w:val="clear" w:color="auto" w:fill="auto"/>
        <w:tabs>
          <w:tab w:pos="373" w:val="left"/>
        </w:tabs>
        <w:bidi w:val="0"/>
        <w:spacing w:before="0" w:after="0" w:line="313" w:lineRule="exact"/>
        <w:ind w:left="0" w:right="0" w:firstLine="0"/>
        <w:jc w:val="left"/>
      </w:pPr>
      <w:bookmarkStart w:id="1010" w:name="bookmark1010"/>
      <w:bookmarkEnd w:id="1010"/>
      <w:r>
        <w:rPr>
          <w:color w:val="000000"/>
          <w:spacing w:val="0"/>
          <w:w w:val="100"/>
          <w:position w:val="0"/>
        </w:rPr>
        <w:t>套期有效性能够可靠地计量。</w:t>
      </w:r>
    </w:p>
    <w:p>
      <w:pPr>
        <w:pStyle w:val="Style28"/>
        <w:keepNext w:val="0"/>
        <w:keepLines w:val="0"/>
        <w:widowControl w:val="0"/>
        <w:numPr>
          <w:ilvl w:val="0"/>
          <w:numId w:val="77"/>
        </w:numPr>
        <w:shd w:val="clear" w:color="auto" w:fill="auto"/>
        <w:tabs>
          <w:tab w:pos="373" w:val="left"/>
        </w:tabs>
        <w:bidi w:val="0"/>
        <w:spacing w:before="0" w:after="0" w:line="313" w:lineRule="exact"/>
        <w:ind w:left="0" w:right="0" w:firstLine="0"/>
        <w:jc w:val="left"/>
      </w:pPr>
      <w:bookmarkStart w:id="1011" w:name="bookmark1011"/>
      <w:bookmarkEnd w:id="1011"/>
      <w:r>
        <w:rPr>
          <w:color w:val="000000"/>
          <w:spacing w:val="0"/>
          <w:w w:val="100"/>
          <w:position w:val="0"/>
        </w:rPr>
        <w:t>公司持续地对套期有效性进行评价，并确保该套期在套期关系被指定的会计期间内高度有效。</w:t>
      </w:r>
    </w:p>
    <w:p>
      <w:pPr>
        <w:pStyle w:val="Style28"/>
        <w:keepNext w:val="0"/>
        <w:keepLines w:val="0"/>
        <w:widowControl w:val="0"/>
        <w:shd w:val="clear" w:color="auto" w:fill="auto"/>
        <w:bidi w:val="0"/>
        <w:spacing w:before="0" w:after="0" w:line="313" w:lineRule="exact"/>
        <w:ind w:left="0" w:right="0" w:firstLine="600"/>
        <w:jc w:val="left"/>
      </w:pPr>
      <w:r>
        <w:rPr>
          <w:color w:val="000000"/>
          <w:spacing w:val="0"/>
          <w:w w:val="100"/>
          <w:position w:val="0"/>
        </w:rPr>
        <w:t>对于满足上述条件的现金流量套期，按照下列规定进行会计处理：</w:t>
      </w:r>
    </w:p>
    <w:p>
      <w:pPr>
        <w:pStyle w:val="Style28"/>
        <w:keepNext w:val="0"/>
        <w:keepLines w:val="0"/>
        <w:widowControl w:val="0"/>
        <w:numPr>
          <w:ilvl w:val="0"/>
          <w:numId w:val="79"/>
        </w:numPr>
        <w:shd w:val="clear" w:color="auto" w:fill="auto"/>
        <w:tabs>
          <w:tab w:pos="373" w:val="left"/>
        </w:tabs>
        <w:bidi w:val="0"/>
        <w:spacing w:before="0" w:after="0" w:line="313" w:lineRule="exact"/>
        <w:ind w:left="0" w:right="0" w:firstLine="0"/>
        <w:jc w:val="left"/>
      </w:pPr>
      <w:bookmarkStart w:id="1012" w:name="bookmark1012"/>
      <w:bookmarkEnd w:id="1012"/>
      <w:r>
        <w:rPr>
          <w:color w:val="000000"/>
          <w:spacing w:val="0"/>
          <w:w w:val="100"/>
          <w:position w:val="0"/>
        </w:rPr>
        <w:t>套期工具利得或损失中属于有效套期的部分，直接确认为所有者权益，并单列项目反映。该有效套期部分的金额，按照套 期工具自套期开始的累计利得或损失与被套期项目自套期开始的预计未来现金流量现值的累计变动额两项的绝对额中较低 者确定。</w:t>
      </w:r>
    </w:p>
    <w:p>
      <w:pPr>
        <w:pStyle w:val="Style28"/>
        <w:keepNext w:val="0"/>
        <w:keepLines w:val="0"/>
        <w:widowControl w:val="0"/>
        <w:numPr>
          <w:ilvl w:val="0"/>
          <w:numId w:val="79"/>
        </w:numPr>
        <w:shd w:val="clear" w:color="auto" w:fill="auto"/>
        <w:tabs>
          <w:tab w:pos="373" w:val="left"/>
        </w:tabs>
        <w:bidi w:val="0"/>
        <w:spacing w:before="0" w:after="0" w:line="313" w:lineRule="exact"/>
        <w:ind w:left="0" w:right="0" w:firstLine="0"/>
        <w:jc w:val="left"/>
      </w:pPr>
      <w:bookmarkStart w:id="1013" w:name="bookmark1013"/>
      <w:bookmarkEnd w:id="1013"/>
      <w:r>
        <w:rPr>
          <w:color w:val="000000"/>
          <w:spacing w:val="0"/>
          <w:w w:val="100"/>
          <w:position w:val="0"/>
        </w:rPr>
        <w:t>套期工具利得或损失中属于无效套期的部分（即扣除直接确认为所有者权益后的其他利得或损失），计入当期损益。</w:t>
      </w:r>
    </w:p>
    <w:p>
      <w:pPr>
        <w:pStyle w:val="Style28"/>
        <w:keepNext w:val="0"/>
        <w:keepLines w:val="0"/>
        <w:widowControl w:val="0"/>
        <w:numPr>
          <w:ilvl w:val="0"/>
          <w:numId w:val="79"/>
        </w:numPr>
        <w:shd w:val="clear" w:color="auto" w:fill="auto"/>
        <w:tabs>
          <w:tab w:pos="373" w:val="left"/>
        </w:tabs>
        <w:bidi w:val="0"/>
        <w:spacing w:before="0" w:after="980" w:line="313" w:lineRule="exact"/>
        <w:ind w:left="0" w:right="0" w:firstLine="0"/>
        <w:jc w:val="left"/>
      </w:pPr>
      <w:bookmarkStart w:id="1014" w:name="bookmark1014"/>
      <w:bookmarkEnd w:id="1014"/>
      <w:r>
        <w:rPr>
          <w:color w:val="000000"/>
          <w:spacing w:val="0"/>
          <w:w w:val="100"/>
          <w:position w:val="0"/>
        </w:rPr>
        <w:t>在风险管理策略的正式书面文件中，载明了在评价套期有效性时将排除套期工具的某部分利得或损失或相关现金流量影响 的，被排除的该部分利得或损失的处理适用《企业会计准则第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w:t>
      </w:r>
    </w:p>
    <w:p>
      <w:pPr>
        <w:pStyle w:val="Style33"/>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3</w:t>
      </w:r>
      <w:r>
        <w:rPr>
          <w:color w:val="000000"/>
          <w:spacing w:val="0"/>
          <w:w w:val="100"/>
          <w:position w:val="0"/>
        </w:rPr>
        <w:t>、主要会计政策、会计估计的变更</w:t>
      </w:r>
      <w:bookmarkEnd w:id="1015"/>
      <w:bookmarkEnd w:id="1016"/>
      <w:bookmarkEnd w:id="101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本报告期主要会计政策、会计估计是否变更</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88" w:val="left"/>
        </w:tabs>
        <w:bidi w:val="0"/>
        <w:spacing w:before="0" w:after="28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019"/>
      <w:bookmarkEnd w:id="1020"/>
      <w:bookmarkEnd w:id="1022"/>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3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tabs>
          <w:tab w:pos="488" w:val="left"/>
        </w:tabs>
        <w:bidi w:val="0"/>
        <w:spacing w:before="0" w:after="28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023"/>
      <w:bookmarkEnd w:id="1024"/>
      <w:bookmarkEnd w:id="1026"/>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3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1027"/>
      <w:bookmarkEnd w:id="1028"/>
      <w:bookmarkEnd w:id="1030"/>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无</w:t>
      </w:r>
    </w:p>
    <w:p>
      <w:pPr>
        <w:pStyle w:val="Style36"/>
        <w:keepNext/>
        <w:keepLines/>
        <w:widowControl w:val="0"/>
        <w:shd w:val="clear" w:color="auto" w:fill="auto"/>
        <w:tabs>
          <w:tab w:pos="488" w:val="left"/>
        </w:tabs>
        <w:bidi w:val="0"/>
        <w:spacing w:before="0" w:after="28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031"/>
      <w:bookmarkEnd w:id="1032"/>
      <w:bookmarkEnd w:id="1034"/>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3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tabs>
          <w:tab w:pos="488" w:val="left"/>
        </w:tabs>
        <w:bidi w:val="0"/>
        <w:spacing w:before="0" w:after="28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035"/>
      <w:bookmarkEnd w:id="1036"/>
      <w:bookmarkEnd w:id="1038"/>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3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1039"/>
      <w:bookmarkEnd w:id="1040"/>
      <w:bookmarkEnd w:id="1042"/>
    </w:p>
    <w:p>
      <w:pPr>
        <w:pStyle w:val="Style28"/>
        <w:keepNext w:val="0"/>
        <w:keepLines w:val="0"/>
        <w:widowControl w:val="0"/>
        <w:shd w:val="clear" w:color="auto" w:fill="auto"/>
        <w:bidi w:val="0"/>
        <w:spacing w:before="0" w:after="340" w:line="307" w:lineRule="exact"/>
        <w:ind w:left="0" w:right="0" w:firstLine="380"/>
        <w:jc w:val="left"/>
      </w:pPr>
      <w:r>
        <w:rPr>
          <w:color w:val="000000"/>
          <w:spacing w:val="0"/>
          <w:w w:val="100"/>
          <w:position w:val="0"/>
        </w:rPr>
        <w:t>本公司其他主要会计政策、会计估计和财务报表编制方法按照企业会计准则执行，未提及的会计业务按照企业会计准则 中相关规定处理。</w:t>
      </w:r>
    </w:p>
    <w:p>
      <w:pPr>
        <w:pStyle w:val="Style31"/>
        <w:keepNext/>
        <w:keepLines/>
        <w:widowControl w:val="0"/>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sz w:val="24"/>
          <w:szCs w:val="24"/>
        </w:rPr>
        <w:t>五</w:t>
      </w:r>
      <w:bookmarkEnd w:id="1045"/>
      <w:r>
        <w:rPr>
          <w:color w:val="000000"/>
          <w:spacing w:val="0"/>
          <w:w w:val="100"/>
          <w:position w:val="0"/>
          <w:sz w:val="24"/>
          <w:szCs w:val="24"/>
        </w:rPr>
        <w:t>、税项</w:t>
      </w:r>
      <w:bookmarkEnd w:id="1043"/>
      <w:bookmarkEnd w:id="1044"/>
      <w:bookmarkEnd w:id="1046"/>
    </w:p>
    <w:p>
      <w:pPr>
        <w:pStyle w:val="Style33"/>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color w:val="000000"/>
          <w:spacing w:val="0"/>
          <w:w w:val="100"/>
          <w:position w:val="0"/>
        </w:rPr>
        <w:t>、公司主要税种和税率</w:t>
      </w:r>
      <w:bookmarkEnd w:id="1047"/>
      <w:bookmarkEnd w:id="1048"/>
      <w:bookmarkEnd w:id="1050"/>
    </w:p>
    <w:tbl>
      <w:tblPr>
        <w:tblOverlap w:val="never"/>
        <w:jc w:val="center"/>
        <w:tblLayout w:type="fixed"/>
      </w:tblPr>
      <w:tblGrid>
        <w:gridCol w:w="3528"/>
        <w:gridCol w:w="3019"/>
        <w:gridCol w:w="30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税率</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应税营业额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33"/>
        <w:keepNext/>
        <w:keepLines/>
        <w:widowControl w:val="0"/>
        <w:shd w:val="clear" w:color="auto" w:fill="auto"/>
        <w:bidi w:val="0"/>
        <w:spacing w:before="0" w:after="26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color w:val="000000"/>
          <w:spacing w:val="0"/>
          <w:w w:val="100"/>
          <w:position w:val="0"/>
        </w:rPr>
        <w:t>、税收优惠及批文</w:t>
      </w:r>
      <w:bookmarkEnd w:id="1051"/>
      <w:bookmarkEnd w:id="1052"/>
      <w:bookmarkEnd w:id="1054"/>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根据国务院《进一步鼓励软件产业和集成电路产业发展的若干政策》的通知（国发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号）和财政部、国家税务总 局、海关总署《关于鼓励软件产业和集成电路产业发展有关税收政策问题的通知》（财税</w:t>
      </w:r>
      <w:r>
        <w:rPr>
          <w:rFonts w:ascii="Times New Roman" w:eastAsia="Times New Roman" w:hAnsi="Times New Roman" w:cs="Times New Roman"/>
          <w:color w:val="000000"/>
          <w:spacing w:val="0"/>
          <w:w w:val="100"/>
          <w:position w:val="0"/>
        </w:rPr>
        <w:t>[2000]25</w:t>
      </w:r>
      <w:r>
        <w:rPr>
          <w:color w:val="000000"/>
          <w:spacing w:val="0"/>
          <w:w w:val="100"/>
          <w:position w:val="0"/>
        </w:rPr>
        <w:t>号），本公司销售其自行 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根据财政部、国家税务总局下发《关于在全国开展交通运输业和部分现代服务业营业税改征增值税试点税收政策的通 知》（财税</w:t>
      </w:r>
      <w:r>
        <w:rPr>
          <w:rFonts w:ascii="Times New Roman" w:eastAsia="Times New Roman" w:hAnsi="Times New Roman" w:cs="Times New Roman"/>
          <w:color w:val="000000"/>
          <w:spacing w:val="0"/>
          <w:w w:val="100"/>
          <w:position w:val="0"/>
        </w:rPr>
        <w:t>[2013]37</w:t>
      </w:r>
      <w:r>
        <w:rPr>
          <w:color w:val="000000"/>
          <w:spacing w:val="0"/>
          <w:w w:val="100"/>
          <w:position w:val="0"/>
        </w:rPr>
        <w:t>号），本公司、北京润和、江苏开拓、润和数码、深圳润和软件开发业务、运行维护等服务业务按照</w:t>
      </w:r>
      <w:r>
        <w:rPr>
          <w:rFonts w:ascii="Times New Roman" w:eastAsia="Times New Roman" w:hAnsi="Times New Roman" w:cs="Times New Roman"/>
          <w:color w:val="000000"/>
          <w:spacing w:val="0"/>
          <w:w w:val="100"/>
          <w:position w:val="0"/>
        </w:rPr>
        <w:t xml:space="preserve">6% </w:t>
      </w:r>
      <w:r>
        <w:rPr>
          <w:color w:val="000000"/>
          <w:spacing w:val="0"/>
          <w:w w:val="100"/>
          <w:position w:val="0"/>
        </w:rPr>
        <w:t>的法定税率征收增值税；西安润和自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月开始实行营业税（税率</w:t>
      </w:r>
      <w:r>
        <w:rPr>
          <w:rFonts w:ascii="Times New Roman" w:eastAsia="Times New Roman" w:hAnsi="Times New Roman" w:cs="Times New Roman"/>
          <w:color w:val="000000"/>
          <w:spacing w:val="0"/>
          <w:w w:val="100"/>
          <w:position w:val="0"/>
        </w:rPr>
        <w:t>5%</w:t>
      </w:r>
      <w:r>
        <w:rPr>
          <w:color w:val="000000"/>
          <w:spacing w:val="0"/>
          <w:w w:val="100"/>
          <w:position w:val="0"/>
        </w:rPr>
        <w:t>）改为增值税（税率</w:t>
      </w:r>
      <w:r>
        <w:rPr>
          <w:rFonts w:ascii="Times New Roman" w:eastAsia="Times New Roman" w:hAnsi="Times New Roman" w:cs="Times New Roman"/>
          <w:color w:val="000000"/>
          <w:spacing w:val="0"/>
          <w:w w:val="100"/>
          <w:position w:val="0"/>
        </w:rPr>
        <w:t>3%</w:t>
      </w:r>
      <w:r>
        <w:rPr>
          <w:color w:val="000000"/>
          <w:spacing w:val="0"/>
          <w:w w:val="100"/>
          <w:position w:val="0"/>
        </w:rPr>
        <w:t>），变更为小规模增值税 纳税人。</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省市开展交通运输业和部分现代服务业营业税改征增值税试点的通知》 （财税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2012]71</w:t>
      </w:r>
      <w:r>
        <w:rPr>
          <w:color w:val="000000"/>
          <w:spacing w:val="0"/>
          <w:w w:val="100"/>
          <w:position w:val="0"/>
        </w:rPr>
        <w:t>号）及《关于在全国开展交通运输业和部分现代服务业营业税改征增值税试点税收政策的通知》（财税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2013]37 </w:t>
      </w:r>
      <w:r>
        <w:rPr>
          <w:color w:val="000000"/>
          <w:spacing w:val="0"/>
          <w:w w:val="100"/>
          <w:position w:val="0"/>
        </w:rPr>
        <w:t>号）本公司、西安润和、北京润和、江苏开拓、润和数码、深圳润和、上海丝略所属从事的技术转让、技术开发业务及与之 相关的技术咨询、技术服务业务取得的收入在取得技术合同认定并经税务局备案后由原先免征营业税部分继续免征增值税。</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根据《关于印发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013-2014</w:t>
      </w:r>
      <w:r>
        <w:rPr>
          <w:color w:val="000000"/>
          <w:spacing w:val="0"/>
          <w:w w:val="100"/>
          <w:position w:val="0"/>
        </w:rPr>
        <w:t>年度国家规划布局内重点软件企业和集成电路设计企业名单的通知》（发改高技</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2013]2458 </w:t>
      </w:r>
      <w:r>
        <w:rPr>
          <w:color w:val="000000"/>
          <w:spacing w:val="0"/>
          <w:w w:val="100"/>
          <w:position w:val="0"/>
        </w:rPr>
        <w:t>号），本公司被国家发展和改革委员会、工业和信息化部、财政部、商务部和国家税务总局联合审核认定为</w:t>
      </w:r>
      <w:r>
        <w:rPr>
          <w:rFonts w:ascii="Times New Roman" w:eastAsia="Times New Roman" w:hAnsi="Times New Roman" w:cs="Times New Roman"/>
          <w:color w:val="000000"/>
          <w:spacing w:val="0"/>
          <w:w w:val="100"/>
          <w:position w:val="0"/>
        </w:rPr>
        <w:t>2013-2014</w:t>
      </w:r>
      <w:r>
        <w:rPr>
          <w:color w:val="000000"/>
          <w:spacing w:val="0"/>
          <w:w w:val="100"/>
          <w:position w:val="0"/>
        </w:rPr>
        <w:t>年度 国家规划布局内重点软件企业；根据《关于进一步鼓励软件产业和集成电路产业发展企业所得税政策的通知》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2012]27 </w:t>
      </w:r>
      <w:r>
        <w:rPr>
          <w:color w:val="000000"/>
          <w:spacing w:val="0"/>
          <w:w w:val="100"/>
          <w:position w:val="0"/>
        </w:rPr>
        <w:t>号）关于</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国家规划布局内的重点软件企业和集成电路设计企业，如当年未享受免税优惠的，可减按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 得税</w:t>
      </w:r>
      <w:r>
        <w:rPr>
          <w:rFonts w:ascii="Times New Roman" w:eastAsia="Times New Roman" w:hAnsi="Times New Roman" w:cs="Times New Roman"/>
          <w:color w:val="000000"/>
          <w:spacing w:val="0"/>
          <w:w w:val="100"/>
          <w:position w:val="0"/>
        </w:rPr>
        <w:t>”</w:t>
      </w:r>
      <w:r>
        <w:rPr>
          <w:color w:val="000000"/>
          <w:spacing w:val="0"/>
          <w:w w:val="100"/>
          <w:position w:val="0"/>
        </w:rPr>
        <w:t>的规定并经南京市雨花台区国家税务局批准，公司</w:t>
      </w:r>
      <w:r>
        <w:rPr>
          <w:rFonts w:ascii="Times New Roman" w:eastAsia="Times New Roman" w:hAnsi="Times New Roman" w:cs="Times New Roman"/>
          <w:color w:val="000000"/>
          <w:spacing w:val="0"/>
          <w:w w:val="100"/>
          <w:position w:val="0"/>
        </w:rPr>
        <w:t>2013</w:t>
      </w:r>
      <w:r>
        <w:rPr>
          <w:color w:val="000000"/>
          <w:spacing w:val="0"/>
          <w:w w:val="100"/>
          <w:position w:val="0"/>
        </w:rPr>
        <w:t>年度减按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p>
    <w:p>
      <w:pPr>
        <w:pStyle w:val="Style28"/>
        <w:keepNext w:val="0"/>
        <w:keepLines w:val="0"/>
        <w:widowControl w:val="0"/>
        <w:shd w:val="clear" w:color="auto" w:fill="auto"/>
        <w:bidi w:val="0"/>
        <w:spacing w:before="0" w:after="680" w:line="312" w:lineRule="exact"/>
        <w:ind w:left="0" w:right="0" w:firstLine="52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本公司控股子公司江苏开拓已于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日取得江苏省科学技术厅、江苏省财政厅、江苏省国家税务局、江苏省地方税 务局批准的《高新技术企业证书》（证书编号</w:t>
      </w:r>
      <w:r>
        <w:rPr>
          <w:rFonts w:ascii="Times New Roman" w:eastAsia="Times New Roman" w:hAnsi="Times New Roman" w:cs="Times New Roman"/>
          <w:color w:val="000000"/>
          <w:spacing w:val="0"/>
          <w:w w:val="100"/>
          <w:position w:val="0"/>
        </w:rPr>
        <w:t>GF201232000804</w:t>
      </w:r>
      <w:r>
        <w:rPr>
          <w:color w:val="000000"/>
          <w:spacing w:val="0"/>
          <w:w w:val="100"/>
          <w:position w:val="0"/>
        </w:rPr>
        <w:t>）</w:t>
      </w:r>
      <w:r>
        <w:rPr>
          <w:color w:val="000000"/>
          <w:spacing w:val="0"/>
          <w:w w:val="100"/>
          <w:position w:val="0"/>
        </w:rPr>
        <w:t>，有效期三年，经税务局备案，从</w:t>
      </w:r>
      <w:r>
        <w:rPr>
          <w:rFonts w:ascii="Times New Roman" w:eastAsia="Times New Roman" w:hAnsi="Times New Roman" w:cs="Times New Roman"/>
          <w:color w:val="000000"/>
          <w:spacing w:val="0"/>
          <w:w w:val="100"/>
          <w:position w:val="0"/>
        </w:rPr>
        <w:t>2012</w:t>
      </w:r>
      <w:r>
        <w:rPr>
          <w:color w:val="000000"/>
          <w:spacing w:val="0"/>
          <w:w w:val="100"/>
          <w:position w:val="0"/>
        </w:rPr>
        <w:t>年度起享受高新技 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33"/>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color w:val="000000"/>
          <w:spacing w:val="0"/>
          <w:w w:val="100"/>
          <w:position w:val="0"/>
        </w:rPr>
        <w:t>、其他说明</w:t>
      </w:r>
      <w:bookmarkEnd w:id="1055"/>
      <w:bookmarkEnd w:id="1056"/>
      <w:bookmarkEnd w:id="105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sz w:val="24"/>
          <w:szCs w:val="24"/>
        </w:rPr>
        <w:t>六</w:t>
      </w:r>
      <w:bookmarkEnd w:id="1061"/>
      <w:r>
        <w:rPr>
          <w:color w:val="000000"/>
          <w:spacing w:val="0"/>
          <w:w w:val="100"/>
          <w:position w:val="0"/>
          <w:sz w:val="24"/>
          <w:szCs w:val="24"/>
        </w:rPr>
        <w:t>、企业合并及合并财务报表</w:t>
      </w:r>
      <w:bookmarkEnd w:id="1059"/>
      <w:bookmarkEnd w:id="1060"/>
      <w:bookmarkEnd w:id="1062"/>
    </w:p>
    <w:p>
      <w:pPr>
        <w:pStyle w:val="Style33"/>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color w:val="000000"/>
          <w:spacing w:val="0"/>
          <w:w w:val="100"/>
          <w:position w:val="0"/>
        </w:rPr>
        <w:t>、子公司情况</w:t>
      </w:r>
      <w:bookmarkEnd w:id="1063"/>
      <w:bookmarkEnd w:id="1064"/>
      <w:bookmarkEnd w:id="1066"/>
    </w:p>
    <w:p>
      <w:pPr>
        <w:pStyle w:val="Style36"/>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1067"/>
      <w:bookmarkEnd w:id="1068"/>
      <w:bookmarkEnd w:id="10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287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286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东在该 子公司 年初所 有者权 益中所 享有份 额后的 余额</w:t>
            </w:r>
          </w:p>
        </w:tc>
      </w:tr>
      <w:tr>
        <w:trPr>
          <w:trHeight w:val="110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 和南京 软件外 包园投 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软件外 包园区 的投资 和管 理，实 业投 资；计 算机 软、硬 件系统 的开 发、集 成、咨 询、销 售和服 务；物 业管 理；自 建房屋 出租； 电子、 通讯产 品的研 制和销 售；房 地产项 目的策 划和咨 询；自 营和代 理各类 商品的 技术和 进出 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181,097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西安润 和软件 信息技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陕西省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万 元人民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软件研 发；软 件产品 销售及 售后综 合技术 服务； 货物与 技术的 进出口 经营； 计算机 网络系 统集 成；楼 宇智能 化系统 工程的 设计、 施工、 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HopeRu n Technol 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美国特 拉华州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6,589,8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HOPER</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UN</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SOFTW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ARE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SINGA</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PORE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PTE.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东京润 和的控 股子公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万美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482,661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南京润 和数码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动漫设 计制 作，计 算机软 件开发 服务，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通讯电 子产品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0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及相关 软硬件 产品的 技术研 发、销 售并提 供相关 配套的 售后服 务；系 统应用 管理和 维护、 信息技 术支持 管理； 自营和 代理上 述商品 及技术 的进出 口业 务；计 算机网 络系统 集成， 楼宇智 能化系 统工程 的设 计、施 工、安 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北京润 和汇智 信息技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 元人民 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 术推 广、技 术转 让、技 术咨 询、技 术服 务；计 算机系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统服 务；计 算机维 修；销 售计算 机、软 件及辅 助设 备、电 子产 品、机 械设 备、通 讯设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润和创 新信息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润和数 码的全 资子公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 元人民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 软件的 开发服 务，通 讯电子 产品及 相关软 硬件产 品的技 术研 发、销 售；经 营进出 口业务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HOPER UN MMAX DIGITA L PTE.</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润和数 码的全 资子公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万美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通过设立或投资等方式取得的子公司的其他说明</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：外包园公司系本公司于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月在南京设立的全资子公司，本公司于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月使用自有资金对外包园公司分 次增资</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万元。经上述增资后，截止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日，夕卜包园公司注册资本变更为</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：深圳润和、新加坡数码均为润和数码全资子公司，其少数股东权益合并列示。</w:t>
      </w:r>
    </w:p>
    <w:p>
      <w:pPr>
        <w:pStyle w:val="Style36"/>
        <w:keepNext/>
        <w:keepLines/>
        <w:widowControl w:val="0"/>
        <w:numPr>
          <w:ilvl w:val="0"/>
          <w:numId w:val="81"/>
        </w:numPr>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同一控制下企业合并取得的子公司</w:t>
      </w:r>
      <w:bookmarkEnd w:id="1071"/>
      <w:bookmarkEnd w:id="1072"/>
      <w:bookmarkEnd w:id="1074"/>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7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6"/>
        <w:keepNext/>
        <w:keepLines/>
        <w:widowControl w:val="0"/>
        <w:numPr>
          <w:ilvl w:val="0"/>
          <w:numId w:val="81"/>
        </w:numPr>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非同一控制下企业合并取得的子公司</w:t>
      </w:r>
      <w:bookmarkEnd w:id="1075"/>
      <w:bookmarkEnd w:id="1076"/>
      <w:bookmarkEnd w:id="107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70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株式会 社溜和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日本东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6,000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4,856,0</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束京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SRS2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515</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2,084,5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丝略软 件（上 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SRS2 </w:t>
            </w:r>
            <w:r>
              <w:rPr>
                <w:color w:val="000000"/>
                <w:spacing w:val="0"/>
                <w:w w:val="100"/>
                <w:position w:val="0"/>
              </w:rPr>
              <w:t>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万美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软件的 开发、 设计制 作及维 护服 务，系 统集成 并提供 相关领 域内的 技术开 发、技 术咨 询、技 术转 让、技 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673,149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SilkRoa d Softwar 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Service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SRS2 </w:t>
            </w:r>
            <w:r>
              <w:rPr>
                <w:color w:val="000000"/>
                <w:spacing w:val="0"/>
                <w:w w:val="100"/>
                <w:position w:val="0"/>
              </w:rPr>
              <w:t>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美国加 利福尼 亚州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 拓信息 与系统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2060.11 </w:t>
            </w:r>
            <w:r>
              <w:rPr>
                <w:color w:val="000000"/>
                <w:spacing w:val="0"/>
                <w:w w:val="100"/>
                <w:position w:val="0"/>
              </w:rPr>
              <w:t>万人民 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信息处 理系 统、信 息管理 系统、 自动控 制设备 及系 统、计 算机硬 件、软 件及集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56,464,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24,248,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09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成系 统、信 息处理 设备、 信息设 备（不 含限制 项目） 的开 发、销 售；网 络系统 与计算 机基础 设施的 施工、 安装、 维护服 务；技 术研 发、技 术转 让、技 术服 务；安 防产 品、住 宅小区 智能化 设备的 销售及 工程的 承接、 施工、 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：本公司直接拥有东京润和</w:t>
      </w:r>
      <w:r>
        <w:rPr>
          <w:rFonts w:ascii="Times New Roman" w:eastAsia="Times New Roman" w:hAnsi="Times New Roman" w:cs="Times New Roman"/>
          <w:color w:val="000000"/>
          <w:spacing w:val="0"/>
          <w:w w:val="100"/>
          <w:position w:val="0"/>
        </w:rPr>
        <w:t>91.67%</w:t>
      </w:r>
      <w:r>
        <w:rPr>
          <w:color w:val="000000"/>
          <w:spacing w:val="0"/>
          <w:w w:val="100"/>
          <w:position w:val="0"/>
        </w:rPr>
        <w:t>的股权，东京润和持有</w:t>
      </w:r>
      <w:r>
        <w:rPr>
          <w:rFonts w:ascii="Times New Roman" w:eastAsia="Times New Roman" w:hAnsi="Times New Roman" w:cs="Times New Roman"/>
          <w:color w:val="000000"/>
          <w:spacing w:val="0"/>
          <w:w w:val="100"/>
          <w:position w:val="0"/>
        </w:rPr>
        <w:t>8.33%</w:t>
      </w:r>
      <w:r>
        <w:rPr>
          <w:color w:val="000000"/>
          <w:spacing w:val="0"/>
          <w:w w:val="100"/>
          <w:position w:val="0"/>
        </w:rPr>
        <w:t>的库存股股权，该库存股股权不仅没有表决权，也没有 分红请求权和剩余财产分配请求权等其他权利，因此本公司实际拥有东京润和</w:t>
      </w:r>
      <w:r>
        <w:rPr>
          <w:rFonts w:ascii="Times New Roman" w:eastAsia="Times New Roman" w:hAnsi="Times New Roman" w:cs="Times New Roman"/>
          <w:color w:val="000000"/>
          <w:spacing w:val="0"/>
          <w:w w:val="100"/>
          <w:position w:val="0"/>
        </w:rPr>
        <w:t>100%</w:t>
      </w:r>
      <w:r>
        <w:rPr>
          <w:color w:val="000000"/>
          <w:spacing w:val="0"/>
          <w:w w:val="100"/>
          <w:position w:val="0"/>
        </w:rPr>
        <w:t>权益。</w:t>
      </w:r>
    </w:p>
    <w:p>
      <w:pPr>
        <w:pStyle w:val="Style28"/>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：美国</w:t>
      </w:r>
      <w:r>
        <w:rPr>
          <w:rFonts w:ascii="Times New Roman" w:eastAsia="Times New Roman" w:hAnsi="Times New Roman" w:cs="Times New Roman"/>
          <w:color w:val="000000"/>
          <w:spacing w:val="0"/>
          <w:w w:val="100"/>
          <w:position w:val="0"/>
        </w:rPr>
        <w:t>SRS2</w:t>
      </w:r>
      <w:r>
        <w:rPr>
          <w:color w:val="000000"/>
          <w:spacing w:val="0"/>
          <w:w w:val="100"/>
          <w:position w:val="0"/>
        </w:rPr>
        <w:t>、</w:t>
      </w:r>
      <w:r>
        <w:rPr>
          <w:color w:val="000000"/>
          <w:spacing w:val="0"/>
          <w:w w:val="100"/>
          <w:position w:val="0"/>
        </w:rPr>
        <w:t>上海丝略均为香港</w:t>
      </w:r>
      <w:r>
        <w:rPr>
          <w:rFonts w:ascii="Times New Roman" w:eastAsia="Times New Roman" w:hAnsi="Times New Roman" w:cs="Times New Roman"/>
          <w:color w:val="000000"/>
          <w:spacing w:val="0"/>
          <w:w w:val="100"/>
          <w:position w:val="0"/>
        </w:rPr>
        <w:t>SRS2</w:t>
      </w:r>
      <w:r>
        <w:rPr>
          <w:color w:val="000000"/>
          <w:spacing w:val="0"/>
          <w:w w:val="100"/>
          <w:position w:val="0"/>
        </w:rPr>
        <w:t>全资子公司，其少数股东权益合并列示。</w:t>
      </w:r>
    </w:p>
    <w:p>
      <w:pPr>
        <w:pStyle w:val="Style33"/>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color w:val="000000"/>
          <w:spacing w:val="0"/>
          <w:w w:val="100"/>
          <w:position w:val="0"/>
        </w:rPr>
        <w:t>、特殊目的主体或通过受托经营或承租等方式形成控制权的经营实体</w:t>
      </w:r>
      <w:bookmarkEnd w:id="1079"/>
      <w:bookmarkEnd w:id="1080"/>
      <w:bookmarkEnd w:id="1082"/>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95"/>
        <w:gridCol w:w="469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特殊目的主体或通过受托经营或承租等方式形成控制权的经营实体的其他说明</w:t>
      </w:r>
    </w:p>
    <w:p>
      <w:pPr>
        <w:pStyle w:val="Style33"/>
        <w:keepNext/>
        <w:keepLines/>
        <w:widowControl w:val="0"/>
        <w:shd w:val="clear" w:color="auto" w:fill="auto"/>
        <w:tabs>
          <w:tab w:pos="405" w:val="left"/>
        </w:tabs>
        <w:bidi w:val="0"/>
        <w:spacing w:before="0" w:after="26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color w:val="000000"/>
          <w:spacing w:val="0"/>
          <w:w w:val="100"/>
          <w:position w:val="0"/>
        </w:rPr>
        <w:t>、</w:t>
        <w:tab/>
        <w:t>合并范围发生变更的说明</w:t>
      </w:r>
      <w:bookmarkEnd w:id="1083"/>
      <w:bookmarkEnd w:id="1084"/>
      <w:bookmarkEnd w:id="1086"/>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合并报表范围发生变更说明</w:t>
      </w:r>
    </w:p>
    <w:p>
      <w:pPr>
        <w:pStyle w:val="Style28"/>
        <w:keepNext w:val="0"/>
        <w:keepLines w:val="0"/>
        <w:widowControl w:val="0"/>
        <w:numPr>
          <w:ilvl w:val="0"/>
          <w:numId w:val="83"/>
        </w:numPr>
        <w:shd w:val="clear" w:color="auto" w:fill="auto"/>
        <w:tabs>
          <w:tab w:pos="541" w:val="left"/>
        </w:tabs>
        <w:bidi w:val="0"/>
        <w:spacing w:before="0" w:after="0" w:line="312" w:lineRule="exact"/>
        <w:ind w:left="0" w:right="0" w:firstLine="0"/>
        <w:jc w:val="both"/>
      </w:pPr>
      <w:bookmarkStart w:id="1087" w:name="bookmark1087"/>
      <w:bookmarkEnd w:id="1087"/>
      <w:r>
        <w:rPr>
          <w:color w:val="000000"/>
          <w:spacing w:val="0"/>
          <w:w w:val="100"/>
          <w:position w:val="0"/>
        </w:rPr>
        <w:t>北京润和系本公司于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月在北京设立的全资子公司，注册资本为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万元人民币，由本公司使用自有资金一次缴 足。北京润和于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日取得北京市工商行政管理局海淀分局核准登记，并取得注册号为</w:t>
      </w:r>
      <w:r>
        <w:rPr>
          <w:rFonts w:ascii="Times New Roman" w:eastAsia="Times New Roman" w:hAnsi="Times New Roman" w:cs="Times New Roman"/>
          <w:color w:val="000000"/>
          <w:spacing w:val="0"/>
          <w:w w:val="100"/>
          <w:position w:val="0"/>
        </w:rPr>
        <w:t>110108015883146</w:t>
      </w:r>
      <w:r>
        <w:rPr>
          <w:color w:val="000000"/>
          <w:spacing w:val="0"/>
          <w:w w:val="100"/>
          <w:position w:val="0"/>
        </w:rPr>
        <w:t>的《企业法 人营业执照》。</w:t>
      </w:r>
      <w:r>
        <w:rPr>
          <w:rFonts w:ascii="Times New Roman" w:eastAsia="Times New Roman" w:hAnsi="Times New Roman" w:cs="Times New Roman"/>
          <w:color w:val="000000"/>
          <w:spacing w:val="0"/>
          <w:w w:val="100"/>
          <w:position w:val="0"/>
        </w:rPr>
        <w:t>2013</w:t>
      </w:r>
      <w:r>
        <w:rPr>
          <w:color w:val="000000"/>
          <w:spacing w:val="0"/>
          <w:w w:val="100"/>
          <w:position w:val="0"/>
        </w:rPr>
        <w:t>年本公司对北京润和的合并期间为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w:t>
      </w:r>
    </w:p>
    <w:p>
      <w:pPr>
        <w:pStyle w:val="Style28"/>
        <w:keepNext w:val="0"/>
        <w:keepLines w:val="0"/>
        <w:widowControl w:val="0"/>
        <w:numPr>
          <w:ilvl w:val="0"/>
          <w:numId w:val="83"/>
        </w:numPr>
        <w:shd w:val="clear" w:color="auto" w:fill="auto"/>
        <w:tabs>
          <w:tab w:pos="546" w:val="left"/>
        </w:tabs>
        <w:bidi w:val="0"/>
        <w:spacing w:before="0" w:after="0" w:line="312" w:lineRule="exact"/>
        <w:ind w:left="0" w:right="0" w:firstLine="0"/>
        <w:jc w:val="both"/>
      </w:pPr>
      <w:bookmarkStart w:id="1088" w:name="bookmark1088"/>
      <w:bookmarkEnd w:id="1088"/>
      <w:r>
        <w:rPr>
          <w:color w:val="000000"/>
          <w:spacing w:val="0"/>
          <w:w w:val="100"/>
          <w:position w:val="0"/>
        </w:rPr>
        <w:t>深圳润和系本公司控股子公司润和数码于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月在深圳设立的全资子公司，注册资本为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万元人民币，由润和数 码一次缴足。深圳润和于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日取得深圳市市场监督管理局核准登记，并取得注册号为</w:t>
      </w:r>
      <w:r>
        <w:rPr>
          <w:rFonts w:ascii="Times New Roman" w:eastAsia="Times New Roman" w:hAnsi="Times New Roman" w:cs="Times New Roman"/>
          <w:color w:val="000000"/>
          <w:spacing w:val="0"/>
          <w:w w:val="100"/>
          <w:position w:val="0"/>
        </w:rPr>
        <w:t>440301107379854</w:t>
      </w:r>
      <w:r>
        <w:rPr>
          <w:color w:val="000000"/>
          <w:spacing w:val="0"/>
          <w:w w:val="100"/>
          <w:position w:val="0"/>
        </w:rPr>
        <w:t>的《企业法 人营业执照》。</w:t>
      </w:r>
      <w:r>
        <w:rPr>
          <w:rFonts w:ascii="Times New Roman" w:eastAsia="Times New Roman" w:hAnsi="Times New Roman" w:cs="Times New Roman"/>
          <w:color w:val="000000"/>
          <w:spacing w:val="0"/>
          <w:w w:val="100"/>
          <w:position w:val="0"/>
        </w:rPr>
        <w:t>2013</w:t>
      </w:r>
      <w:r>
        <w:rPr>
          <w:color w:val="000000"/>
          <w:spacing w:val="0"/>
          <w:w w:val="100"/>
          <w:position w:val="0"/>
        </w:rPr>
        <w:t>年本公司对深圳润和的合并期间为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w:t>
      </w:r>
    </w:p>
    <w:p>
      <w:pPr>
        <w:pStyle w:val="Style28"/>
        <w:keepNext w:val="0"/>
        <w:keepLines w:val="0"/>
        <w:widowControl w:val="0"/>
        <w:numPr>
          <w:ilvl w:val="0"/>
          <w:numId w:val="83"/>
        </w:numPr>
        <w:shd w:val="clear" w:color="auto" w:fill="auto"/>
        <w:tabs>
          <w:tab w:pos="546" w:val="left"/>
        </w:tabs>
        <w:bidi w:val="0"/>
        <w:spacing w:before="0" w:after="0" w:line="312" w:lineRule="exact"/>
        <w:ind w:left="0" w:right="0" w:firstLine="0"/>
        <w:jc w:val="both"/>
      </w:pPr>
      <w:bookmarkStart w:id="1089" w:name="bookmark1089"/>
      <w:bookmarkEnd w:id="1089"/>
      <w:r>
        <w:rPr>
          <w:color w:val="000000"/>
          <w:spacing w:val="0"/>
          <w:w w:val="100"/>
          <w:position w:val="0"/>
        </w:rPr>
        <w:t>新加坡数码系本公司控股子公司润和数码于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月在新加坡设立的全资子公司，注册资本为</w:t>
      </w:r>
      <w:r>
        <w:rPr>
          <w:rFonts w:ascii="Times New Roman" w:eastAsia="Times New Roman" w:hAnsi="Times New Roman" w:cs="Times New Roman"/>
          <w:color w:val="000000"/>
          <w:spacing w:val="0"/>
          <w:w w:val="100"/>
          <w:position w:val="0"/>
        </w:rPr>
        <w:t>20</w:t>
      </w:r>
      <w:r>
        <w:rPr>
          <w:color w:val="000000"/>
          <w:spacing w:val="0"/>
          <w:w w:val="100"/>
          <w:position w:val="0"/>
        </w:rPr>
        <w:t>万元美元，由润和数 码一次缴足。新加坡数码于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日取得新加坡商业注册局核准登记，注册号为</w:t>
      </w:r>
      <w:r>
        <w:rPr>
          <w:rFonts w:ascii="Times New Roman" w:eastAsia="Times New Roman" w:hAnsi="Times New Roman" w:cs="Times New Roman"/>
          <w:color w:val="000000"/>
          <w:spacing w:val="0"/>
          <w:w w:val="100"/>
          <w:position w:val="0"/>
        </w:rPr>
        <w:t>201317200R</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年本公司对新加坡 数码的合并期间为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6-12</w:t>
      </w:r>
      <w:r>
        <w:rPr>
          <w:color w:val="000000"/>
          <w:spacing w:val="0"/>
          <w:w w:val="100"/>
          <w:position w:val="0"/>
        </w:rPr>
        <w:t>月。</w:t>
      </w:r>
    </w:p>
    <w:p>
      <w:pPr>
        <w:pStyle w:val="Style28"/>
        <w:keepNext w:val="0"/>
        <w:keepLines w:val="0"/>
        <w:widowControl w:val="0"/>
        <w:numPr>
          <w:ilvl w:val="0"/>
          <w:numId w:val="83"/>
        </w:numPr>
        <w:shd w:val="clear" w:color="auto" w:fill="auto"/>
        <w:tabs>
          <w:tab w:pos="541" w:val="left"/>
        </w:tabs>
        <w:bidi w:val="0"/>
        <w:spacing w:before="0" w:after="100" w:line="312" w:lineRule="exact"/>
        <w:ind w:left="0" w:right="0" w:firstLine="0"/>
        <w:jc w:val="both"/>
      </w:pPr>
      <w:bookmarkStart w:id="1090" w:name="bookmark1090"/>
      <w:bookmarkEnd w:id="1090"/>
      <w:r>
        <w:rPr>
          <w:color w:val="000000"/>
          <w:spacing w:val="0"/>
          <w:w w:val="100"/>
          <w:position w:val="0"/>
        </w:rPr>
        <w:t>江苏开拓系</w:t>
      </w:r>
      <w:r>
        <w:rPr>
          <w:rFonts w:ascii="Times New Roman" w:eastAsia="Times New Roman" w:hAnsi="Times New Roman" w:cs="Times New Roman"/>
          <w:color w:val="000000"/>
          <w:spacing w:val="0"/>
          <w:w w:val="100"/>
          <w:position w:val="0"/>
        </w:rPr>
        <w:t>1996</w:t>
      </w:r>
      <w:r>
        <w:rPr>
          <w:color w:val="000000"/>
          <w:spacing w:val="0"/>
          <w:w w:val="100"/>
          <w:position w:val="0"/>
        </w:rPr>
        <w:t>年设立的有限公司，设立时注册资本为人民币</w:t>
      </w:r>
      <w:r>
        <w:rPr>
          <w:rFonts w:ascii="Times New Roman" w:eastAsia="Times New Roman" w:hAnsi="Times New Roman" w:cs="Times New Roman"/>
          <w:color w:val="000000"/>
          <w:spacing w:val="0"/>
          <w:w w:val="100"/>
          <w:position w:val="0"/>
        </w:rPr>
        <w:t>200</w:t>
      </w:r>
      <w:r>
        <w:rPr>
          <w:color w:val="000000"/>
          <w:spacing w:val="0"/>
          <w:w w:val="100"/>
          <w:position w:val="0"/>
        </w:rPr>
        <w:t>万元。经过多次增资及股权转让，截止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日，江苏开拓注册资本及实收资本变更为为</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年，本公司通过非同一控制下控股合并江苏开拓，购买日确定 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年本公司对江苏开拓的合并期间为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9-12</w:t>
      </w:r>
      <w:r>
        <w:rPr>
          <w:color w:val="000000"/>
          <w:spacing w:val="0"/>
          <w:w w:val="100"/>
          <w:position w:val="0"/>
        </w:rPr>
        <w:t>月。</w:t>
      </w:r>
    </w:p>
    <w:p>
      <w:pPr>
        <w:pStyle w:val="Style28"/>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tabs>
          <w:tab w:pos="405" w:val="left"/>
        </w:tabs>
        <w:bidi w:val="0"/>
        <w:spacing w:before="0" w:after="26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w:t>
      </w:r>
      <w:bookmarkEnd w:id="1093"/>
      <w:r>
        <w:rPr>
          <w:color w:val="000000"/>
          <w:spacing w:val="0"/>
          <w:w w:val="100"/>
          <w:position w:val="0"/>
        </w:rPr>
        <w:t>、</w:t>
        <w:tab/>
        <w:t>报告期内新纳入合并范围的主体和报告期内不再纳入合并范围的主体</w:t>
      </w:r>
      <w:bookmarkEnd w:id="1091"/>
      <w:bookmarkEnd w:id="1092"/>
      <w:bookmarkEnd w:id="1094"/>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本期新纳入合并范围的子公司、特殊目的主体、通过受托经营或承租等方式形成控制权的经营实体</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4,678,661.47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-321,338.53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深圳市润和创新信息科技有限公司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4,722,887.02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-277,112.98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MMAX DIGITAL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-1,583,276.90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73,147,981.09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5,970,608.75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新纳入合并范围的主体和不再纳入合并范围的主体的其他说明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注：江苏开拓购买日为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日，因此</w:t>
      </w:r>
      <w:r>
        <w:rPr>
          <w:rFonts w:ascii="Times New Roman" w:eastAsia="Times New Roman" w:hAnsi="Times New Roman" w:cs="Times New Roman"/>
          <w:color w:val="000000"/>
          <w:spacing w:val="0"/>
          <w:w w:val="100"/>
          <w:position w:val="0"/>
        </w:rPr>
        <w:t>2 013</w:t>
      </w:r>
      <w:r>
        <w:rPr>
          <w:color w:val="000000"/>
          <w:spacing w:val="0"/>
          <w:w w:val="100"/>
          <w:position w:val="0"/>
        </w:rPr>
        <w:t>年合并的净利润为</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33"/>
        <w:keepNext/>
        <w:keepLines/>
        <w:widowControl w:val="0"/>
        <w:shd w:val="clear" w:color="auto" w:fill="auto"/>
        <w:bidi w:val="0"/>
        <w:spacing w:before="0" w:after="360" w:line="240"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5</w:t>
      </w:r>
      <w:bookmarkEnd w:id="1097"/>
      <w:r>
        <w:rPr>
          <w:color w:val="000000"/>
          <w:spacing w:val="0"/>
          <w:w w:val="100"/>
          <w:position w:val="0"/>
        </w:rPr>
        <w:t>、报告期内发生的同一控制下企业合并</w:t>
      </w:r>
      <w:bookmarkEnd w:id="1095"/>
      <w:bookmarkEnd w:id="1096"/>
      <w:bookmarkEnd w:id="109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00"/>
        <w:gridCol w:w="1555"/>
        <w:gridCol w:w="1555"/>
        <w:gridCol w:w="1555"/>
        <w:gridCol w:w="1555"/>
        <w:gridCol w:w="156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合并本期至合并日 的经营活动现金流</w:t>
            </w:r>
          </w:p>
        </w:tc>
      </w:tr>
    </w:tbl>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同一控制下企业合并的其他说明</w:t>
      </w:r>
    </w:p>
    <w:p>
      <w:pPr>
        <w:pStyle w:val="Style33"/>
        <w:keepNext/>
        <w:keepLines/>
        <w:widowControl w:val="0"/>
        <w:shd w:val="clear" w:color="auto" w:fill="auto"/>
        <w:bidi w:val="0"/>
        <w:spacing w:before="0" w:line="240" w:lineRule="auto"/>
        <w:ind w:left="0" w:right="0" w:firstLine="0"/>
        <w:jc w:val="both"/>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6</w:t>
      </w:r>
      <w:bookmarkEnd w:id="1101"/>
      <w:r>
        <w:rPr>
          <w:color w:val="000000"/>
          <w:spacing w:val="0"/>
          <w:w w:val="100"/>
          <w:position w:val="0"/>
        </w:rPr>
        <w:t>、报告期内发生的非同一控制下企业合并</w:t>
      </w:r>
      <w:bookmarkEnd w:id="1099"/>
      <w:bookmarkEnd w:id="1100"/>
      <w:bookmarkEnd w:id="110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29"/>
        <w:gridCol w:w="387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11,556,641.86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合并对价</w:t>
            </w:r>
            <w:r>
              <w:rPr>
                <w:rFonts w:ascii="Times New Roman" w:eastAsia="Times New Roman" w:hAnsi="Times New Roman" w:cs="Times New Roman"/>
                <w:color w:val="000000"/>
                <w:spacing w:val="0"/>
                <w:w w:val="100"/>
                <w:position w:val="0"/>
              </w:rPr>
              <w:t>56,464,600.00</w:t>
            </w:r>
            <w:r>
              <w:rPr>
                <w:color w:val="000000"/>
                <w:spacing w:val="0"/>
                <w:w w:val="100"/>
                <w:position w:val="0"/>
              </w:rPr>
              <w:t>元大于合并日取得可辨认 净资产公允价值的份额</w:t>
            </w:r>
            <w:r>
              <w:rPr>
                <w:rFonts w:ascii="Times New Roman" w:eastAsia="Times New Roman" w:hAnsi="Times New Roman" w:cs="Times New Roman"/>
                <w:color w:val="000000"/>
                <w:spacing w:val="0"/>
                <w:w w:val="100"/>
                <w:position w:val="0"/>
              </w:rPr>
              <w:t>44,907,958.14</w:t>
            </w:r>
            <w:r>
              <w:rPr>
                <w:color w:val="000000"/>
                <w:spacing w:val="0"/>
                <w:w w:val="100"/>
                <w:position w:val="0"/>
              </w:rPr>
              <w:t xml:space="preserve">元的差额 </w:t>
            </w:r>
            <w:r>
              <w:rPr>
                <w:rFonts w:ascii="Times New Roman" w:eastAsia="Times New Roman" w:hAnsi="Times New Roman" w:cs="Times New Roman"/>
                <w:color w:val="000000"/>
                <w:spacing w:val="0"/>
                <w:w w:val="100"/>
                <w:position w:val="0"/>
              </w:rPr>
              <w:t>11,556,641.86</w:t>
            </w:r>
            <w:r>
              <w:rPr>
                <w:color w:val="000000"/>
                <w:spacing w:val="0"/>
                <w:w w:val="100"/>
                <w:position w:val="0"/>
              </w:rPr>
              <w:t>元，计入合并财务报表的商誉。</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非同一控制下企业合并的其他说明</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）购买日的确定</w:t>
      </w:r>
    </w:p>
    <w:p>
      <w:pPr>
        <w:pStyle w:val="Style28"/>
        <w:keepNext w:val="0"/>
        <w:keepLines w:val="0"/>
        <w:widowControl w:val="0"/>
        <w:shd w:val="clear" w:color="auto" w:fill="auto"/>
        <w:bidi w:val="0"/>
        <w:spacing w:before="0" w:after="0" w:line="314" w:lineRule="exact"/>
        <w:ind w:left="0" w:right="0" w:firstLine="5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日，本公司与孙旭初、陈华及江苏开拓信息与系统有限公司签订《关于对江苏开拓信息与系统有限公司 增资并收购股权之协议》，协议约定本公司以收购加增资的方式获得江苏开拓</w:t>
      </w:r>
      <w:r>
        <w:rPr>
          <w:rFonts w:ascii="Times New Roman" w:eastAsia="Times New Roman" w:hAnsi="Times New Roman" w:cs="Times New Roman"/>
          <w:color w:val="000000"/>
          <w:spacing w:val="0"/>
          <w:w w:val="100"/>
          <w:position w:val="0"/>
        </w:rPr>
        <w:t>66.85%</w:t>
      </w:r>
      <w:r>
        <w:rPr>
          <w:color w:val="000000"/>
          <w:spacing w:val="0"/>
          <w:w w:val="100"/>
          <w:position w:val="0"/>
        </w:rPr>
        <w:t>的股权，具体方式为：①收购，本公 司以</w:t>
      </w:r>
      <w:r>
        <w:rPr>
          <w:rFonts w:ascii="Times New Roman" w:eastAsia="Times New Roman" w:hAnsi="Times New Roman" w:cs="Times New Roman"/>
          <w:color w:val="000000"/>
          <w:spacing w:val="0"/>
          <w:w w:val="100"/>
          <w:position w:val="0"/>
        </w:rPr>
        <w:t>1,300</w:t>
      </w:r>
      <w:r>
        <w:rPr>
          <w:color w:val="000000"/>
          <w:spacing w:val="0"/>
          <w:w w:val="100"/>
          <w:position w:val="0"/>
        </w:rPr>
        <w:t>万元用于收购江苏开拓原股东孙旭初、陈华持有的</w:t>
      </w:r>
      <w:r>
        <w:rPr>
          <w:rFonts w:ascii="Times New Roman" w:eastAsia="Times New Roman" w:hAnsi="Times New Roman" w:cs="Times New Roman"/>
          <w:color w:val="000000"/>
          <w:spacing w:val="0"/>
          <w:w w:val="100"/>
          <w:position w:val="0"/>
        </w:rPr>
        <w:t>31.71%</w:t>
      </w:r>
      <w:r>
        <w:rPr>
          <w:color w:val="000000"/>
          <w:spacing w:val="0"/>
          <w:w w:val="100"/>
          <w:position w:val="0"/>
        </w:rPr>
        <w:t>股权；②增资，本公司以</w:t>
      </w:r>
      <w:r>
        <w:rPr>
          <w:rFonts w:ascii="Times New Roman" w:eastAsia="Times New Roman" w:hAnsi="Times New Roman" w:cs="Times New Roman"/>
          <w:color w:val="000000"/>
          <w:spacing w:val="0"/>
          <w:w w:val="100"/>
          <w:position w:val="0"/>
        </w:rPr>
        <w:t>4,346.46</w:t>
      </w:r>
      <w:r>
        <w:rPr>
          <w:color w:val="000000"/>
          <w:spacing w:val="0"/>
          <w:w w:val="100"/>
          <w:position w:val="0"/>
        </w:rPr>
        <w:t>万元用于对江苏开拓增 资，其中</w:t>
      </w:r>
      <w:r>
        <w:rPr>
          <w:rFonts w:ascii="Times New Roman" w:eastAsia="Times New Roman" w:hAnsi="Times New Roman" w:cs="Times New Roman"/>
          <w:color w:val="000000"/>
          <w:spacing w:val="0"/>
          <w:w w:val="100"/>
          <w:position w:val="0"/>
        </w:rPr>
        <w:t>1,060.11</w:t>
      </w:r>
      <w:r>
        <w:rPr>
          <w:color w:val="000000"/>
          <w:spacing w:val="0"/>
          <w:w w:val="100"/>
          <w:position w:val="0"/>
        </w:rPr>
        <w:t>万元作为注册资本，</w:t>
      </w:r>
      <w:r>
        <w:rPr>
          <w:rFonts w:ascii="Times New Roman" w:eastAsia="Times New Roman" w:hAnsi="Times New Roman" w:cs="Times New Roman"/>
          <w:color w:val="000000"/>
          <w:spacing w:val="0"/>
          <w:w w:val="100"/>
          <w:position w:val="0"/>
        </w:rPr>
        <w:t>3,286.35</w:t>
      </w:r>
      <w:r>
        <w:rPr>
          <w:color w:val="000000"/>
          <w:spacing w:val="0"/>
          <w:w w:val="100"/>
          <w:position w:val="0"/>
        </w:rPr>
        <w:t>万元计入资本公积，交易总价合计</w:t>
      </w:r>
      <w:r>
        <w:rPr>
          <w:rFonts w:ascii="Times New Roman" w:eastAsia="Times New Roman" w:hAnsi="Times New Roman" w:cs="Times New Roman"/>
          <w:color w:val="000000"/>
          <w:spacing w:val="0"/>
          <w:w w:val="100"/>
          <w:position w:val="0"/>
        </w:rPr>
        <w:t>5,646.46</w:t>
      </w:r>
      <w:r>
        <w:rPr>
          <w:color w:val="000000"/>
          <w:spacing w:val="0"/>
          <w:w w:val="100"/>
          <w:position w:val="0"/>
        </w:rPr>
        <w:t>万元，全部使用超募资金。上述股 权收购及增资完成后，本公司持有江苏开拓</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,377.18</w:t>
      </w:r>
      <w:r>
        <w:rPr>
          <w:color w:val="000000"/>
          <w:spacing w:val="0"/>
          <w:w w:val="100"/>
          <w:position w:val="0"/>
        </w:rPr>
        <w:t>万元股权，持股比例</w:t>
      </w:r>
      <w:r>
        <w:rPr>
          <w:rFonts w:ascii="Times New Roman" w:eastAsia="Times New Roman" w:hAnsi="Times New Roman" w:cs="Times New Roman"/>
          <w:color w:val="000000"/>
          <w:spacing w:val="0"/>
          <w:w w:val="100"/>
          <w:position w:val="0"/>
        </w:rPr>
        <w:t>66.85%</w:t>
      </w:r>
      <w:r>
        <w:rPr>
          <w:color w:val="000000"/>
          <w:spacing w:val="0"/>
          <w:w w:val="100"/>
          <w:position w:val="0"/>
        </w:rPr>
        <w:t>；孙旭初持有江苏开拓</w:t>
      </w:r>
      <w:r>
        <w:rPr>
          <w:rFonts w:ascii="Times New Roman" w:eastAsia="Times New Roman" w:hAnsi="Times New Roman" w:cs="Times New Roman"/>
          <w:color w:val="000000"/>
          <w:spacing w:val="0"/>
          <w:w w:val="100"/>
          <w:position w:val="0"/>
        </w:rPr>
        <w:t>560.00</w:t>
      </w:r>
      <w:r>
        <w:rPr>
          <w:color w:val="000000"/>
          <w:spacing w:val="0"/>
          <w:w w:val="100"/>
          <w:position w:val="0"/>
        </w:rPr>
        <w:t>万元股权，持 股比例</w:t>
      </w:r>
      <w:r>
        <w:rPr>
          <w:rFonts w:ascii="Times New Roman" w:eastAsia="Times New Roman" w:hAnsi="Times New Roman" w:cs="Times New Roman"/>
          <w:color w:val="000000"/>
          <w:spacing w:val="0"/>
          <w:w w:val="100"/>
          <w:position w:val="0"/>
        </w:rPr>
        <w:t>27.18%</w:t>
      </w:r>
      <w:r>
        <w:rPr>
          <w:color w:val="000000"/>
          <w:spacing w:val="0"/>
          <w:w w:val="100"/>
          <w:position w:val="0"/>
        </w:rPr>
        <w:t>；陈华持有江苏开拓</w:t>
      </w:r>
      <w:r>
        <w:rPr>
          <w:rFonts w:ascii="Times New Roman" w:eastAsia="Times New Roman" w:hAnsi="Times New Roman" w:cs="Times New Roman"/>
          <w:color w:val="000000"/>
          <w:spacing w:val="0"/>
          <w:w w:val="100"/>
          <w:position w:val="0"/>
        </w:rPr>
        <w:t>122.93</w:t>
      </w:r>
      <w:r>
        <w:rPr>
          <w:color w:val="000000"/>
          <w:spacing w:val="0"/>
          <w:w w:val="100"/>
          <w:position w:val="0"/>
        </w:rPr>
        <w:t>万元股权，持股比例</w:t>
      </w:r>
      <w:r>
        <w:rPr>
          <w:rFonts w:ascii="Times New Roman" w:eastAsia="Times New Roman" w:hAnsi="Times New Roman" w:cs="Times New Roman"/>
          <w:color w:val="000000"/>
          <w:spacing w:val="0"/>
          <w:w w:val="100"/>
          <w:position w:val="0"/>
        </w:rPr>
        <w:t>5.97%</w:t>
      </w:r>
      <w:r>
        <w:rPr>
          <w:color w:val="000000"/>
          <w:spacing w:val="0"/>
          <w:w w:val="100"/>
          <w:position w:val="0"/>
        </w:rPr>
        <w:t>。</w:t>
      </w:r>
    </w:p>
    <w:p>
      <w:pPr>
        <w:pStyle w:val="Style28"/>
        <w:keepNext w:val="0"/>
        <w:keepLines w:val="0"/>
        <w:widowControl w:val="0"/>
        <w:shd w:val="clear" w:color="auto" w:fill="auto"/>
        <w:bidi w:val="0"/>
        <w:spacing w:before="0" w:after="0" w:line="314" w:lineRule="exact"/>
        <w:ind w:left="0" w:right="0" w:firstLine="5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日，上述事项经公司</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年第三次临时股东大会审议，并通过了《关于使用部分超募资金收购并增资江 苏开拓信息与系统有限公司的议案》。</w:t>
      </w:r>
    </w:p>
    <w:p>
      <w:pPr>
        <w:pStyle w:val="Style28"/>
        <w:keepNext w:val="0"/>
        <w:keepLines w:val="0"/>
        <w:widowControl w:val="0"/>
        <w:shd w:val="clear" w:color="auto" w:fill="auto"/>
        <w:bidi w:val="0"/>
        <w:spacing w:before="0" w:after="0" w:line="314" w:lineRule="exact"/>
        <w:ind w:left="0" w:right="0" w:firstLine="5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日，本公司以货币资金对江苏开拓增资</w:t>
      </w:r>
      <w:r>
        <w:rPr>
          <w:rFonts w:ascii="Times New Roman" w:eastAsia="Times New Roman" w:hAnsi="Times New Roman" w:cs="Times New Roman"/>
          <w:color w:val="000000"/>
          <w:spacing w:val="0"/>
          <w:w w:val="100"/>
          <w:position w:val="0"/>
        </w:rPr>
        <w:t>4,346.46</w:t>
      </w:r>
      <w:r>
        <w:rPr>
          <w:color w:val="000000"/>
          <w:spacing w:val="0"/>
          <w:w w:val="100"/>
          <w:position w:val="0"/>
        </w:rPr>
        <w:t>万元，其中</w:t>
      </w:r>
      <w:r>
        <w:rPr>
          <w:rFonts w:ascii="Times New Roman" w:eastAsia="Times New Roman" w:hAnsi="Times New Roman" w:cs="Times New Roman"/>
          <w:color w:val="000000"/>
          <w:spacing w:val="0"/>
          <w:w w:val="100"/>
          <w:position w:val="0"/>
        </w:rPr>
        <w:t>1,060.11</w:t>
      </w:r>
      <w:r>
        <w:rPr>
          <w:color w:val="000000"/>
          <w:spacing w:val="0"/>
          <w:w w:val="100"/>
          <w:position w:val="0"/>
        </w:rPr>
        <w:t>万元作为注册资本（占变更后注册资 本的</w:t>
      </w:r>
      <w:r>
        <w:rPr>
          <w:rFonts w:ascii="Times New Roman" w:eastAsia="Times New Roman" w:hAnsi="Times New Roman" w:cs="Times New Roman"/>
          <w:color w:val="000000"/>
          <w:spacing w:val="0"/>
          <w:w w:val="100"/>
          <w:position w:val="0"/>
        </w:rPr>
        <w:t>51.45%</w:t>
      </w:r>
      <w:r>
        <w:rPr>
          <w:color w:val="000000"/>
          <w:spacing w:val="0"/>
          <w:w w:val="100"/>
          <w:position w:val="0"/>
        </w:rPr>
        <w:t>），</w:t>
      </w:r>
      <w:r>
        <w:rPr>
          <w:rFonts w:ascii="Times New Roman" w:eastAsia="Times New Roman" w:hAnsi="Times New Roman" w:cs="Times New Roman"/>
          <w:color w:val="000000"/>
          <w:spacing w:val="0"/>
          <w:w w:val="100"/>
          <w:position w:val="0"/>
        </w:rPr>
        <w:t>3,286.35</w:t>
      </w:r>
      <w:r>
        <w:rPr>
          <w:color w:val="000000"/>
          <w:spacing w:val="0"/>
          <w:w w:val="100"/>
          <w:position w:val="0"/>
        </w:rPr>
        <w:t>万元计入资本公积，变更后的注册资本为</w:t>
      </w:r>
      <w:r>
        <w:rPr>
          <w:rFonts w:ascii="Times New Roman" w:eastAsia="Times New Roman" w:hAnsi="Times New Roman" w:cs="Times New Roman"/>
          <w:color w:val="000000"/>
          <w:spacing w:val="0"/>
          <w:w w:val="100"/>
          <w:position w:val="0"/>
        </w:rPr>
        <w:t>2,060.11</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日，本公司支付首期股权转让 款</w:t>
      </w:r>
      <w:r>
        <w:rPr>
          <w:rFonts w:ascii="Times New Roman" w:eastAsia="Times New Roman" w:hAnsi="Times New Roman" w:cs="Times New Roman"/>
          <w:color w:val="000000"/>
          <w:spacing w:val="0"/>
          <w:w w:val="100"/>
          <w:position w:val="0"/>
        </w:rPr>
        <w:t>390.00</w:t>
      </w:r>
      <w:r>
        <w:rPr>
          <w:color w:val="000000"/>
          <w:spacing w:val="0"/>
          <w:w w:val="100"/>
          <w:position w:val="0"/>
        </w:rPr>
        <w:t>万元。至此，本公司已支付股权转让及增资款合计</w:t>
      </w:r>
      <w:r>
        <w:rPr>
          <w:rFonts w:ascii="Times New Roman" w:eastAsia="Times New Roman" w:hAnsi="Times New Roman" w:cs="Times New Roman"/>
          <w:color w:val="000000"/>
          <w:spacing w:val="0"/>
          <w:w w:val="100"/>
          <w:position w:val="0"/>
        </w:rPr>
        <w:t>4,736.46</w:t>
      </w:r>
      <w:r>
        <w:rPr>
          <w:color w:val="000000"/>
          <w:spacing w:val="0"/>
          <w:w w:val="100"/>
          <w:position w:val="0"/>
        </w:rPr>
        <w:t>万元，占交易总价</w:t>
      </w:r>
      <w:r>
        <w:rPr>
          <w:rFonts w:ascii="Times New Roman" w:eastAsia="Times New Roman" w:hAnsi="Times New Roman" w:cs="Times New Roman"/>
          <w:color w:val="000000"/>
          <w:spacing w:val="0"/>
          <w:w w:val="100"/>
          <w:position w:val="0"/>
        </w:rPr>
        <w:t>5,646.46</w:t>
      </w:r>
      <w:r>
        <w:rPr>
          <w:color w:val="000000"/>
          <w:spacing w:val="0"/>
          <w:w w:val="100"/>
          <w:position w:val="0"/>
        </w:rPr>
        <w:t>万元的</w:t>
      </w:r>
      <w:r>
        <w:rPr>
          <w:rFonts w:ascii="Times New Roman" w:eastAsia="Times New Roman" w:hAnsi="Times New Roman" w:cs="Times New Roman"/>
          <w:color w:val="000000"/>
          <w:spacing w:val="0"/>
          <w:w w:val="100"/>
          <w:position w:val="0"/>
        </w:rPr>
        <w:t>83.88%</w:t>
      </w:r>
      <w:r>
        <w:rPr>
          <w:color w:val="000000"/>
          <w:spacing w:val="0"/>
          <w:w w:val="100"/>
          <w:position w:val="0"/>
        </w:rPr>
        <w:t>。上述增资及股 权变更业经无锡太湖会计师事务所有限责任公司于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日出具的锡太会验字（</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）第</w:t>
      </w:r>
      <w:r>
        <w:rPr>
          <w:rFonts w:ascii="Times New Roman" w:eastAsia="Times New Roman" w:hAnsi="Times New Roman" w:cs="Times New Roman"/>
          <w:color w:val="000000"/>
          <w:spacing w:val="0"/>
          <w:w w:val="100"/>
          <w:position w:val="0"/>
        </w:rPr>
        <w:t>590</w:t>
      </w:r>
      <w:r>
        <w:rPr>
          <w:color w:val="000000"/>
          <w:spacing w:val="0"/>
          <w:w w:val="100"/>
          <w:position w:val="0"/>
        </w:rPr>
        <w:t>号验资报告验证。</w:t>
      </w:r>
    </w:p>
    <w:p>
      <w:pPr>
        <w:pStyle w:val="Style28"/>
        <w:keepNext w:val="0"/>
        <w:keepLines w:val="0"/>
        <w:widowControl w:val="0"/>
        <w:shd w:val="clear" w:color="auto" w:fill="auto"/>
        <w:bidi w:val="0"/>
        <w:spacing w:before="0" w:after="0" w:line="314" w:lineRule="exact"/>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日，本次增资及股权转让办理了相关工商变更登记手续。</w:t>
      </w:r>
    </w:p>
    <w:p>
      <w:pPr>
        <w:pStyle w:val="Style28"/>
        <w:keepNext w:val="0"/>
        <w:keepLines w:val="0"/>
        <w:widowControl w:val="0"/>
        <w:shd w:val="clear" w:color="auto" w:fill="auto"/>
        <w:bidi w:val="0"/>
        <w:spacing w:before="0" w:after="0" w:line="314" w:lineRule="exact"/>
        <w:ind w:left="0" w:right="0" w:firstLine="460"/>
        <w:jc w:val="left"/>
      </w:pPr>
      <w:r>
        <w:rPr>
          <w:color w:val="000000"/>
          <w:spacing w:val="0"/>
          <w:w w:val="100"/>
          <w:position w:val="0"/>
        </w:rPr>
        <w:t>综上，本公司对江苏开拓的购买日确定为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）相关交易公允价值确定</w:t>
      </w:r>
    </w:p>
    <w:p>
      <w:pPr>
        <w:pStyle w:val="Style28"/>
        <w:keepNext w:val="0"/>
        <w:keepLines w:val="0"/>
        <w:widowControl w:val="0"/>
        <w:shd w:val="clear" w:color="auto" w:fill="auto"/>
        <w:bidi w:val="0"/>
        <w:spacing w:before="0" w:after="340" w:line="314" w:lineRule="exact"/>
        <w:ind w:left="0" w:right="0" w:firstLine="5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日江苏开拓财务报表经审计后的净资产为</w:t>
      </w:r>
      <w:r>
        <w:rPr>
          <w:rFonts w:ascii="Times New Roman" w:eastAsia="Times New Roman" w:hAnsi="Times New Roman" w:cs="Times New Roman"/>
          <w:color w:val="000000"/>
          <w:spacing w:val="0"/>
          <w:w w:val="100"/>
          <w:position w:val="0"/>
        </w:rPr>
        <w:t>56,924,424.34</w:t>
      </w:r>
      <w:r>
        <w:rPr>
          <w:color w:val="000000"/>
          <w:spacing w:val="0"/>
          <w:w w:val="100"/>
          <w:position w:val="0"/>
        </w:rPr>
        <w:t>元，参考中水致远资产评估有限公司出具的资产 评估报告中水致远评报字（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2022</w:t>
      </w:r>
      <w:r>
        <w:rPr>
          <w:color w:val="000000"/>
          <w:spacing w:val="0"/>
          <w:w w:val="100"/>
          <w:position w:val="0"/>
        </w:rPr>
        <w:t>号《江苏开拓信息与系统有限公司股权转让与增资所涉及的股东全部权益评估项目》， 确定其可辨认净资产的公允价值为</w:t>
      </w:r>
      <w:r>
        <w:rPr>
          <w:rFonts w:ascii="Times New Roman" w:eastAsia="Times New Roman" w:hAnsi="Times New Roman" w:cs="Times New Roman"/>
          <w:color w:val="000000"/>
          <w:spacing w:val="0"/>
          <w:w w:val="100"/>
          <w:position w:val="0"/>
        </w:rPr>
        <w:t>67,177,372.34</w:t>
      </w:r>
      <w:r>
        <w:rPr>
          <w:color w:val="000000"/>
          <w:spacing w:val="0"/>
          <w:w w:val="100"/>
          <w:position w:val="0"/>
        </w:rPr>
        <w:t>元，本公司占</w:t>
      </w:r>
      <w:r>
        <w:rPr>
          <w:rFonts w:ascii="Times New Roman" w:eastAsia="Times New Roman" w:hAnsi="Times New Roman" w:cs="Times New Roman"/>
          <w:color w:val="000000"/>
          <w:spacing w:val="0"/>
          <w:w w:val="100"/>
          <w:position w:val="0"/>
        </w:rPr>
        <w:t>66.85%</w:t>
      </w:r>
      <w:r>
        <w:rPr>
          <w:color w:val="000000"/>
          <w:spacing w:val="0"/>
          <w:w w:val="100"/>
          <w:position w:val="0"/>
        </w:rPr>
        <w:t xml:space="preserve">股份，享有的可辨认净资产公允价值的份额为 </w:t>
      </w:r>
      <w:r>
        <w:rPr>
          <w:rFonts w:ascii="Times New Roman" w:eastAsia="Times New Roman" w:hAnsi="Times New Roman" w:cs="Times New Roman"/>
          <w:color w:val="000000"/>
          <w:spacing w:val="0"/>
          <w:w w:val="100"/>
          <w:position w:val="0"/>
        </w:rPr>
        <w:t>44,907,958.14</w:t>
      </w:r>
      <w:r>
        <w:rPr>
          <w:color w:val="000000"/>
          <w:spacing w:val="0"/>
          <w:w w:val="100"/>
          <w:position w:val="0"/>
        </w:rPr>
        <w:t>元。合并对价</w:t>
      </w:r>
      <w:r>
        <w:rPr>
          <w:rFonts w:ascii="Times New Roman" w:eastAsia="Times New Roman" w:hAnsi="Times New Roman" w:cs="Times New Roman"/>
          <w:color w:val="000000"/>
          <w:spacing w:val="0"/>
          <w:w w:val="100"/>
          <w:position w:val="0"/>
        </w:rPr>
        <w:t>56,464,600.00</w:t>
      </w:r>
      <w:r>
        <w:rPr>
          <w:color w:val="000000"/>
          <w:spacing w:val="0"/>
          <w:w w:val="100"/>
          <w:position w:val="0"/>
        </w:rPr>
        <w:t>元大于合并日取得可辨认净资产公允价值的份额</w:t>
      </w:r>
      <w:r>
        <w:rPr>
          <w:rFonts w:ascii="Times New Roman" w:eastAsia="Times New Roman" w:hAnsi="Times New Roman" w:cs="Times New Roman"/>
          <w:color w:val="000000"/>
          <w:spacing w:val="0"/>
          <w:w w:val="100"/>
          <w:position w:val="0"/>
        </w:rPr>
        <w:t>44,907,958.14</w:t>
      </w:r>
      <w:r>
        <w:rPr>
          <w:color w:val="000000"/>
          <w:spacing w:val="0"/>
          <w:w w:val="100"/>
          <w:position w:val="0"/>
        </w:rPr>
        <w:t>元的差额</w:t>
      </w:r>
      <w:r>
        <w:rPr>
          <w:rFonts w:ascii="Times New Roman" w:eastAsia="Times New Roman" w:hAnsi="Times New Roman" w:cs="Times New Roman"/>
          <w:color w:val="000000"/>
          <w:spacing w:val="0"/>
          <w:w w:val="100"/>
          <w:position w:val="0"/>
        </w:rPr>
        <w:t xml:space="preserve">11,556,641.86 </w:t>
      </w:r>
      <w:r>
        <w:rPr>
          <w:color w:val="000000"/>
          <w:spacing w:val="0"/>
          <w:w w:val="100"/>
          <w:position w:val="0"/>
        </w:rPr>
        <w:t>元，计入合并财务报表的商誉。</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是否存在通过多次交易分步实现企业合并且在本报告期取得控制权的情形</w:t>
      </w:r>
    </w:p>
    <w:p>
      <w:pPr>
        <w:pStyle w:val="Style28"/>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7</w:t>
      </w:r>
      <w:bookmarkEnd w:id="1105"/>
      <w:r>
        <w:rPr>
          <w:color w:val="000000"/>
          <w:spacing w:val="0"/>
          <w:w w:val="100"/>
          <w:position w:val="0"/>
        </w:rPr>
        <w:t>、报告期内出售丧失控制权的股权而减少子公司</w:t>
      </w:r>
      <w:bookmarkEnd w:id="1103"/>
      <w:bookmarkEnd w:id="1104"/>
      <w:bookmarkEnd w:id="1106"/>
    </w:p>
    <w:tbl>
      <w:tblPr>
        <w:tblOverlap w:val="never"/>
        <w:jc w:val="center"/>
        <w:tblLayout w:type="fixed"/>
      </w:tblPr>
      <w:tblGrid>
        <w:gridCol w:w="3989"/>
        <w:gridCol w:w="2491"/>
        <w:gridCol w:w="310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出售丧失控制权的股权而减少的子公司的其他说明</w:t>
      </w:r>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8</w:t>
      </w:r>
      <w:bookmarkEnd w:id="1109"/>
      <w:r>
        <w:rPr>
          <w:color w:val="000000"/>
          <w:spacing w:val="0"/>
          <w:w w:val="100"/>
          <w:position w:val="0"/>
        </w:rPr>
        <w:t>、报告期内发生的反向购买</w:t>
      </w:r>
      <w:bookmarkEnd w:id="1107"/>
      <w:bookmarkEnd w:id="1108"/>
      <w:bookmarkEnd w:id="1110"/>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合并中确认的商誉或计入当 期的损益的计算方法</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反向购买的其他说明</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9</w:t>
      </w:r>
      <w:bookmarkEnd w:id="1113"/>
      <w:r>
        <w:rPr>
          <w:color w:val="000000"/>
          <w:spacing w:val="0"/>
          <w:w w:val="100"/>
          <w:position w:val="0"/>
        </w:rPr>
        <w:t>、本报告期发生的吸收合并</w:t>
      </w:r>
      <w:bookmarkEnd w:id="1111"/>
      <w:bookmarkEnd w:id="1112"/>
      <w:bookmarkEnd w:id="111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78"/>
        <w:gridCol w:w="1483"/>
        <w:gridCol w:w="1498"/>
        <w:gridCol w:w="14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吸收合并的其他说明</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115"/>
      <w:bookmarkEnd w:id="1116"/>
      <w:bookmarkEnd w:id="1118"/>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本公司将境外子公司财务报表并入本公司财务报表时，主要报表项目具体折算汇率确定方法如下:</w:t>
      </w:r>
    </w:p>
    <w:tbl>
      <w:tblPr>
        <w:tblOverlap w:val="never"/>
        <w:jc w:val="left"/>
        <w:tblLayout w:type="fixed"/>
      </w:tblPr>
      <w:tblGrid>
        <w:gridCol w:w="3547"/>
        <w:gridCol w:w="3427"/>
      </w:tblGrid>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主要报表项目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汇率确定方法</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资产负债类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资产负.债表日的即期汇率</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所有者权益类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交易发生日的即期汇率</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损益类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交易发生日的即期汇率的近似汇率</w:t>
            </w:r>
          </w:p>
        </w:tc>
      </w:tr>
    </w:tbl>
    <w:p>
      <w:pPr>
        <w:widowControl w:val="0"/>
        <w:spacing w:after="119" w:line="1" w:lineRule="exact"/>
      </w:pPr>
    </w:p>
    <w:p>
      <w:pPr>
        <w:pStyle w:val="Style28"/>
        <w:keepNext w:val="0"/>
        <w:keepLines w:val="0"/>
        <w:widowControl w:val="0"/>
        <w:shd w:val="clear" w:color="auto" w:fill="auto"/>
        <w:bidi w:val="0"/>
        <w:spacing w:before="0" w:after="1320" w:line="240" w:lineRule="auto"/>
        <w:ind w:left="0" w:right="0" w:firstLine="480"/>
        <w:jc w:val="left"/>
      </w:pPr>
      <w:r>
        <w:rPr>
          <w:color w:val="000000"/>
          <w:spacing w:val="0"/>
          <w:w w:val="100"/>
          <w:position w:val="0"/>
        </w:rPr>
        <w:t>按照上述折算产生的外币财务报表折算差额，在合并后的资产负债表中股东权益项目下单独列示。</w:t>
      </w:r>
    </w:p>
    <w:p>
      <w:pPr>
        <w:pStyle w:val="Style31"/>
        <w:keepNext/>
        <w:keepLines/>
        <w:widowControl w:val="0"/>
        <w:shd w:val="clear" w:color="auto" w:fill="auto"/>
        <w:bidi w:val="0"/>
        <w:spacing w:before="0" w:after="34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sz w:val="24"/>
          <w:szCs w:val="24"/>
        </w:rPr>
        <w:t>七</w:t>
      </w:r>
      <w:bookmarkEnd w:id="1121"/>
      <w:r>
        <w:rPr>
          <w:color w:val="000000"/>
          <w:spacing w:val="0"/>
          <w:w w:val="100"/>
          <w:position w:val="0"/>
          <w:sz w:val="24"/>
          <w:szCs w:val="24"/>
        </w:rPr>
        <w:t>、合并财务报表主要项目注释</w:t>
      </w:r>
      <w:bookmarkEnd w:id="1119"/>
      <w:bookmarkEnd w:id="1120"/>
      <w:bookmarkEnd w:id="1122"/>
    </w:p>
    <w:p>
      <w:pPr>
        <w:pStyle w:val="Style33"/>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、货币资金</w:t>
      </w:r>
      <w:bookmarkEnd w:id="1123"/>
      <w:bookmarkEnd w:id="1124"/>
      <w:bookmarkEnd w:id="112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325"/>
        <w:gridCol w:w="931"/>
        <w:gridCol w:w="1454"/>
        <w:gridCol w:w="1334"/>
        <w:gridCol w:w="931"/>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643,426.81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774,424.17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246,629.79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514,589.55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15,309.59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1,768.96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5,252,739.00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303,455.98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3,219,826.86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0.073049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235,205.13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5.152601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13,510.69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415,410,373.14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467,442,305.88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351,778,959.27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455,971,010.68</w:t>
            </w:r>
          </w:p>
        </w:tc>
      </w:tr>
    </w:tbl>
    <w:p>
      <w:pPr>
        <w:widowControl w:val="0"/>
        <w:spacing w:line="1" w:lineRule="exact"/>
      </w:pPr>
      <w:r>
        <w:br w:type="page"/>
      </w:r>
    </w:p>
    <w:tbl>
      <w:tblPr>
        <w:tblOverlap w:val="never"/>
        <w:jc w:val="center"/>
        <w:tblLayout w:type="fixed"/>
      </w:tblPr>
      <w:tblGrid>
        <w:gridCol w:w="2006"/>
        <w:gridCol w:w="1325"/>
        <w:gridCol w:w="931"/>
        <w:gridCol w:w="1459"/>
        <w:gridCol w:w="1330"/>
        <w:gridCol w:w="931"/>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3,035,320.92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18,506,048.12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962,783.62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6,051,576.44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777,401,714.00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44,911,274.42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68,928,268.00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0.073049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5,035,141.05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43,705.92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74,559.47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5.152601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384,175.20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17,112,570.03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45,494,380.38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17,112,570.03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45,494,380.38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433,166,369.98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513,711,110.43</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如有因抵押、质押或冻结等对使用有限制、存放在境外、有潜在回收风险的款项应单独说明</w:t>
      </w:r>
    </w:p>
    <w:p>
      <w:pPr>
        <w:pStyle w:val="Style28"/>
        <w:keepNext w:val="0"/>
        <w:keepLines w:val="0"/>
        <w:widowControl w:val="0"/>
        <w:shd w:val="clear" w:color="auto" w:fill="auto"/>
        <w:tabs>
          <w:tab w:pos="402" w:val="left"/>
        </w:tabs>
        <w:bidi w:val="0"/>
        <w:spacing w:before="0" w:after="0" w:line="317" w:lineRule="exact"/>
        <w:ind w:left="0" w:right="0" w:firstLine="0"/>
        <w:jc w:val="left"/>
      </w:pPr>
      <w:bookmarkStart w:id="1127" w:name="bookmark1127"/>
      <w:r>
        <w:rPr>
          <w:rFonts w:ascii="Times New Roman" w:eastAsia="Times New Roman" w:hAnsi="Times New Roman" w:cs="Times New Roman"/>
          <w:color w:val="000000"/>
          <w:spacing w:val="0"/>
          <w:w w:val="100"/>
          <w:position w:val="0"/>
        </w:rPr>
        <w:t>（</w:t>
      </w:r>
      <w:bookmarkEnd w:id="1127"/>
      <w:r>
        <w:rPr>
          <w:rFonts w:ascii="Times New Roman" w:eastAsia="Times New Roman" w:hAnsi="Times New Roman" w:cs="Times New Roman"/>
          <w:color w:val="000000"/>
          <w:spacing w:val="0"/>
          <w:w w:val="100"/>
          <w:position w:val="0"/>
        </w:rPr>
        <w:t>1）</w:t>
        <w:tab/>
        <w:t>2013</w:t>
      </w:r>
      <w:r>
        <w:rPr>
          <w:color w:val="000000"/>
          <w:spacing w:val="0"/>
          <w:w w:val="100"/>
          <w:position w:val="0"/>
        </w:rPr>
        <w:t>年末其他货币资金余额</w:t>
      </w:r>
      <w:r>
        <w:rPr>
          <w:rFonts w:ascii="Times New Roman" w:eastAsia="Times New Roman" w:hAnsi="Times New Roman" w:cs="Times New Roman"/>
          <w:color w:val="000000"/>
          <w:spacing w:val="0"/>
          <w:w w:val="100"/>
          <w:position w:val="0"/>
        </w:rPr>
        <w:t>17,112,570.03</w:t>
      </w:r>
      <w:r>
        <w:rPr>
          <w:color w:val="000000"/>
          <w:spacing w:val="0"/>
          <w:w w:val="100"/>
          <w:position w:val="0"/>
        </w:rPr>
        <w:t>元系子公司润和数码、江苏开拓为开具银行承兑汇票存入的保证金；银行存款 中</w:t>
      </w:r>
      <w:r>
        <w:rPr>
          <w:rFonts w:ascii="Times New Roman" w:eastAsia="Times New Roman" w:hAnsi="Times New Roman" w:cs="Times New Roman"/>
          <w:color w:val="000000"/>
          <w:spacing w:val="0"/>
          <w:w w:val="100"/>
          <w:position w:val="0"/>
        </w:rPr>
        <w:t>30,000,000.00</w:t>
      </w:r>
      <w:r>
        <w:rPr>
          <w:color w:val="000000"/>
          <w:spacing w:val="0"/>
          <w:w w:val="100"/>
          <w:position w:val="0"/>
        </w:rPr>
        <w:t>元定期存单系子公司江苏开拓用于质押借款；除此之外，货币资金中无其他因抵押或冻结等对使用有限制、 有潜在回收风险的款项。</w:t>
      </w:r>
    </w:p>
    <w:p>
      <w:pPr>
        <w:pStyle w:val="Style28"/>
        <w:keepNext w:val="0"/>
        <w:keepLines w:val="0"/>
        <w:widowControl w:val="0"/>
        <w:shd w:val="clear" w:color="auto" w:fill="auto"/>
        <w:tabs>
          <w:tab w:pos="406" w:val="left"/>
        </w:tabs>
        <w:bidi w:val="0"/>
        <w:spacing w:before="0" w:after="340" w:line="317" w:lineRule="exact"/>
        <w:ind w:left="0" w:right="0" w:firstLine="0"/>
        <w:jc w:val="left"/>
      </w:pPr>
      <w:bookmarkStart w:id="1128" w:name="bookmark1128"/>
      <w:r>
        <w:rPr>
          <w:rFonts w:ascii="Times New Roman" w:eastAsia="Times New Roman" w:hAnsi="Times New Roman" w:cs="Times New Roman"/>
          <w:color w:val="000000"/>
          <w:spacing w:val="0"/>
          <w:w w:val="100"/>
          <w:position w:val="0"/>
        </w:rPr>
        <w:t>（</w:t>
      </w:r>
      <w:bookmarkEnd w:id="1128"/>
      <w:r>
        <w:rPr>
          <w:rFonts w:ascii="Times New Roman" w:eastAsia="Times New Roman" w:hAnsi="Times New Roman" w:cs="Times New Roman"/>
          <w:color w:val="000000"/>
          <w:spacing w:val="0"/>
          <w:w w:val="100"/>
          <w:position w:val="0"/>
        </w:rPr>
        <w:t>2）</w:t>
        <w:tab/>
        <w:t>2013</w:t>
      </w:r>
      <w:r>
        <w:rPr>
          <w:color w:val="000000"/>
          <w:spacing w:val="0"/>
          <w:w w:val="100"/>
          <w:position w:val="0"/>
        </w:rPr>
        <w:t>年末货币资金中存放在境外的款项余额为</w:t>
      </w:r>
      <w:r>
        <w:rPr>
          <w:rFonts w:ascii="Times New Roman" w:eastAsia="Times New Roman" w:hAnsi="Times New Roman" w:cs="Times New Roman"/>
          <w:color w:val="000000"/>
          <w:spacing w:val="0"/>
          <w:w w:val="100"/>
          <w:position w:val="0"/>
        </w:rPr>
        <w:t>17,639,646.82</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color w:val="000000"/>
          <w:spacing w:val="0"/>
          <w:w w:val="100"/>
          <w:position w:val="0"/>
        </w:rPr>
        <w:t>、交易性金融资产</w:t>
      </w:r>
      <w:bookmarkEnd w:id="1129"/>
      <w:bookmarkEnd w:id="1130"/>
      <w:bookmarkEnd w:id="1132"/>
    </w:p>
    <w:p>
      <w:pPr>
        <w:pStyle w:val="Style36"/>
        <w:keepNext/>
        <w:keepLines/>
        <w:widowControl w:val="0"/>
        <w:shd w:val="clear" w:color="auto" w:fill="auto"/>
        <w:bidi w:val="0"/>
        <w:spacing w:before="0" w:after="34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133"/>
      <w:bookmarkEnd w:id="1134"/>
      <w:bookmarkEnd w:id="113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72"/>
        <w:gridCol w:w="2645"/>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137"/>
      <w:bookmarkEnd w:id="1138"/>
      <w:bookmarkEnd w:id="114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0"/>
        <w:gridCol w:w="2189"/>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141"/>
      <w:bookmarkEnd w:id="1142"/>
      <w:bookmarkEnd w:id="1144"/>
    </w:p>
    <w:p>
      <w:pPr>
        <w:pStyle w:val="Style33"/>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color w:val="000000"/>
          <w:spacing w:val="0"/>
          <w:w w:val="100"/>
          <w:position w:val="0"/>
        </w:rPr>
        <w:t>、应收票据</w:t>
      </w:r>
      <w:bookmarkEnd w:id="1145"/>
      <w:bookmarkEnd w:id="1146"/>
      <w:bookmarkEnd w:id="1148"/>
    </w:p>
    <w:p>
      <w:pPr>
        <w:pStyle w:val="Style36"/>
        <w:keepNext/>
        <w:keepLines/>
        <w:widowControl w:val="0"/>
        <w:shd w:val="clear" w:color="auto" w:fill="auto"/>
        <w:bidi w:val="0"/>
        <w:spacing w:before="0" w:after="34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149"/>
      <w:bookmarkEnd w:id="1150"/>
      <w:bookmarkEnd w:id="115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5,914,180.00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5,914,180.00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1,018,000.00</w:t>
            </w:r>
          </w:p>
        </w:tc>
      </w:tr>
    </w:tbl>
    <w:p>
      <w:pPr>
        <w:pStyle w:val="Style36"/>
        <w:keepNext/>
        <w:keepLines/>
        <w:widowControl w:val="0"/>
        <w:numPr>
          <w:ilvl w:val="0"/>
          <w:numId w:val="85"/>
        </w:numPr>
        <w:shd w:val="clear" w:color="auto" w:fill="auto"/>
        <w:bidi w:val="0"/>
        <w:spacing w:before="0" w:line="240" w:lineRule="auto"/>
        <w:ind w:left="0" w:right="0" w:firstLine="14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期末已质押的应收票据情况</w:t>
      </w:r>
      <w:bookmarkEnd w:id="1153"/>
      <w:bookmarkEnd w:id="1154"/>
      <w:bookmarkEnd w:id="1156"/>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9" w:line="1" w:lineRule="exact"/>
      </w:pPr>
    </w:p>
    <w:p>
      <w:pPr>
        <w:pStyle w:val="Style36"/>
        <w:keepNext/>
        <w:keepLines/>
        <w:widowControl w:val="0"/>
        <w:numPr>
          <w:ilvl w:val="0"/>
          <w:numId w:val="85"/>
        </w:numPr>
        <w:shd w:val="clear" w:color="auto" w:fill="auto"/>
        <w:bidi w:val="0"/>
        <w:spacing w:before="0" w:line="312" w:lineRule="exact"/>
        <w:ind w:left="0" w:right="0" w:firstLine="0"/>
        <w:jc w:val="both"/>
      </w:pPr>
      <w:bookmarkStart w:id="1157" w:name="bookmark1157"/>
      <w:bookmarkStart w:id="1158" w:name="bookmark1158"/>
      <w:bookmarkStart w:id="1159" w:name="bookmark1159"/>
      <w:bookmarkStart w:id="1160" w:name="bookmark1160"/>
      <w:bookmarkEnd w:id="1159"/>
      <w:r>
        <w:rPr>
          <w:color w:val="000000"/>
          <w:spacing w:val="0"/>
          <w:w w:val="100"/>
          <w:position w:val="0"/>
        </w:rPr>
        <w:t>因出票人无力履约而将票据转为应收账款的票据，以及期末公司已经背书给他方但尚未到期的票据 情况</w:t>
      </w:r>
      <w:bookmarkEnd w:id="1157"/>
      <w:bookmarkEnd w:id="1158"/>
      <w:bookmarkEnd w:id="1160"/>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因出票人无力履约而将票据转为应收账款的票据</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已贴现或质押的商业承兑票据的说明</w:t>
      </w:r>
    </w:p>
    <w:p>
      <w:pPr>
        <w:pStyle w:val="Style33"/>
        <w:keepNext/>
        <w:keepLines/>
        <w:widowControl w:val="0"/>
        <w:shd w:val="clear" w:color="auto" w:fill="auto"/>
        <w:bidi w:val="0"/>
        <w:spacing w:before="0" w:after="36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4</w:t>
      </w:r>
      <w:bookmarkEnd w:id="1163"/>
      <w:r>
        <w:rPr>
          <w:color w:val="000000"/>
          <w:spacing w:val="0"/>
          <w:w w:val="100"/>
          <w:position w:val="0"/>
        </w:rPr>
        <w:t>、应收股利</w:t>
      </w:r>
      <w:bookmarkEnd w:id="1161"/>
      <w:bookmarkEnd w:id="1162"/>
      <w:bookmarkEnd w:id="1164"/>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45"/>
        <w:gridCol w:w="1339"/>
        <w:gridCol w:w="1339"/>
        <w:gridCol w:w="1435"/>
        <w:gridCol w:w="1339"/>
        <w:gridCol w:w="1334"/>
        <w:gridCol w:w="1349"/>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w:t>
      </w:r>
    </w:p>
    <w:p>
      <w:pPr>
        <w:pStyle w:val="Style33"/>
        <w:keepNext/>
        <w:keepLines/>
        <w:widowControl w:val="0"/>
        <w:shd w:val="clear" w:color="auto" w:fill="auto"/>
        <w:bidi w:val="0"/>
        <w:spacing w:before="0" w:after="36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5</w:t>
      </w:r>
      <w:bookmarkEnd w:id="1167"/>
      <w:r>
        <w:rPr>
          <w:color w:val="000000"/>
          <w:spacing w:val="0"/>
          <w:w w:val="100"/>
          <w:position w:val="0"/>
        </w:rPr>
        <w:t>、应收利息</w:t>
      </w:r>
      <w:bookmarkEnd w:id="1165"/>
      <w:bookmarkEnd w:id="1166"/>
      <w:bookmarkEnd w:id="1168"/>
    </w:p>
    <w:p>
      <w:pPr>
        <w:pStyle w:val="Style33"/>
        <w:keepNext/>
        <w:keepLines/>
        <w:widowControl w:val="0"/>
        <w:numPr>
          <w:ilvl w:val="0"/>
          <w:numId w:val="87"/>
        </w:numPr>
        <w:shd w:val="clear" w:color="auto" w:fill="auto"/>
        <w:bidi w:val="0"/>
        <w:spacing w:before="0" w:after="360" w:line="240" w:lineRule="auto"/>
        <w:ind w:left="0" w:right="0" w:firstLine="140"/>
        <w:jc w:val="both"/>
      </w:pPr>
      <w:bookmarkStart w:id="1165" w:name="bookmark1165"/>
      <w:bookmarkStart w:id="1166" w:name="bookmark1166"/>
      <w:bookmarkStart w:id="1169" w:name="bookmark1169"/>
      <w:bookmarkEnd w:id="1169"/>
      <w:r>
        <w:rPr>
          <w:color w:val="000000"/>
          <w:spacing w:val="0"/>
          <w:w w:val="100"/>
          <w:position w:val="0"/>
        </w:rPr>
        <w:t>应收利息</w:t>
      </w:r>
      <w:bookmarkEnd w:id="1165"/>
      <w:bookmarkEnd w:id="1166"/>
    </w:p>
    <w:p>
      <w:pPr>
        <w:pStyle w:val="Style19"/>
        <w:keepNext w:val="0"/>
        <w:keepLines w:val="0"/>
        <w:widowControl w:val="0"/>
        <w:shd w:val="clear" w:color="auto" w:fill="auto"/>
        <w:bidi w:val="0"/>
        <w:spacing w:before="0" w:after="0" w:line="240" w:lineRule="auto"/>
        <w:ind w:left="8822" w:right="0" w:firstLine="0"/>
        <w:jc w:val="left"/>
      </w:pPr>
      <w:bookmarkStart w:id="1170" w:name="bookmark1170"/>
      <w:r>
        <w:rPr>
          <w:color w:val="000000"/>
          <w:spacing w:val="0"/>
          <w:w w:val="100"/>
          <w:position w:val="0"/>
        </w:rPr>
        <w:t>单位： 元</w:t>
      </w:r>
      <w:bookmarkEnd w:id="1170"/>
    </w:p>
    <w:tbl>
      <w:tblPr>
        <w:tblOverlap w:val="never"/>
        <w:jc w:val="center"/>
        <w:tblLayout w:type="fixed"/>
      </w:tblPr>
      <w:tblGrid>
        <w:gridCol w:w="1867"/>
        <w:gridCol w:w="1862"/>
        <w:gridCol w:w="1862"/>
        <w:gridCol w:w="1858"/>
        <w:gridCol w:w="21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3,778,543.39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1,439,227.81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3,778,543.39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1,439,227.81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3,778,543.39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1,439,227.81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3,778,543.39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1171" w:name="bookmark1171"/>
            <w:r>
              <w:rPr>
                <w:rFonts w:ascii="Times New Roman" w:eastAsia="Times New Roman" w:hAnsi="Times New Roman" w:cs="Times New Roman"/>
                <w:color w:val="000000"/>
                <w:spacing w:val="0"/>
                <w:w w:val="100"/>
                <w:position w:val="0"/>
              </w:rPr>
              <w:t>1,439,227.81</w:t>
            </w:r>
            <w:bookmarkEnd w:id="1171"/>
          </w:p>
        </w:tc>
      </w:tr>
    </w:tbl>
    <w:p>
      <w:pPr>
        <w:widowControl w:val="0"/>
        <w:spacing w:after="359" w:line="1" w:lineRule="exact"/>
      </w:pPr>
    </w:p>
    <w:p>
      <w:pPr>
        <w:pStyle w:val="Style58"/>
        <w:keepNext w:val="0"/>
        <w:keepLines w:val="0"/>
        <w:widowControl w:val="0"/>
        <w:numPr>
          <w:ilvl w:val="0"/>
          <w:numId w:val="87"/>
        </w:numPr>
        <w:shd w:val="clear" w:color="auto" w:fill="auto"/>
        <w:bidi w:val="0"/>
        <w:spacing w:before="0" w:line="240" w:lineRule="auto"/>
        <w:ind w:left="0" w:right="0"/>
        <w:jc w:val="both"/>
      </w:pPr>
      <w:bookmarkStart w:id="1172" w:name="bookmark1172"/>
      <w:bookmarkEnd w:id="1172"/>
      <w:r>
        <w:rPr>
          <w:color w:val="000000"/>
          <w:spacing w:val="0"/>
          <w:w w:val="100"/>
          <w:position w:val="0"/>
        </w:rPr>
        <w:t>逾期利息</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spacing w:lineRule="exact" w:line="1"/>
        <w:rPr>
          <w:sz w:val="2"/>
          <w:szCs w:val="2"/>
        </w:rPr>
      </w:pPr>
      <w:r>
        <w:br w:type="page"/>
      </w:r>
    </w:p>
    <w:p>
      <w:pPr>
        <w:pStyle w:val="Style36"/>
        <w:keepNext/>
        <w:keepLines/>
        <w:widowControl w:val="0"/>
        <w:numPr>
          <w:ilvl w:val="0"/>
          <w:numId w:val="87"/>
        </w:numPr>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应收利息的说明</w:t>
      </w:r>
      <w:bookmarkEnd w:id="1173"/>
      <w:bookmarkEnd w:id="1174"/>
      <w:bookmarkEnd w:id="117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应收利息</w:t>
      </w:r>
      <w:r>
        <w:rPr>
          <w:rFonts w:ascii="Times New Roman" w:eastAsia="Times New Roman" w:hAnsi="Times New Roman" w:cs="Times New Roman"/>
          <w:color w:val="000000"/>
          <w:spacing w:val="0"/>
          <w:w w:val="100"/>
          <w:position w:val="0"/>
        </w:rPr>
        <w:t>2 013</w:t>
      </w:r>
      <w:r>
        <w:rPr>
          <w:color w:val="000000"/>
          <w:spacing w:val="0"/>
          <w:w w:val="100"/>
          <w:position w:val="0"/>
        </w:rPr>
        <w:t>年末余额比年初余额减少</w:t>
      </w:r>
      <w:r>
        <w:rPr>
          <w:rFonts w:ascii="Times New Roman" w:eastAsia="Times New Roman" w:hAnsi="Times New Roman" w:cs="Times New Roman"/>
          <w:color w:val="000000"/>
          <w:spacing w:val="0"/>
          <w:w w:val="100"/>
          <w:position w:val="0"/>
        </w:rPr>
        <w:t>61.91%</w:t>
      </w:r>
      <w:r>
        <w:rPr>
          <w:color w:val="000000"/>
          <w:spacing w:val="0"/>
          <w:w w:val="100"/>
          <w:position w:val="0"/>
        </w:rPr>
        <w:t>，主要原因是年末定期存款减少，计提的存款利息相应减少。</w:t>
      </w:r>
    </w:p>
    <w:p>
      <w:pPr>
        <w:pStyle w:val="Style33"/>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6</w:t>
      </w:r>
      <w:bookmarkEnd w:id="1179"/>
      <w:r>
        <w:rPr>
          <w:color w:val="000000"/>
          <w:spacing w:val="0"/>
          <w:w w:val="100"/>
          <w:position w:val="0"/>
        </w:rPr>
        <w:t>、应收账款</w:t>
      </w:r>
      <w:bookmarkEnd w:id="1177"/>
      <w:bookmarkEnd w:id="1178"/>
      <w:bookmarkEnd w:id="1180"/>
    </w:p>
    <w:p>
      <w:pPr>
        <w:pStyle w:val="Style36"/>
        <w:keepNext/>
        <w:keepLines/>
        <w:widowControl w:val="0"/>
        <w:numPr>
          <w:ilvl w:val="0"/>
          <w:numId w:val="89"/>
        </w:numPr>
        <w:shd w:val="clear" w:color="auto" w:fill="auto"/>
        <w:bidi w:val="0"/>
        <w:spacing w:before="0" w:line="240" w:lineRule="auto"/>
        <w:ind w:left="0" w:right="0" w:firstLine="14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应收账款按种类披露</w:t>
      </w:r>
      <w:bookmarkEnd w:id="1181"/>
      <w:bookmarkEnd w:id="1182"/>
      <w:bookmarkEnd w:id="11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26"/>
        <w:gridCol w:w="931"/>
        <w:gridCol w:w="931"/>
        <w:gridCol w:w="922"/>
        <w:gridCol w:w="802"/>
        <w:gridCol w:w="931"/>
        <w:gridCol w:w="1061"/>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以账龄作为信用风险特 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195,534,50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11,185,667.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134,317,9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6,833,597.53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195,534,50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11,185,667.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134,317,9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6,833,597.53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195,534,50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11,185,667.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134,317,9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6,833,597.53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639" w:line="1" w:lineRule="exact"/>
      </w:pP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83"/>
        <w:gridCol w:w="1584"/>
        <w:gridCol w:w="926"/>
        <w:gridCol w:w="1728"/>
        <w:gridCol w:w="1459"/>
        <w:gridCol w:w="931"/>
        <w:gridCol w:w="146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184,126,343.35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9,206,317.16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131,963,921.85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6,598,196.09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184,126,343.35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9,206,317.16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131,963,921.85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6,598,196.09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9,311,822.94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931,182.27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2,354,014.44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235,401.44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2,096,336.42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1,048,168.21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195,534,502.71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11,185,667.64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134,317,936.29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6,833,597.53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组合中，采用余额百分比法计提坏账准备的应收账款</w:t>
      </w:r>
      <w:r>
        <w:br w:type="page"/>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185"/>
      <w:bookmarkEnd w:id="1186"/>
      <w:bookmarkEnd w:id="118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85"/>
        <w:gridCol w:w="1882"/>
        <w:gridCol w:w="1915"/>
        <w:gridCol w:w="196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6"/>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189"/>
      <w:bookmarkEnd w:id="1190"/>
      <w:bookmarkEnd w:id="119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93"/>
      <w:bookmarkEnd w:id="1194"/>
      <w:bookmarkEnd w:id="119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8"/>
        <w:gridCol w:w="1594"/>
        <w:gridCol w:w="1862"/>
        <w:gridCol w:w="17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w:t>
      </w:r>
      <w:bookmarkEnd w:id="1199"/>
      <w:r>
        <w:rPr>
          <w:rFonts w:ascii="Times New Roman" w:eastAsia="Times New Roman" w:hAnsi="Times New Roman" w:cs="Times New Roman"/>
          <w:color w:val="000000"/>
          <w:spacing w:val="0"/>
          <w:w w:val="100"/>
          <w:position w:val="0"/>
        </w:rPr>
        <w:t>5</w:t>
      </w:r>
      <w:r>
        <w:rPr>
          <w:color w:val="000000"/>
          <w:spacing w:val="0"/>
          <w:w w:val="100"/>
          <w:position w:val="0"/>
        </w:rPr>
        <w:t>）应收账款中金额前五名单位情况</w:t>
      </w:r>
      <w:bookmarkEnd w:id="1197"/>
      <w:bookmarkEnd w:id="1198"/>
      <w:bookmarkEnd w:id="120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无锡市医院管理中心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百胜咨询</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9,616,047.97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江苏电力信息技术有限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9,554,222.62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8,994,713.62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才勺人卜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7,701,091.26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47,866,075.47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w:t>
            </w:r>
          </w:p>
        </w:tc>
      </w:tr>
    </w:tbl>
    <w:p>
      <w:pPr>
        <w:widowControl w:val="0"/>
        <w:spacing w:after="319" w:line="1" w:lineRule="exact"/>
      </w:pPr>
    </w:p>
    <w:p>
      <w:pPr>
        <w:pStyle w:val="Style36"/>
        <w:keepNext/>
        <w:keepLines/>
        <w:widowControl w:val="0"/>
        <w:numPr>
          <w:ilvl w:val="0"/>
          <w:numId w:val="91"/>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应收关联方账款情况</w:t>
      </w:r>
      <w:bookmarkEnd w:id="1201"/>
      <w:bookmarkEnd w:id="1202"/>
      <w:bookmarkEnd w:id="120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4"/>
        <w:gridCol w:w="2429"/>
        <w:gridCol w:w="2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7,701,091.26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华为终端(东莞)有限公司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南京市润企科技小额贷款有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深圳市华为技术软件有限公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深圳市海思半导体有限公司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8,805,420.31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bl>
    <w:p>
      <w:pPr>
        <w:widowControl w:val="0"/>
        <w:spacing w:after="319" w:line="1" w:lineRule="exact"/>
      </w:pPr>
    </w:p>
    <w:p>
      <w:pPr>
        <w:pStyle w:val="Style36"/>
        <w:keepNext/>
        <w:keepLines/>
        <w:widowControl w:val="0"/>
        <w:numPr>
          <w:ilvl w:val="0"/>
          <w:numId w:val="91"/>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终止确认的应收款项情况</w:t>
      </w:r>
      <w:bookmarkEnd w:id="1205"/>
      <w:bookmarkEnd w:id="1206"/>
      <w:bookmarkEnd w:id="120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0"/>
        <w:gridCol w:w="36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6"/>
        <w:keepNext/>
        <w:keepLines/>
        <w:widowControl w:val="0"/>
        <w:numPr>
          <w:ilvl w:val="0"/>
          <w:numId w:val="91"/>
        </w:numPr>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以应收款项为标的进行证券化的，列示继续涉入形成的资产、负债的金额</w:t>
      </w:r>
      <w:bookmarkEnd w:id="1209"/>
      <w:bookmarkEnd w:id="1210"/>
      <w:bookmarkEnd w:id="121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878"/>
        <w:gridCol w:w="57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7</w:t>
      </w:r>
      <w:bookmarkEnd w:id="1215"/>
      <w:r>
        <w:rPr>
          <w:color w:val="000000"/>
          <w:spacing w:val="0"/>
          <w:w w:val="100"/>
          <w:position w:val="0"/>
        </w:rPr>
        <w:t>、其他应收款</w:t>
      </w:r>
      <w:bookmarkEnd w:id="1213"/>
      <w:bookmarkEnd w:id="1214"/>
      <w:bookmarkEnd w:id="1216"/>
    </w:p>
    <w:p>
      <w:pPr>
        <w:pStyle w:val="Style36"/>
        <w:keepNext/>
        <w:keepLines/>
        <w:widowControl w:val="0"/>
        <w:numPr>
          <w:ilvl w:val="0"/>
          <w:numId w:val="93"/>
        </w:numPr>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其他应收款按种类披露</w:t>
      </w:r>
      <w:bookmarkEnd w:id="1217"/>
      <w:bookmarkEnd w:id="1218"/>
      <w:bookmarkEnd w:id="122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0"/>
        <w:gridCol w:w="1056"/>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14,286,945.0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0"/>
        <w:gridCol w:w="1056"/>
        <w:gridCol w:w="792"/>
        <w:gridCol w:w="1056"/>
        <w:gridCol w:w="797"/>
        <w:gridCol w:w="1056"/>
        <w:gridCol w:w="926"/>
        <w:gridCol w:w="1190"/>
        <w:gridCol w:w="802"/>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提坏账准备的其他应收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以账龄作为信用风险特 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14,335,062.4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1,198,711.54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9,341,100.29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623,684.87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14,335,062.4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1,198,711.54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9,341,100.29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623,684.87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247,389.00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28,869,396.4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1,198,711.54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9,341,100.29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623,684.87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南京沧溪建设工程有限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代为暂付的建设工程社 会保障费，不存在收回 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南京市建筑节能管理中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1,236,945.00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暂付新墙材专项基金，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不存在收回风险</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14,286,945.00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843"/>
        <w:gridCol w:w="658"/>
        <w:gridCol w:w="1445"/>
        <w:gridCol w:w="1450"/>
        <w:gridCol w:w="658"/>
        <w:gridCol w:w="168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12,058,512.30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602,925.62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8,026,878.06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401,343.90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12,058,512.30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602,925.62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8,026,878.06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401,343.90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1,555,607.00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155,560.70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1,092,818.03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109,281.80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561,435.95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280,717.98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216,690.07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108,345.04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159,507.24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159,507.24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4,714.13</w:t>
            </w:r>
          </w:p>
        </w:tc>
      </w:tr>
    </w:tbl>
    <w:p>
      <w:pPr>
        <w:widowControl w:val="0"/>
        <w:spacing w:line="1" w:lineRule="exact"/>
      </w:pPr>
      <w:r>
        <w:br w:type="page"/>
      </w:r>
    </w:p>
    <w:tbl>
      <w:tblPr>
        <w:tblOverlap w:val="never"/>
        <w:jc w:val="center"/>
        <w:tblLayout w:type="fixed"/>
      </w:tblPr>
      <w:tblGrid>
        <w:gridCol w:w="1853"/>
        <w:gridCol w:w="1843"/>
        <w:gridCol w:w="658"/>
        <w:gridCol w:w="1445"/>
        <w:gridCol w:w="1450"/>
        <w:gridCol w:w="658"/>
        <w:gridCol w:w="168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14,335,062.49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1,198,711.54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9,341,100.29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623,684.87</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南京市散装水泥管理办 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247,389.00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暂付南京市散装水泥管 理办公室保证金，不存 在收回风险</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247,389.00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221"/>
      <w:bookmarkEnd w:id="1222"/>
      <w:bookmarkEnd w:id="122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910"/>
        <w:gridCol w:w="1901"/>
        <w:gridCol w:w="195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2458"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6"/>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225"/>
      <w:bookmarkEnd w:id="1226"/>
      <w:bookmarkEnd w:id="122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464"/>
        <w:gridCol w:w="1517"/>
        <w:gridCol w:w="181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29"/>
      <w:bookmarkEnd w:id="1230"/>
      <w:bookmarkEnd w:id="123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858"/>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w:t>
      </w:r>
      <w:bookmarkEnd w:id="1235"/>
      <w:r>
        <w:rPr>
          <w:rFonts w:ascii="Times New Roman" w:eastAsia="Times New Roman" w:hAnsi="Times New Roman" w:cs="Times New Roman"/>
          <w:color w:val="000000"/>
          <w:spacing w:val="0"/>
          <w:w w:val="100"/>
          <w:position w:val="0"/>
        </w:rPr>
        <w:t>5</w:t>
      </w:r>
      <w:r>
        <w:rPr>
          <w:color w:val="000000"/>
          <w:spacing w:val="0"/>
          <w:w w:val="100"/>
          <w:position w:val="0"/>
        </w:rPr>
        <w:t>）金额较大的其他应收款的性质或内容</w:t>
      </w:r>
      <w:bookmarkEnd w:id="1233"/>
      <w:bookmarkEnd w:id="1234"/>
      <w:bookmarkEnd w:id="123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00"/>
        <w:gridCol w:w="2390"/>
        <w:gridCol w:w="1915"/>
        <w:gridCol w:w="288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南京沧溪建设工程有限公司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代付建设工程社会保障 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南京市建筑节能管理中心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1,236,945.00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暂付新墙材专项基金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江苏天源招标有限公司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投标保证金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15,110,945.00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19" w:line="1" w:lineRule="exact"/>
      </w:pPr>
    </w:p>
    <w:p>
      <w:pPr>
        <w:pStyle w:val="Style36"/>
        <w:keepNext/>
        <w:keepLines/>
        <w:widowControl w:val="0"/>
        <w:numPr>
          <w:ilvl w:val="0"/>
          <w:numId w:val="95"/>
        </w:numPr>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其他应收款金额前五名单位情况</w:t>
      </w:r>
      <w:bookmarkEnd w:id="1237"/>
      <w:bookmarkEnd w:id="1238"/>
      <w:bookmarkEnd w:id="124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南京沧溪建设工程有限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工程承包商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南京市建筑节能管理中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工程监管方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1,236,945.00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江苏天源招标有限公司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824,000.00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421,800.00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江苏出入境检验检疫局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15,943,745.00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w:t>
            </w:r>
          </w:p>
        </w:tc>
      </w:tr>
    </w:tbl>
    <w:p>
      <w:pPr>
        <w:widowControl w:val="0"/>
        <w:spacing w:after="319" w:line="1" w:lineRule="exact"/>
      </w:pPr>
    </w:p>
    <w:p>
      <w:pPr>
        <w:pStyle w:val="Style36"/>
        <w:keepNext/>
        <w:keepLines/>
        <w:widowControl w:val="0"/>
        <w:numPr>
          <w:ilvl w:val="0"/>
          <w:numId w:val="95"/>
        </w:numPr>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其他应收关联方账款情况</w:t>
      </w:r>
      <w:bookmarkEnd w:id="1241"/>
      <w:bookmarkEnd w:id="1242"/>
      <w:bookmarkEnd w:id="124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3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6"/>
        <w:keepNext/>
        <w:keepLines/>
        <w:widowControl w:val="0"/>
        <w:numPr>
          <w:ilvl w:val="0"/>
          <w:numId w:val="95"/>
        </w:numPr>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终止确认的其他应收款项情况</w:t>
      </w:r>
      <w:bookmarkEnd w:id="1245"/>
      <w:bookmarkEnd w:id="1246"/>
      <w:bookmarkEnd w:id="12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0"/>
        <w:gridCol w:w="36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6"/>
        <w:keepNext/>
        <w:keepLines/>
        <w:widowControl w:val="0"/>
        <w:numPr>
          <w:ilvl w:val="0"/>
          <w:numId w:val="95"/>
        </w:numPr>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以其他应收款为标的进行证券化的，列示继续涉入形成的资产、负债的金额</w:t>
      </w:r>
      <w:bookmarkEnd w:id="1249"/>
      <w:bookmarkEnd w:id="1250"/>
      <w:bookmarkEnd w:id="12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w:t>
      </w:r>
      <w:bookmarkEnd w:id="1255"/>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253"/>
      <w:bookmarkEnd w:id="1254"/>
      <w:bookmarkEnd w:id="12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58"/>
        <w:gridCol w:w="931"/>
        <w:gridCol w:w="931"/>
        <w:gridCol w:w="1195"/>
        <w:gridCol w:w="1330"/>
        <w:gridCol w:w="1195"/>
        <w:gridCol w:w="1603"/>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8</w:t>
      </w:r>
      <w:bookmarkEnd w:id="1259"/>
      <w:r>
        <w:rPr>
          <w:color w:val="000000"/>
          <w:spacing w:val="0"/>
          <w:w w:val="100"/>
          <w:position w:val="0"/>
        </w:rPr>
        <w:t>、预付款项</w:t>
      </w:r>
      <w:bookmarkEnd w:id="1257"/>
      <w:bookmarkEnd w:id="1258"/>
      <w:bookmarkEnd w:id="1260"/>
    </w:p>
    <w:p>
      <w:pPr>
        <w:pStyle w:val="Style36"/>
        <w:keepNext/>
        <w:keepLines/>
        <w:widowControl w:val="0"/>
        <w:shd w:val="clear" w:color="auto" w:fill="auto"/>
        <w:bidi w:val="0"/>
        <w:spacing w:before="0" w:line="240" w:lineRule="auto"/>
        <w:ind w:left="0" w:right="0" w:firstLine="0"/>
        <w:jc w:val="both"/>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1"/>
      <w:bookmarkEnd w:id="1262"/>
      <w:bookmarkEnd w:id="1264"/>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10"/>
        <w:gridCol w:w="3187"/>
        <w:gridCol w:w="1061"/>
        <w:gridCol w:w="3053"/>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14,311,924.55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742,523.97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33,659.42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23,484.61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14,369,068.58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763,580.40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预付款项账龄的说明</w:t>
      </w:r>
    </w:p>
    <w:p>
      <w:pPr>
        <w:pStyle w:val="Style36"/>
        <w:keepNext/>
        <w:keepLines/>
        <w:widowControl w:val="0"/>
        <w:shd w:val="clear" w:color="auto" w:fill="auto"/>
        <w:bidi w:val="0"/>
        <w:spacing w:before="0" w:line="240" w:lineRule="auto"/>
        <w:ind w:left="0" w:right="0" w:firstLine="0"/>
        <w:jc w:val="both"/>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265"/>
      <w:bookmarkEnd w:id="1266"/>
      <w:bookmarkEnd w:id="126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深圳市码思新跃信息科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8,055,278.41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上海创博工业自动化技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3,704,922.00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西安境泽装饰工程有限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装修未完工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西安中投科信科技服务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259,256.00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连邦软件（南通）有限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13,273,056.41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预付款项主要单位的说明</w:t>
      </w:r>
    </w:p>
    <w:p>
      <w:pPr>
        <w:pStyle w:val="Style36"/>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69"/>
      <w:bookmarkEnd w:id="1270"/>
      <w:bookmarkEnd w:id="1272"/>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798"/>
        <w:gridCol w:w="1728"/>
        <w:gridCol w:w="1594"/>
        <w:gridCol w:w="1714"/>
        <w:gridCol w:w="1747"/>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73"/>
      <w:bookmarkEnd w:id="1274"/>
      <w:bookmarkEnd w:id="1276"/>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预付款项</w:t>
      </w:r>
      <w:r>
        <w:rPr>
          <w:rFonts w:ascii="Times New Roman" w:eastAsia="Times New Roman" w:hAnsi="Times New Roman" w:cs="Times New Roman"/>
          <w:color w:val="000000"/>
          <w:spacing w:val="0"/>
          <w:w w:val="100"/>
          <w:position w:val="0"/>
        </w:rPr>
        <w:t>2013</w:t>
      </w:r>
      <w:r>
        <w:rPr>
          <w:color w:val="000000"/>
          <w:spacing w:val="0"/>
          <w:w w:val="100"/>
          <w:position w:val="0"/>
        </w:rPr>
        <w:t>年末余额比年初余额大幅增加，主要原因是本年子公司润和数码预付的材料采购款增加，以及增加非同一控制 下企业合并子公司江苏开拓的年末预付款项。</w:t>
      </w:r>
    </w:p>
    <w:p>
      <w:pPr>
        <w:pStyle w:val="Style33"/>
        <w:keepNext/>
        <w:keepLines/>
        <w:widowControl w:val="0"/>
        <w:shd w:val="clear" w:color="auto" w:fill="auto"/>
        <w:bidi w:val="0"/>
        <w:spacing w:before="0" w:after="36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9</w:t>
      </w:r>
      <w:bookmarkEnd w:id="1279"/>
      <w:r>
        <w:rPr>
          <w:color w:val="000000"/>
          <w:spacing w:val="0"/>
          <w:w w:val="100"/>
          <w:position w:val="0"/>
        </w:rPr>
        <w:t>、存货</w:t>
      </w:r>
      <w:bookmarkEnd w:id="1277"/>
      <w:bookmarkEnd w:id="1278"/>
      <w:bookmarkEnd w:id="1280"/>
    </w:p>
    <w:p>
      <w:pPr>
        <w:pStyle w:val="Style36"/>
        <w:keepNext/>
        <w:keepLines/>
        <w:widowControl w:val="0"/>
        <w:shd w:val="clear" w:color="auto" w:fill="auto"/>
        <w:bidi w:val="0"/>
        <w:spacing w:before="0" w:line="240" w:lineRule="auto"/>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1"/>
      <w:bookmarkEnd w:id="1282"/>
      <w:bookmarkEnd w:id="12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0"/>
        <w:gridCol w:w="1330"/>
        <w:gridCol w:w="1330"/>
        <w:gridCol w:w="1330"/>
        <w:gridCol w:w="133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14,734,899.72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14,734,899.72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21,156,410.06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21,156,410.06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26,095,909.33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26,095,909.33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40,830,809.05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40,830,809.05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21,156,410.06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21,156,410.06</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85"/>
      <w:bookmarkEnd w:id="1286"/>
      <w:bookmarkEnd w:id="128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658"/>
        <w:gridCol w:w="960"/>
        <w:gridCol w:w="1430"/>
        <w:gridCol w:w="182"/>
        <w:gridCol w:w="1416"/>
        <w:gridCol w:w="792"/>
        <w:gridCol w:w="638"/>
        <w:gridCol w:w="176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922"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289" w:name="bookmark128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bookmarkEnd w:id="1289"/>
          </w:p>
        </w:tc>
      </w:tr>
      <w:tr>
        <w:trPr>
          <w:trHeight w:val="72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pStyle w:val="Style28"/>
        <w:keepNext w:val="0"/>
        <w:keepLines w:val="0"/>
        <w:widowControl w:val="0"/>
        <w:shd w:val="clear" w:color="auto" w:fill="auto"/>
        <w:bidi w:val="0"/>
        <w:spacing w:before="0" w:after="120" w:line="326" w:lineRule="exact"/>
        <w:ind w:left="0" w:right="0" w:firstLine="0"/>
        <w:jc w:val="both"/>
      </w:pPr>
      <w:r>
        <w:rPr>
          <w:color w:val="000000"/>
          <w:spacing w:val="0"/>
          <w:w w:val="100"/>
          <w:position w:val="0"/>
        </w:rPr>
        <w:t>存货的说明</w:t>
      </w:r>
    </w:p>
    <w:p>
      <w:pPr>
        <w:pStyle w:val="Style28"/>
        <w:keepNext w:val="0"/>
        <w:keepLines w:val="0"/>
        <w:widowControl w:val="0"/>
        <w:shd w:val="clear" w:color="auto" w:fill="auto"/>
        <w:tabs>
          <w:tab w:pos="442" w:val="left"/>
        </w:tabs>
        <w:bidi w:val="0"/>
        <w:spacing w:before="0" w:after="0" w:line="240" w:lineRule="auto"/>
        <w:ind w:left="0" w:right="0" w:firstLine="0"/>
        <w:jc w:val="both"/>
      </w:pPr>
      <w:bookmarkStart w:id="1290" w:name="bookmark1290"/>
      <w:r>
        <w:rPr>
          <w:rFonts w:ascii="Times New Roman" w:eastAsia="Times New Roman" w:hAnsi="Times New Roman" w:cs="Times New Roman"/>
          <w:color w:val="000000"/>
          <w:spacing w:val="0"/>
          <w:w w:val="100"/>
          <w:position w:val="0"/>
        </w:rPr>
        <w:t>（</w:t>
      </w:r>
      <w:bookmarkEnd w:id="1290"/>
      <w:r>
        <w:rPr>
          <w:rFonts w:ascii="Times New Roman" w:eastAsia="Times New Roman" w:hAnsi="Times New Roman" w:cs="Times New Roman"/>
          <w:color w:val="000000"/>
          <w:spacing w:val="0"/>
          <w:w w:val="100"/>
          <w:position w:val="0"/>
        </w:rPr>
        <w:t>1）</w:t>
        <w:tab/>
      </w:r>
      <w:r>
        <w:rPr>
          <w:color w:val="000000"/>
          <w:spacing w:val="0"/>
          <w:w w:val="100"/>
          <w:position w:val="0"/>
        </w:rPr>
        <w:t>存货系本公司外购的以备出售的软硬件产品以及工程施工。</w:t>
      </w:r>
    </w:p>
    <w:p>
      <w:pPr>
        <w:pStyle w:val="Style28"/>
        <w:keepNext w:val="0"/>
        <w:keepLines w:val="0"/>
        <w:widowControl w:val="0"/>
        <w:shd w:val="clear" w:color="auto" w:fill="auto"/>
        <w:tabs>
          <w:tab w:pos="442" w:val="left"/>
        </w:tabs>
        <w:bidi w:val="0"/>
        <w:spacing w:before="0" w:after="0" w:line="326" w:lineRule="exact"/>
        <w:ind w:left="0" w:right="0" w:firstLine="0"/>
        <w:jc w:val="both"/>
      </w:pPr>
      <w:bookmarkStart w:id="1291" w:name="bookmark1291"/>
      <w:r>
        <w:rPr>
          <w:rFonts w:ascii="Times New Roman" w:eastAsia="Times New Roman" w:hAnsi="Times New Roman" w:cs="Times New Roman"/>
          <w:color w:val="000000"/>
          <w:spacing w:val="0"/>
          <w:w w:val="100"/>
          <w:position w:val="0"/>
        </w:rPr>
        <w:t>（</w:t>
      </w:r>
      <w:bookmarkEnd w:id="1291"/>
      <w:r>
        <w:rPr>
          <w:rFonts w:ascii="Times New Roman" w:eastAsia="Times New Roman" w:hAnsi="Times New Roman" w:cs="Times New Roman"/>
          <w:color w:val="000000"/>
          <w:spacing w:val="0"/>
          <w:w w:val="100"/>
          <w:position w:val="0"/>
        </w:rPr>
        <w:t>2）</w:t>
        <w:tab/>
      </w:r>
      <w:r>
        <w:rPr>
          <w:color w:val="000000"/>
          <w:spacing w:val="0"/>
          <w:w w:val="100"/>
          <w:position w:val="0"/>
        </w:rPr>
        <w:t>存货可变现净值系按存货的估计售价减去至完工估计将要发生的成本、估计的销售费用及相关税金后的金额确定。本 年存货没有发生跌价的情形，故未计提存货跌价准备。</w:t>
      </w:r>
    </w:p>
    <w:p>
      <w:pPr>
        <w:pStyle w:val="Style28"/>
        <w:keepNext w:val="0"/>
        <w:keepLines w:val="0"/>
        <w:widowControl w:val="0"/>
        <w:shd w:val="clear" w:color="auto" w:fill="auto"/>
        <w:tabs>
          <w:tab w:pos="442" w:val="left"/>
        </w:tabs>
        <w:bidi w:val="0"/>
        <w:spacing w:before="0" w:after="360" w:line="326" w:lineRule="exact"/>
        <w:ind w:left="0" w:right="0" w:firstLine="0"/>
        <w:jc w:val="both"/>
      </w:pPr>
      <w:bookmarkStart w:id="1292" w:name="bookmark1292"/>
      <w:r>
        <w:rPr>
          <w:rFonts w:ascii="Times New Roman" w:eastAsia="Times New Roman" w:hAnsi="Times New Roman" w:cs="Times New Roman"/>
          <w:color w:val="000000"/>
          <w:spacing w:val="0"/>
          <w:w w:val="100"/>
          <w:position w:val="0"/>
        </w:rPr>
        <w:t>（</w:t>
      </w:r>
      <w:bookmarkEnd w:id="1292"/>
      <w:r>
        <w:rPr>
          <w:rFonts w:ascii="Times New Roman" w:eastAsia="Times New Roman" w:hAnsi="Times New Roman" w:cs="Times New Roman"/>
          <w:color w:val="000000"/>
          <w:spacing w:val="0"/>
          <w:w w:val="100"/>
          <w:position w:val="0"/>
        </w:rPr>
        <w:t>3）</w:t>
        <w:tab/>
      </w:r>
      <w:r>
        <w:rPr>
          <w:color w:val="000000"/>
          <w:spacing w:val="0"/>
          <w:w w:val="100"/>
          <w:position w:val="0"/>
        </w:rPr>
        <w:t>存货</w:t>
      </w:r>
      <w:r>
        <w:rPr>
          <w:rFonts w:ascii="Times New Roman" w:eastAsia="Times New Roman" w:hAnsi="Times New Roman" w:cs="Times New Roman"/>
          <w:color w:val="000000"/>
          <w:spacing w:val="0"/>
          <w:w w:val="100"/>
          <w:position w:val="0"/>
        </w:rPr>
        <w:t>2013</w:t>
      </w:r>
      <w:r>
        <w:rPr>
          <w:color w:val="000000"/>
          <w:spacing w:val="0"/>
          <w:w w:val="100"/>
          <w:position w:val="0"/>
        </w:rPr>
        <w:t>年末余额比年初余额增长</w:t>
      </w:r>
      <w:r>
        <w:rPr>
          <w:rFonts w:ascii="Times New Roman" w:eastAsia="Times New Roman" w:hAnsi="Times New Roman" w:cs="Times New Roman"/>
          <w:color w:val="000000"/>
          <w:spacing w:val="0"/>
          <w:w w:val="100"/>
          <w:position w:val="0"/>
        </w:rPr>
        <w:t>92.99%</w:t>
      </w:r>
      <w:r>
        <w:rPr>
          <w:color w:val="000000"/>
          <w:spacing w:val="0"/>
          <w:w w:val="100"/>
          <w:position w:val="0"/>
        </w:rPr>
        <w:t>，主要原因是增加非同一控制下企业合并子公司江苏开拓的年末工程施工。</w:t>
      </w:r>
    </w:p>
    <w:p>
      <w:pPr>
        <w:pStyle w:val="Style33"/>
        <w:keepNext/>
        <w:keepLines/>
        <w:widowControl w:val="0"/>
        <w:shd w:val="clear" w:color="auto" w:fill="auto"/>
        <w:bidi w:val="0"/>
        <w:spacing w:before="0" w:after="360" w:line="240" w:lineRule="auto"/>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93"/>
      <w:bookmarkEnd w:id="1294"/>
      <w:bookmarkEnd w:id="129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1"/>
        <w:gridCol w:w="2923"/>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4,059,974.05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1,176,662.75</w:t>
            </w:r>
          </w:p>
        </w:tc>
      </w:tr>
    </w:tbl>
    <w:p>
      <w:pPr>
        <w:widowControl w:val="0"/>
        <w:spacing w:line="1" w:lineRule="exact"/>
      </w:pPr>
    </w:p>
    <w:tbl>
      <w:tblPr>
        <w:tblOverlap w:val="never"/>
        <w:jc w:val="center"/>
        <w:tblLayout w:type="fixed"/>
      </w:tblPr>
      <w:tblGrid>
        <w:gridCol w:w="3461"/>
        <w:gridCol w:w="2923"/>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实物黄金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118,230.00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4,178,204.05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1,176,662.75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rPr>
        <w:t>2013</w:t>
      </w:r>
      <w:r>
        <w:rPr>
          <w:color w:val="000000"/>
          <w:spacing w:val="0"/>
          <w:w w:val="100"/>
          <w:position w:val="0"/>
        </w:rPr>
        <w:t>年末余额比年初余额增长</w:t>
      </w:r>
      <w:r>
        <w:rPr>
          <w:rFonts w:ascii="Times New Roman" w:eastAsia="Times New Roman" w:hAnsi="Times New Roman" w:cs="Times New Roman"/>
          <w:color w:val="000000"/>
          <w:spacing w:val="0"/>
          <w:w w:val="100"/>
          <w:position w:val="0"/>
        </w:rPr>
        <w:t>255.09%</w:t>
      </w:r>
      <w:r>
        <w:rPr>
          <w:color w:val="000000"/>
          <w:spacing w:val="0"/>
          <w:w w:val="100"/>
          <w:position w:val="0"/>
        </w:rPr>
        <w:t>，主要原因是本年利润总额增加，年末预缴的企业所得税增加。</w:t>
      </w:r>
    </w:p>
    <w:p>
      <w:pPr>
        <w:pStyle w:val="Style33"/>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97"/>
      <w:bookmarkEnd w:id="1298"/>
      <w:bookmarkEnd w:id="1300"/>
    </w:p>
    <w:p>
      <w:pPr>
        <w:pStyle w:val="Style36"/>
        <w:keepNext/>
        <w:keepLines/>
        <w:widowControl w:val="0"/>
        <w:shd w:val="clear" w:color="auto" w:fill="auto"/>
        <w:bidi w:val="0"/>
        <w:spacing w:before="0" w:after="40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301"/>
      <w:bookmarkEnd w:id="1302"/>
      <w:bookmarkEnd w:id="1304"/>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397"/>
        <w:gridCol w:w="2520"/>
        <w:gridCol w:w="266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可供出售金融资产的说明</w:t>
      </w:r>
    </w:p>
    <w:p>
      <w:pPr>
        <w:pStyle w:val="Style36"/>
        <w:keepNext/>
        <w:keepLines/>
        <w:widowControl w:val="0"/>
        <w:shd w:val="clear" w:color="auto" w:fill="auto"/>
        <w:bidi w:val="0"/>
        <w:spacing w:before="0" w:after="40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305"/>
      <w:bookmarkEnd w:id="1306"/>
      <w:bookmarkEnd w:id="1308"/>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可供出售金融资产的长期债权投资的说明</w:t>
      </w:r>
    </w:p>
    <w:p>
      <w:pPr>
        <w:pStyle w:val="Style36"/>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）可供出售金融资产的减值情况</w:t>
      </w:r>
      <w:bookmarkEnd w:id="1309"/>
      <w:bookmarkEnd w:id="1310"/>
      <w:bookmarkEnd w:id="1312"/>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56"/>
        <w:gridCol w:w="20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w:t>
      </w:r>
      <w:bookmarkEnd w:id="1315"/>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313"/>
      <w:bookmarkEnd w:id="1314"/>
      <w:bookmarkEnd w:id="1316"/>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030"/>
        <w:gridCol w:w="1570"/>
        <w:gridCol w:w="1594"/>
        <w:gridCol w:w="2146"/>
        <w:gridCol w:w="224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w:t>
      </w:r>
      <w:bookmarkEnd w:id="1319"/>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）可供出售权益工具期末公允价值大幅下跌或持续下跌相关说明</w:t>
      </w:r>
      <w:bookmarkEnd w:id="1317"/>
      <w:bookmarkEnd w:id="1318"/>
      <w:bookmarkEnd w:id="132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1"/>
        <w:gridCol w:w="1066"/>
        <w:gridCol w:w="1195"/>
        <w:gridCol w:w="1330"/>
        <w:gridCol w:w="2530"/>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公允价值相 对于成本的 下跌幅度</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持续下跌时间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pStyle w:val="Style33"/>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321"/>
      <w:bookmarkEnd w:id="1322"/>
      <w:bookmarkEnd w:id="1324"/>
    </w:p>
    <w:p>
      <w:pPr>
        <w:pStyle w:val="Style36"/>
        <w:keepNext/>
        <w:keepLines/>
        <w:widowControl w:val="0"/>
        <w:numPr>
          <w:ilvl w:val="0"/>
          <w:numId w:val="97"/>
        </w:numPr>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持有至到期投资情况</w:t>
      </w:r>
      <w:bookmarkEnd w:id="1325"/>
      <w:bookmarkEnd w:id="1326"/>
      <w:bookmarkEnd w:id="1328"/>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31"/>
        <w:gridCol w:w="3053"/>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持有至到期投资的说明</w:t>
      </w:r>
    </w:p>
    <w:p>
      <w:pPr>
        <w:pStyle w:val="Style36"/>
        <w:keepNext/>
        <w:keepLines/>
        <w:widowControl w:val="0"/>
        <w:numPr>
          <w:ilvl w:val="0"/>
          <w:numId w:val="97"/>
        </w:numPr>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本报告期内出售但尚未到期的持有至到期投资情况</w:t>
      </w:r>
      <w:bookmarkEnd w:id="1329"/>
      <w:bookmarkEnd w:id="1330"/>
      <w:bookmarkEnd w:id="1332"/>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89"/>
        <w:gridCol w:w="39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本报告期内出售但尚未到期的持有至到期投资情况说明</w:t>
      </w:r>
    </w:p>
    <w:p>
      <w:pPr>
        <w:pStyle w:val="Style33"/>
        <w:keepNext/>
        <w:keepLines/>
        <w:widowControl w:val="0"/>
        <w:shd w:val="clear" w:color="auto" w:fill="auto"/>
        <w:bidi w:val="0"/>
        <w:spacing w:before="0" w:after="36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333"/>
      <w:bookmarkEnd w:id="1334"/>
      <w:bookmarkEnd w:id="1336"/>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3322"/>
        <w:gridCol w:w="346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337"/>
      <w:bookmarkEnd w:id="1338"/>
      <w:bookmarkEnd w:id="134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195"/>
        <w:gridCol w:w="1195"/>
        <w:gridCol w:w="1195"/>
        <w:gridCol w:w="1210"/>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8"/>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3"/>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341"/>
      <w:bookmarkEnd w:id="1342"/>
      <w:bookmarkEnd w:id="1344"/>
    </w:p>
    <w:p>
      <w:pPr>
        <w:pStyle w:val="Style36"/>
        <w:keepNext/>
        <w:keepLines/>
        <w:widowControl w:val="0"/>
        <w:numPr>
          <w:ilvl w:val="0"/>
          <w:numId w:val="99"/>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长期股权投资明细情况</w:t>
      </w:r>
      <w:bookmarkEnd w:id="1345"/>
      <w:bookmarkEnd w:id="1346"/>
      <w:bookmarkEnd w:id="134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1,051,535</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1,051,535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numPr>
          <w:ilvl w:val="0"/>
          <w:numId w:val="99"/>
        </w:numPr>
        <w:shd w:val="clear" w:color="auto" w:fill="auto"/>
        <w:bidi w:val="0"/>
        <w:spacing w:before="0" w:after="34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向投资企业转移资金的能力受到限制的有关情况</w:t>
      </w:r>
      <w:bookmarkEnd w:id="1349"/>
      <w:bookmarkEnd w:id="1350"/>
      <w:bookmarkEnd w:id="135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53"/>
      <w:bookmarkEnd w:id="1354"/>
      <w:bookmarkEnd w:id="1356"/>
    </w:p>
    <w:p>
      <w:pPr>
        <w:pStyle w:val="Style36"/>
        <w:keepNext/>
        <w:keepLines/>
        <w:widowControl w:val="0"/>
        <w:numPr>
          <w:ilvl w:val="0"/>
          <w:numId w:val="101"/>
        </w:numPr>
        <w:shd w:val="clear" w:color="auto" w:fill="auto"/>
        <w:bidi w:val="0"/>
        <w:spacing w:before="0" w:after="34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按成本计量的投资性房地产</w:t>
      </w:r>
      <w:bookmarkEnd w:id="1357"/>
      <w:bookmarkEnd w:id="1358"/>
      <w:bookmarkEnd w:id="136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58"/>
        <w:gridCol w:w="213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after="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366"/>
        <w:gridCol w:w="4219"/>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39" w:line="1" w:lineRule="exact"/>
      </w:pPr>
    </w:p>
    <w:p>
      <w:pPr>
        <w:pStyle w:val="Style36"/>
        <w:keepNext/>
        <w:keepLines/>
        <w:widowControl w:val="0"/>
        <w:numPr>
          <w:ilvl w:val="0"/>
          <w:numId w:val="101"/>
        </w:numPr>
        <w:shd w:val="clear" w:color="auto" w:fill="auto"/>
        <w:bidi w:val="0"/>
        <w:spacing w:before="0" w:after="34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按公允价值计量的投资性房地产</w:t>
      </w:r>
      <w:bookmarkEnd w:id="1361"/>
      <w:bookmarkEnd w:id="1362"/>
      <w:bookmarkEnd w:id="1364"/>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49"/>
        <w:gridCol w:w="1013"/>
        <w:gridCol w:w="1013"/>
        <w:gridCol w:w="1008"/>
        <w:gridCol w:w="1008"/>
        <w:gridCol w:w="1013"/>
        <w:gridCol w:w="1018"/>
        <w:gridCol w:w="96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期末公允 价值</w:t>
            </w:r>
          </w:p>
        </w:tc>
      </w:tr>
      <w:tr>
        <w:trPr>
          <w:trHeight w:val="720"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4D4D4"/>
            <w:vAlign w:val="center"/>
          </w:tcPr>
          <w:p>
            <w:pPr/>
          </w:p>
        </w:tc>
      </w:tr>
    </w:tbl>
    <w:p>
      <w:pPr>
        <w:pStyle w:val="Style2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3"/>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65"/>
      <w:bookmarkEnd w:id="1366"/>
      <w:bookmarkEnd w:id="1368"/>
    </w:p>
    <w:p>
      <w:pPr>
        <w:pStyle w:val="Style36"/>
        <w:keepNext/>
        <w:keepLines/>
        <w:widowControl w:val="0"/>
        <w:numPr>
          <w:ilvl w:val="0"/>
          <w:numId w:val="103"/>
        </w:numPr>
        <w:shd w:val="clear" w:color="auto" w:fill="auto"/>
        <w:bidi w:val="0"/>
        <w:spacing w:before="0" w:after="34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固定资产情况</w:t>
      </w:r>
      <w:bookmarkEnd w:id="1369"/>
      <w:bookmarkEnd w:id="1370"/>
      <w:bookmarkEnd w:id="137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6"/>
        <w:gridCol w:w="1459"/>
        <w:gridCol w:w="2923"/>
        <w:gridCol w:w="1594"/>
        <w:gridCol w:w="14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139,186,276.54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18,987,556.72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158,127,108.05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112,975,252.56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12,288,865.10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125,264,117.66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4,080,349.08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2,497,831.41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6,578,180.49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22,130,674.90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4,200,860.21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26,284,809.90</w:t>
            </w:r>
          </w:p>
        </w:tc>
      </w:tr>
    </w:tbl>
    <w:p>
      <w:pPr>
        <w:widowControl w:val="0"/>
        <w:spacing w:line="1" w:lineRule="exact"/>
      </w:pPr>
      <w:r>
        <w:br w:type="page"/>
      </w:r>
    </w:p>
    <w:tbl>
      <w:tblPr>
        <w:tblOverlap w:val="never"/>
        <w:jc w:val="center"/>
        <w:tblLayout w:type="fixed"/>
      </w:tblPr>
      <w:tblGrid>
        <w:gridCol w:w="2136"/>
        <w:gridCol w:w="1459"/>
        <w:gridCol w:w="1330"/>
        <w:gridCol w:w="1594"/>
        <w:gridCol w:w="1594"/>
        <w:gridCol w:w="14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本期新增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17,287,784.44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2,165,740.22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7,950,643.36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27,394,891.02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6,986,698.83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823,710.00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2,933,317.12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10,743,725.95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1,999,328.35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470,869.99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897,473.69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3,367,672.03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8,301,757.26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871,160.23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4,119,852.55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13,283,493.04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121,898,492.10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130,732,217.03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105,988,553.73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114,520,391.71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2,081,020.73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3,210,508.46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13,828,917.64</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13,001,316.86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121,898,492.10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130,732,217.03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105,988,553.73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114,520,391.71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2,081,020.73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3,210,508.46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13,828,917.64</w:t>
            </w: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13,001,316.86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7,950,643.36</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1,856,005.00</w:t>
      </w:r>
      <w:r>
        <w:rPr>
          <w:color w:val="000000"/>
          <w:spacing w:val="0"/>
          <w:w w:val="100"/>
          <w:position w:val="0"/>
        </w:rPr>
        <w:t>元。</w:t>
      </w:r>
    </w:p>
    <w:p>
      <w:pPr>
        <w:widowControl w:val="0"/>
        <w:spacing w:after="319" w:line="1" w:lineRule="exact"/>
      </w:pPr>
    </w:p>
    <w:p>
      <w:pPr>
        <w:pStyle w:val="Style36"/>
        <w:keepNext/>
        <w:keepLines/>
        <w:widowControl w:val="0"/>
        <w:numPr>
          <w:ilvl w:val="0"/>
          <w:numId w:val="103"/>
        </w:numPr>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暂时闲置的固定资产情况</w:t>
      </w:r>
      <w:bookmarkEnd w:id="1373"/>
      <w:bookmarkEnd w:id="1374"/>
      <w:bookmarkEnd w:id="137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4"/>
        <w:gridCol w:w="797"/>
        <w:gridCol w:w="797"/>
        <w:gridCol w:w="166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377" w:name="bookmark137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bookmarkEnd w:id="137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6"/>
        <w:keepNext/>
        <w:keepLines/>
        <w:widowControl w:val="0"/>
        <w:numPr>
          <w:ilvl w:val="0"/>
          <w:numId w:val="87"/>
        </w:numPr>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通过经营租赁租出的固定资产</w:t>
      </w:r>
      <w:bookmarkEnd w:id="1378"/>
      <w:bookmarkEnd w:id="1379"/>
      <w:bookmarkEnd w:id="138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6"/>
        <w:keepNext/>
        <w:keepLines/>
        <w:widowControl w:val="0"/>
        <w:numPr>
          <w:ilvl w:val="0"/>
          <w:numId w:val="87"/>
        </w:numPr>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期末持有待售的固定资产情况</w:t>
      </w:r>
      <w:bookmarkEnd w:id="1382"/>
      <w:bookmarkEnd w:id="1383"/>
      <w:bookmarkEnd w:id="138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27"/>
        <w:gridCol w:w="1709"/>
        <w:gridCol w:w="1886"/>
        <w:gridCol w:w="1877"/>
        <w:gridCol w:w="188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spacing w:lineRule="exact" w:line="1"/>
        <w:rPr>
          <w:sz w:val="2"/>
          <w:szCs w:val="2"/>
        </w:rPr>
      </w:pPr>
      <w:r>
        <w:br w:type="page"/>
      </w:r>
    </w:p>
    <w:p>
      <w:pPr>
        <w:pStyle w:val="Style36"/>
        <w:keepNext/>
        <w:keepLines/>
        <w:widowControl w:val="0"/>
        <w:numPr>
          <w:ilvl w:val="0"/>
          <w:numId w:val="87"/>
        </w:numPr>
        <w:shd w:val="clear" w:color="auto" w:fill="auto"/>
        <w:bidi w:val="0"/>
        <w:spacing w:before="0" w:after="340" w:line="240" w:lineRule="auto"/>
        <w:ind w:left="0" w:right="0" w:firstLine="14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未办妥产权证书的固定资产情况</w:t>
      </w:r>
      <w:bookmarkEnd w:id="1386"/>
      <w:bookmarkEnd w:id="1387"/>
      <w:bookmarkEnd w:id="1389"/>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固定资产说明</w:t>
      </w:r>
    </w:p>
    <w:p>
      <w:pPr>
        <w:pStyle w:val="Style28"/>
        <w:keepNext w:val="0"/>
        <w:keepLines w:val="0"/>
        <w:widowControl w:val="0"/>
        <w:numPr>
          <w:ilvl w:val="0"/>
          <w:numId w:val="105"/>
        </w:numPr>
        <w:shd w:val="clear" w:color="auto" w:fill="auto"/>
        <w:tabs>
          <w:tab w:pos="478" w:val="left"/>
        </w:tabs>
        <w:bidi w:val="0"/>
        <w:spacing w:before="0" w:after="0" w:line="322" w:lineRule="exact"/>
        <w:ind w:left="0" w:right="0" w:firstLine="0"/>
        <w:jc w:val="left"/>
      </w:pPr>
      <w:bookmarkStart w:id="1390" w:name="bookmark1390"/>
      <w:bookmarkEnd w:id="1390"/>
      <w:r>
        <w:rPr>
          <w:color w:val="000000"/>
          <w:spacing w:val="0"/>
          <w:w w:val="100"/>
          <w:position w:val="0"/>
        </w:rPr>
        <w:t>固定资产</w:t>
      </w:r>
      <w:r>
        <w:rPr>
          <w:rFonts w:ascii="Times New Roman" w:eastAsia="Times New Roman" w:hAnsi="Times New Roman" w:cs="Times New Roman"/>
          <w:color w:val="000000"/>
          <w:spacing w:val="0"/>
          <w:w w:val="100"/>
          <w:position w:val="0"/>
        </w:rPr>
        <w:t>2013</w:t>
      </w:r>
      <w:r>
        <w:rPr>
          <w:color w:val="000000"/>
          <w:spacing w:val="0"/>
          <w:w w:val="100"/>
          <w:position w:val="0"/>
        </w:rPr>
        <w:t>年末账面价值</w:t>
      </w:r>
      <w:r>
        <w:rPr>
          <w:rFonts w:ascii="Times New Roman" w:eastAsia="Times New Roman" w:hAnsi="Times New Roman" w:cs="Times New Roman"/>
          <w:color w:val="000000"/>
          <w:spacing w:val="0"/>
          <w:w w:val="100"/>
          <w:position w:val="0"/>
        </w:rPr>
        <w:t>10,455</w:t>
      </w:r>
      <w:r>
        <w:rPr>
          <w:color w:val="000000"/>
          <w:spacing w:val="0"/>
          <w:w w:val="100"/>
          <w:position w:val="0"/>
        </w:rPr>
        <w:t>万元的房屋及建筑物已用作借款的抵押物。</w:t>
      </w:r>
    </w:p>
    <w:p>
      <w:pPr>
        <w:pStyle w:val="Style28"/>
        <w:keepNext w:val="0"/>
        <w:keepLines w:val="0"/>
        <w:widowControl w:val="0"/>
        <w:numPr>
          <w:ilvl w:val="0"/>
          <w:numId w:val="105"/>
        </w:numPr>
        <w:shd w:val="clear" w:color="auto" w:fill="auto"/>
        <w:tabs>
          <w:tab w:pos="478" w:val="left"/>
        </w:tabs>
        <w:bidi w:val="0"/>
        <w:spacing w:before="0" w:after="340" w:line="322" w:lineRule="exact"/>
        <w:ind w:left="0" w:right="0" w:firstLine="0"/>
        <w:jc w:val="left"/>
      </w:pPr>
      <w:bookmarkStart w:id="1391" w:name="bookmark1391"/>
      <w:bookmarkEnd w:id="1391"/>
      <w:r>
        <w:rPr>
          <w:color w:val="000000"/>
          <w:spacing w:val="0"/>
          <w:w w:val="100"/>
          <w:position w:val="0"/>
        </w:rPr>
        <w:t>因固定资产市价下跌、陈旧过时或发生实体损坏等原因，导致部分固定资产可收回金额低于其账面价值的，本公司按 可收回金额低于账面价值的差额计提固定资产减值准备。本年固定资产没有发生减值的情形，故未计提固定资产减值准备。</w:t>
      </w:r>
    </w:p>
    <w:p>
      <w:pPr>
        <w:pStyle w:val="Style33"/>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392"/>
      <w:bookmarkEnd w:id="1393"/>
      <w:bookmarkEnd w:id="1395"/>
    </w:p>
    <w:p>
      <w:pPr>
        <w:pStyle w:val="Style36"/>
        <w:keepNext/>
        <w:keepLines/>
        <w:widowControl w:val="0"/>
        <w:numPr>
          <w:ilvl w:val="0"/>
          <w:numId w:val="107"/>
        </w:numPr>
        <w:shd w:val="clear" w:color="auto" w:fill="auto"/>
        <w:bidi w:val="0"/>
        <w:spacing w:before="0" w:after="34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在建工程情况</w:t>
      </w:r>
      <w:bookmarkEnd w:id="1396"/>
      <w:bookmarkEnd w:id="1397"/>
      <w:bookmarkEnd w:id="139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200"/>
        <w:gridCol w:w="1190"/>
        <w:gridCol w:w="1195"/>
        <w:gridCol w:w="1195"/>
        <w:gridCol w:w="13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润和国际软件外包研发总部 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176,170,376.06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176,170,376.06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5,355,538.29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5,355,538.29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176,170,376.06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176,170,376.06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6,327,788.29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6,327,788.29</w:t>
            </w:r>
          </w:p>
        </w:tc>
      </w:tr>
    </w:tbl>
    <w:p>
      <w:pPr>
        <w:widowControl w:val="0"/>
        <w:spacing w:after="339" w:line="1" w:lineRule="exact"/>
      </w:pPr>
    </w:p>
    <w:p>
      <w:pPr>
        <w:pStyle w:val="Style36"/>
        <w:keepNext/>
        <w:keepLines/>
        <w:widowControl w:val="0"/>
        <w:numPr>
          <w:ilvl w:val="0"/>
          <w:numId w:val="107"/>
        </w:numPr>
        <w:shd w:val="clear" w:color="auto" w:fill="auto"/>
        <w:bidi w:val="0"/>
        <w:spacing w:before="0" w:after="340" w:line="240" w:lineRule="auto"/>
        <w:ind w:left="0" w:right="0" w:firstLine="14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重大在建工程项目变动情况</w:t>
      </w:r>
      <w:bookmarkEnd w:id="1400"/>
      <w:bookmarkEnd w:id="1401"/>
      <w:bookmarkEnd w:id="14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工程投 入占预 算比例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润和国 际软件 外包研 发总部 基地项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491,441,</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5,355,53</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170,814,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3,107,61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3,107,61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借款，自 有资金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176,170,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零星工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972,250.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2,074,37</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1,856,00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1,190,61</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491,441,</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6,327,78</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172,889,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1,856,00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1,190,61</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3,107,61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3,107,61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176,170,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r>
        <w:br w:type="page"/>
      </w:r>
    </w:p>
    <w:p>
      <w:pPr>
        <w:pStyle w:val="Style36"/>
        <w:keepNext/>
        <w:keepLines/>
        <w:widowControl w:val="0"/>
        <w:numPr>
          <w:ilvl w:val="0"/>
          <w:numId w:val="107"/>
        </w:numPr>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在建工程减值准备</w:t>
      </w:r>
      <w:bookmarkEnd w:id="1404"/>
      <w:bookmarkEnd w:id="1405"/>
      <w:bookmarkEnd w:id="14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19" w:line="1" w:lineRule="exact"/>
      </w:pPr>
    </w:p>
    <w:p>
      <w:pPr>
        <w:pStyle w:val="Style36"/>
        <w:keepNext/>
        <w:keepLines/>
        <w:widowControl w:val="0"/>
        <w:numPr>
          <w:ilvl w:val="0"/>
          <w:numId w:val="107"/>
        </w:numPr>
        <w:shd w:val="clear" w:color="auto" w:fill="auto"/>
        <w:bidi w:val="0"/>
        <w:spacing w:before="0" w:after="32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重大在建工程的工程进度情况</w:t>
      </w:r>
      <w:bookmarkEnd w:id="1408"/>
      <w:bookmarkEnd w:id="1409"/>
      <w:bookmarkEnd w:id="1411"/>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6"/>
        <w:keepNext/>
        <w:keepLines/>
        <w:widowControl w:val="0"/>
        <w:numPr>
          <w:ilvl w:val="0"/>
          <w:numId w:val="107"/>
        </w:numPr>
        <w:shd w:val="clear" w:color="auto" w:fill="auto"/>
        <w:bidi w:val="0"/>
        <w:spacing w:before="0" w:after="260" w:line="240" w:lineRule="auto"/>
        <w:ind w:left="0" w:right="0" w:firstLine="0"/>
        <w:jc w:val="both"/>
      </w:pPr>
      <w:bookmarkStart w:id="1412" w:name="bookmark1412"/>
      <w:bookmarkStart w:id="1413" w:name="bookmark1413"/>
      <w:bookmarkStart w:id="1414" w:name="bookmark1414"/>
      <w:bookmarkStart w:id="1415" w:name="bookmark1415"/>
      <w:bookmarkEnd w:id="1414"/>
      <w:r>
        <w:rPr>
          <w:color w:val="000000"/>
          <w:spacing w:val="0"/>
          <w:w w:val="100"/>
          <w:position w:val="0"/>
        </w:rPr>
        <w:t>在建工程的说明</w:t>
      </w:r>
      <w:bookmarkEnd w:id="1412"/>
      <w:bookmarkEnd w:id="1413"/>
      <w:bookmarkEnd w:id="1415"/>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在建工程</w:t>
      </w:r>
      <w:r>
        <w:rPr>
          <w:rFonts w:ascii="Times New Roman" w:eastAsia="Times New Roman" w:hAnsi="Times New Roman" w:cs="Times New Roman"/>
          <w:color w:val="000000"/>
          <w:spacing w:val="0"/>
          <w:w w:val="100"/>
          <w:position w:val="0"/>
        </w:rPr>
        <w:t>2013</w:t>
      </w:r>
      <w:r>
        <w:rPr>
          <w:color w:val="000000"/>
          <w:spacing w:val="0"/>
          <w:w w:val="100"/>
          <w:position w:val="0"/>
        </w:rPr>
        <w:t>年末余额比年初余额大幅增长，主要原因是本年</w:t>
      </w:r>
      <w:r>
        <w:rPr>
          <w:rFonts w:ascii="Times New Roman" w:eastAsia="Times New Roman" w:hAnsi="Times New Roman" w:cs="Times New Roman"/>
          <w:color w:val="000000"/>
          <w:spacing w:val="0"/>
          <w:w w:val="100"/>
          <w:position w:val="0"/>
        </w:rPr>
        <w:t>“</w:t>
      </w:r>
      <w:r>
        <w:rPr>
          <w:color w:val="000000"/>
          <w:spacing w:val="0"/>
          <w:w w:val="100"/>
          <w:position w:val="0"/>
        </w:rPr>
        <w:t>润和国际软件外包研发总部基地项目</w:t>
      </w:r>
      <w:r>
        <w:rPr>
          <w:rFonts w:ascii="Times New Roman" w:eastAsia="Times New Roman" w:hAnsi="Times New Roman" w:cs="Times New Roman"/>
          <w:color w:val="000000"/>
          <w:spacing w:val="0"/>
          <w:w w:val="100"/>
          <w:position w:val="0"/>
        </w:rPr>
        <w:t>”</w:t>
      </w:r>
      <w:r>
        <w:rPr>
          <w:color w:val="000000"/>
          <w:spacing w:val="0"/>
          <w:w w:val="100"/>
          <w:position w:val="0"/>
        </w:rPr>
        <w:t>建设投入增加，年末 在建工程余额增加。</w:t>
      </w:r>
    </w:p>
    <w:p>
      <w:pPr>
        <w:pStyle w:val="Style33"/>
        <w:keepNext/>
        <w:keepLines/>
        <w:widowControl w:val="0"/>
        <w:shd w:val="clear" w:color="auto" w:fill="auto"/>
        <w:bidi w:val="0"/>
        <w:spacing w:before="0" w:after="36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416"/>
      <w:bookmarkEnd w:id="1417"/>
      <w:bookmarkEnd w:id="1419"/>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594"/>
        <w:gridCol w:w="1459"/>
        <w:gridCol w:w="1594"/>
        <w:gridCol w:w="187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工程物资的说明</w:t>
      </w:r>
    </w:p>
    <w:p>
      <w:pPr>
        <w:pStyle w:val="Style33"/>
        <w:keepNext/>
        <w:keepLines/>
        <w:widowControl w:val="0"/>
        <w:shd w:val="clear" w:color="auto" w:fill="auto"/>
        <w:bidi w:val="0"/>
        <w:spacing w:before="0" w:after="36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420"/>
      <w:bookmarkEnd w:id="1421"/>
      <w:bookmarkEnd w:id="142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2112"/>
        <w:gridCol w:w="254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424"/>
      <w:bookmarkEnd w:id="1425"/>
      <w:bookmarkEnd w:id="1427"/>
    </w:p>
    <w:p>
      <w:pPr>
        <w:pStyle w:val="Style36"/>
        <w:keepNext/>
        <w:keepLines/>
        <w:widowControl w:val="0"/>
        <w:shd w:val="clear" w:color="auto" w:fill="auto"/>
        <w:bidi w:val="0"/>
        <w:spacing w:before="0" w:after="400" w:line="240" w:lineRule="auto"/>
        <w:ind w:left="0" w:right="0" w:firstLine="0"/>
        <w:jc w:val="both"/>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428"/>
      <w:bookmarkEnd w:id="1429"/>
      <w:bookmarkEnd w:id="1430"/>
    </w:p>
    <w:p>
      <w:pPr>
        <w:widowControl w:val="0"/>
        <w:jc w:val="center"/>
        <w:rPr>
          <w:sz w:val="2"/>
          <w:szCs w:val="2"/>
        </w:rPr>
      </w:pPr>
      <w:r>
        <w:drawing>
          <wp:inline>
            <wp:extent cx="6126480" cy="146304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1"/>
                    <a:stretch/>
                  </pic:blipFill>
                  <pic:spPr>
                    <a:xfrm>
                      <a:ext cx="6126480" cy="1463040"/>
                    </a:xfrm>
                    <a:prstGeom prst="rect"/>
                  </pic:spPr>
                </pic:pic>
              </a:graphicData>
            </a:graphic>
          </wp:inline>
        </w:drawing>
      </w:r>
    </w:p>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431"/>
      <w:bookmarkEnd w:id="1432"/>
      <w:bookmarkEnd w:id="143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728"/>
        <w:gridCol w:w="1858"/>
        <w:gridCol w:w="2126"/>
        <w:gridCol w:w="187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line="1" w:lineRule="exact"/>
      </w:pPr>
      <w:r>
        <w:br w:type="page"/>
      </w:r>
    </w:p>
    <w:p>
      <w:pPr>
        <w:widowControl w:val="0"/>
        <w:jc w:val="center"/>
        <w:rPr>
          <w:sz w:val="2"/>
          <w:szCs w:val="2"/>
        </w:rPr>
      </w:pPr>
      <w:r>
        <w:drawing>
          <wp:inline>
            <wp:extent cx="6163310" cy="1420495"/>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3"/>
                    <a:stretch/>
                  </pic:blipFill>
                  <pic:spPr>
                    <a:xfrm>
                      <a:ext cx="6163310" cy="1420495"/>
                    </a:xfrm>
                    <a:prstGeom prst="rect"/>
                  </pic:spPr>
                </pic:pic>
              </a:graphicData>
            </a:graphic>
          </wp:inline>
        </w:drawing>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434"/>
      <w:bookmarkEnd w:id="1435"/>
      <w:bookmarkEnd w:id="143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709"/>
        <w:gridCol w:w="1843"/>
        <w:gridCol w:w="2102"/>
        <w:gridCol w:w="1853"/>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油气资产的说明</w:t>
      </w:r>
    </w:p>
    <w:p>
      <w:pPr>
        <w:pStyle w:val="Style33"/>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438"/>
      <w:bookmarkEnd w:id="1439"/>
      <w:bookmarkEnd w:id="1441"/>
    </w:p>
    <w:p>
      <w:pPr>
        <w:pStyle w:val="Style36"/>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42"/>
      <w:bookmarkEnd w:id="1443"/>
      <w:bookmarkEnd w:id="1444"/>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46,275,135.75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22,216,500.33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68,491,636.08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38,412,787.55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14,363,077.40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52,775,864.95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7,862,348.20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7,853,422.93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15,715,771.13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6,057,975.61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3,607,162.13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9,665,137.74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3,452,370.91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1,161,305.35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4,613,676.26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2,605,604.70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2,445,856.78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5,051,461.48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40,217,160.14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18,609,338.20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58,826,498.34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34,960,416.64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48,162,188.69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5,256,743.50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10,664,309.65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40,217,160.14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18,609,338.20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58,826,498.34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34,960,416.64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48,162,188.69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5,256,743.50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10,664,309.65</w:t>
            </w:r>
          </w:p>
        </w:tc>
      </w:tr>
    </w:tbl>
    <w:p>
      <w:pPr>
        <w:widowControl w:val="0"/>
        <w:spacing w:after="79" w:line="1" w:lineRule="exact"/>
      </w:pPr>
    </w:p>
    <w:p>
      <w:pPr>
        <w:pStyle w:val="Style50"/>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3,158,091.38</w:t>
      </w:r>
      <w:r>
        <w:rPr>
          <w:rFonts w:ascii="SimSun" w:eastAsia="SimSun" w:hAnsi="SimSun" w:cs="SimSun"/>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445"/>
      <w:bookmarkEnd w:id="1446"/>
      <w:bookmarkEnd w:id="1447"/>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8"/>
        <w:gridCol w:w="1608"/>
        <w:gridCol w:w="1579"/>
        <w:gridCol w:w="3182"/>
        <w:gridCol w:w="1603"/>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1608"/>
        <w:gridCol w:w="1594"/>
        <w:gridCol w:w="1594"/>
        <w:gridCol w:w="1589"/>
        <w:gridCol w:w="1594"/>
        <w:gridCol w:w="1603"/>
      </w:tblGrid>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本期开发支出占本期研究开发项目支出总额的比例。</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通过公司内部研发形成的无形资产占无形资产期末账面价值的比例。</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3"/>
        <w:keepNext/>
        <w:keepLines/>
        <w:widowControl w:val="0"/>
        <w:shd w:val="clear" w:color="auto" w:fill="auto"/>
        <w:bidi w:val="0"/>
        <w:spacing w:before="0" w:after="36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448"/>
      <w:bookmarkEnd w:id="1449"/>
      <w:bookmarkEnd w:id="14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295,996.75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1,040,688.94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1,040,688.94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11,556,641.86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11,556,641.86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1,336,685.69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11,556,641.86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12,893,327.55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28"/>
        <w:keepNext w:val="0"/>
        <w:keepLines w:val="0"/>
        <w:widowControl w:val="0"/>
        <w:shd w:val="clear" w:color="auto" w:fill="auto"/>
        <w:bidi w:val="0"/>
        <w:spacing w:before="0" w:after="360" w:line="310" w:lineRule="exact"/>
        <w:ind w:left="0" w:right="0" w:firstLine="520"/>
        <w:jc w:val="left"/>
      </w:pPr>
      <w:r>
        <w:rPr>
          <w:color w:val="000000"/>
          <w:spacing w:val="0"/>
          <w:w w:val="100"/>
          <w:position w:val="0"/>
        </w:rPr>
        <w:t>商誉减值测试方法和减值准备计提方法，在每年年度终了进行减值测试，结合与其相关的资产组或者资产组组合进行, 比较相关资产组或者资产组组合的账面价值（包括所分摊的商誉的账面价值部分）与其可收回金额，如相关资产组或者资产 组组合的可收回金额低于其账面价值的，确认商誉的减值损失。年末对香港</w:t>
      </w:r>
      <w:r>
        <w:rPr>
          <w:rFonts w:ascii="Times New Roman" w:eastAsia="Times New Roman" w:hAnsi="Times New Roman" w:cs="Times New Roman"/>
          <w:color w:val="000000"/>
          <w:spacing w:val="0"/>
          <w:w w:val="100"/>
          <w:position w:val="0"/>
        </w:rPr>
        <w:t>S RS2</w:t>
      </w:r>
      <w:r>
        <w:rPr>
          <w:color w:val="000000"/>
          <w:spacing w:val="0"/>
          <w:w w:val="100"/>
          <w:position w:val="0"/>
        </w:rPr>
        <w:t>、江苏开拓的商誉进行减值测试，未发现 存在减值情形。</w:t>
      </w:r>
    </w:p>
    <w:p>
      <w:pPr>
        <w:pStyle w:val="Style33"/>
        <w:keepNext/>
        <w:keepLines/>
        <w:widowControl w:val="0"/>
        <w:shd w:val="clear" w:color="auto" w:fill="auto"/>
        <w:bidi w:val="0"/>
        <w:spacing w:before="0" w:after="36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52"/>
      <w:bookmarkEnd w:id="1453"/>
      <w:bookmarkEnd w:id="145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238,426.67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1,436,145.77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565,271.98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1,109,300.46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238,426.67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1,436,145.77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565,271.98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1,109,300.46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长期待摊费用的说明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装修费是西安润和、东京润和经营租赁办公楼所发生的费用，按合同约定租用期限平均摊销。</w:t>
      </w:r>
    </w:p>
    <w:p>
      <w:pPr>
        <w:pStyle w:val="Style33"/>
        <w:keepNext/>
        <w:keepLines/>
        <w:widowControl w:val="0"/>
        <w:shd w:val="clear" w:color="auto" w:fill="auto"/>
        <w:bidi w:val="0"/>
        <w:spacing w:before="0" w:after="360" w:line="240" w:lineRule="auto"/>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bookmarkEnd w:id="1458"/>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456"/>
      <w:bookmarkEnd w:id="1457"/>
      <w:bookmarkEnd w:id="1459"/>
    </w:p>
    <w:p>
      <w:pPr>
        <w:pStyle w:val="Style36"/>
        <w:keepNext/>
        <w:keepLines/>
        <w:widowControl w:val="0"/>
        <w:shd w:val="clear" w:color="auto" w:fill="auto"/>
        <w:bidi w:val="0"/>
        <w:spacing w:before="0" w:line="240" w:lineRule="auto"/>
        <w:ind w:left="0" w:right="0" w:firstLine="0"/>
        <w:jc w:val="both"/>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460"/>
      <w:bookmarkEnd w:id="1461"/>
      <w:bookmarkEnd w:id="1462"/>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已确认的递延所得税资产和递延所得税负债</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1,088,536.11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928,540.70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121,558.24</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资产摊销跨期及转回差异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1,103,888.52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1,070,844.03</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2,086,428.49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1,304,481.12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2,358,141.38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1,985,123.41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4,444,569.87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3,289,604.53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61"/>
        <w:gridCol w:w="1992"/>
        <w:gridCol w:w="33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139,413.30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1,083,546.26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1,274,384.15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571,329.96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571,325.96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703,265.16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2,358,141.38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1,985,123.41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59"/>
        <w:gridCol w:w="2928"/>
        <w:gridCol w:w="279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897,600.00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897,600.00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10,297,950.69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6,152,801.28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资产摊销跨期及转回差异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138,300.61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486,232.95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10,413,254.74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6,777,334.84</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463"/>
      <w:bookmarkEnd w:id="1464"/>
      <w:bookmarkEnd w:id="146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37"/>
        <w:gridCol w:w="1627"/>
        <w:gridCol w:w="1627"/>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递延所得税资产或</w:t>
            </w:r>
          </w:p>
          <w:p>
            <w:pPr>
              <w:pStyle w:val="Style2"/>
              <w:keepNext w:val="0"/>
              <w:keepLines w:val="0"/>
              <w:widowControl w:val="0"/>
              <w:shd w:val="clear" w:color="auto" w:fill="auto"/>
              <w:bidi w:val="0"/>
              <w:spacing w:before="0" w:after="0" w:line="317" w:lineRule="exact"/>
              <w:ind w:left="0" w:right="0" w:firstLine="620"/>
              <w:jc w:val="left"/>
            </w:pPr>
            <w:r>
              <w:rPr>
                <w:color w:val="000000"/>
                <w:spacing w:val="0"/>
                <w:w w:val="100"/>
                <w:position w:val="0"/>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报告期初互抵后的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递延所得税资产或</w:t>
            </w:r>
          </w:p>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1,103,888.52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1,070,844.03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78"/>
        <w:gridCol w:w="570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33"/>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66"/>
      <w:bookmarkEnd w:id="1467"/>
      <w:bookmarkEnd w:id="1469"/>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526"/>
        <w:gridCol w:w="1531"/>
        <w:gridCol w:w="1397"/>
        <w:gridCol w:w="1392"/>
        <w:gridCol w:w="146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7,457,282.40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4,927,096.78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12,384,379.18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295,996.75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7,753,279.15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4,927,096.78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12,680,375.93</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3"/>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70"/>
      <w:bookmarkEnd w:id="1471"/>
      <w:bookmarkEnd w:id="1473"/>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其他非流动资产的说明</w:t>
      </w:r>
    </w:p>
    <w:p>
      <w:pPr>
        <w:pStyle w:val="Style33"/>
        <w:keepNext/>
        <w:keepLines/>
        <w:widowControl w:val="0"/>
        <w:shd w:val="clear" w:color="auto" w:fill="auto"/>
        <w:bidi w:val="0"/>
        <w:spacing w:before="0" w:after="36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74"/>
      <w:bookmarkEnd w:id="1475"/>
      <w:bookmarkEnd w:id="1477"/>
    </w:p>
    <w:p>
      <w:pPr>
        <w:pStyle w:val="Style36"/>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78"/>
      <w:bookmarkEnd w:id="1479"/>
      <w:bookmarkEnd w:id="148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45,000,000.00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30,000,000.00</w:t>
            </w:r>
          </w:p>
        </w:tc>
      </w:tr>
    </w:tbl>
    <w:p>
      <w:pPr>
        <w:widowControl w:val="0"/>
        <w:spacing w:line="1" w:lineRule="exact"/>
      </w:pPr>
    </w:p>
    <w:tbl>
      <w:tblPr>
        <w:tblOverlap w:val="never"/>
        <w:jc w:val="center"/>
        <w:tblLayout w:type="fixed"/>
      </w:tblPr>
      <w:tblGrid>
        <w:gridCol w:w="3581"/>
        <w:gridCol w:w="2938"/>
        <w:gridCol w:w="306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85,000,000.00</w:t>
            </w:r>
          </w:p>
        </w:tc>
      </w:tr>
    </w:tbl>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短期借款分类的说明</w:t>
      </w:r>
    </w:p>
    <w:p>
      <w:pPr>
        <w:pStyle w:val="Style28"/>
        <w:keepNext w:val="0"/>
        <w:keepLines w:val="0"/>
        <w:widowControl w:val="0"/>
        <w:numPr>
          <w:ilvl w:val="0"/>
          <w:numId w:val="109"/>
        </w:numPr>
        <w:shd w:val="clear" w:color="auto" w:fill="auto"/>
        <w:tabs>
          <w:tab w:pos="402" w:val="left"/>
        </w:tabs>
        <w:bidi w:val="0"/>
        <w:spacing w:before="0" w:after="0" w:line="307" w:lineRule="exact"/>
        <w:ind w:left="0" w:right="0" w:firstLine="0"/>
        <w:jc w:val="left"/>
      </w:pPr>
      <w:bookmarkStart w:id="1481" w:name="bookmark1481"/>
      <w:bookmarkEnd w:id="1481"/>
      <w:r>
        <w:rPr>
          <w:color w:val="000000"/>
          <w:spacing w:val="0"/>
          <w:w w:val="100"/>
          <w:position w:val="0"/>
        </w:rPr>
        <w:t>保证借款</w:t>
      </w:r>
      <w:r>
        <w:rPr>
          <w:rFonts w:ascii="Times New Roman" w:eastAsia="Times New Roman" w:hAnsi="Times New Roman" w:cs="Times New Roman"/>
          <w:color w:val="000000"/>
          <w:spacing w:val="0"/>
          <w:w w:val="100"/>
          <w:position w:val="0"/>
        </w:rPr>
        <w:t>2013</w:t>
      </w:r>
      <w:r>
        <w:rPr>
          <w:color w:val="000000"/>
          <w:spacing w:val="0"/>
          <w:w w:val="100"/>
          <w:position w:val="0"/>
        </w:rPr>
        <w:t>年末余额，周红卫、任琪、江苏润和科技投资有限公司为本公司担保取得借款</w:t>
      </w:r>
      <w:r>
        <w:rPr>
          <w:rFonts w:ascii="Times New Roman" w:eastAsia="Times New Roman" w:hAnsi="Times New Roman" w:cs="Times New Roman"/>
          <w:color w:val="000000"/>
          <w:spacing w:val="0"/>
          <w:w w:val="100"/>
          <w:position w:val="0"/>
        </w:rPr>
        <w:t>6,000</w:t>
      </w:r>
      <w:r>
        <w:rPr>
          <w:color w:val="000000"/>
          <w:spacing w:val="0"/>
          <w:w w:val="100"/>
          <w:position w:val="0"/>
        </w:rPr>
        <w:t>万元，江苏省生产力促 进中心、无锡市生产力促进中心为子公司江苏开拓担保取得借款</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28"/>
        <w:keepNext w:val="0"/>
        <w:keepLines w:val="0"/>
        <w:widowControl w:val="0"/>
        <w:numPr>
          <w:ilvl w:val="0"/>
          <w:numId w:val="109"/>
        </w:numPr>
        <w:shd w:val="clear" w:color="auto" w:fill="auto"/>
        <w:tabs>
          <w:tab w:pos="402" w:val="left"/>
        </w:tabs>
        <w:bidi w:val="0"/>
        <w:spacing w:before="0" w:after="0" w:line="307" w:lineRule="exact"/>
        <w:ind w:left="0" w:right="0" w:firstLine="0"/>
        <w:jc w:val="left"/>
      </w:pPr>
      <w:bookmarkStart w:id="1482" w:name="bookmark1482"/>
      <w:bookmarkEnd w:id="1482"/>
      <w:r>
        <w:rPr>
          <w:color w:val="000000"/>
          <w:spacing w:val="0"/>
          <w:w w:val="100"/>
          <w:position w:val="0"/>
        </w:rPr>
        <w:t>质押借款</w:t>
      </w:r>
      <w:r>
        <w:rPr>
          <w:rFonts w:ascii="Times New Roman" w:eastAsia="Times New Roman" w:hAnsi="Times New Roman" w:cs="Times New Roman"/>
          <w:color w:val="000000"/>
          <w:spacing w:val="0"/>
          <w:w w:val="100"/>
          <w:position w:val="0"/>
        </w:rPr>
        <w:t>2013</w:t>
      </w:r>
      <w:r>
        <w:rPr>
          <w:color w:val="000000"/>
          <w:spacing w:val="0"/>
          <w:w w:val="100"/>
          <w:position w:val="0"/>
        </w:rPr>
        <w:t>年末余额，是子公司江苏开拓将其持有的定期存款质押给中国建设银行行无锡城东支行取得的借款。</w:t>
      </w:r>
    </w:p>
    <w:p>
      <w:pPr>
        <w:pStyle w:val="Style28"/>
        <w:keepNext w:val="0"/>
        <w:keepLines w:val="0"/>
        <w:widowControl w:val="0"/>
        <w:numPr>
          <w:ilvl w:val="0"/>
          <w:numId w:val="109"/>
        </w:numPr>
        <w:shd w:val="clear" w:color="auto" w:fill="auto"/>
        <w:tabs>
          <w:tab w:pos="402" w:val="left"/>
        </w:tabs>
        <w:bidi w:val="0"/>
        <w:spacing w:before="0" w:after="0" w:line="307" w:lineRule="exact"/>
        <w:ind w:left="0" w:right="0" w:firstLine="0"/>
        <w:jc w:val="left"/>
      </w:pPr>
      <w:bookmarkStart w:id="1483" w:name="bookmark1483"/>
      <w:bookmarkEnd w:id="1483"/>
      <w:r>
        <w:rPr>
          <w:color w:val="000000"/>
          <w:spacing w:val="0"/>
          <w:w w:val="100"/>
          <w:position w:val="0"/>
        </w:rPr>
        <w:t>抵押借款</w:t>
      </w:r>
      <w:r>
        <w:rPr>
          <w:rFonts w:ascii="Times New Roman" w:eastAsia="Times New Roman" w:hAnsi="Times New Roman" w:cs="Times New Roman"/>
          <w:color w:val="000000"/>
          <w:spacing w:val="0"/>
          <w:w w:val="100"/>
          <w:position w:val="0"/>
        </w:rPr>
        <w:t>2013</w:t>
      </w:r>
      <w:r>
        <w:rPr>
          <w:color w:val="000000"/>
          <w:spacing w:val="0"/>
          <w:w w:val="100"/>
          <w:position w:val="0"/>
        </w:rPr>
        <w:t>年末余额，是马进将其个人房产为子公司江苏开拓与江苏银行科技支行的借款提供抵押取得的借款。</w:t>
      </w:r>
    </w:p>
    <w:p>
      <w:pPr>
        <w:pStyle w:val="Style28"/>
        <w:keepNext w:val="0"/>
        <w:keepLines w:val="0"/>
        <w:widowControl w:val="0"/>
        <w:numPr>
          <w:ilvl w:val="0"/>
          <w:numId w:val="109"/>
        </w:numPr>
        <w:shd w:val="clear" w:color="auto" w:fill="auto"/>
        <w:tabs>
          <w:tab w:pos="402" w:val="left"/>
        </w:tabs>
        <w:bidi w:val="0"/>
        <w:spacing w:before="0" w:after="680" w:line="307" w:lineRule="exact"/>
        <w:ind w:left="0" w:right="0" w:firstLine="0"/>
        <w:jc w:val="left"/>
      </w:pPr>
      <w:bookmarkStart w:id="1484" w:name="bookmark1484"/>
      <w:bookmarkEnd w:id="1484"/>
      <w:r>
        <w:rPr>
          <w:color w:val="000000"/>
          <w:spacing w:val="0"/>
          <w:w w:val="100"/>
          <w:position w:val="0"/>
        </w:rPr>
        <w:t>短期借款</w:t>
      </w:r>
      <w:r>
        <w:rPr>
          <w:rFonts w:ascii="Times New Roman" w:eastAsia="Times New Roman" w:hAnsi="Times New Roman" w:cs="Times New Roman"/>
          <w:color w:val="000000"/>
          <w:spacing w:val="0"/>
          <w:w w:val="100"/>
          <w:position w:val="0"/>
        </w:rPr>
        <w:t>2013</w:t>
      </w:r>
      <w:r>
        <w:rPr>
          <w:color w:val="000000"/>
          <w:spacing w:val="0"/>
          <w:w w:val="100"/>
          <w:position w:val="0"/>
        </w:rPr>
        <w:t>年末余额中无逾期未偿还的借款。</w:t>
      </w:r>
    </w:p>
    <w:p>
      <w:pPr>
        <w:pStyle w:val="Style36"/>
        <w:keepNext/>
        <w:keepLines/>
        <w:widowControl w:val="0"/>
        <w:shd w:val="clear" w:color="auto" w:fill="auto"/>
        <w:bidi w:val="0"/>
        <w:spacing w:before="0" w:line="240" w:lineRule="auto"/>
        <w:ind w:left="0" w:right="0" w:firstLine="14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485"/>
      <w:bookmarkEnd w:id="1486"/>
      <w:bookmarkEnd w:id="148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13"/>
        <w:gridCol w:w="1282"/>
        <w:gridCol w:w="1282"/>
        <w:gridCol w:w="1651"/>
        <w:gridCol w:w="1738"/>
        <w:gridCol w:w="2021"/>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短期借款的说明，包括已到期短期借款获展期的，说明展期条件、新的到期日</w:t>
      </w:r>
    </w:p>
    <w:p>
      <w:pPr>
        <w:pStyle w:val="Style33"/>
        <w:keepNext/>
        <w:keepLines/>
        <w:widowControl w:val="0"/>
        <w:shd w:val="clear" w:color="auto" w:fill="auto"/>
        <w:bidi w:val="0"/>
        <w:spacing w:before="0" w:after="36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488"/>
      <w:bookmarkEnd w:id="1489"/>
      <w:bookmarkEnd w:id="149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86"/>
        <w:gridCol w:w="2933"/>
        <w:gridCol w:w="306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3"/>
        <w:keepNext/>
        <w:keepLines/>
        <w:widowControl w:val="0"/>
        <w:shd w:val="clear" w:color="auto" w:fill="auto"/>
        <w:bidi w:val="0"/>
        <w:spacing w:before="0" w:after="36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492"/>
      <w:bookmarkEnd w:id="1493"/>
      <w:bookmarkEnd w:id="149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17,106,221.43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43,361,000.00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17,106,221.43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43,361,000.00</w:t>
            </w: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17,106,221.43</w:t>
      </w:r>
      <w:r>
        <w:rPr>
          <w:color w:val="000000"/>
          <w:spacing w:val="0"/>
          <w:w w:val="100"/>
          <w:position w:val="0"/>
        </w:rPr>
        <w:t>元。</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应付票据的说明</w:t>
      </w:r>
    </w:p>
    <w:p>
      <w:pPr>
        <w:pStyle w:val="Style28"/>
        <w:keepNext w:val="0"/>
        <w:keepLines w:val="0"/>
        <w:widowControl w:val="0"/>
        <w:numPr>
          <w:ilvl w:val="0"/>
          <w:numId w:val="111"/>
        </w:numPr>
        <w:shd w:val="clear" w:color="auto" w:fill="auto"/>
        <w:tabs>
          <w:tab w:pos="402" w:val="left"/>
        </w:tabs>
        <w:bidi w:val="0"/>
        <w:spacing w:before="0" w:after="0" w:line="322" w:lineRule="exact"/>
        <w:ind w:left="0" w:right="0" w:firstLine="0"/>
        <w:jc w:val="left"/>
      </w:pPr>
      <w:bookmarkStart w:id="1496" w:name="bookmark1496"/>
      <w:bookmarkEnd w:id="1496"/>
      <w:r>
        <w:rPr>
          <w:color w:val="000000"/>
          <w:spacing w:val="0"/>
          <w:w w:val="100"/>
          <w:position w:val="0"/>
        </w:rPr>
        <w:t>应付票据</w:t>
      </w:r>
      <w:r>
        <w:rPr>
          <w:rFonts w:ascii="Times New Roman" w:eastAsia="Times New Roman" w:hAnsi="Times New Roman" w:cs="Times New Roman"/>
          <w:color w:val="000000"/>
          <w:spacing w:val="0"/>
          <w:w w:val="100"/>
          <w:position w:val="0"/>
        </w:rPr>
        <w:t>2013</w:t>
      </w:r>
      <w:r>
        <w:rPr>
          <w:color w:val="000000"/>
          <w:spacing w:val="0"/>
          <w:w w:val="100"/>
          <w:position w:val="0"/>
        </w:rPr>
        <w:t>年末余额中无应付给持本公司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)以上表决权股份的股东单位的票据，也无应付其他关联方的票 据。</w:t>
      </w:r>
    </w:p>
    <w:p>
      <w:pPr>
        <w:pStyle w:val="Style28"/>
        <w:keepNext w:val="0"/>
        <w:keepLines w:val="0"/>
        <w:widowControl w:val="0"/>
        <w:numPr>
          <w:ilvl w:val="0"/>
          <w:numId w:val="111"/>
        </w:numPr>
        <w:shd w:val="clear" w:color="auto" w:fill="auto"/>
        <w:tabs>
          <w:tab w:pos="402" w:val="left"/>
        </w:tabs>
        <w:bidi w:val="0"/>
        <w:spacing w:before="0" w:after="360" w:line="322" w:lineRule="exact"/>
        <w:ind w:left="0" w:right="0" w:firstLine="0"/>
        <w:jc w:val="left"/>
      </w:pPr>
      <w:bookmarkStart w:id="1497" w:name="bookmark1497"/>
      <w:bookmarkEnd w:id="1497"/>
      <w:r>
        <w:rPr>
          <w:color w:val="000000"/>
          <w:spacing w:val="0"/>
          <w:w w:val="100"/>
          <w:position w:val="0"/>
        </w:rPr>
        <w:t>应付票据</w:t>
      </w:r>
      <w:r>
        <w:rPr>
          <w:rFonts w:ascii="Times New Roman" w:eastAsia="Times New Roman" w:hAnsi="Times New Roman" w:cs="Times New Roman"/>
          <w:color w:val="000000"/>
          <w:spacing w:val="0"/>
          <w:w w:val="100"/>
          <w:position w:val="0"/>
        </w:rPr>
        <w:t>2013</w:t>
      </w:r>
      <w:r>
        <w:rPr>
          <w:color w:val="000000"/>
          <w:spacing w:val="0"/>
          <w:w w:val="100"/>
          <w:position w:val="0"/>
        </w:rPr>
        <w:t>年末余额比年初余额减少</w:t>
      </w:r>
      <w:r>
        <w:rPr>
          <w:rFonts w:ascii="Times New Roman" w:eastAsia="Times New Roman" w:hAnsi="Times New Roman" w:cs="Times New Roman"/>
          <w:color w:val="000000"/>
          <w:spacing w:val="0"/>
          <w:w w:val="100"/>
          <w:position w:val="0"/>
        </w:rPr>
        <w:t>60.55%</w:t>
      </w:r>
      <w:r>
        <w:rPr>
          <w:color w:val="000000"/>
          <w:spacing w:val="0"/>
          <w:w w:val="100"/>
          <w:position w:val="0"/>
        </w:rPr>
        <w:t>，主要原因是本年票据到期承兑，应付票据余额减少。</w:t>
      </w:r>
    </w:p>
    <w:p>
      <w:pPr>
        <w:pStyle w:val="Style33"/>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98"/>
      <w:bookmarkEnd w:id="1499"/>
      <w:bookmarkEnd w:id="1501"/>
    </w:p>
    <w:p>
      <w:pPr>
        <w:pStyle w:val="Style36"/>
        <w:keepNext/>
        <w:keepLines/>
        <w:widowControl w:val="0"/>
        <w:shd w:val="clear" w:color="auto" w:fill="auto"/>
        <w:bidi w:val="0"/>
        <w:spacing w:before="0" w:after="240" w:line="240" w:lineRule="auto"/>
        <w:ind w:left="0" w:right="0" w:firstLine="0"/>
        <w:jc w:val="both"/>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502"/>
      <w:bookmarkEnd w:id="1503"/>
      <w:bookmarkEnd w:id="1504"/>
    </w:p>
    <w:p>
      <w:pPr>
        <w:pStyle w:val="Style28"/>
        <w:keepNext w:val="0"/>
        <w:keepLines w:val="0"/>
        <w:widowControl w:val="0"/>
        <w:shd w:val="clear" w:color="auto" w:fill="auto"/>
        <w:bidi w:val="0"/>
        <w:spacing w:before="0" w:after="80" w:line="322" w:lineRule="exact"/>
        <w:ind w:left="8840"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590"/>
        <w:gridCol w:w="2928"/>
        <w:gridCol w:w="306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49,904,420.69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18,107,449.91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8,115,213.98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297,986.26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549,858.79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763,204.59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59,090,956.26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18,955,294.96</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05"/>
      <w:bookmarkEnd w:id="1506"/>
      <w:bookmarkEnd w:id="15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938"/>
        <w:gridCol w:w="306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299" w:line="1" w:lineRule="exact"/>
      </w:pPr>
    </w:p>
    <w:p>
      <w:pPr>
        <w:pStyle w:val="Style36"/>
        <w:keepNext/>
        <w:keepLines/>
        <w:widowControl w:val="0"/>
        <w:numPr>
          <w:ilvl w:val="0"/>
          <w:numId w:val="111"/>
        </w:numPr>
        <w:shd w:val="clear" w:color="auto" w:fill="auto"/>
        <w:bidi w:val="0"/>
        <w:spacing w:before="0" w:after="30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账龄超过一年的大额应付账款情况的说明</w:t>
      </w:r>
      <w:bookmarkEnd w:id="1508"/>
      <w:bookmarkEnd w:id="1509"/>
      <w:bookmarkEnd w:id="1511"/>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2013</w:t>
      </w:r>
      <w:r>
        <w:rPr>
          <w:color w:val="000000"/>
          <w:spacing w:val="0"/>
          <w:w w:val="100"/>
          <w:position w:val="0"/>
        </w:rPr>
        <w:t>年末余额中账龄超过一年的应付款项</w:t>
      </w:r>
      <w:r>
        <w:rPr>
          <w:rFonts w:ascii="Times New Roman" w:eastAsia="Times New Roman" w:hAnsi="Times New Roman" w:cs="Times New Roman"/>
          <w:color w:val="000000"/>
          <w:spacing w:val="0"/>
          <w:w w:val="100"/>
          <w:position w:val="0"/>
        </w:rPr>
        <w:t>9,186,535.57</w:t>
      </w:r>
      <w:r>
        <w:rPr>
          <w:color w:val="000000"/>
          <w:spacing w:val="0"/>
          <w:w w:val="100"/>
          <w:position w:val="0"/>
        </w:rPr>
        <w:t xml:space="preserve">元，主要是应付南京神州数码有限公司软件采购款 </w:t>
      </w:r>
      <w:r>
        <w:rPr>
          <w:rFonts w:ascii="Times New Roman" w:eastAsia="Times New Roman" w:hAnsi="Times New Roman" w:cs="Times New Roman"/>
          <w:color w:val="000000"/>
          <w:spacing w:val="0"/>
          <w:w w:val="100"/>
          <w:position w:val="0"/>
        </w:rPr>
        <w:t>5,919,658.12</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512"/>
      <w:bookmarkEnd w:id="1513"/>
      <w:bookmarkEnd w:id="1515"/>
    </w:p>
    <w:p>
      <w:pPr>
        <w:pStyle w:val="Style36"/>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516"/>
      <w:bookmarkEnd w:id="1517"/>
      <w:bookmarkEnd w:id="151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12,663,050.83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639,767.13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163,000.00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12,804,800.83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802,767.13</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19"/>
      <w:bookmarkEnd w:id="1520"/>
      <w:bookmarkEnd w:id="152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299" w:line="1" w:lineRule="exact"/>
      </w:pPr>
    </w:p>
    <w:p>
      <w:pPr>
        <w:pStyle w:val="Style36"/>
        <w:keepNext/>
        <w:keepLines/>
        <w:widowControl w:val="0"/>
        <w:numPr>
          <w:ilvl w:val="0"/>
          <w:numId w:val="113"/>
        </w:numPr>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账龄超过一年的大额预收账款情况的说明</w:t>
      </w:r>
      <w:bookmarkEnd w:id="1522"/>
      <w:bookmarkEnd w:id="1523"/>
      <w:bookmarkEnd w:id="1525"/>
    </w:p>
    <w:p>
      <w:pPr>
        <w:pStyle w:val="Style33"/>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526"/>
      <w:bookmarkEnd w:id="1527"/>
      <w:bookmarkEnd w:id="152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2002"/>
        <w:gridCol w:w="2246"/>
        <w:gridCol w:w="187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一、工资、奖金、津 贴和补贴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18,511,824.02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157,522,898.31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154,792,308.87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21,242,413.46</w:t>
            </w:r>
          </w:p>
        </w:tc>
      </w:tr>
    </w:tbl>
    <w:p>
      <w:pPr>
        <w:widowControl w:val="0"/>
        <w:spacing w:line="1" w:lineRule="exact"/>
      </w:pPr>
      <w:r>
        <w:br w:type="page"/>
      </w:r>
    </w:p>
    <w:tbl>
      <w:tblPr>
        <w:tblOverlap w:val="never"/>
        <w:jc w:val="center"/>
        <w:tblLayout w:type="fixed"/>
      </w:tblPr>
      <w:tblGrid>
        <w:gridCol w:w="1603"/>
        <w:gridCol w:w="1862"/>
        <w:gridCol w:w="1992"/>
        <w:gridCol w:w="2256"/>
        <w:gridCol w:w="187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6,906,027.18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6,906,027.18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19,711,213.37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19,713,422.78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138,544.96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6,339,928.01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6,261,671.01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527,307.52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18,659,760.39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191,007,374.39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188,200,737.36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21,466,397.42</w:t>
            </w:r>
          </w:p>
        </w:tc>
      </w:tr>
    </w:tbl>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527,307.52</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 应付职工薪酬预计发放时间、金额等安排</w:t>
      </w:r>
    </w:p>
    <w:p>
      <w:pPr>
        <w:pStyle w:val="Style28"/>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应付职工薪酬</w:t>
      </w:r>
      <w:r>
        <w:rPr>
          <w:rFonts w:ascii="Times New Roman" w:eastAsia="Times New Roman" w:hAnsi="Times New Roman" w:cs="Times New Roman"/>
          <w:color w:val="000000"/>
          <w:spacing w:val="0"/>
          <w:w w:val="100"/>
          <w:position w:val="0"/>
        </w:rPr>
        <w:t>2013</w:t>
      </w:r>
      <w:r>
        <w:rPr>
          <w:color w:val="000000"/>
          <w:spacing w:val="0"/>
          <w:w w:val="100"/>
          <w:position w:val="0"/>
        </w:rPr>
        <w:t>年末余额中的工资、奖金、津贴和补贴预计在</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月底发放完毕。</w:t>
      </w:r>
    </w:p>
    <w:p>
      <w:pPr>
        <w:pStyle w:val="Style33"/>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530"/>
      <w:bookmarkEnd w:id="1531"/>
      <w:bookmarkEnd w:id="15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5,705,172.54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1,633,010.25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1,093,347.13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55,367.31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1,616,966.59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527,983.20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128,752.20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340,021.19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101,092.34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461,337.15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58,695.79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9,237,572.65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2,563,026.03</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应交税费说明，所在地税务机关同意各分公司、分厂之间应纳税所得额相互调剂的，应说明税款计算过程 注</w:t>
      </w:r>
      <w:r>
        <w:rPr>
          <w:rFonts w:ascii="Times New Roman" w:eastAsia="Times New Roman" w:hAnsi="Times New Roman" w:cs="Times New Roman"/>
          <w:color w:val="000000"/>
          <w:spacing w:val="0"/>
          <w:w w:val="100"/>
          <w:position w:val="0"/>
        </w:rPr>
        <w:t>1</w:t>
      </w:r>
      <w:r>
        <w:rPr>
          <w:color w:val="000000"/>
          <w:spacing w:val="0"/>
          <w:w w:val="100"/>
          <w:position w:val="0"/>
        </w:rPr>
        <w:t>：东京润和消费税类似国内增值税，列示时并入增值税。</w:t>
      </w:r>
    </w:p>
    <w:p>
      <w:pPr>
        <w:pStyle w:val="Style33"/>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534"/>
      <w:bookmarkEnd w:id="1535"/>
      <w:bookmarkEnd w:id="1537"/>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415,708.56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184,457.78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415,708.56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184,457.78</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应付利息说明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w:t>
      </w:r>
      <w:r>
        <w:rPr>
          <w:rFonts w:ascii="Times New Roman" w:eastAsia="Times New Roman" w:hAnsi="Times New Roman" w:cs="Times New Roman"/>
          <w:color w:val="000000"/>
          <w:spacing w:val="0"/>
          <w:w w:val="100"/>
          <w:position w:val="0"/>
        </w:rPr>
        <w:t>2013</w:t>
      </w:r>
      <w:r>
        <w:rPr>
          <w:color w:val="000000"/>
          <w:spacing w:val="0"/>
          <w:w w:val="100"/>
          <w:position w:val="0"/>
        </w:rPr>
        <w:t>年末余额比年初余额增长</w:t>
      </w:r>
      <w:r>
        <w:rPr>
          <w:rFonts w:ascii="Times New Roman" w:eastAsia="Times New Roman" w:hAnsi="Times New Roman" w:cs="Times New Roman"/>
          <w:color w:val="000000"/>
          <w:spacing w:val="0"/>
          <w:w w:val="100"/>
          <w:position w:val="0"/>
        </w:rPr>
        <w:t>125.37%</w:t>
      </w:r>
      <w:r>
        <w:rPr>
          <w:color w:val="000000"/>
          <w:spacing w:val="0"/>
          <w:w w:val="100"/>
          <w:position w:val="0"/>
        </w:rPr>
        <w:t>，主要原因是本年长短期借款增加，年末应付利息的余额增加。</w:t>
      </w:r>
    </w:p>
    <w:p>
      <w:pPr>
        <w:pStyle w:val="Style33"/>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538"/>
      <w:bookmarkEnd w:id="1539"/>
      <w:bookmarkEnd w:id="1541"/>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798"/>
        <w:gridCol w:w="1992"/>
        <w:gridCol w:w="2126"/>
        <w:gridCol w:w="2669"/>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42"/>
      <w:bookmarkEnd w:id="1543"/>
      <w:bookmarkEnd w:id="1545"/>
    </w:p>
    <w:p>
      <w:pPr>
        <w:pStyle w:val="Style36"/>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546"/>
      <w:bookmarkEnd w:id="1547"/>
      <w:bookmarkEnd w:id="154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10,642,785.10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1,137,275.68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931,126.43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3,621,445.69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116,355.79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14,526,887.55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2,168,402.11</w:t>
            </w:r>
          </w:p>
        </w:tc>
      </w:tr>
    </w:tbl>
    <w:p>
      <w:pPr>
        <w:pStyle w:val="Style19"/>
        <w:keepNext w:val="0"/>
        <w:keepLines w:val="0"/>
        <w:widowControl w:val="0"/>
        <w:shd w:val="clear" w:color="auto" w:fill="auto"/>
        <w:bidi w:val="0"/>
        <w:spacing w:before="0" w:after="0" w:line="240" w:lineRule="auto"/>
        <w:ind w:left="101" w:right="0" w:firstLine="0"/>
        <w:jc w:val="left"/>
        <w:rPr>
          <w:sz w:val="20"/>
          <w:szCs w:val="20"/>
        </w:rPr>
      </w:pPr>
      <w:bookmarkStart w:id="1549" w:name="bookmark154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)本报告期其他应付款中应付持有公司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bookmarkEnd w:id="1549"/>
    </w:p>
    <w:p>
      <w:pPr>
        <w:widowControl w:val="0"/>
        <w:spacing w:after="3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6"/>
        <w:keepNext/>
        <w:keepLines/>
        <w:widowControl w:val="0"/>
        <w:numPr>
          <w:ilvl w:val="0"/>
          <w:numId w:val="115"/>
        </w:numPr>
        <w:shd w:val="clear" w:color="auto" w:fill="auto"/>
        <w:tabs>
          <w:tab w:pos="628" w:val="left"/>
        </w:tabs>
        <w:bidi w:val="0"/>
        <w:spacing w:before="0" w:after="340" w:line="240" w:lineRule="auto"/>
        <w:ind w:left="0" w:right="0" w:firstLine="14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账龄超过一年的大额其他应付款情况的说明</w:t>
      </w:r>
      <w:bookmarkEnd w:id="1550"/>
      <w:bookmarkEnd w:id="1551"/>
      <w:bookmarkEnd w:id="1553"/>
    </w:p>
    <w:p>
      <w:pPr>
        <w:pStyle w:val="Style36"/>
        <w:keepNext/>
        <w:keepLines/>
        <w:widowControl w:val="0"/>
        <w:numPr>
          <w:ilvl w:val="0"/>
          <w:numId w:val="115"/>
        </w:numPr>
        <w:shd w:val="clear" w:color="auto" w:fill="auto"/>
        <w:tabs>
          <w:tab w:pos="628" w:val="left"/>
        </w:tabs>
        <w:bidi w:val="0"/>
        <w:spacing w:before="0" w:after="340" w:line="240" w:lineRule="auto"/>
        <w:ind w:left="0" w:right="0" w:firstLine="14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金额较大的其他应付款说明内容</w:t>
      </w:r>
      <w:bookmarkEnd w:id="1554"/>
      <w:bookmarkEnd w:id="1555"/>
      <w:bookmarkEnd w:id="1557"/>
    </w:p>
    <w:tbl>
      <w:tblPr>
        <w:tblOverlap w:val="never"/>
        <w:jc w:val="center"/>
        <w:tblLayout w:type="fixed"/>
      </w:tblPr>
      <w:tblGrid>
        <w:gridCol w:w="3413"/>
        <w:gridCol w:w="1834"/>
        <w:gridCol w:w="2275"/>
        <w:gridCol w:w="1872"/>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2013.12.31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孙旭初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4,264,000.00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江苏开拓智能科技有限公司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2,816,251.23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年</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无锡市盛豪交通设施有限公司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南京重呈自控设备有限公司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882,765.00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写字楼出租押金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10,899,016.23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3</w:t>
      </w:r>
      <w:bookmarkEnd w:id="1560"/>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558"/>
      <w:bookmarkEnd w:id="1559"/>
      <w:bookmarkEnd w:id="156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77"/>
        <w:gridCol w:w="1843"/>
        <w:gridCol w:w="1862"/>
        <w:gridCol w:w="20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r>
        <w:br w:type="page"/>
      </w:r>
    </w:p>
    <w:p>
      <w:pPr>
        <w:pStyle w:val="Style33"/>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62"/>
      <w:bookmarkEnd w:id="1563"/>
      <w:bookmarkEnd w:id="1565"/>
    </w:p>
    <w:p>
      <w:pPr>
        <w:pStyle w:val="Style36"/>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566"/>
      <w:bookmarkEnd w:id="1567"/>
      <w:bookmarkEnd w:id="156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803"/>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924,798.17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1,169,368.39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924,798.17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1,169,368.39</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569"/>
      <w:bookmarkEnd w:id="1570"/>
      <w:bookmarkEnd w:id="1571"/>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803"/>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924,798.17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1,169,368.39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924,798.17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1,169,368.39</w:t>
            </w:r>
          </w:p>
        </w:tc>
      </w:tr>
    </w:tbl>
    <w:p>
      <w:pPr>
        <w:pStyle w:val="Style28"/>
        <w:keepNext w:val="0"/>
        <w:keepLines w:val="0"/>
        <w:widowControl w:val="0"/>
        <w:shd w:val="clear" w:color="auto" w:fill="auto"/>
        <w:bidi w:val="0"/>
        <w:spacing w:before="0" w:after="100" w:line="350" w:lineRule="exact"/>
        <w:ind w:left="0" w:right="0" w:firstLine="0"/>
        <w:jc w:val="left"/>
      </w:pPr>
      <w:r>
        <w:rPr>
          <w:color w:val="000000"/>
          <w:spacing w:val="0"/>
          <w:w w:val="100"/>
          <w:position w:val="0"/>
        </w:rPr>
        <w:t>一年内到期的长期借款中属于逾期借款获得展期的金额</w:t>
      </w:r>
      <w:r>
        <w:rPr>
          <w:rFonts w:ascii="Times New Roman" w:eastAsia="Times New Roman" w:hAnsi="Times New Roman" w:cs="Times New Roman"/>
          <w:color w:val="000000"/>
          <w:spacing w:val="0"/>
          <w:w w:val="100"/>
          <w:position w:val="0"/>
        </w:rPr>
        <w:t>0.00</w:t>
      </w:r>
      <w:r>
        <w:rPr>
          <w:color w:val="000000"/>
          <w:spacing w:val="0"/>
          <w:w w:val="100"/>
          <w:position w:val="0"/>
        </w:rPr>
        <w:t>元。 金额前五名的一年内到期的长期借款</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外币金额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典座信用金 厘人形町支 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10,008,000.0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578,172.17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10,008,000.0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731,074.39</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典座信用金 厘人形町支 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346,626.00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438,294.00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924,798.17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1,169,368.39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资产负债表日后已偿还的金额元。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一年内到期的长期借款说明</w:t>
      </w:r>
    </w:p>
    <w:p>
      <w:pPr>
        <w:pStyle w:val="Style36"/>
        <w:keepNext/>
        <w:keepLines/>
        <w:widowControl w:val="0"/>
        <w:numPr>
          <w:ilvl w:val="0"/>
          <w:numId w:val="117"/>
        </w:numPr>
        <w:shd w:val="clear" w:color="auto" w:fill="auto"/>
        <w:tabs>
          <w:tab w:pos="488" w:val="left"/>
        </w:tabs>
        <w:bidi w:val="0"/>
        <w:spacing w:before="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一年内到期的应付债券</w:t>
      </w:r>
      <w:bookmarkEnd w:id="1572"/>
      <w:bookmarkEnd w:id="1573"/>
      <w:bookmarkEnd w:id="157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36"/>
        <w:keepNext/>
        <w:keepLines/>
        <w:widowControl w:val="0"/>
        <w:shd w:val="clear" w:color="auto" w:fill="auto"/>
        <w:tabs>
          <w:tab w:pos="488" w:val="left"/>
        </w:tabs>
        <w:bidi w:val="0"/>
        <w:spacing w:before="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shd w:val="clear" w:color="auto" w:fill="FFFFFF"/>
        </w:rPr>
        <w:t>（</w:t>
      </w:r>
      <w:bookmarkEnd w:id="157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t>一年内到期的长期应付款</w:t>
      </w:r>
      <w:bookmarkEnd w:id="1576"/>
      <w:bookmarkEnd w:id="1577"/>
      <w:bookmarkEnd w:id="15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一年内到期的长期应付款的说明</w:t>
      </w:r>
    </w:p>
    <w:p>
      <w:pPr>
        <w:pStyle w:val="Style33"/>
        <w:keepNext/>
        <w:keepLines/>
        <w:widowControl w:val="0"/>
        <w:shd w:val="clear" w:color="auto" w:fill="auto"/>
        <w:bidi w:val="0"/>
        <w:spacing w:before="0" w:after="360" w:line="240" w:lineRule="auto"/>
        <w:ind w:left="0" w:right="0" w:firstLine="0"/>
        <w:jc w:val="both"/>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80"/>
      <w:bookmarkEnd w:id="1581"/>
      <w:bookmarkEnd w:id="15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6"/>
        <w:gridCol w:w="2933"/>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一年内转入利润表的政府补贴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pStyle w:val="Style28"/>
        <w:keepNext w:val="0"/>
        <w:keepLines w:val="0"/>
        <w:widowControl w:val="0"/>
        <w:shd w:val="clear" w:color="auto" w:fill="auto"/>
        <w:bidi w:val="0"/>
        <w:spacing w:before="0" w:after="360" w:line="311" w:lineRule="exact"/>
        <w:ind w:left="0" w:right="0" w:firstLine="520"/>
        <w:jc w:val="left"/>
      </w:pPr>
      <w:r>
        <w:rPr>
          <w:color w:val="000000"/>
          <w:spacing w:val="0"/>
          <w:w w:val="100"/>
          <w:position w:val="0"/>
        </w:rPr>
        <w:t>根据南京市发展和改革委员会、南京市财政局文件苏发改服务字</w:t>
      </w:r>
      <w:r>
        <w:rPr>
          <w:rFonts w:ascii="Times New Roman" w:eastAsia="Times New Roman" w:hAnsi="Times New Roman" w:cs="Times New Roman"/>
          <w:color w:val="000000"/>
          <w:spacing w:val="0"/>
          <w:w w:val="100"/>
          <w:position w:val="0"/>
        </w:rPr>
        <w:t>[2008]600</w:t>
      </w:r>
      <w:r>
        <w:rPr>
          <w:color w:val="000000"/>
          <w:spacing w:val="0"/>
          <w:w w:val="100"/>
          <w:position w:val="0"/>
        </w:rPr>
        <w:t>号《关于下达</w:t>
      </w:r>
      <w:r>
        <w:rPr>
          <w:rFonts w:ascii="Times New Roman" w:eastAsia="Times New Roman" w:hAnsi="Times New Roman" w:cs="Times New Roman"/>
          <w:color w:val="000000"/>
          <w:spacing w:val="0"/>
          <w:w w:val="100"/>
          <w:position w:val="0"/>
        </w:rPr>
        <w:t>2007</w:t>
      </w:r>
      <w:r>
        <w:rPr>
          <w:color w:val="000000"/>
          <w:spacing w:val="0"/>
          <w:w w:val="100"/>
          <w:position w:val="0"/>
        </w:rPr>
        <w:t>年度省级服务业发展引导 资金投资计划的通知》，本公司于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月收到南京市雨花台区财政局拨付的雨花润和软件外包园项目款项</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200,000.00 </w:t>
      </w:r>
      <w:r>
        <w:rPr>
          <w:color w:val="000000"/>
          <w:spacing w:val="0"/>
          <w:w w:val="100"/>
          <w:position w:val="0"/>
        </w:rPr>
        <w:t>元，本公司确定为与资产有关的政府补助，随资产折旧的计提而分摊。</w:t>
      </w:r>
      <w:r>
        <w:rPr>
          <w:rFonts w:ascii="Times New Roman" w:eastAsia="Times New Roman" w:hAnsi="Times New Roman" w:cs="Times New Roman"/>
          <w:color w:val="000000"/>
          <w:spacing w:val="0"/>
          <w:w w:val="100"/>
          <w:position w:val="0"/>
        </w:rPr>
        <w:t>2013</w:t>
      </w:r>
      <w:r>
        <w:rPr>
          <w:color w:val="000000"/>
          <w:spacing w:val="0"/>
          <w:w w:val="100"/>
          <w:position w:val="0"/>
        </w:rPr>
        <w:t>年度随折旧的计提转入</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项目金额为 </w:t>
      </w:r>
      <w:r>
        <w:rPr>
          <w:rFonts w:ascii="Times New Roman" w:eastAsia="Times New Roman" w:hAnsi="Times New Roman" w:cs="Times New Roman"/>
          <w:color w:val="000000"/>
          <w:spacing w:val="0"/>
          <w:w w:val="100"/>
          <w:position w:val="0"/>
        </w:rPr>
        <w:t>30,000.00</w:t>
      </w:r>
      <w:r>
        <w:rPr>
          <w:color w:val="000000"/>
          <w:spacing w:val="0"/>
          <w:w w:val="100"/>
          <w:position w:val="0"/>
        </w:rPr>
        <w:t>元，累计转入</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项目金额为</w:t>
      </w:r>
      <w:r>
        <w:rPr>
          <w:rFonts w:ascii="Times New Roman" w:eastAsia="Times New Roman" w:hAnsi="Times New Roman" w:cs="Times New Roman"/>
          <w:color w:val="000000"/>
          <w:spacing w:val="0"/>
          <w:w w:val="100"/>
          <w:position w:val="0"/>
        </w:rPr>
        <w:t>112,500.00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项目列示金额分别为 </w:t>
      </w:r>
      <w:r>
        <w:rPr>
          <w:rFonts w:ascii="Times New Roman" w:eastAsia="Times New Roman" w:hAnsi="Times New Roman" w:cs="Times New Roman"/>
          <w:color w:val="000000"/>
          <w:spacing w:val="0"/>
          <w:w w:val="100"/>
          <w:position w:val="0"/>
        </w:rPr>
        <w:t>30,000.00</w:t>
      </w:r>
      <w:r>
        <w:rPr>
          <w:color w:val="000000"/>
          <w:spacing w:val="0"/>
          <w:w w:val="100"/>
          <w:position w:val="0"/>
        </w:rPr>
        <w:t>元、</w:t>
      </w:r>
      <w:r>
        <w:rPr>
          <w:rFonts w:ascii="Times New Roman" w:eastAsia="Times New Roman" w:hAnsi="Times New Roman" w:cs="Times New Roman"/>
          <w:color w:val="000000"/>
          <w:spacing w:val="0"/>
          <w:w w:val="100"/>
          <w:position w:val="0"/>
        </w:rPr>
        <w:t>1,057,500.00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84"/>
      <w:bookmarkEnd w:id="1585"/>
      <w:bookmarkEnd w:id="1587"/>
    </w:p>
    <w:p>
      <w:pPr>
        <w:pStyle w:val="Style36"/>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8"/>
      <w:bookmarkEnd w:id="1589"/>
      <w:bookmarkEnd w:id="159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1,076,389.27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2,530,417.36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111,076,389.27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2,530,417.36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长期借款分类的说明</w:t>
      </w:r>
    </w:p>
    <w:p>
      <w:pPr>
        <w:pStyle w:val="Style36"/>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591"/>
      <w:bookmarkEnd w:id="1592"/>
      <w:bookmarkEnd w:id="1593"/>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6"/>
        <w:gridCol w:w="1061"/>
        <w:gridCol w:w="1066"/>
        <w:gridCol w:w="1066"/>
        <w:gridCol w:w="106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外币金额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典座信用金 厘人形町支 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6,632,000.00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383,137.27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16,640,000.0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1,215,535.36</w:t>
            </w:r>
          </w:p>
        </w:tc>
      </w:tr>
    </w:tbl>
    <w:p>
      <w:pPr>
        <w:widowControl w:val="0"/>
        <w:spacing w:line="1" w:lineRule="exact"/>
      </w:pPr>
      <w:r>
        <w:br w:type="page"/>
      </w:r>
    </w:p>
    <w:tbl>
      <w:tblPr>
        <w:tblOverlap w:val="never"/>
        <w:jc w:val="center"/>
        <w:tblLayout w:type="fixed"/>
      </w:tblPr>
      <w:tblGrid>
        <w:gridCol w:w="1070"/>
        <w:gridCol w:w="1066"/>
        <w:gridCol w:w="1061"/>
        <w:gridCol w:w="1066"/>
        <w:gridCol w:w="1066"/>
        <w:gridCol w:w="1061"/>
        <w:gridCol w:w="1066"/>
        <w:gridCol w:w="1066"/>
        <w:gridCol w:w="106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典座信用金 厘人形町支 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1,314,882.00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111,076,389.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2,530,417.36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3"/>
        <w:keepNext/>
        <w:keepLines/>
        <w:widowControl w:val="0"/>
        <w:shd w:val="clear" w:color="auto" w:fill="auto"/>
        <w:bidi w:val="0"/>
        <w:spacing w:before="0" w:after="36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4</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94"/>
      <w:bookmarkEnd w:id="1595"/>
      <w:bookmarkEnd w:id="159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应付债券说明，包括可转换公司债券的转股条件、转股时间</w:t>
      </w:r>
    </w:p>
    <w:p>
      <w:pPr>
        <w:pStyle w:val="Style33"/>
        <w:keepNext/>
        <w:keepLines/>
        <w:widowControl w:val="0"/>
        <w:shd w:val="clear" w:color="auto" w:fill="auto"/>
        <w:bidi w:val="0"/>
        <w:spacing w:before="0" w:after="36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598"/>
      <w:bookmarkEnd w:id="1599"/>
      <w:bookmarkEnd w:id="1601"/>
    </w:p>
    <w:p>
      <w:pPr>
        <w:pStyle w:val="Style36"/>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602"/>
      <w:bookmarkEnd w:id="1603"/>
      <w:bookmarkEnd w:id="160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pStyle w:val="Style36"/>
        <w:keepNext/>
        <w:keepLines/>
        <w:widowControl w:val="0"/>
        <w:shd w:val="clear" w:color="auto" w:fill="auto"/>
        <w:bidi w:val="0"/>
        <w:spacing w:before="0" w:after="380" w:line="240" w:lineRule="auto"/>
        <w:ind w:left="0" w:right="0" w:firstLine="14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605"/>
      <w:bookmarkEnd w:id="1606"/>
      <w:bookmarkEnd w:id="160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728"/>
        <w:gridCol w:w="1723"/>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33"/>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608"/>
      <w:bookmarkEnd w:id="1609"/>
      <w:bookmarkEnd w:id="16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325"/>
        <w:gridCol w:w="1330"/>
        <w:gridCol w:w="1200"/>
        <w:gridCol w:w="1325"/>
        <w:gridCol w:w="200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3"/>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w:t>
      </w:r>
      <w:bookmarkEnd w:id="1614"/>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612"/>
      <w:bookmarkEnd w:id="1613"/>
      <w:bookmarkEnd w:id="161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润和国际软件外包研发总部基地项目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雨花润和软件外包园项目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1,057,500.00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1,087,500.00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科技公共平台项目资金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企业供应链管理软件工程技术研究中心项目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企业供应链管理软件项目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6,657,500.00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12,687,500.00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与资产有关的政府补助</w:t>
      </w:r>
    </w:p>
    <w:p>
      <w:pPr>
        <w:pStyle w:val="Style28"/>
        <w:keepNext w:val="0"/>
        <w:keepLines w:val="0"/>
        <w:widowControl w:val="0"/>
        <w:numPr>
          <w:ilvl w:val="0"/>
          <w:numId w:val="119"/>
        </w:numPr>
        <w:shd w:val="clear" w:color="auto" w:fill="auto"/>
        <w:tabs>
          <w:tab w:pos="373" w:val="left"/>
        </w:tabs>
        <w:bidi w:val="0"/>
        <w:spacing w:before="0" w:after="0" w:line="309" w:lineRule="exact"/>
        <w:ind w:left="0" w:right="0" w:firstLine="0"/>
        <w:jc w:val="left"/>
      </w:pPr>
      <w:bookmarkStart w:id="1616" w:name="bookmark1616"/>
      <w:bookmarkEnd w:id="1616"/>
      <w:r>
        <w:rPr>
          <w:color w:val="000000"/>
          <w:spacing w:val="0"/>
          <w:w w:val="100"/>
          <w:position w:val="0"/>
        </w:rPr>
        <w:t>根据南京市发展和改革委员会、南京市财政局文件苏发改服务字</w:t>
      </w:r>
      <w:r>
        <w:rPr>
          <w:rFonts w:ascii="Times New Roman" w:eastAsia="Times New Roman" w:hAnsi="Times New Roman" w:cs="Times New Roman"/>
          <w:color w:val="000000"/>
          <w:spacing w:val="0"/>
          <w:w w:val="100"/>
          <w:position w:val="0"/>
        </w:rPr>
        <w:t>[2008]600</w:t>
      </w:r>
      <w:r>
        <w:rPr>
          <w:color w:val="000000"/>
          <w:spacing w:val="0"/>
          <w:w w:val="100"/>
          <w:position w:val="0"/>
        </w:rPr>
        <w:t>号《关于下达</w:t>
      </w:r>
      <w:r>
        <w:rPr>
          <w:rFonts w:ascii="Times New Roman" w:eastAsia="Times New Roman" w:hAnsi="Times New Roman" w:cs="Times New Roman"/>
          <w:color w:val="000000"/>
          <w:spacing w:val="0"/>
          <w:w w:val="100"/>
          <w:position w:val="0"/>
        </w:rPr>
        <w:t>2007</w:t>
      </w:r>
      <w:r>
        <w:rPr>
          <w:color w:val="000000"/>
          <w:spacing w:val="0"/>
          <w:w w:val="100"/>
          <w:position w:val="0"/>
        </w:rPr>
        <w:t>年度省级服务业发展引导资 金投资计划的通知》，本公司于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月收到南京市雨花台区财政局拨付的雨花润和软件外包园项目款项</w:t>
      </w:r>
      <w:r>
        <w:rPr>
          <w:rFonts w:ascii="Times New Roman" w:eastAsia="Times New Roman" w:hAnsi="Times New Roman" w:cs="Times New Roman"/>
          <w:color w:val="000000"/>
          <w:spacing w:val="0"/>
          <w:w w:val="100"/>
          <w:position w:val="0"/>
        </w:rPr>
        <w:t>1,200,000.00</w:t>
      </w:r>
      <w:r>
        <w:rPr>
          <w:color w:val="000000"/>
          <w:spacing w:val="0"/>
          <w:w w:val="100"/>
          <w:position w:val="0"/>
        </w:rPr>
        <w:t>元， 本公司确定为与资产有关的政府补助，随资产折旧的计提而分摊。</w:t>
      </w:r>
      <w:r>
        <w:rPr>
          <w:rFonts w:ascii="Times New Roman" w:eastAsia="Times New Roman" w:hAnsi="Times New Roman" w:cs="Times New Roman"/>
          <w:color w:val="000000"/>
          <w:spacing w:val="0"/>
          <w:w w:val="100"/>
          <w:position w:val="0"/>
        </w:rPr>
        <w:t>2013</w:t>
      </w:r>
      <w:r>
        <w:rPr>
          <w:color w:val="000000"/>
          <w:spacing w:val="0"/>
          <w:w w:val="100"/>
          <w:position w:val="0"/>
        </w:rPr>
        <w:t>年度随折旧的计提转入</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项目金额为 </w:t>
      </w:r>
      <w:r>
        <w:rPr>
          <w:rFonts w:ascii="Times New Roman" w:eastAsia="Times New Roman" w:hAnsi="Times New Roman" w:cs="Times New Roman"/>
          <w:color w:val="000000"/>
          <w:spacing w:val="0"/>
          <w:w w:val="100"/>
          <w:position w:val="0"/>
        </w:rPr>
        <w:t>30,000.00</w:t>
      </w:r>
      <w:r>
        <w:rPr>
          <w:color w:val="000000"/>
          <w:spacing w:val="0"/>
          <w:w w:val="100"/>
          <w:position w:val="0"/>
        </w:rPr>
        <w:t>元，累计转入</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项目金额为</w:t>
      </w:r>
      <w:r>
        <w:rPr>
          <w:rFonts w:ascii="Times New Roman" w:eastAsia="Times New Roman" w:hAnsi="Times New Roman" w:cs="Times New Roman"/>
          <w:color w:val="000000"/>
          <w:spacing w:val="0"/>
          <w:w w:val="100"/>
          <w:position w:val="0"/>
        </w:rPr>
        <w:t>112,500.00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项目列示金额分别为 </w:t>
      </w:r>
      <w:r>
        <w:rPr>
          <w:rFonts w:ascii="Times New Roman" w:eastAsia="Times New Roman" w:hAnsi="Times New Roman" w:cs="Times New Roman"/>
          <w:color w:val="000000"/>
          <w:spacing w:val="0"/>
          <w:w w:val="100"/>
          <w:position w:val="0"/>
        </w:rPr>
        <w:t>30,000.00</w:t>
      </w:r>
      <w:r>
        <w:rPr>
          <w:color w:val="000000"/>
          <w:spacing w:val="0"/>
          <w:w w:val="100"/>
          <w:position w:val="0"/>
        </w:rPr>
        <w:t>元、</w:t>
      </w:r>
      <w:r>
        <w:rPr>
          <w:rFonts w:ascii="Times New Roman" w:eastAsia="Times New Roman" w:hAnsi="Times New Roman" w:cs="Times New Roman"/>
          <w:color w:val="000000"/>
          <w:spacing w:val="0"/>
          <w:w w:val="100"/>
          <w:position w:val="0"/>
        </w:rPr>
        <w:t>1,057,500.00</w:t>
      </w:r>
      <w:r>
        <w:rPr>
          <w:color w:val="000000"/>
          <w:spacing w:val="0"/>
          <w:w w:val="100"/>
          <w:position w:val="0"/>
        </w:rPr>
        <w:t>元。</w:t>
      </w:r>
    </w:p>
    <w:p>
      <w:pPr>
        <w:pStyle w:val="Style28"/>
        <w:keepNext w:val="0"/>
        <w:keepLines w:val="0"/>
        <w:widowControl w:val="0"/>
        <w:numPr>
          <w:ilvl w:val="0"/>
          <w:numId w:val="119"/>
        </w:numPr>
        <w:shd w:val="clear" w:color="auto" w:fill="auto"/>
        <w:tabs>
          <w:tab w:pos="373" w:val="left"/>
        </w:tabs>
        <w:bidi w:val="0"/>
        <w:spacing w:before="0" w:after="0" w:line="309" w:lineRule="exact"/>
        <w:ind w:left="0" w:right="0" w:firstLine="0"/>
        <w:jc w:val="left"/>
      </w:pPr>
      <w:bookmarkStart w:id="1617" w:name="bookmark1617"/>
      <w:bookmarkEnd w:id="1617"/>
      <w:r>
        <w:rPr>
          <w:color w:val="000000"/>
          <w:spacing w:val="0"/>
          <w:w w:val="100"/>
          <w:position w:val="0"/>
        </w:rPr>
        <w:t>根据南京市发展和改革委员会文件宁发改服务字</w:t>
      </w:r>
      <w:r>
        <w:rPr>
          <w:rFonts w:ascii="Times New Roman" w:eastAsia="Times New Roman" w:hAnsi="Times New Roman" w:cs="Times New Roman"/>
          <w:color w:val="000000"/>
          <w:spacing w:val="0"/>
          <w:w w:val="100"/>
          <w:position w:val="0"/>
        </w:rPr>
        <w:t>[2012]595</w:t>
      </w:r>
      <w:r>
        <w:rPr>
          <w:color w:val="000000"/>
          <w:spacing w:val="0"/>
          <w:w w:val="100"/>
          <w:position w:val="0"/>
        </w:rPr>
        <w:t>号《关于下达</w:t>
      </w:r>
      <w:r>
        <w:rPr>
          <w:rFonts w:ascii="Times New Roman" w:eastAsia="Times New Roman" w:hAnsi="Times New Roman" w:cs="Times New Roman"/>
          <w:color w:val="000000"/>
          <w:spacing w:val="0"/>
          <w:w w:val="100"/>
          <w:position w:val="0"/>
        </w:rPr>
        <w:t>2012</w:t>
      </w:r>
      <w:r>
        <w:rPr>
          <w:color w:val="000000"/>
          <w:spacing w:val="0"/>
          <w:w w:val="100"/>
          <w:position w:val="0"/>
        </w:rPr>
        <w:t>年中央预算内投资国家服务业发展引导资金 计划的通知》，外包园公司于</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月收到南京市财政局拨付的润和国际软件外包研发总部基地项目资金</w:t>
      </w:r>
      <w:r>
        <w:rPr>
          <w:rFonts w:ascii="Times New Roman" w:eastAsia="Times New Roman" w:hAnsi="Times New Roman" w:cs="Times New Roman"/>
          <w:color w:val="000000"/>
          <w:spacing w:val="0"/>
          <w:w w:val="100"/>
          <w:position w:val="0"/>
        </w:rPr>
        <w:t>3,000,000.00</w:t>
      </w:r>
      <w:r>
        <w:rPr>
          <w:color w:val="000000"/>
          <w:spacing w:val="0"/>
          <w:w w:val="100"/>
          <w:position w:val="0"/>
        </w:rPr>
        <w:t>元；</w:t>
      </w:r>
    </w:p>
    <w:p>
      <w:pPr>
        <w:pStyle w:val="Style28"/>
        <w:keepNext w:val="0"/>
        <w:keepLines w:val="0"/>
        <w:widowControl w:val="0"/>
        <w:shd w:val="clear" w:color="auto" w:fill="auto"/>
        <w:bidi w:val="0"/>
        <w:spacing w:before="0" w:after="0" w:line="309" w:lineRule="exact"/>
        <w:ind w:left="0" w:right="0" w:firstLine="520"/>
        <w:jc w:val="both"/>
      </w:pPr>
      <w:r>
        <w:rPr>
          <w:color w:val="000000"/>
          <w:spacing w:val="0"/>
          <w:w w:val="100"/>
          <w:position w:val="0"/>
        </w:rPr>
        <w:t>根据南京市发展和改革委员会、南京市财政局文件宁发改服务字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2012]738</w:t>
      </w:r>
      <w:r>
        <w:rPr>
          <w:color w:val="000000"/>
          <w:spacing w:val="0"/>
          <w:w w:val="100"/>
          <w:position w:val="0"/>
        </w:rPr>
        <w:t>号《关于下达</w:t>
      </w:r>
      <w:r>
        <w:rPr>
          <w:rFonts w:ascii="Times New Roman" w:eastAsia="Times New Roman" w:hAnsi="Times New Roman" w:cs="Times New Roman"/>
          <w:color w:val="000000"/>
          <w:spacing w:val="0"/>
          <w:w w:val="100"/>
          <w:position w:val="0"/>
        </w:rPr>
        <w:t>2012</w:t>
      </w:r>
      <w:r>
        <w:rPr>
          <w:color w:val="000000"/>
          <w:spacing w:val="0"/>
          <w:w w:val="100"/>
          <w:position w:val="0"/>
        </w:rPr>
        <w:t>年度第一批省级现代服务 业发展专项引导资金投资计划的通知》，外包园公司于</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月收到南京市财政局拨付的润和国际软件外包研发总部基地 项目资金</w:t>
      </w:r>
      <w:r>
        <w:rPr>
          <w:rFonts w:ascii="Times New Roman" w:eastAsia="Times New Roman" w:hAnsi="Times New Roman" w:cs="Times New Roman"/>
          <w:color w:val="000000"/>
          <w:spacing w:val="0"/>
          <w:w w:val="100"/>
          <w:position w:val="0"/>
        </w:rPr>
        <w:t>1,500,000.00</w:t>
      </w:r>
      <w:r>
        <w:rPr>
          <w:color w:val="000000"/>
          <w:spacing w:val="0"/>
          <w:w w:val="100"/>
          <w:position w:val="0"/>
        </w:rPr>
        <w:t>元；</w:t>
      </w:r>
    </w:p>
    <w:p>
      <w:pPr>
        <w:pStyle w:val="Style28"/>
        <w:keepNext w:val="0"/>
        <w:keepLines w:val="0"/>
        <w:widowControl w:val="0"/>
        <w:shd w:val="clear" w:color="auto" w:fill="auto"/>
        <w:bidi w:val="0"/>
        <w:spacing w:before="0" w:after="80" w:line="309" w:lineRule="exact"/>
        <w:ind w:left="0" w:right="0" w:firstLine="520"/>
        <w:jc w:val="left"/>
      </w:pPr>
      <w:r>
        <w:rPr>
          <w:color w:val="000000"/>
          <w:spacing w:val="0"/>
          <w:w w:val="100"/>
          <w:position w:val="0"/>
        </w:rPr>
        <w:t>以上款项</w:t>
      </w:r>
      <w:r>
        <w:rPr>
          <w:rFonts w:ascii="Times New Roman" w:eastAsia="Times New Roman" w:hAnsi="Times New Roman" w:cs="Times New Roman"/>
          <w:color w:val="000000"/>
          <w:spacing w:val="0"/>
          <w:w w:val="100"/>
          <w:position w:val="0"/>
        </w:rPr>
        <w:t>4,500,000.00</w:t>
      </w:r>
      <w:r>
        <w:rPr>
          <w:color w:val="000000"/>
          <w:spacing w:val="0"/>
          <w:w w:val="100"/>
          <w:position w:val="0"/>
        </w:rPr>
        <w:t xml:space="preserve">元，本公司确定为与资产有关的政府补助，在润和国际软件外包研发总部基地项目完工后，随 </w:t>
      </w:r>
      <w:r>
        <w:rPr>
          <w:color w:val="000000"/>
          <w:spacing w:val="0"/>
          <w:w w:val="100"/>
          <w:position w:val="0"/>
        </w:rPr>
        <w:t>资产折旧的计提而分摊计入递延收益。</w:t>
      </w:r>
    </w:p>
    <w:p>
      <w:pPr>
        <w:pStyle w:val="Style28"/>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与收益有关的政府补助</w:t>
      </w:r>
    </w:p>
    <w:p>
      <w:pPr>
        <w:pStyle w:val="Style28"/>
        <w:keepNext w:val="0"/>
        <w:keepLines w:val="0"/>
        <w:widowControl w:val="0"/>
        <w:numPr>
          <w:ilvl w:val="0"/>
          <w:numId w:val="121"/>
        </w:numPr>
        <w:shd w:val="clear" w:color="auto" w:fill="auto"/>
        <w:tabs>
          <w:tab w:pos="369" w:val="left"/>
        </w:tabs>
        <w:bidi w:val="0"/>
        <w:spacing w:before="0" w:after="0" w:line="310" w:lineRule="exact"/>
        <w:ind w:left="0" w:right="0" w:firstLine="0"/>
        <w:jc w:val="both"/>
      </w:pPr>
      <w:bookmarkStart w:id="1618" w:name="bookmark1618"/>
      <w:bookmarkEnd w:id="1618"/>
      <w:r>
        <w:rPr>
          <w:color w:val="000000"/>
          <w:spacing w:val="0"/>
          <w:w w:val="100"/>
          <w:position w:val="0"/>
        </w:rPr>
        <w:t>根据南京市雨花台区科技局文件、南京市雨花台区财政局文件雨科</w:t>
      </w:r>
      <w:r>
        <w:rPr>
          <w:rFonts w:ascii="Times New Roman" w:eastAsia="Times New Roman" w:hAnsi="Times New Roman" w:cs="Times New Roman"/>
          <w:color w:val="000000"/>
          <w:spacing w:val="0"/>
          <w:w w:val="100"/>
          <w:position w:val="0"/>
        </w:rPr>
        <w:t>[2011]27</w:t>
      </w:r>
      <w:r>
        <w:rPr>
          <w:color w:val="000000"/>
          <w:spacing w:val="0"/>
          <w:w w:val="100"/>
          <w:position w:val="0"/>
        </w:rPr>
        <w:t>号雨财</w:t>
      </w:r>
      <w:r>
        <w:rPr>
          <w:rFonts w:ascii="Times New Roman" w:eastAsia="Times New Roman" w:hAnsi="Times New Roman" w:cs="Times New Roman"/>
          <w:color w:val="000000"/>
          <w:spacing w:val="0"/>
          <w:w w:val="100"/>
          <w:position w:val="0"/>
        </w:rPr>
        <w:t>[2011]178</w:t>
      </w:r>
      <w:r>
        <w:rPr>
          <w:color w:val="000000"/>
          <w:spacing w:val="0"/>
          <w:w w:val="100"/>
          <w:position w:val="0"/>
        </w:rPr>
        <w:t>号《关于下达雨花台区</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年科技项目计划及补助经费指标的通知》，本公司于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月收到中国（南京）软件谷管理委员会拨付的企业供应链管理 软件工程技术研究中心项目资金</w:t>
      </w:r>
      <w:r>
        <w:rPr>
          <w:rFonts w:ascii="Times New Roman" w:eastAsia="Times New Roman" w:hAnsi="Times New Roman" w:cs="Times New Roman"/>
          <w:color w:val="000000"/>
          <w:spacing w:val="0"/>
          <w:w w:val="100"/>
          <w:position w:val="0"/>
        </w:rPr>
        <w:t>100,000.00</w:t>
      </w:r>
      <w:r>
        <w:rPr>
          <w:color w:val="000000"/>
          <w:spacing w:val="0"/>
          <w:w w:val="100"/>
          <w:position w:val="0"/>
        </w:rPr>
        <w:t>元；</w:t>
      </w:r>
    </w:p>
    <w:p>
      <w:pPr>
        <w:pStyle w:val="Style2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根据南京市科学技术委员会、南京市财政局宁科</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240</w:t>
      </w:r>
      <w:r>
        <w:rPr>
          <w:color w:val="000000"/>
          <w:spacing w:val="0"/>
          <w:w w:val="100"/>
          <w:position w:val="0"/>
        </w:rPr>
        <w:t>号宁财教</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757</w:t>
      </w:r>
      <w:r>
        <w:rPr>
          <w:color w:val="000000"/>
          <w:spacing w:val="0"/>
          <w:w w:val="100"/>
          <w:position w:val="0"/>
        </w:rPr>
        <w:t>号《关于下达南京市</w:t>
      </w:r>
      <w:r>
        <w:rPr>
          <w:rFonts w:ascii="Times New Roman" w:eastAsia="Times New Roman" w:hAnsi="Times New Roman" w:cs="Times New Roman"/>
          <w:color w:val="000000"/>
          <w:spacing w:val="0"/>
          <w:w w:val="100"/>
          <w:position w:val="0"/>
        </w:rPr>
        <w:t>2013</w:t>
      </w:r>
      <w:r>
        <w:rPr>
          <w:color w:val="000000"/>
          <w:spacing w:val="0"/>
          <w:w w:val="100"/>
          <w:position w:val="0"/>
        </w:rPr>
        <w:t>年第二批 科技公共平台专项计划及科技经费指标的通知》，本公司于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月收到中国（南京）软件谷管理委员会拨付的科技公共 平台项目资金</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2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以上款项</w:t>
      </w:r>
      <w:r>
        <w:rPr>
          <w:rFonts w:ascii="Times New Roman" w:eastAsia="Times New Roman" w:hAnsi="Times New Roman" w:cs="Times New Roman"/>
          <w:color w:val="000000"/>
          <w:spacing w:val="0"/>
          <w:w w:val="100"/>
          <w:position w:val="0"/>
        </w:rPr>
        <w:t>1,100,000.00</w:t>
      </w:r>
      <w:r>
        <w:rPr>
          <w:color w:val="000000"/>
          <w:spacing w:val="0"/>
          <w:w w:val="100"/>
          <w:position w:val="0"/>
        </w:rPr>
        <w:t>元，由于项目合同明确注明需政府验收通过，在完成项目验收手续前，计入递延收益。</w:t>
      </w:r>
    </w:p>
    <w:p>
      <w:pPr>
        <w:pStyle w:val="Style28"/>
        <w:keepNext w:val="0"/>
        <w:keepLines w:val="0"/>
        <w:widowControl w:val="0"/>
        <w:numPr>
          <w:ilvl w:val="0"/>
          <w:numId w:val="121"/>
        </w:numPr>
        <w:shd w:val="clear" w:color="auto" w:fill="auto"/>
        <w:tabs>
          <w:tab w:pos="369" w:val="left"/>
        </w:tabs>
        <w:bidi w:val="0"/>
        <w:spacing w:before="0" w:after="0" w:line="310" w:lineRule="exact"/>
        <w:ind w:left="0" w:right="0" w:firstLine="0"/>
        <w:jc w:val="left"/>
      </w:pPr>
      <w:bookmarkStart w:id="1619" w:name="bookmark1619"/>
      <w:bookmarkEnd w:id="1619"/>
      <w:r>
        <w:rPr>
          <w:color w:val="000000"/>
          <w:spacing w:val="0"/>
          <w:w w:val="100"/>
          <w:position w:val="0"/>
        </w:rPr>
        <w:t>根据南京市财政局、南京市经济和信息化委员会文件宁财企</w:t>
      </w:r>
      <w:r>
        <w:rPr>
          <w:rFonts w:ascii="Times New Roman" w:eastAsia="Times New Roman" w:hAnsi="Times New Roman" w:cs="Times New Roman"/>
          <w:color w:val="000000"/>
          <w:spacing w:val="0"/>
          <w:w w:val="100"/>
          <w:position w:val="0"/>
        </w:rPr>
        <w:t>[2012]719</w:t>
      </w:r>
      <w:r>
        <w:rPr>
          <w:color w:val="000000"/>
          <w:spacing w:val="0"/>
          <w:w w:val="100"/>
          <w:position w:val="0"/>
        </w:rPr>
        <w:t>号《关于下达</w:t>
      </w:r>
      <w:r>
        <w:rPr>
          <w:rFonts w:ascii="Times New Roman" w:eastAsia="Times New Roman" w:hAnsi="Times New Roman" w:cs="Times New Roman"/>
          <w:color w:val="000000"/>
          <w:spacing w:val="0"/>
          <w:w w:val="100"/>
          <w:position w:val="0"/>
        </w:rPr>
        <w:t>2012</w:t>
      </w:r>
      <w:r>
        <w:rPr>
          <w:color w:val="000000"/>
          <w:spacing w:val="0"/>
          <w:w w:val="100"/>
          <w:position w:val="0"/>
        </w:rPr>
        <w:t>年度江苏省工业和信息产业转型 升级专项引导资金补助项目及补助资金计划的通知》，本公司于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月收到中国（南京）软件谷管理委员会拨付的企业 供应链管理软件项目资金</w:t>
      </w:r>
      <w:r>
        <w:rPr>
          <w:rFonts w:ascii="Times New Roman" w:eastAsia="Times New Roman" w:hAnsi="Times New Roman" w:cs="Times New Roman"/>
          <w:color w:val="000000"/>
          <w:spacing w:val="0"/>
          <w:w w:val="100"/>
          <w:position w:val="0"/>
        </w:rPr>
        <w:t>7,000,000.00</w:t>
      </w:r>
      <w:r>
        <w:rPr>
          <w:color w:val="000000"/>
          <w:spacing w:val="0"/>
          <w:w w:val="100"/>
          <w:position w:val="0"/>
        </w:rPr>
        <w:t>元；</w:t>
      </w:r>
    </w:p>
    <w:p>
      <w:pPr>
        <w:pStyle w:val="Style2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根据国家发展和改革委员会办公厅文件发改办高技</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2766</w:t>
      </w:r>
      <w:r>
        <w:rPr>
          <w:color w:val="000000"/>
          <w:spacing w:val="0"/>
          <w:w w:val="100"/>
          <w:position w:val="0"/>
        </w:rPr>
        <w:t>号《国家发展改革委办公厅关于</w:t>
      </w:r>
      <w:r>
        <w:rPr>
          <w:rFonts w:ascii="Times New Roman" w:eastAsia="Times New Roman" w:hAnsi="Times New Roman" w:cs="Times New Roman"/>
          <w:color w:val="000000"/>
          <w:spacing w:val="0"/>
          <w:w w:val="100"/>
          <w:position w:val="0"/>
        </w:rPr>
        <w:t>2012</w:t>
      </w:r>
      <w:r>
        <w:rPr>
          <w:color w:val="000000"/>
          <w:spacing w:val="0"/>
          <w:w w:val="100"/>
          <w:position w:val="0"/>
        </w:rPr>
        <w:t>年物联网技术研 发及产业化专项第一批项目的复函》，本公司于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月收到南京市财政局拨付的供应链管理软件研发及产业化项目资金 </w:t>
      </w:r>
      <w:r>
        <w:rPr>
          <w:rFonts w:ascii="Times New Roman" w:eastAsia="Times New Roman" w:hAnsi="Times New Roman" w:cs="Times New Roman"/>
          <w:color w:val="000000"/>
          <w:spacing w:val="0"/>
          <w:w w:val="100"/>
          <w:position w:val="0"/>
        </w:rPr>
        <w:t>8,000,000.00</w:t>
      </w:r>
      <w:r>
        <w:rPr>
          <w:color w:val="000000"/>
          <w:spacing w:val="0"/>
          <w:w w:val="100"/>
          <w:position w:val="0"/>
        </w:rPr>
        <w:t>元；</w:t>
      </w:r>
    </w:p>
    <w:p>
      <w:pPr>
        <w:pStyle w:val="Style28"/>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以上款项合计</w:t>
      </w:r>
      <w:r>
        <w:rPr>
          <w:rFonts w:ascii="Times New Roman" w:eastAsia="Times New Roman" w:hAnsi="Times New Roman" w:cs="Times New Roman"/>
          <w:color w:val="000000"/>
          <w:spacing w:val="0"/>
          <w:w w:val="100"/>
          <w:position w:val="0"/>
        </w:rPr>
        <w:t>15,000,000.00</w:t>
      </w:r>
      <w:r>
        <w:rPr>
          <w:color w:val="000000"/>
          <w:spacing w:val="0"/>
          <w:w w:val="100"/>
          <w:position w:val="0"/>
        </w:rPr>
        <w:t>元，本年度完成了项目验收手续，计入本年度营业外收入。</w:t>
      </w:r>
    </w:p>
    <w:p>
      <w:pPr>
        <w:pStyle w:val="Style28"/>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涉及政府补助的负债项目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0"/>
        <w:gridCol w:w="1152"/>
        <w:gridCol w:w="1123"/>
        <w:gridCol w:w="15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雨花润和软件外包 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雨花润和软件外包 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科技公共平台项目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企业供应链管理软 件工程技术研究中 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企业供应链管理软 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12,687,500.00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6,657,500.00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620"/>
      <w:bookmarkEnd w:id="1621"/>
      <w:bookmarkEnd w:id="162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153,480,000.00</w:t>
            </w:r>
          </w:p>
        </w:tc>
      </w:tr>
    </w:tbl>
    <w:p>
      <w:pPr>
        <w:pStyle w:val="Style2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年的股份有限公司，设立前的年份只需说明净资产情况；有限责任公司整体变更为股份公司应说明公司设立时的验资情况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年度股东大会决议审议通过，以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w:t>
      </w:r>
      <w:r>
        <w:rPr>
          <w:color w:val="000000"/>
          <w:spacing w:val="0"/>
          <w:w w:val="100"/>
          <w:position w:val="0"/>
        </w:rPr>
        <w:t>万股为基数，用资本公积向全体股东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w:t>
      </w:r>
      <w:r>
        <w:rPr>
          <w:color w:val="000000"/>
          <w:spacing w:val="0"/>
          <w:w w:val="100"/>
          <w:position w:val="0"/>
        </w:rPr>
        <w:t>万股，转增后公司注册资本变更为人民币</w:t>
      </w:r>
      <w:r>
        <w:rPr>
          <w:rFonts w:ascii="Times New Roman" w:eastAsia="Times New Roman" w:hAnsi="Times New Roman" w:cs="Times New Roman"/>
          <w:color w:val="000000"/>
          <w:spacing w:val="0"/>
          <w:w w:val="100"/>
          <w:position w:val="0"/>
        </w:rPr>
        <w:t>15,348</w:t>
      </w:r>
      <w:r>
        <w:rPr>
          <w:color w:val="000000"/>
          <w:spacing w:val="0"/>
          <w:w w:val="100"/>
          <w:position w:val="0"/>
        </w:rPr>
        <w:t>万元。本次资本公积转增股本已于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月实施完毕，变更后的股本业经华普天健会计师事务所（北京）有限公司审验，并于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日出具会验字</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 xml:space="preserve">1929 </w:t>
      </w:r>
      <w:r>
        <w:rPr>
          <w:color w:val="000000"/>
          <w:spacing w:val="0"/>
          <w:w w:val="100"/>
          <w:position w:val="0"/>
        </w:rPr>
        <w:t>号《验资报告》。</w:t>
      </w:r>
    </w:p>
    <w:p>
      <w:pPr>
        <w:pStyle w:val="Style33"/>
        <w:keepNext/>
        <w:keepLines/>
        <w:widowControl w:val="0"/>
        <w:shd w:val="clear" w:color="auto" w:fill="auto"/>
        <w:tabs>
          <w:tab w:pos="478" w:val="left"/>
        </w:tabs>
        <w:bidi w:val="0"/>
        <w:spacing w:before="0" w:after="28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624"/>
      <w:bookmarkEnd w:id="1625"/>
      <w:bookmarkEnd w:id="1627"/>
    </w:p>
    <w:p>
      <w:pPr>
        <w:pStyle w:val="Style2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库存股情况说明</w:t>
      </w:r>
    </w:p>
    <w:p>
      <w:pPr>
        <w:pStyle w:val="Style33"/>
        <w:keepNext/>
        <w:keepLines/>
        <w:widowControl w:val="0"/>
        <w:shd w:val="clear" w:color="auto" w:fill="auto"/>
        <w:tabs>
          <w:tab w:pos="478" w:val="left"/>
        </w:tabs>
        <w:bidi w:val="0"/>
        <w:spacing w:before="0" w:after="28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628"/>
      <w:bookmarkEnd w:id="1629"/>
      <w:bookmarkEnd w:id="1631"/>
    </w:p>
    <w:p>
      <w:pPr>
        <w:pStyle w:val="Style2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专项储备情况说明</w:t>
      </w:r>
    </w:p>
    <w:p>
      <w:pPr>
        <w:pStyle w:val="Style33"/>
        <w:keepNext/>
        <w:keepLines/>
        <w:widowControl w:val="0"/>
        <w:shd w:val="clear" w:color="auto" w:fill="auto"/>
        <w:tabs>
          <w:tab w:pos="478" w:val="left"/>
        </w:tabs>
        <w:bidi w:val="0"/>
        <w:spacing w:before="0" w:after="36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632"/>
      <w:bookmarkEnd w:id="1633"/>
      <w:bookmarkEnd w:id="16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415,560,152.54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76,740,000.00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338,820,152.54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415,560,152.54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76,740,000.00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338,820,152.54</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资本公积说明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资本公积本年减少数是公司本年度以资本公积转增股本所致。</w:t>
      </w:r>
    </w:p>
    <w:p>
      <w:pPr>
        <w:pStyle w:val="Style33"/>
        <w:keepNext/>
        <w:keepLines/>
        <w:widowControl w:val="0"/>
        <w:shd w:val="clear" w:color="auto" w:fill="auto"/>
        <w:bidi w:val="0"/>
        <w:spacing w:before="0" w:after="36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636"/>
      <w:bookmarkEnd w:id="1637"/>
      <w:bookmarkEnd w:id="1639"/>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19,344,049.39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6,872,270.80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26,216,320.19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19,344,049.39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6,872,270.80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26,216,320.19</w:t>
            </w:r>
          </w:p>
        </w:tc>
      </w:tr>
    </w:tbl>
    <w:p>
      <w:pPr>
        <w:widowControl w:val="0"/>
        <w:spacing w:after="5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盈余公积说明，用盈余公积转增股本、弥补亏损、分派股利的，应说明有关决议</w:t>
      </w:r>
    </w:p>
    <w:p>
      <w:pPr>
        <w:pStyle w:val="Style33"/>
        <w:keepNext/>
        <w:keepLines/>
        <w:widowControl w:val="0"/>
        <w:shd w:val="clear" w:color="auto" w:fill="auto"/>
        <w:bidi w:val="0"/>
        <w:spacing w:before="0" w:after="36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、一般风险准备</w:t>
      </w:r>
      <w:bookmarkEnd w:id="1640"/>
      <w:bookmarkEnd w:id="1641"/>
      <w:bookmarkEnd w:id="1643"/>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一般风险准备情况说明</w:t>
      </w:r>
    </w:p>
    <w:p>
      <w:pPr>
        <w:pStyle w:val="Style33"/>
        <w:keepNext/>
        <w:keepLines/>
        <w:widowControl w:val="0"/>
        <w:shd w:val="clear" w:color="auto" w:fill="auto"/>
        <w:bidi w:val="0"/>
        <w:spacing w:before="0" w:after="36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644"/>
      <w:bookmarkEnd w:id="1645"/>
      <w:bookmarkEnd w:id="1647"/>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725"/>
        <w:gridCol w:w="21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143,746,211.88</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143,746,211.88</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77,167,961.05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6,872,270.80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198,693,902.13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8"/>
        <w:keepNext w:val="0"/>
        <w:keepLines w:val="0"/>
        <w:widowControl w:val="0"/>
        <w:shd w:val="clear" w:color="auto" w:fill="auto"/>
        <w:tabs>
          <w:tab w:pos="330" w:val="left"/>
        </w:tabs>
        <w:bidi w:val="0"/>
        <w:spacing w:before="0" w:after="0" w:line="312" w:lineRule="exact"/>
        <w:ind w:left="0" w:right="0" w:firstLine="0"/>
        <w:jc w:val="both"/>
      </w:pPr>
      <w:bookmarkStart w:id="1648" w:name="bookmark1648"/>
      <w:r>
        <w:rPr>
          <w:rFonts w:ascii="Times New Roman" w:eastAsia="Times New Roman" w:hAnsi="Times New Roman" w:cs="Times New Roman"/>
          <w:color w:val="000000"/>
          <w:spacing w:val="0"/>
          <w:w w:val="100"/>
          <w:position w:val="0"/>
        </w:rPr>
        <w:t>1</w:t>
      </w:r>
      <w:bookmarkEnd w:id="164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649" w:name="bookmark1649"/>
      <w:r>
        <w:rPr>
          <w:rFonts w:ascii="Times New Roman" w:eastAsia="Times New Roman" w:hAnsi="Times New Roman" w:cs="Times New Roman"/>
          <w:color w:val="000000"/>
          <w:spacing w:val="0"/>
          <w:w w:val="100"/>
          <w:position w:val="0"/>
        </w:rPr>
        <w:t>2</w:t>
      </w:r>
      <w:bookmarkEnd w:id="164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650" w:name="bookmark1650"/>
      <w:r>
        <w:rPr>
          <w:rFonts w:ascii="Times New Roman" w:eastAsia="Times New Roman" w:hAnsi="Times New Roman" w:cs="Times New Roman"/>
          <w:color w:val="000000"/>
          <w:spacing w:val="0"/>
          <w:w w:val="100"/>
          <w:position w:val="0"/>
        </w:rPr>
        <w:t>3</w:t>
      </w:r>
      <w:bookmarkEnd w:id="165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651" w:name="bookmark1651"/>
      <w:r>
        <w:rPr>
          <w:rFonts w:ascii="Times New Roman" w:eastAsia="Times New Roman" w:hAnsi="Times New Roman" w:cs="Times New Roman"/>
          <w:color w:val="000000"/>
          <w:spacing w:val="0"/>
          <w:w w:val="100"/>
          <w:position w:val="0"/>
        </w:rPr>
        <w:t>4</w:t>
      </w:r>
      <w:bookmarkEnd w:id="165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652" w:name="bookmark1652"/>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8"/>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年度股东大会并审议通过了《关于公司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年度利润分配方案的议案》，以</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年末公司总股本 </w:t>
      </w:r>
      <w:r>
        <w:rPr>
          <w:rFonts w:ascii="Times New Roman" w:eastAsia="Times New Roman" w:hAnsi="Times New Roman" w:cs="Times New Roman"/>
          <w:color w:val="000000"/>
          <w:spacing w:val="0"/>
          <w:w w:val="100"/>
          <w:position w:val="0"/>
        </w:rPr>
        <w:t>7,674</w:t>
      </w:r>
      <w:r>
        <w:rPr>
          <w:color w:val="000000"/>
          <w:spacing w:val="0"/>
          <w:w w:val="100"/>
          <w:position w:val="0"/>
        </w:rPr>
        <w:t>万股为基数，每股派发现金股利</w:t>
      </w:r>
      <w:r>
        <w:rPr>
          <w:rFonts w:ascii="Times New Roman" w:eastAsia="Times New Roman" w:hAnsi="Times New Roman" w:cs="Times New Roman"/>
          <w:color w:val="000000"/>
          <w:spacing w:val="0"/>
          <w:w w:val="100"/>
          <w:position w:val="0"/>
        </w:rPr>
        <w:t>0.2</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15,348,000.00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653"/>
      <w:bookmarkEnd w:id="1654"/>
      <w:bookmarkEnd w:id="1656"/>
    </w:p>
    <w:p>
      <w:pPr>
        <w:pStyle w:val="Style36"/>
        <w:keepNext/>
        <w:keepLines/>
        <w:widowControl w:val="0"/>
        <w:shd w:val="clear" w:color="auto" w:fill="auto"/>
        <w:bidi w:val="0"/>
        <w:spacing w:before="0" w:line="240" w:lineRule="auto"/>
        <w:ind w:left="0" w:right="0" w:firstLine="0"/>
        <w:jc w:val="both"/>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657"/>
      <w:bookmarkEnd w:id="1658"/>
      <w:bookmarkEnd w:id="165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474,903,200.17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377,412,444.20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1,894,625.86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2,122,771.82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291,261,872.48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229,222,712.53</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60"/>
      <w:bookmarkEnd w:id="1661"/>
      <w:bookmarkEnd w:id="166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474,903,200.17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290,055,455.05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377,412,444.20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228,137,578.68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474,903,200.17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290,055,455.05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377,412,444.20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228,137,578.68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663"/>
      <w:bookmarkEnd w:id="1664"/>
      <w:bookmarkEnd w:id="166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173,720,829.62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91,113,078.93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140,660,246.82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75,502,666.67</w:t>
            </w:r>
          </w:p>
        </w:tc>
      </w:tr>
    </w:tbl>
    <w:p>
      <w:pPr>
        <w:widowControl w:val="0"/>
        <w:spacing w:line="1" w:lineRule="exact"/>
      </w:pPr>
      <w:r>
        <w:br w:type="page"/>
      </w:r>
    </w:p>
    <w:tbl>
      <w:tblPr>
        <w:tblOverlap w:val="never"/>
        <w:jc w:val="center"/>
        <w:tblLayout w:type="fixed"/>
      </w:tblPr>
      <w:tblGrid>
        <w:gridCol w:w="2534"/>
        <w:gridCol w:w="1723"/>
        <w:gridCol w:w="1862"/>
        <w:gridCol w:w="1728"/>
        <w:gridCol w:w="17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智能终端嵌入式软件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101,352,659.44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52,678,386.40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98,747,682.44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50,688,846.72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60,303,869.10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31,902,011.56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49,955,431.20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27,979,852.70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57,887,432.85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41,980,375.13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40,887,109.35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37,013,475.39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41,890,516.52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36,589,875.59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30,263,479.13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28,176,959.82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20,377,548.70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19,934,088.37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10,487,820.68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7,191,167.82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25,781,018.52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17,442,248.63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474,903,200.17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290,055,455.05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377,412,444.20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228,137,578.68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667"/>
      <w:bookmarkEnd w:id="1668"/>
      <w:bookmarkEnd w:id="16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345,298,768.93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222,581,997.40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262,119,479.23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170,961,809.53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129,604,431.24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67,473,457.65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115,292,964.97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57,175,769.15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474,903,200.17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290,055,455.05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377,412,444.20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228,137,578.68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671"/>
      <w:bookmarkEnd w:id="1672"/>
      <w:bookmarkEnd w:id="167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6"/>
        <w:gridCol w:w="2842"/>
        <w:gridCol w:w="41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23,447,390.06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百胜咨询</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19,965,664.50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江苏方天电力技术有限公司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19,491,570.71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南京南瑞集团公司信息通信技术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19,443,679.25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卜</w:t>
            </w:r>
            <w:r>
              <w:rPr>
                <w:color w:val="000000"/>
                <w:spacing w:val="0"/>
                <w:w w:val="100"/>
                <w:position w:val="0"/>
                <w:sz w:val="18"/>
                <w:szCs w:val="18"/>
              </w:rPr>
              <w:t>m</w:t>
            </w:r>
            <w:r>
              <w:rPr>
                <w:color w:val="000000"/>
                <w:spacing w:val="0"/>
                <w:w w:val="100"/>
                <w:position w:val="0"/>
              </w:rPr>
              <w:t>夕自勤卓株式会社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18,026,439.75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100,374,744.27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3"/>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w:t>
      </w:r>
      <w:bookmarkEnd w:id="1677"/>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675"/>
      <w:bookmarkEnd w:id="1676"/>
      <w:bookmarkEnd w:id="167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603"/>
        <w:gridCol w:w="159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合同项目的说明</w:t>
      </w:r>
      <w:r>
        <w:br w:type="page"/>
      </w:r>
    </w:p>
    <w:p>
      <w:pPr>
        <w:pStyle w:val="Style33"/>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5</w:t>
      </w:r>
      <w:bookmarkEnd w:id="1681"/>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679"/>
      <w:bookmarkEnd w:id="1680"/>
      <w:bookmarkEnd w:id="168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1,108,935.74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1,647,471.26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502,668.85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359,049.37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108,658.68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623,233.08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1,970,653.96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2,526,812.07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3"/>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83"/>
      <w:bookmarkEnd w:id="1684"/>
      <w:bookmarkEnd w:id="168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16,745,030.83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12,050,015.92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8,995,847.32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8,173,183.81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3,237,383.04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3,150,663.70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1,299,888.43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2,894,100.80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769,039.60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664,368.68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275,100.42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31,595,339.08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27,368,479.77</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87"/>
      <w:bookmarkEnd w:id="1688"/>
      <w:bookmarkEnd w:id="169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44,457,821.28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20,981,036.88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16,554,360.35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15,319,286.35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6,688,817.30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8,829,607.92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5,085,300.73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4,837,227.33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3,578,059.81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2,999,100.33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2,736,809.94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1,961,123.07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2,281,661.88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1,444,579.38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1,730,161.21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918,499.69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1,688,224.75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522,169.96</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790,590.24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181,579.72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2,692,472.81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2,770,425.32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88,284,280.30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60,764,635.95</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91"/>
      <w:bookmarkEnd w:id="1692"/>
      <w:bookmarkEnd w:id="169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5,697,740.10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8,194,250.50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-8,349,188.63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-6,106,398.64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6,229,425.37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1,572,287.90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275,247.63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3,888,066.26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3,935,387.39</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95"/>
      <w:bookmarkEnd w:id="1696"/>
      <w:bookmarkEnd w:id="16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94"/>
        <w:gridCol w:w="292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-918,170.00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bl>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公允价值变动收益的说明</w:t>
      </w:r>
    </w:p>
    <w:p>
      <w:pPr>
        <w:pStyle w:val="Style28"/>
        <w:keepNext w:val="0"/>
        <w:keepLines w:val="0"/>
        <w:widowControl w:val="0"/>
        <w:numPr>
          <w:ilvl w:val="0"/>
          <w:numId w:val="123"/>
        </w:numPr>
        <w:shd w:val="clear" w:color="auto" w:fill="auto"/>
        <w:tabs>
          <w:tab w:pos="402" w:val="left"/>
        </w:tabs>
        <w:bidi w:val="0"/>
        <w:spacing w:before="0" w:after="0" w:line="312" w:lineRule="exact"/>
        <w:ind w:left="0" w:right="0" w:firstLine="0"/>
        <w:jc w:val="left"/>
      </w:pPr>
      <w:bookmarkStart w:id="1699" w:name="bookmark1699"/>
      <w:bookmarkEnd w:id="1699"/>
      <w:r>
        <w:rPr>
          <w:color w:val="000000"/>
          <w:spacing w:val="0"/>
          <w:w w:val="100"/>
          <w:position w:val="0"/>
        </w:rPr>
        <w:t>交易性金融资产形成的公允价值变动收益系公司上年度开展的远期外汇结汇业务在本年结汇，转回上年公允价值变动损 益所致。</w:t>
      </w:r>
    </w:p>
    <w:p>
      <w:pPr>
        <w:pStyle w:val="Style28"/>
        <w:keepNext w:val="0"/>
        <w:keepLines w:val="0"/>
        <w:widowControl w:val="0"/>
        <w:numPr>
          <w:ilvl w:val="0"/>
          <w:numId w:val="123"/>
        </w:numPr>
        <w:shd w:val="clear" w:color="auto" w:fill="auto"/>
        <w:tabs>
          <w:tab w:pos="402" w:val="left"/>
        </w:tabs>
        <w:bidi w:val="0"/>
        <w:spacing w:before="0" w:after="360" w:line="312" w:lineRule="exact"/>
        <w:ind w:left="0" w:right="0" w:firstLine="0"/>
        <w:jc w:val="left"/>
      </w:pPr>
      <w:bookmarkStart w:id="1700" w:name="bookmark1700"/>
      <w:bookmarkEnd w:id="1700"/>
      <w:r>
        <w:rPr>
          <w:color w:val="000000"/>
          <w:spacing w:val="0"/>
          <w:w w:val="100"/>
          <w:position w:val="0"/>
        </w:rPr>
        <w:t>其他流动资产形成的公允价值变动收益系子公司江苏开拓购入实物投资黄金形成。</w:t>
      </w:r>
    </w:p>
    <w:p>
      <w:pPr>
        <w:pStyle w:val="Style33"/>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701"/>
      <w:bookmarkEnd w:id="1702"/>
      <w:bookmarkEnd w:id="1704"/>
    </w:p>
    <w:p>
      <w:pPr>
        <w:pStyle w:val="Style36"/>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705"/>
      <w:bookmarkEnd w:id="1706"/>
      <w:bookmarkEnd w:id="1707"/>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2794"/>
        <w:gridCol w:w="29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1,663,790.55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14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08"/>
      <w:bookmarkEnd w:id="1709"/>
      <w:bookmarkEnd w:id="171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2"/>
        <w:gridCol w:w="1728"/>
        <w:gridCol w:w="2933"/>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299" w:line="1" w:lineRule="exact"/>
      </w:pPr>
    </w:p>
    <w:p>
      <w:pPr>
        <w:pStyle w:val="Style36"/>
        <w:keepNext/>
        <w:keepLines/>
        <w:widowControl w:val="0"/>
        <w:numPr>
          <w:ilvl w:val="0"/>
          <w:numId w:val="123"/>
        </w:numPr>
        <w:shd w:val="clear" w:color="auto" w:fill="auto"/>
        <w:bidi w:val="0"/>
        <w:spacing w:before="0" w:line="240" w:lineRule="auto"/>
        <w:ind w:left="0" w:right="0" w:firstLine="14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按权益法核算的长期股权投资收益</w:t>
      </w:r>
      <w:bookmarkEnd w:id="1711"/>
      <w:bookmarkEnd w:id="1712"/>
      <w:bookmarkEnd w:id="171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2"/>
        <w:gridCol w:w="1728"/>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-309.45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-309.45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3"/>
        <w:keepNext/>
        <w:keepLines/>
        <w:widowControl w:val="0"/>
        <w:shd w:val="clear" w:color="auto" w:fill="auto"/>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15"/>
      <w:bookmarkEnd w:id="1716"/>
      <w:bookmarkEnd w:id="171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3,369,095.45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3,599,838.12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3,369,095.45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3,599,838.12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6</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719"/>
      <w:bookmarkEnd w:id="1720"/>
      <w:bookmarkEnd w:id="1722"/>
    </w:p>
    <w:p>
      <w:pPr>
        <w:pStyle w:val="Style36"/>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723"/>
      <w:bookmarkEnd w:id="1724"/>
      <w:bookmarkEnd w:id="172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298"/>
        <w:gridCol w:w="1954"/>
        <w:gridCol w:w="2165"/>
        <w:gridCol w:w="21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28,968,886.67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17,503,243.07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27,749,413.50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28,968,886.67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17,503,243.07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6"/>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726"/>
      <w:bookmarkEnd w:id="1727"/>
      <w:bookmarkEnd w:id="172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工业和信息产业转型升 级专项引导资金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软件产业补贴资金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2,942,954.00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省级基地龙头型服务外 包企业奖励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软件产业综合奖励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1,337,092.00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1,219,473.17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软件及服务外包产业发 展扶持资金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723,070.00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技术出口贴息资金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省创新团队人才资助资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738,797.50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28,968,886.67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17,503,243.07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729"/>
      <w:bookmarkEnd w:id="1730"/>
      <w:bookmarkEnd w:id="173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20"/>
        <w:gridCol w:w="192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31,419.68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31,419.68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31,419.68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307,219.68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215,732.00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307,219.68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733"/>
      <w:bookmarkEnd w:id="1734"/>
      <w:bookmarkEnd w:id="173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7,717,755.87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5,896,758.68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-206,008.68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7,792,152.08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5,690,750.00</w:t>
            </w:r>
          </w:p>
        </w:tc>
      </w:tr>
    </w:tbl>
    <w:p>
      <w:pPr>
        <w:widowControl w:val="0"/>
        <w:spacing w:after="319" w:line="1" w:lineRule="exact"/>
      </w:pPr>
    </w:p>
    <w:p>
      <w:pPr>
        <w:pStyle w:val="Style33"/>
        <w:keepNext/>
        <w:keepLines/>
        <w:widowControl w:val="0"/>
        <w:shd w:val="clear" w:color="auto" w:fill="auto"/>
        <w:bidi w:val="0"/>
        <w:spacing w:before="0" w:after="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737"/>
      <w:bookmarkEnd w:id="1738"/>
      <w:bookmarkEnd w:id="1740"/>
    </w:p>
    <w:p>
      <w:pPr>
        <w:widowControl w:val="0"/>
        <w:spacing w:line="1" w:lineRule="exact"/>
        <w:sectPr>
          <w:footnotePr>
            <w:pos w:val="pageBottom"/>
            <w:numFmt w:val="decimal"/>
            <w:numRestart w:val="continuous"/>
          </w:footnotePr>
          <w:pgSz w:w="11900" w:h="16840"/>
          <w:pgMar w:top="1151" w:right="1056" w:bottom="1404" w:left="1061" w:header="0" w:footer="3" w:gutter="0"/>
          <w:cols w:space="720"/>
          <w:noEndnote/>
          <w:rtlGutter w:val="0"/>
          <w:docGrid w:linePitch="360"/>
        </w:sectPr>
      </w:pPr>
      <w:r>
        <mc:AlternateContent>
          <mc:Choice Requires="wps">
            <w:drawing>
              <wp:anchor distT="155575" distB="12065" distL="0" distR="0" simplePos="0" relativeHeight="125829430" behindDoc="0" locked="0" layoutInCell="1" allowOverlap="1">
                <wp:simplePos x="0" y="0"/>
                <wp:positionH relativeFrom="page">
                  <wp:posOffset>2088515</wp:posOffset>
                </wp:positionH>
                <wp:positionV relativeFrom="paragraph">
                  <wp:posOffset>155575</wp:posOffset>
                </wp:positionV>
                <wp:extent cx="1054735" cy="149225"/>
                <wp:wrapTopAndBottom/>
                <wp:docPr id="68" name="Shape 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基本每股收益的计算</w:t>
                            </w:r>
                          </w:p>
                        </w:txbxContent>
                      </wps:txbx>
                      <wps:bodyPr wrap="none" lIns="0" tIns="0" rIns="0" bIns="0">
                        <a:noAutoFit/>
                      </wps:bodyPr>
                    </wps:wsp>
                  </a:graphicData>
                </a:graphic>
              </wp:anchor>
            </w:drawing>
          </mc:Choice>
          <mc:Fallback>
            <w:pict>
              <v:shape id="_x0000_s1094" type="#_x0000_t202" style="position:absolute;margin-left:164.45000000000002pt;margin-top:12.25pt;width:83.049999999999997pt;height:11.75pt;z-index:-125829323;mso-wrap-distance-left:0;mso-wrap-distance-top:12.25pt;mso-wrap-distance-right:0;mso-wrap-distance-bottom:0.9500000000000000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基本每股收益的计算</w:t>
                      </w:r>
                    </w:p>
                  </w:txbxContent>
                </v:textbox>
                <w10:wrap type="topAndBottom" anchorx="page"/>
              </v:shape>
            </w:pict>
          </mc:Fallback>
        </mc:AlternateContent>
      </w:r>
      <w:r>
        <mc:AlternateContent>
          <mc:Choice Requires="wps">
            <w:drawing>
              <wp:anchor distT="152400" distB="0" distL="0" distR="0" simplePos="0" relativeHeight="125829432" behindDoc="0" locked="0" layoutInCell="1" allowOverlap="1">
                <wp:simplePos x="0" y="0"/>
                <wp:positionH relativeFrom="page">
                  <wp:posOffset>4859020</wp:posOffset>
                </wp:positionH>
                <wp:positionV relativeFrom="paragraph">
                  <wp:posOffset>152400</wp:posOffset>
                </wp:positionV>
                <wp:extent cx="377825" cy="164465"/>
                <wp:wrapTopAndBottom/>
                <wp:docPr id="70" name="Shape 70"/>
                <a:graphic xmlns:a="http://schemas.openxmlformats.org/drawingml/2006/main">
                  <a:graphicData uri="http://schemas.microsoft.com/office/word/2010/wordprocessingShape">
                    <wps:wsp>
                      <wps:cNvSpPr txBox="1"/>
                      <wps:spPr>
                        <a:xfrm>
                          <a:ext cx="377825" cy="1644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xbxContent>
                      </wps:txbx>
                      <wps:bodyPr wrap="none" lIns="0" tIns="0" rIns="0" bIns="0">
                        <a:noAutoFit/>
                      </wps:bodyPr>
                    </wps:wsp>
                  </a:graphicData>
                </a:graphic>
              </wp:anchor>
            </w:drawing>
          </mc:Choice>
          <mc:Fallback>
            <w:pict>
              <v:shape id="_x0000_s1096" type="#_x0000_t202" style="position:absolute;margin-left:382.60000000000002pt;margin-top:12.pt;width:29.75pt;height:12.950000000000001pt;z-index:-125829321;mso-wrap-distance-left:0;mso-wrap-distance-top:12.pt;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xbxContent>
                </v:textbox>
                <w10:wrap type="topAndBottom" anchorx="page"/>
              </v:shape>
            </w:pict>
          </mc:Fallback>
        </mc:AlternateContent>
      </w:r>
      <w:r>
        <mc:AlternateContent>
          <mc:Choice Requires="wps">
            <w:drawing>
              <wp:anchor distT="152400" distB="0" distL="0" distR="0" simplePos="0" relativeHeight="125829434" behindDoc="0" locked="0" layoutInCell="1" allowOverlap="1">
                <wp:simplePos x="0" y="0"/>
                <wp:positionH relativeFrom="page">
                  <wp:posOffset>5937885</wp:posOffset>
                </wp:positionH>
                <wp:positionV relativeFrom="paragraph">
                  <wp:posOffset>152400</wp:posOffset>
                </wp:positionV>
                <wp:extent cx="377825" cy="164465"/>
                <wp:wrapTopAndBottom/>
                <wp:docPr id="72" name="Shape 72"/>
                <a:graphic xmlns:a="http://schemas.openxmlformats.org/drawingml/2006/main">
                  <a:graphicData uri="http://schemas.microsoft.com/office/word/2010/wordprocessingShape">
                    <wps:wsp>
                      <wps:cNvSpPr txBox="1"/>
                      <wps:spPr>
                        <a:xfrm>
                          <a:ext cx="377825" cy="1644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2012 </w:t>
                            </w:r>
                            <w:r>
                              <w:rPr>
                                <w:rFonts w:ascii="SimSun" w:eastAsia="SimSun" w:hAnsi="SimSun" w:cs="SimSun"/>
                                <w:color w:val="000000"/>
                                <w:spacing w:val="0"/>
                                <w:w w:val="100"/>
                                <w:position w:val="0"/>
                              </w:rPr>
                              <w:t>年</w:t>
                            </w:r>
                          </w:p>
                        </w:txbxContent>
                      </wps:txbx>
                      <wps:bodyPr wrap="none" lIns="0" tIns="0" rIns="0" bIns="0">
                        <a:noAutoFit/>
                      </wps:bodyPr>
                    </wps:wsp>
                  </a:graphicData>
                </a:graphic>
              </wp:anchor>
            </w:drawing>
          </mc:Choice>
          <mc:Fallback>
            <w:pict>
              <v:shape id="_x0000_s1098" type="#_x0000_t202" style="position:absolute;margin-left:467.55000000000001pt;margin-top:12.pt;width:29.75pt;height:12.950000000000001pt;z-index:-125829319;mso-wrap-distance-left:0;mso-wrap-distance-top:12.pt;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2012 </w:t>
                      </w:r>
                      <w:r>
                        <w:rPr>
                          <w:rFonts w:ascii="SimSun" w:eastAsia="SimSun" w:hAnsi="SimSun" w:cs="SimSun"/>
                          <w:color w:val="000000"/>
                          <w:spacing w:val="0"/>
                          <w:w w:val="100"/>
                          <w:position w:val="0"/>
                        </w:rPr>
                        <w:t>年</w:t>
                      </w:r>
                    </w:p>
                  </w:txbxContent>
                </v:textbox>
                <w10:wrap type="topAndBottom" anchorx="page"/>
              </v:shape>
            </w:pict>
          </mc:Fallback>
        </mc:AlternateContent>
      </w:r>
    </w:p>
    <w:p>
      <w:pPr>
        <w:widowControl w:val="0"/>
        <w:spacing w:line="1" w:lineRule="exact"/>
      </w:pPr>
      <w:r>
        <mc:AlternateContent>
          <mc:Choice Requires="wps">
            <w:drawing>
              <wp:anchor distT="0" distB="0" distL="114300" distR="114300" simplePos="0" relativeHeight="125829436" behindDoc="0" locked="0" layoutInCell="1" allowOverlap="1">
                <wp:simplePos x="0" y="0"/>
                <wp:positionH relativeFrom="page">
                  <wp:posOffset>4910455</wp:posOffset>
                </wp:positionH>
                <wp:positionV relativeFrom="paragraph">
                  <wp:posOffset>12700</wp:posOffset>
                </wp:positionV>
                <wp:extent cx="1764665" cy="381000"/>
                <wp:wrapSquare wrapText="left"/>
                <wp:docPr id="74" name="Shape 74"/>
                <a:graphic xmlns:a="http://schemas.openxmlformats.org/drawingml/2006/main">
                  <a:graphicData uri="http://schemas.microsoft.com/office/word/2010/wordprocessingShape">
                    <wps:wsp>
                      <wps:cNvSpPr txBox="1"/>
                      <wps:spPr>
                        <a:xfrm>
                          <a:ext cx="1764665" cy="381000"/>
                        </a:xfrm>
                        <a:prstGeom prst="rect"/>
                        <a:noFill/>
                      </wps:spPr>
                      <wps:txbx>
                        <w:txbxContent>
                          <w:p>
                            <w:pPr>
                              <w:pStyle w:val="Style50"/>
                              <w:keepNext w:val="0"/>
                              <w:keepLines w:val="0"/>
                              <w:widowControl w:val="0"/>
                              <w:shd w:val="clear" w:color="auto" w:fill="auto"/>
                              <w:tabs>
                                <w:tab w:pos="1651" w:val="left"/>
                              </w:tabs>
                              <w:bidi w:val="0"/>
                              <w:spacing w:before="0" w:after="120" w:line="240" w:lineRule="auto"/>
                              <w:ind w:left="0" w:right="0" w:firstLine="0"/>
                              <w:jc w:val="left"/>
                            </w:pPr>
                            <w:r>
                              <w:rPr>
                                <w:color w:val="000000"/>
                                <w:spacing w:val="0"/>
                                <w:w w:val="100"/>
                                <w:position w:val="0"/>
                              </w:rPr>
                              <w:t>77,167,961.05</w:t>
                              <w:tab/>
                              <w:t>65,547,736.31</w:t>
                            </w:r>
                          </w:p>
                          <w:p>
                            <w:pPr>
                              <w:pStyle w:val="Style50"/>
                              <w:keepNext w:val="0"/>
                              <w:keepLines w:val="0"/>
                              <w:widowControl w:val="0"/>
                              <w:shd w:val="clear" w:color="auto" w:fill="auto"/>
                              <w:tabs>
                                <w:tab w:pos="1646" w:val="left"/>
                              </w:tabs>
                              <w:bidi w:val="0"/>
                              <w:spacing w:before="0" w:after="0" w:line="240" w:lineRule="auto"/>
                              <w:ind w:left="0" w:right="0" w:firstLine="0"/>
                              <w:jc w:val="left"/>
                            </w:pPr>
                            <w:r>
                              <w:rPr>
                                <w:color w:val="000000"/>
                                <w:spacing w:val="0"/>
                                <w:w w:val="100"/>
                                <w:position w:val="0"/>
                              </w:rPr>
                              <w:t>52,027,697.24</w:t>
                              <w:tab/>
                              <w:t>47,073,695.49</w:t>
                            </w:r>
                          </w:p>
                        </w:txbxContent>
                      </wps:txbx>
                      <wps:bodyPr lIns="0" tIns="0" rIns="0" bIns="0">
                        <a:noAutoFit/>
                      </wps:bodyPr>
                    </wps:wsp>
                  </a:graphicData>
                </a:graphic>
              </wp:anchor>
            </w:drawing>
          </mc:Choice>
          <mc:Fallback>
            <w:pict>
              <v:shape id="_x0000_s1100" type="#_x0000_t202" style="position:absolute;margin-left:386.65000000000003pt;margin-top:1.pt;width:138.95000000000002pt;height:30.pt;z-index:-125829317;mso-wrap-distance-left:9.pt;mso-wrap-distance-right:9.pt;mso-position-horizontal-relative:page" filled="f" stroked="f">
                <v:textbox inset="0,0,0,0">
                  <w:txbxContent>
                    <w:p>
                      <w:pPr>
                        <w:pStyle w:val="Style50"/>
                        <w:keepNext w:val="0"/>
                        <w:keepLines w:val="0"/>
                        <w:widowControl w:val="0"/>
                        <w:shd w:val="clear" w:color="auto" w:fill="auto"/>
                        <w:tabs>
                          <w:tab w:pos="1651" w:val="left"/>
                        </w:tabs>
                        <w:bidi w:val="0"/>
                        <w:spacing w:before="0" w:after="120" w:line="240" w:lineRule="auto"/>
                        <w:ind w:left="0" w:right="0" w:firstLine="0"/>
                        <w:jc w:val="left"/>
                      </w:pPr>
                      <w:r>
                        <w:rPr>
                          <w:color w:val="000000"/>
                          <w:spacing w:val="0"/>
                          <w:w w:val="100"/>
                          <w:position w:val="0"/>
                        </w:rPr>
                        <w:t>77,167,961.05</w:t>
                        <w:tab/>
                        <w:t>65,547,736.31</w:t>
                      </w:r>
                    </w:p>
                    <w:p>
                      <w:pPr>
                        <w:pStyle w:val="Style50"/>
                        <w:keepNext w:val="0"/>
                        <w:keepLines w:val="0"/>
                        <w:widowControl w:val="0"/>
                        <w:shd w:val="clear" w:color="auto" w:fill="auto"/>
                        <w:tabs>
                          <w:tab w:pos="1646" w:val="left"/>
                        </w:tabs>
                        <w:bidi w:val="0"/>
                        <w:spacing w:before="0" w:after="0" w:line="240" w:lineRule="auto"/>
                        <w:ind w:left="0" w:right="0" w:firstLine="0"/>
                        <w:jc w:val="left"/>
                      </w:pPr>
                      <w:r>
                        <w:rPr>
                          <w:color w:val="000000"/>
                          <w:spacing w:val="0"/>
                          <w:w w:val="100"/>
                          <w:position w:val="0"/>
                        </w:rPr>
                        <w:t>52,027,697.24</w:t>
                        <w:tab/>
                        <w:t>47,073,695.49</w:t>
                      </w:r>
                    </w:p>
                  </w:txbxContent>
                </v:textbox>
                <w10:wrap type="square" side="left" anchorx="page"/>
              </v:shape>
            </w:pict>
          </mc:Fallback>
        </mc:AlternateConten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P0</w:t>
      </w:r>
      <w:r>
        <w:rPr>
          <w:color w:val="000000"/>
          <w:spacing w:val="0"/>
          <w:w w:val="100"/>
          <w:position w:val="0"/>
        </w:rPr>
        <w:t>归属于公司普通股股东的净利润</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1" w:right="1109" w:bottom="1441" w:left="109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P0</w:t>
      </w:r>
      <w:r>
        <w:rPr>
          <w:color w:val="000000"/>
          <w:spacing w:val="0"/>
          <w:w w:val="100"/>
          <w:position w:val="0"/>
        </w:rPr>
        <w:t>归属于公司普通股股东的净利润</w:t>
      </w:r>
      <w:r>
        <w:rPr>
          <w:rFonts w:ascii="Times New Roman" w:eastAsia="Times New Roman" w:hAnsi="Times New Roman" w:cs="Times New Roman"/>
          <w:color w:val="000000"/>
          <w:spacing w:val="0"/>
          <w:w w:val="100"/>
          <w:position w:val="0"/>
        </w:rPr>
        <w:t>（</w:t>
      </w:r>
      <w:r>
        <w:rPr>
          <w:color w:val="000000"/>
          <w:spacing w:val="0"/>
          <w:w w:val="100"/>
          <w:position w:val="0"/>
        </w:rPr>
        <w:t>扣除非经常性损益）</w:t>
      </w:r>
    </w:p>
    <w:tbl>
      <w:tblPr>
        <w:tblOverlap w:val="never"/>
        <w:jc w:val="center"/>
        <w:tblLayout w:type="fixed"/>
      </w:tblPr>
      <w:tblGrid>
        <w:gridCol w:w="6283"/>
        <w:gridCol w:w="1709"/>
        <w:gridCol w:w="1445"/>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S0</w:t>
            </w:r>
            <w:r>
              <w:rPr>
                <w:color w:val="000000"/>
                <w:spacing w:val="0"/>
                <w:w w:val="100"/>
                <w:position w:val="0"/>
              </w:rPr>
              <w:t>期初股份总数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76,740,000.00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57,550,000.00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S1</w:t>
            </w:r>
            <w:r>
              <w:rPr>
                <w:color w:val="000000"/>
                <w:spacing w:val="0"/>
                <w:w w:val="100"/>
                <w:position w:val="0"/>
              </w:rPr>
              <w:t>报告期因公积金转增股本或股票股利分配等增加股份数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76,740,000.00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S1</w:t>
            </w:r>
            <w:r>
              <w:rPr>
                <w:color w:val="000000"/>
                <w:spacing w:val="0"/>
                <w:w w:val="100"/>
                <w:position w:val="0"/>
              </w:rPr>
              <w:t>报告期因发行新股或债转股等增加股份数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19,190,000.00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Sj</w:t>
            </w:r>
            <w:r>
              <w:rPr>
                <w:color w:val="000000"/>
                <w:spacing w:val="0"/>
                <w:w w:val="100"/>
                <w:position w:val="0"/>
              </w:rPr>
              <w:t>报告期因回购等减少股份数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Sk</w:t>
            </w:r>
            <w:r>
              <w:rPr>
                <w:color w:val="000000"/>
                <w:spacing w:val="0"/>
                <w:w w:val="100"/>
                <w:position w:val="0"/>
              </w:rPr>
              <w:t>报告期缩股数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w:t>
            </w:r>
            <w:r>
              <w:rPr>
                <w:color w:val="000000"/>
                <w:spacing w:val="0"/>
                <w:w w:val="100"/>
                <w:position w:val="0"/>
              </w:rPr>
              <w:t>增加股份次月起至报告期年末的累计月数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Mj</w:t>
            </w:r>
            <w:r>
              <w:rPr>
                <w:color w:val="000000"/>
                <w:spacing w:val="0"/>
                <w:w w:val="100"/>
                <w:position w:val="0"/>
              </w:rPr>
              <w:t>减少股份次月起至报告期年末的累计月数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t>
            </w:r>
            <w:r>
              <w:rPr>
                <w:color w:val="000000"/>
                <w:spacing w:val="0"/>
                <w:w w:val="100"/>
                <w:position w:val="0"/>
              </w:rPr>
              <w:t>发行在外的普通股加权平均数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153,480,000.00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65,545,833.33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基本每股收益（归属于公司普通股股东的净利润）注</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w:t>
            </w:r>
            <w:r>
              <w:rPr>
                <w:color w:val="000000"/>
                <w:spacing w:val="0"/>
                <w:w w:val="100"/>
                <w:position w:val="0"/>
              </w:rPr>
              <w:t>扣除非经常性损益后归属于公司普通股股东的净利润）注</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34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tc>
      </w:tr>
      <w:tr>
        <w:trPr>
          <w:trHeight w:val="350"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 S0</w:t>
            </w:r>
            <w:r>
              <w:rPr>
                <w:color w:val="000000"/>
                <w:spacing w:val="0"/>
                <w:w w:val="100"/>
                <w:position w:val="0"/>
              </w:rPr>
              <w:t>+</w:t>
            </w:r>
            <w:r>
              <w:rPr>
                <w:rFonts w:ascii="Times New Roman" w:eastAsia="Times New Roman" w:hAnsi="Times New Roman" w:cs="Times New Roman"/>
                <w:color w:val="000000"/>
                <w:spacing w:val="0"/>
                <w:w w:val="100"/>
                <w:position w:val="0"/>
              </w:rPr>
              <w:t>S1</w:t>
            </w:r>
            <w:r>
              <w:rPr>
                <w:color w:val="000000"/>
                <w:spacing w:val="0"/>
                <w:w w:val="100"/>
                <w:position w:val="0"/>
              </w:rPr>
              <w:t>+</w:t>
            </w:r>
            <w:r>
              <w:rPr>
                <w:rFonts w:ascii="Times New Roman" w:eastAsia="Times New Roman" w:hAnsi="Times New Roman" w:cs="Times New Roman"/>
                <w:color w:val="000000"/>
                <w:spacing w:val="0"/>
                <w:w w:val="100"/>
                <w:position w:val="0"/>
              </w:rPr>
              <w:t>SixMi</w:t>
            </w:r>
            <w:r>
              <w:rPr>
                <w:color w:val="000000"/>
                <w:spacing w:val="0"/>
                <w:w w:val="100"/>
                <w:position w:val="0"/>
              </w:rPr>
              <w:t>：</w:t>
            </w:r>
            <w:r>
              <w:rPr>
                <w:rFonts w:ascii="Times New Roman" w:eastAsia="Times New Roman" w:hAnsi="Times New Roman" w:cs="Times New Roman"/>
                <w:color w:val="000000"/>
                <w:spacing w:val="0"/>
                <w:w w:val="100"/>
                <w:position w:val="0"/>
              </w:rPr>
              <w:t>M0— SjxMj-M0-Sk</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稀释每股收益的计算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P1</w:t>
            </w:r>
            <w:r>
              <w:rPr>
                <w:color w:val="000000"/>
                <w:spacing w:val="0"/>
                <w:w w:val="100"/>
                <w:position w:val="0"/>
              </w:rPr>
              <w:t>考虑稀释性潜在普通股的影响后归属于公司普通股股东的净利润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77,167,961.05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65,547,736.31</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P1</w:t>
            </w:r>
            <w:r>
              <w:rPr>
                <w:color w:val="000000"/>
                <w:spacing w:val="0"/>
                <w:w w:val="100"/>
                <w:position w:val="0"/>
              </w:rPr>
              <w:t>考虑稀释性潜在普通股的影响后且扣除非经常性损益后归属于公司普通 股股东的净利润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52,027,697.24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47,073,695.49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X1</w:t>
            </w:r>
            <w:r>
              <w:rPr>
                <w:color w:val="000000"/>
                <w:spacing w:val="0"/>
                <w:w w:val="100"/>
                <w:position w:val="0"/>
              </w:rPr>
              <w:t>已确认为费用的稀释性潜在普通股利息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X2</w:t>
            </w:r>
            <w:r>
              <w:rPr>
                <w:color w:val="000000"/>
                <w:spacing w:val="0"/>
                <w:w w:val="100"/>
                <w:position w:val="0"/>
              </w:rPr>
              <w:t>稀释性潜在普通股转换时将产生的收益或费用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w:t>
            </w:r>
            <w:r>
              <w:rPr>
                <w:color w:val="000000"/>
                <w:spacing w:val="0"/>
                <w:w w:val="100"/>
                <w:position w:val="0"/>
              </w:rPr>
              <w:t>所得税率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所有稀释性潜在普通股转换成普通股时的加权平均数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稀释每股收益（归属于公司普通股股东的净利润）注</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稀释每股收益（扣除非经常性损益后归属于公司普通股股东的净利润）注</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360"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=P1/（S+</w:t>
            </w:r>
            <w:r>
              <w:rPr>
                <w:color w:val="000000"/>
                <w:spacing w:val="0"/>
                <w:w w:val="100"/>
                <w:position w:val="0"/>
              </w:rPr>
              <w:t>认股权证、股份期权、可转换债券等增加的普通股加权平均数</w:t>
            </w: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1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*2013</w:t>
      </w:r>
      <w:r>
        <w:rPr>
          <w:color w:val="000000"/>
          <w:spacing w:val="0"/>
          <w:w w:val="100"/>
          <w:position w:val="0"/>
        </w:rPr>
        <w:t>年度公司实施资本公积转增股本，上表中</w:t>
      </w:r>
      <w:r>
        <w:rPr>
          <w:rFonts w:ascii="Times New Roman" w:eastAsia="Times New Roman" w:hAnsi="Times New Roman" w:cs="Times New Roman"/>
          <w:color w:val="000000"/>
          <w:spacing w:val="0"/>
          <w:w w:val="100"/>
          <w:position w:val="0"/>
        </w:rPr>
        <w:t>2012</w:t>
      </w:r>
      <w:r>
        <w:rPr>
          <w:color w:val="000000"/>
          <w:spacing w:val="0"/>
          <w:w w:val="100"/>
          <w:position w:val="0"/>
        </w:rPr>
        <w:t>年度每股收益数据已根据最新股本重新计算列示。</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1"/>
      <w:bookmarkEnd w:id="1742"/>
      <w:bookmarkEnd w:id="174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-4,044,201.44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-750,542.11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-4,044,201.44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-750,542.11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-4,044,201.44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-750,542.11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745"/>
      <w:bookmarkEnd w:id="1746"/>
      <w:bookmarkEnd w:id="1748"/>
    </w:p>
    <w:p>
      <w:pPr>
        <w:pStyle w:val="Style36"/>
        <w:keepNext/>
        <w:keepLines/>
        <w:widowControl w:val="0"/>
        <w:shd w:val="clear" w:color="auto" w:fill="auto"/>
        <w:bidi w:val="0"/>
        <w:spacing w:before="0" w:after="340" w:line="240" w:lineRule="auto"/>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9"/>
      <w:bookmarkEnd w:id="1750"/>
      <w:bookmarkEnd w:id="1751"/>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21,719,413.50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213,953.85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21,933,367.35</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52"/>
      <w:bookmarkEnd w:id="1753"/>
      <w:bookmarkEnd w:id="175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11,277,509.20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6,815,442.85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5,678,121.49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6,688,817.30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4,298,618.26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1,299,888.43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6,332,859.11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42,391,256.64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55"/>
      <w:bookmarkEnd w:id="1756"/>
      <w:bookmarkEnd w:id="1758"/>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10,688,504.21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远期外汇结汇合同交割收益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1,664,100.00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12,352,604.21</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9"/>
      <w:bookmarkEnd w:id="1760"/>
      <w:bookmarkEnd w:id="176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工程建设押金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14,834,334.00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14,834,334.00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6"/>
        <w:keepNext/>
        <w:keepLines/>
        <w:widowControl w:val="0"/>
        <w:shd w:val="clear" w:color="auto" w:fill="auto"/>
        <w:bidi w:val="0"/>
        <w:spacing w:before="0" w:line="240" w:lineRule="auto"/>
        <w:ind w:left="0" w:right="0" w:firstLine="14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63"/>
      <w:bookmarkEnd w:id="1764"/>
      <w:bookmarkEnd w:id="176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67"/>
      <w:bookmarkEnd w:id="1768"/>
      <w:bookmarkEnd w:id="177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6</w:t>
      </w:r>
      <w:bookmarkEnd w:id="177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71"/>
      <w:bookmarkEnd w:id="1772"/>
      <w:bookmarkEnd w:id="1774"/>
    </w:p>
    <w:p>
      <w:pPr>
        <w:pStyle w:val="Style36"/>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75"/>
      <w:bookmarkEnd w:id="1776"/>
      <w:bookmarkEnd w:id="1777"/>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7"/>
        <w:gridCol w:w="2520"/>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78,043,653.96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65,780,611.26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3,369,095.45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3,599,838.12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7,950,643.36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6,507,980.72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3,158,091.38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1,611,462.92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565,271.98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150,585.36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31,419.68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744,250.65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3,660,139.76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-1,663,790.55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-340,648.68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-21,156,410.06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-60,144,359.55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-71,513,456.18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-7,848,909.69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71,068,427.32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24,300,211.61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57,436,670.54</w:t>
            </w:r>
          </w:p>
        </w:tc>
      </w:tr>
    </w:tbl>
    <w:p>
      <w:pPr>
        <w:spacing w:lineRule="exact" w:line="1"/>
        <w:rPr>
          <w:sz w:val="2"/>
          <w:szCs w:val="2"/>
        </w:rPr>
      </w:pPr>
      <w:r>
        <w:br w:type="page"/>
      </w:r>
    </w:p>
    <w:tbl>
      <w:tblPr>
        <w:tblOverlap w:val="never"/>
        <w:jc w:val="center"/>
        <w:tblLayout w:type="fixed"/>
      </w:tblPr>
      <w:tblGrid>
        <w:gridCol w:w="4397"/>
        <w:gridCol w:w="2520"/>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433,166,369.98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513,711,110.43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513,711,110.43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149,348,362.22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-80,544,740.45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364,362,748.21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778"/>
      <w:bookmarkEnd w:id="1779"/>
      <w:bookmarkEnd w:id="178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56,464,600.00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51,264,600.00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52,617,718.80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-1,353,118.80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67,177,372.34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97,132,825.34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16,573,788.88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42,529,241.88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6"/>
        <w:keepNext/>
        <w:keepLines/>
        <w:widowControl w:val="0"/>
        <w:numPr>
          <w:ilvl w:val="0"/>
          <w:numId w:val="125"/>
        </w:numPr>
        <w:shd w:val="clear" w:color="auto" w:fill="auto"/>
        <w:bidi w:val="0"/>
        <w:spacing w:before="0" w:line="240" w:lineRule="auto"/>
        <w:ind w:left="0" w:right="0" w:firstLine="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现金和现金等价物的构成</w:t>
      </w:r>
      <w:bookmarkEnd w:id="1781"/>
      <w:bookmarkEnd w:id="1782"/>
      <w:bookmarkEnd w:id="17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433,166,369.98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513,711,110.43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774,424.17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415,410,373.14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467,442,305.88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17,112,570.03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45,494,380.38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433,166,369.98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513,711,110.43</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3"/>
        <w:keepNext/>
        <w:keepLines/>
        <w:widowControl w:val="0"/>
        <w:shd w:val="clear" w:color="auto" w:fill="auto"/>
        <w:bidi w:val="0"/>
        <w:spacing w:before="0" w:after="32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7</w:t>
      </w:r>
      <w:bookmarkEnd w:id="1787"/>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85"/>
      <w:bookmarkEnd w:id="1786"/>
      <w:bookmarkEnd w:id="1788"/>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其他，，项目名称及调整金额、由同一控制下企业合并产生的追溯调整等事项</w:t>
      </w:r>
      <w:r>
        <w:br w:type="page"/>
      </w:r>
    </w:p>
    <w:p>
      <w:pPr>
        <w:pStyle w:val="Style31"/>
        <w:keepNext/>
        <w:keepLines/>
        <w:widowControl w:val="0"/>
        <w:shd w:val="clear" w:color="auto" w:fill="auto"/>
        <w:bidi w:val="0"/>
        <w:spacing w:before="0" w:after="32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sz w:val="24"/>
          <w:szCs w:val="24"/>
        </w:rPr>
        <w:t>八</w:t>
      </w:r>
      <w:bookmarkEnd w:id="1791"/>
      <w:r>
        <w:rPr>
          <w:color w:val="000000"/>
          <w:spacing w:val="0"/>
          <w:w w:val="100"/>
          <w:position w:val="0"/>
          <w:sz w:val="24"/>
          <w:szCs w:val="24"/>
        </w:rPr>
        <w:t>、资产证券化业务的会计处理</w:t>
      </w:r>
      <w:bookmarkEnd w:id="1789"/>
      <w:bookmarkEnd w:id="1790"/>
      <w:bookmarkEnd w:id="1792"/>
    </w:p>
    <w:p>
      <w:pPr>
        <w:pStyle w:val="Style33"/>
        <w:keepNext/>
        <w:keepLines/>
        <w:widowControl w:val="0"/>
        <w:shd w:val="clear" w:color="auto" w:fill="auto"/>
        <w:tabs>
          <w:tab w:pos="368" w:val="left"/>
        </w:tabs>
        <w:bidi w:val="0"/>
        <w:spacing w:before="0" w:after="32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1</w:t>
      </w:r>
      <w:bookmarkEnd w:id="1795"/>
      <w:r>
        <w:rPr>
          <w:color w:val="000000"/>
          <w:spacing w:val="0"/>
          <w:w w:val="100"/>
          <w:position w:val="0"/>
        </w:rPr>
        <w:t>、</w:t>
        <w:tab/>
        <w:t>说明资产证券化业务的主要交易安排及其会计处理、破产隔离条款</w:t>
      </w:r>
      <w:bookmarkEnd w:id="1793"/>
      <w:bookmarkEnd w:id="1794"/>
      <w:bookmarkEnd w:id="1796"/>
    </w:p>
    <w:p>
      <w:pPr>
        <w:pStyle w:val="Style33"/>
        <w:keepNext/>
        <w:keepLines/>
        <w:widowControl w:val="0"/>
        <w:shd w:val="clear" w:color="auto" w:fill="auto"/>
        <w:tabs>
          <w:tab w:pos="378" w:val="left"/>
        </w:tabs>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bookmarkEnd w:id="1799"/>
      <w:r>
        <w:rPr>
          <w:color w:val="000000"/>
          <w:spacing w:val="0"/>
          <w:w w:val="100"/>
          <w:position w:val="0"/>
        </w:rPr>
        <w:t>、</w:t>
        <w:tab/>
        <w:t>公司不具有控制权但实质上承担其风险的特殊目的主体情况</w:t>
      </w:r>
      <w:bookmarkEnd w:id="1797"/>
      <w:bookmarkEnd w:id="1798"/>
      <w:bookmarkEnd w:id="18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sz w:val="24"/>
          <w:szCs w:val="24"/>
        </w:rPr>
        <w:t>九</w:t>
      </w:r>
      <w:bookmarkEnd w:id="1803"/>
      <w:r>
        <w:rPr>
          <w:color w:val="000000"/>
          <w:spacing w:val="0"/>
          <w:w w:val="100"/>
          <w:position w:val="0"/>
          <w:sz w:val="24"/>
          <w:szCs w:val="24"/>
        </w:rPr>
        <w:t>、关联方及关联交易</w:t>
      </w:r>
      <w:bookmarkEnd w:id="1801"/>
      <w:bookmarkEnd w:id="1802"/>
      <w:bookmarkEnd w:id="1804"/>
    </w:p>
    <w:p>
      <w:pPr>
        <w:pStyle w:val="Style33"/>
        <w:keepNext/>
        <w:keepLines/>
        <w:widowControl w:val="0"/>
        <w:shd w:val="clear" w:color="auto" w:fill="auto"/>
        <w:bidi w:val="0"/>
        <w:spacing w:before="0" w:after="32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1</w:t>
      </w:r>
      <w:bookmarkEnd w:id="1807"/>
      <w:r>
        <w:rPr>
          <w:color w:val="000000"/>
          <w:spacing w:val="0"/>
          <w:w w:val="100"/>
          <w:position w:val="0"/>
        </w:rPr>
        <w:t>、本企业的母公司情况</w:t>
      </w:r>
      <w:bookmarkEnd w:id="1805"/>
      <w:bookmarkEnd w:id="1806"/>
      <w:bookmarkEnd w:id="1808"/>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江苏润和 科技投资 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南京市雨 花台区阅 城大道</w:t>
            </w:r>
            <w:r>
              <w:rPr>
                <w:rFonts w:ascii="Times New Roman" w:eastAsia="Times New Roman" w:hAnsi="Times New Roman" w:cs="Times New Roman"/>
                <w:color w:val="000000"/>
                <w:spacing w:val="0"/>
                <w:w w:val="100"/>
                <w:position w:val="0"/>
              </w:rPr>
              <w:t xml:space="preserve">26 </w:t>
            </w:r>
            <w:r>
              <w:rPr>
                <w:color w:val="000000"/>
                <w:spacing w:val="0"/>
                <w:w w:val="100"/>
                <w:position w:val="0"/>
              </w:rPr>
              <w:t>号丰盛科 技园</w:t>
            </w:r>
            <w:r>
              <w:rPr>
                <w:rFonts w:ascii="Times New Roman" w:eastAsia="Times New Roman" w:hAnsi="Times New Roman" w:cs="Times New Roman"/>
                <w:color w:val="000000"/>
                <w:spacing w:val="0"/>
                <w:w w:val="100"/>
                <w:position w:val="0"/>
              </w:rPr>
              <w:t>F</w:t>
            </w:r>
            <w:r>
              <w:rPr>
                <w:color w:val="000000"/>
                <w:spacing w:val="0"/>
                <w:w w:val="100"/>
                <w:position w:val="0"/>
              </w:rPr>
              <w:t xml:space="preserve">区 </w:t>
            </w:r>
            <w:r>
              <w:rPr>
                <w:rFonts w:ascii="Times New Roman" w:eastAsia="Times New Roman" w:hAnsi="Times New Roman" w:cs="Times New Roman"/>
                <w:color w:val="000000"/>
                <w:spacing w:val="0"/>
                <w:w w:val="100"/>
                <w:position w:val="0"/>
              </w:rPr>
              <w:t>02</w:t>
            </w:r>
            <w:r>
              <w:rPr>
                <w:color w:val="000000"/>
                <w:spacing w:val="0"/>
                <w:w w:val="100"/>
                <w:position w:val="0"/>
              </w:rPr>
              <w:t>栋</w:t>
            </w:r>
            <w:r>
              <w:rPr>
                <w:rFonts w:ascii="Times New Roman" w:eastAsia="Times New Roman" w:hAnsi="Times New Roman" w:cs="Times New Roman"/>
                <w:color w:val="000000"/>
                <w:spacing w:val="0"/>
                <w:w w:val="100"/>
                <w:position w:val="0"/>
              </w:rPr>
              <w:t>5</w:t>
            </w:r>
            <w:r>
              <w:rPr>
                <w:color w:val="000000"/>
                <w:spacing w:val="0"/>
                <w:w w:val="100"/>
                <w:position w:val="0"/>
              </w:rPr>
              <w:t xml:space="preserve">层 </w:t>
            </w:r>
            <w:r>
              <w:rPr>
                <w:rFonts w:ascii="Times New Roman" w:eastAsia="Times New Roman" w:hAnsi="Times New Roman" w:cs="Times New Roman"/>
                <w:color w:val="000000"/>
                <w:spacing w:val="0"/>
                <w:w w:val="100"/>
                <w:position w:val="0"/>
              </w:rPr>
              <w:t>509</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周红卫，姚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69464780</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本企业的母公司情况的说明</w:t>
      </w:r>
    </w:p>
    <w:p>
      <w:pPr>
        <w:pStyle w:val="Style33"/>
        <w:keepNext/>
        <w:keepLines/>
        <w:widowControl w:val="0"/>
        <w:shd w:val="clear" w:color="auto" w:fill="auto"/>
        <w:bidi w:val="0"/>
        <w:spacing w:before="0" w:after="32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2</w:t>
      </w:r>
      <w:bookmarkEnd w:id="1811"/>
      <w:r>
        <w:rPr>
          <w:color w:val="000000"/>
          <w:spacing w:val="0"/>
          <w:w w:val="100"/>
          <w:position w:val="0"/>
        </w:rPr>
        <w:t>、本企业的子公司情况</w:t>
      </w:r>
      <w:bookmarkEnd w:id="1809"/>
      <w:bookmarkEnd w:id="1810"/>
      <w:bookmarkEnd w:id="1812"/>
    </w:p>
    <w:tbl>
      <w:tblPr>
        <w:tblOverlap w:val="never"/>
        <w:jc w:val="center"/>
        <w:tblLayout w:type="fixed"/>
      </w:tblPr>
      <w:tblGrid>
        <w:gridCol w:w="965"/>
        <w:gridCol w:w="955"/>
        <w:gridCol w:w="955"/>
        <w:gridCol w:w="960"/>
        <w:gridCol w:w="960"/>
        <w:gridCol w:w="955"/>
        <w:gridCol w:w="955"/>
        <w:gridCol w:w="955"/>
        <w:gridCol w:w="960"/>
        <w:gridCol w:w="96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江苏润和南 京软件外包 园投资有限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15,000.00 </w:t>
            </w:r>
            <w:r>
              <w:rPr>
                <w:color w:val="000000"/>
                <w:spacing w:val="0"/>
                <w:w w:val="100"/>
                <w:position w:val="0"/>
              </w:rPr>
              <w:t>万人民币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69460820-4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西安润和软 件信息技术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2000.00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05712012-6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北京润和汇 智信息技术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万人民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06962730-3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Technology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美国特拉华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55"/>
        <w:gridCol w:w="955"/>
        <w:gridCol w:w="960"/>
        <w:gridCol w:w="960"/>
        <w:gridCol w:w="955"/>
        <w:gridCol w:w="955"/>
        <w:gridCol w:w="955"/>
        <w:gridCol w:w="960"/>
        <w:gridCol w:w="96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株式会社润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和 </w:t>
            </w:r>
            <w:r>
              <w:rPr>
                <w:color w:val="000000"/>
                <w:spacing w:val="0"/>
                <w:w w:val="100"/>
                <w:position w:val="0"/>
                <w:sz w:val="18"/>
                <w:szCs w:val="18"/>
              </w:rPr>
              <w:t>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工，束京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6,000</w:t>
            </w:r>
            <w:r>
              <w:rPr>
                <w:color w:val="000000"/>
                <w:spacing w:val="0"/>
                <w:w w:val="100"/>
                <w:position w:val="0"/>
              </w:rPr>
              <w:t>万日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SOFTWAR</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E</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SINGAPOR</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 息与系统有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孙旭初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系统集成服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2,060.11 </w:t>
            </w:r>
            <w:r>
              <w:rPr>
                <w:color w:val="000000"/>
                <w:spacing w:val="0"/>
                <w:w w:val="100"/>
                <w:position w:val="0"/>
              </w:rPr>
              <w:t>万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62828000-1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南京润和数 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55551964</w:t>
              <w:softHyphen/>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深圳市润和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创新信息科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500.00</w:t>
            </w:r>
            <w:r>
              <w:rPr>
                <w:color w:val="000000"/>
                <w:spacing w:val="0"/>
                <w:w w:val="100"/>
                <w:position w:val="0"/>
              </w:rPr>
              <w:t>万人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07178375-1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HOPERUN MMAX DIGITAL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SRS2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w:t>
            </w:r>
            <w:r>
              <w:rPr>
                <w:color w:val="000000"/>
                <w:spacing w:val="0"/>
                <w:w w:val="100"/>
                <w:position w:val="0"/>
              </w:rPr>
              <w:t>万港币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丝略软件 (上海)有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HAOBO</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LAWRENC</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E CHEN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69577735</w:t>
              <w:softHyphen/>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SilkRoad</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Software </w:t>
            </w:r>
            <w:r>
              <w:rPr>
                <w:rFonts w:ascii="Times New Roman" w:eastAsia="Times New Roman" w:hAnsi="Times New Roman" w:cs="Times New Roman"/>
                <w:color w:val="000000"/>
                <w:spacing w:val="0"/>
                <w:w w:val="100"/>
                <w:position w:val="0"/>
              </w:rPr>
              <w:t>&amp;</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Service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美国加利福 利亚州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813" w:name="bookmark181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bookmarkEnd w:id="1813"/>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160" w:right="0" w:hanging="160"/>
              <w:jc w:val="left"/>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380" w:right="0" w:hanging="380"/>
              <w:jc w:val="both"/>
            </w:pPr>
            <w:r>
              <w:rPr>
                <w:color w:val="000000"/>
                <w:spacing w:val="0"/>
                <w:w w:val="100"/>
                <w:position w:val="0"/>
              </w:rPr>
              <w:t>组织机构代 码</w:t>
            </w:r>
          </w:p>
        </w:tc>
      </w:tr>
    </w:tbl>
    <w:p>
      <w:pPr>
        <w:pStyle w:val="Style19"/>
        <w:keepNext w:val="0"/>
        <w:keepLines w:val="0"/>
        <w:widowControl w:val="0"/>
        <w:pBdr>
          <w:top w:val="single" w:sz="0" w:space="31" w:color="D4D4D4"/>
          <w:left w:val="single" w:sz="0" w:space="0" w:color="D4D4D4"/>
          <w:bottom w:val="single" w:sz="0" w:space="7" w:color="D4D4D4"/>
          <w:right w:val="single" w:sz="0" w:space="0" w:color="D4D4D4"/>
        </w:pBdr>
        <w:shd w:val="clear" w:color="auto" w:fill="D4D4D4"/>
        <w:bidi w:val="0"/>
        <w:spacing w:before="0" w:after="0" w:line="240" w:lineRule="auto"/>
        <w:ind w:left="19" w:right="0" w:firstLine="0"/>
        <w:jc w:val="left"/>
      </w:pPr>
      <w:r>
        <w:rPr>
          <w:color w:val="000000"/>
          <w:spacing w:val="0"/>
          <w:w w:val="100"/>
          <w:position w:val="0"/>
        </w:rPr>
        <w:t>一、合营企业</w:t>
      </w:r>
    </w:p>
    <w:p>
      <w:pPr>
        <w:widowControl w:val="0"/>
        <w:spacing w:after="159" w:line="1" w:lineRule="exact"/>
      </w:pPr>
    </w:p>
    <w:p>
      <w:pPr>
        <w:pStyle w:val="Style28"/>
        <w:keepNext w:val="0"/>
        <w:keepLines w:val="0"/>
        <w:widowControl w:val="0"/>
        <w:pBdr>
          <w:top w:val="single" w:sz="4" w:space="31" w:color="D4D4D4"/>
          <w:left w:val="single" w:sz="4" w:space="0" w:color="D4D4D4"/>
          <w:bottom w:val="single" w:sz="4" w:space="7" w:color="D4D4D4"/>
          <w:right w:val="single" w:sz="4" w:space="0" w:color="D4D4D4"/>
        </w:pBdr>
        <w:shd w:val="clear" w:color="auto" w:fill="D4D4D4"/>
        <w:bidi w:val="0"/>
        <w:spacing w:before="0" w:after="281" w:line="240" w:lineRule="auto"/>
        <w:ind w:left="0" w:right="0" w:firstLine="0"/>
        <w:jc w:val="left"/>
      </w:pPr>
      <w:bookmarkStart w:id="1814" w:name="bookmark1814"/>
      <w:r>
        <w:rPr>
          <w:color w:val="000000"/>
          <w:spacing w:val="0"/>
          <w:w w:val="100"/>
          <w:position w:val="0"/>
        </w:rPr>
        <w:t>二</w:t>
      </w:r>
      <w:bookmarkEnd w:id="1814"/>
      <w:r>
        <w:rPr>
          <w:color w:val="000000"/>
          <w:spacing w:val="0"/>
          <w:w w:val="100"/>
          <w:position w:val="0"/>
        </w:rPr>
        <w:t>、联营企业</w:t>
      </w:r>
    </w:p>
    <w:p>
      <w:pPr>
        <w:pStyle w:val="Style33"/>
        <w:keepNext/>
        <w:keepLines/>
        <w:widowControl w:val="0"/>
        <w:shd w:val="clear" w:color="auto" w:fill="auto"/>
        <w:bidi w:val="0"/>
        <w:spacing w:before="0" w:after="32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4</w:t>
      </w:r>
      <w:bookmarkEnd w:id="1817"/>
      <w:r>
        <w:rPr>
          <w:color w:val="000000"/>
          <w:spacing w:val="0"/>
          <w:w w:val="100"/>
          <w:position w:val="0"/>
        </w:rPr>
        <w:t>、本企业的其他关联方情况</w:t>
      </w:r>
      <w:bookmarkEnd w:id="1815"/>
      <w:bookmarkEnd w:id="1816"/>
      <w:bookmarkEnd w:id="1818"/>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南京澜和电子商务有限公司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06708722-7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南京淳泰投资管理有限公司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07070541-X</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08415698-4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斯润天朗（北京）科技有限公司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07656566-5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71093513-4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25000246-3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74664525-1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华为投资控股有限公司之关联方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77702317-2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华为投资控股有限公司之关联方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19220382-1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华为投资控股有限公司之关联方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75567503-0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深圳市海思半导体有限公司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华为投资控股有限公司之关联方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76758041-8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深圳市华为技术软件有限公司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华为投资控股有限公司之关联方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78394651-2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华为终端（东莞）有限公司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华为投资控股有限公司之关联方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05853449-4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主要自然人股东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本企业的其他关联方情况的说明</w:t>
      </w:r>
    </w:p>
    <w:p>
      <w:pPr>
        <w:pStyle w:val="Style33"/>
        <w:keepNext/>
        <w:keepLines/>
        <w:widowControl w:val="0"/>
        <w:shd w:val="clear" w:color="auto" w:fill="auto"/>
        <w:bidi w:val="0"/>
        <w:spacing w:before="0" w:after="360" w:line="240" w:lineRule="auto"/>
        <w:ind w:left="0" w:right="0" w:firstLine="0"/>
        <w:jc w:val="both"/>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color w:val="000000"/>
          <w:spacing w:val="0"/>
          <w:w w:val="100"/>
          <w:position w:val="0"/>
        </w:rPr>
        <w:t>、关联方交易</w:t>
      </w:r>
      <w:bookmarkEnd w:id="1819"/>
      <w:bookmarkEnd w:id="1820"/>
      <w:bookmarkEnd w:id="1822"/>
    </w:p>
    <w:p>
      <w:pPr>
        <w:pStyle w:val="Style36"/>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823"/>
      <w:bookmarkEnd w:id="1824"/>
      <w:bookmarkEnd w:id="18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华为软件技术有限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8,278,247.85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15,301,181.41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1,579,583.01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6,131,746.70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华为终端（东莞）有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1,566,822.74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197,229.16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6,428,989.00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bl>
    <w:p>
      <w:pPr>
        <w:spacing w:lineRule="exact" w:line="1"/>
        <w:rPr>
          <w:sz w:val="2"/>
          <w:szCs w:val="2"/>
        </w:rPr>
      </w:pPr>
      <w:r>
        <w:br w:type="page"/>
      </w:r>
    </w:p>
    <w:tbl>
      <w:tblPr>
        <w:tblOverlap w:val="never"/>
        <w:jc w:val="center"/>
        <w:tblLayout w:type="fixed"/>
      </w:tblPr>
      <w:tblGrid>
        <w:gridCol w:w="1603"/>
        <w:gridCol w:w="1728"/>
        <w:gridCol w:w="1459"/>
        <w:gridCol w:w="1594"/>
        <w:gridCol w:w="797"/>
        <w:gridCol w:w="1594"/>
        <w:gridCol w:w="80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深圳市海思半导体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724,986.00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深圳市华为技术软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719,780.00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11,621,882.76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29,306,683.11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7.72%</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both"/>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826"/>
      <w:bookmarkEnd w:id="1827"/>
      <w:bookmarkEnd w:id="1828"/>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73"/>
        <w:gridCol w:w="1368"/>
        <w:gridCol w:w="1368"/>
        <w:gridCol w:w="1373"/>
        <w:gridCol w:w="142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36"/>
        <w:keepNext/>
        <w:keepLines/>
        <w:widowControl w:val="0"/>
        <w:shd w:val="clear" w:color="auto" w:fill="auto"/>
        <w:bidi w:val="0"/>
        <w:spacing w:before="0" w:line="240" w:lineRule="auto"/>
        <w:ind w:left="0" w:right="0" w:firstLine="0"/>
        <w:jc w:val="both"/>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29"/>
      <w:bookmarkEnd w:id="1830"/>
      <w:bookmarkEnd w:id="1832"/>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公司出租情况表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73"/>
        <w:gridCol w:w="1368"/>
        <w:gridCol w:w="1373"/>
        <w:gridCol w:w="1368"/>
        <w:gridCol w:w="1426"/>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本报告期确认的 租赁收益</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 件外包园投资有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南京市润企科技 小额贷款有限公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72,874.50</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公司承租情况表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关联租赁情况说明</w:t>
      </w:r>
    </w:p>
    <w:p>
      <w:pPr>
        <w:pStyle w:val="Style36"/>
        <w:keepNext/>
        <w:keepLines/>
        <w:widowControl w:val="0"/>
        <w:shd w:val="clear" w:color="auto" w:fill="auto"/>
        <w:bidi w:val="0"/>
        <w:spacing w:before="0" w:line="240" w:lineRule="auto"/>
        <w:ind w:left="0" w:right="0" w:firstLine="0"/>
        <w:jc w:val="both"/>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33"/>
      <w:bookmarkEnd w:id="1834"/>
      <w:bookmarkEnd w:id="183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周红卫，江苏润和科 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周红卫，江苏润和科 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1,039,878.00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62,001,187.44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6"/>
        <w:keepNext/>
        <w:keepLines/>
        <w:widowControl w:val="0"/>
        <w:shd w:val="clear" w:color="auto" w:fill="auto"/>
        <w:bidi w:val="0"/>
        <w:spacing w:before="0" w:after="42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37"/>
      <w:bookmarkEnd w:id="1838"/>
      <w:bookmarkEnd w:id="1840"/>
    </w:p>
    <w:p>
      <w:pPr>
        <w:widowControl w:val="0"/>
        <w:jc w:val="center"/>
        <w:rPr>
          <w:sz w:val="2"/>
          <w:szCs w:val="2"/>
        </w:rPr>
      </w:pPr>
      <w:r>
        <w:drawing>
          <wp:inline>
            <wp:extent cx="6126480" cy="95123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5"/>
                    <a:stretch/>
                  </pic:blipFill>
                  <pic:spPr>
                    <a:xfrm>
                      <a:ext cx="6126480" cy="951230"/>
                    </a:xfrm>
                    <a:prstGeom prst="rect"/>
                  </pic:spPr>
                </pic:pic>
              </a:graphicData>
            </a:graphic>
          </wp:inline>
        </w:drawing>
      </w:r>
    </w:p>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w:t>
      </w:r>
      <w:bookmarkEnd w:id="184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41"/>
      <w:bookmarkEnd w:id="1842"/>
      <w:bookmarkEnd w:id="184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59"/>
        <w:gridCol w:w="797"/>
        <w:gridCol w:w="1464"/>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关联交易定价原 则</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845"/>
      <w:bookmarkEnd w:id="1846"/>
      <w:bookmarkEnd w:id="1848"/>
    </w:p>
    <w:p>
      <w:pPr>
        <w:pStyle w:val="Style33"/>
        <w:keepNext/>
        <w:keepLines/>
        <w:widowControl w:val="0"/>
        <w:shd w:val="clear" w:color="auto" w:fill="auto"/>
        <w:bidi w:val="0"/>
        <w:spacing w:before="0" w:after="36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6</w:t>
      </w:r>
      <w:bookmarkEnd w:id="1851"/>
      <w:r>
        <w:rPr>
          <w:color w:val="000000"/>
          <w:spacing w:val="0"/>
          <w:w w:val="100"/>
          <w:position w:val="0"/>
        </w:rPr>
        <w:t>、关联方应收应付款项</w:t>
      </w:r>
      <w:bookmarkEnd w:id="1849"/>
      <w:bookmarkEnd w:id="1850"/>
      <w:bookmarkEnd w:id="185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64"/>
        <w:gridCol w:w="1666"/>
        <w:gridCol w:w="1464"/>
        <w:gridCol w:w="1459"/>
        <w:gridCol w:w="1459"/>
        <w:gridCol w:w="1469"/>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华为软件技术有限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7,701,091.26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400,942.06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10,149,412.41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507,470.62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华为终端（东莞）有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510,190.16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452,970.39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2,175,397.66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108,769.89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南京市润企科技小 额贷款有限公司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64"/>
        <w:gridCol w:w="1666"/>
        <w:gridCol w:w="1464"/>
        <w:gridCol w:w="1459"/>
        <w:gridCol w:w="1459"/>
        <w:gridCol w:w="146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深圳市华为技术软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深圳市海思半导体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26,067.70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4,553,039.25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227,651.96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61"/>
        <w:gridCol w:w="2256"/>
        <w:gridCol w:w="227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853" w:name="bookmark1853"/>
      <w:bookmarkStart w:id="1854" w:name="bookmark1854"/>
      <w:bookmarkStart w:id="1855" w:name="bookmark1855"/>
      <w:r>
        <w:rPr>
          <w:color w:val="000000"/>
          <w:spacing w:val="0"/>
          <w:w w:val="100"/>
          <w:position w:val="0"/>
          <w:sz w:val="24"/>
          <w:szCs w:val="24"/>
        </w:rPr>
        <w:t>十、股份支付</w:t>
      </w:r>
      <w:bookmarkEnd w:id="1853"/>
      <w:bookmarkEnd w:id="1854"/>
      <w:bookmarkEnd w:id="1855"/>
    </w:p>
    <w:p>
      <w:pPr>
        <w:pStyle w:val="Style33"/>
        <w:keepNext/>
        <w:keepLines/>
        <w:widowControl w:val="0"/>
        <w:shd w:val="clear" w:color="auto" w:fill="auto"/>
        <w:tabs>
          <w:tab w:pos="368" w:val="left"/>
        </w:tabs>
        <w:bidi w:val="0"/>
        <w:spacing w:before="0" w:after="36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1</w:t>
      </w:r>
      <w:bookmarkEnd w:id="1858"/>
      <w:r>
        <w:rPr>
          <w:color w:val="000000"/>
          <w:spacing w:val="0"/>
          <w:w w:val="100"/>
          <w:position w:val="0"/>
        </w:rPr>
        <w:t>、</w:t>
        <w:tab/>
        <w:t>股份支付总体情况</w:t>
      </w:r>
      <w:bookmarkEnd w:id="1856"/>
      <w:bookmarkEnd w:id="1857"/>
      <w:bookmarkEnd w:id="1859"/>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2</w:t>
      </w:r>
      <w:bookmarkEnd w:id="1862"/>
      <w:r>
        <w:rPr>
          <w:color w:val="000000"/>
          <w:spacing w:val="0"/>
          <w:w w:val="100"/>
          <w:position w:val="0"/>
        </w:rPr>
        <w:t>、</w:t>
        <w:tab/>
        <w:t>以权益结算的股份支付情况</w:t>
      </w:r>
      <w:bookmarkEnd w:id="1860"/>
      <w:bookmarkEnd w:id="1861"/>
      <w:bookmarkEnd w:id="1863"/>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3</w:t>
      </w:r>
      <w:bookmarkEnd w:id="1866"/>
      <w:r>
        <w:rPr>
          <w:color w:val="000000"/>
          <w:spacing w:val="0"/>
          <w:w w:val="100"/>
          <w:position w:val="0"/>
        </w:rPr>
        <w:t>、</w:t>
        <w:tab/>
        <w:t>以现金结算的股份支付情况</w:t>
      </w:r>
      <w:bookmarkEnd w:id="1864"/>
      <w:bookmarkEnd w:id="1865"/>
      <w:bookmarkEnd w:id="1867"/>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4</w:t>
      </w:r>
      <w:bookmarkEnd w:id="1870"/>
      <w:r>
        <w:rPr>
          <w:color w:val="000000"/>
          <w:spacing w:val="0"/>
          <w:w w:val="100"/>
          <w:position w:val="0"/>
        </w:rPr>
        <w:t>、</w:t>
        <w:tab/>
        <w:t>以股份支付服务情况</w:t>
      </w:r>
      <w:bookmarkEnd w:id="1868"/>
      <w:bookmarkEnd w:id="1869"/>
      <w:bookmarkEnd w:id="1871"/>
    </w:p>
    <w:p>
      <w:pPr>
        <w:pStyle w:val="Style28"/>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5</w:t>
      </w:r>
      <w:bookmarkEnd w:id="1874"/>
      <w:r>
        <w:rPr>
          <w:color w:val="000000"/>
          <w:spacing w:val="0"/>
          <w:w w:val="100"/>
          <w:position w:val="0"/>
        </w:rPr>
        <w:t>、</w:t>
        <w:tab/>
        <w:t>股份支付的修改、终止情况</w:t>
      </w:r>
      <w:bookmarkEnd w:id="1872"/>
      <w:bookmarkEnd w:id="1873"/>
      <w:bookmarkEnd w:id="1875"/>
    </w:p>
    <w:p>
      <w:pPr>
        <w:pStyle w:val="Style31"/>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r>
        <w:rPr>
          <w:color w:val="000000"/>
          <w:spacing w:val="0"/>
          <w:w w:val="100"/>
          <w:position w:val="0"/>
          <w:sz w:val="24"/>
          <w:szCs w:val="24"/>
        </w:rPr>
        <w:t>十^一、或有事项</w:t>
      </w:r>
      <w:bookmarkEnd w:id="1876"/>
      <w:bookmarkEnd w:id="1877"/>
      <w:bookmarkEnd w:id="1878"/>
    </w:p>
    <w:p>
      <w:pPr>
        <w:pStyle w:val="Style33"/>
        <w:keepNext/>
        <w:keepLines/>
        <w:widowControl w:val="0"/>
        <w:shd w:val="clear" w:color="auto" w:fill="auto"/>
        <w:tabs>
          <w:tab w:pos="368" w:val="left"/>
        </w:tabs>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bookmarkEnd w:id="1881"/>
      <w:r>
        <w:rPr>
          <w:color w:val="000000"/>
          <w:spacing w:val="0"/>
          <w:w w:val="100"/>
          <w:position w:val="0"/>
        </w:rPr>
        <w:t>、</w:t>
        <w:tab/>
        <w:t>未决诉讼或仲裁形成的或有负债及其财务影响</w:t>
      </w:r>
      <w:bookmarkEnd w:id="1879"/>
      <w:bookmarkEnd w:id="1880"/>
      <w:bookmarkEnd w:id="1882"/>
    </w:p>
    <w:p>
      <w:pPr>
        <w:pStyle w:val="Style33"/>
        <w:keepNext/>
        <w:keepLines/>
        <w:widowControl w:val="0"/>
        <w:shd w:val="clear" w:color="auto" w:fill="auto"/>
        <w:tabs>
          <w:tab w:pos="378" w:val="left"/>
        </w:tabs>
        <w:bidi w:val="0"/>
        <w:spacing w:before="0" w:after="36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bookmarkEnd w:id="1885"/>
      <w:r>
        <w:rPr>
          <w:color w:val="000000"/>
          <w:spacing w:val="0"/>
          <w:w w:val="100"/>
          <w:position w:val="0"/>
        </w:rPr>
        <w:t>、</w:t>
        <w:tab/>
        <w:t>为其他单位提供债务担保形成的或有负债及其财务影响</w:t>
      </w:r>
      <w:bookmarkEnd w:id="1883"/>
      <w:bookmarkEnd w:id="1884"/>
      <w:bookmarkEnd w:id="188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31"/>
        <w:keepNext/>
        <w:keepLines/>
        <w:widowControl w:val="0"/>
        <w:shd w:val="clear" w:color="auto" w:fill="auto"/>
        <w:bidi w:val="0"/>
        <w:spacing w:before="0" w:after="340" w:line="240" w:lineRule="auto"/>
        <w:ind w:left="0" w:right="0" w:firstLine="0"/>
        <w:jc w:val="left"/>
      </w:pPr>
      <w:bookmarkStart w:id="1887" w:name="bookmark1887"/>
      <w:bookmarkStart w:id="1888" w:name="bookmark1888"/>
      <w:bookmarkStart w:id="1889" w:name="bookmark1889"/>
      <w:r>
        <w:rPr>
          <w:color w:val="000000"/>
          <w:spacing w:val="0"/>
          <w:w w:val="100"/>
          <w:position w:val="0"/>
          <w:sz w:val="24"/>
          <w:szCs w:val="24"/>
        </w:rPr>
        <w:t>十二、承诺事项</w:t>
      </w:r>
      <w:bookmarkEnd w:id="1887"/>
      <w:bookmarkEnd w:id="1888"/>
      <w:bookmarkEnd w:id="1889"/>
    </w:p>
    <w:p>
      <w:pPr>
        <w:pStyle w:val="Style33"/>
        <w:keepNext/>
        <w:keepLines/>
        <w:widowControl w:val="0"/>
        <w:shd w:val="clear" w:color="auto" w:fill="auto"/>
        <w:tabs>
          <w:tab w:pos="368"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bookmarkEnd w:id="1892"/>
      <w:r>
        <w:rPr>
          <w:color w:val="000000"/>
          <w:spacing w:val="0"/>
          <w:w w:val="100"/>
          <w:position w:val="0"/>
        </w:rPr>
        <w:t>、</w:t>
        <w:tab/>
        <w:t>重大承诺事项</w:t>
      </w:r>
      <w:bookmarkEnd w:id="1890"/>
      <w:bookmarkEnd w:id="1891"/>
      <w:bookmarkEnd w:id="1893"/>
    </w:p>
    <w:p>
      <w:pPr>
        <w:pStyle w:val="Style33"/>
        <w:keepNext/>
        <w:keepLines/>
        <w:widowControl w:val="0"/>
        <w:shd w:val="clear" w:color="auto" w:fill="auto"/>
        <w:tabs>
          <w:tab w:pos="378" w:val="left"/>
        </w:tabs>
        <w:bidi w:val="0"/>
        <w:spacing w:before="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bookmarkEnd w:id="1896"/>
      <w:r>
        <w:rPr>
          <w:color w:val="000000"/>
          <w:spacing w:val="0"/>
          <w:w w:val="100"/>
          <w:position w:val="0"/>
        </w:rPr>
        <w:t>、</w:t>
        <w:tab/>
        <w:t>前期承诺履行情况</w:t>
      </w:r>
      <w:bookmarkEnd w:id="1894"/>
      <w:bookmarkEnd w:id="1895"/>
      <w:bookmarkEnd w:id="1897"/>
    </w:p>
    <w:p>
      <w:pPr>
        <w:pStyle w:val="Style31"/>
        <w:keepNext/>
        <w:keepLines/>
        <w:widowControl w:val="0"/>
        <w:shd w:val="clear" w:color="auto" w:fill="auto"/>
        <w:bidi w:val="0"/>
        <w:spacing w:before="0" w:after="340" w:line="240" w:lineRule="auto"/>
        <w:ind w:left="0" w:right="0" w:firstLine="0"/>
        <w:jc w:val="left"/>
      </w:pPr>
      <w:bookmarkStart w:id="1898" w:name="bookmark1898"/>
      <w:bookmarkStart w:id="1899" w:name="bookmark1899"/>
      <w:bookmarkStart w:id="1900" w:name="bookmark1900"/>
      <w:r>
        <w:rPr>
          <w:color w:val="000000"/>
          <w:spacing w:val="0"/>
          <w:w w:val="100"/>
          <w:position w:val="0"/>
          <w:sz w:val="24"/>
          <w:szCs w:val="24"/>
        </w:rPr>
        <w:t>十三、资产负债表日后事项</w:t>
      </w:r>
      <w:bookmarkEnd w:id="1898"/>
      <w:bookmarkEnd w:id="1899"/>
      <w:bookmarkEnd w:id="1900"/>
    </w:p>
    <w:p>
      <w:pPr>
        <w:pStyle w:val="Style33"/>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901"/>
      <w:bookmarkEnd w:id="1902"/>
      <w:bookmarkEnd w:id="19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81"/>
        <w:gridCol w:w="241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无法估计影响数的原因</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日董 事会公告，公司正在筹划重大 资产重组事项，因有关事项尚 存不确定性，为了维护投资者 利益，避免对公司股价造成重 大影响，根据深圳证券交易所 的相关规定，经公司申请，公 司股票自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起开始停牌，截至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日止，该事项仍在进行 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该事项尚存不确定性</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904"/>
      <w:bookmarkEnd w:id="1905"/>
      <w:bookmarkEnd w:id="19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61,392,000.00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148" w:right="1106" w:bottom="1408" w:left="1097" w:header="0" w:footer="3" w:gutter="0"/>
          <w:cols w:space="720"/>
          <w:noEndnote/>
          <w:rtlGutter w:val="0"/>
          <w:docGrid w:linePitch="360"/>
        </w:sectPr>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3</w:t>
      </w:r>
      <w:bookmarkEnd w:id="1909"/>
      <w:r>
        <w:rPr>
          <w:color w:val="000000"/>
          <w:spacing w:val="0"/>
          <w:w w:val="100"/>
          <w:position w:val="0"/>
        </w:rPr>
        <w:t>、其他资产负债表日后事项说明</w:t>
      </w:r>
      <w:bookmarkEnd w:id="1907"/>
      <w:bookmarkEnd w:id="1908"/>
      <w:bookmarkEnd w:id="1910"/>
    </w:p>
    <w:p>
      <w:pPr>
        <w:pStyle w:val="Style31"/>
        <w:keepNext/>
        <w:keepLines/>
        <w:widowControl w:val="0"/>
        <w:shd w:val="clear" w:color="auto" w:fill="auto"/>
        <w:bidi w:val="0"/>
        <w:spacing w:before="0" w:after="340" w:line="240" w:lineRule="auto"/>
        <w:ind w:left="0" w:right="0" w:firstLine="0"/>
        <w:jc w:val="left"/>
      </w:pPr>
      <w:bookmarkStart w:id="1911" w:name="bookmark1911"/>
      <w:bookmarkStart w:id="1912" w:name="bookmark1912"/>
      <w:bookmarkStart w:id="1913" w:name="bookmark1913"/>
      <w:r>
        <w:rPr>
          <w:color w:val="000000"/>
          <w:spacing w:val="0"/>
          <w:w w:val="100"/>
          <w:position w:val="0"/>
          <w:sz w:val="24"/>
          <w:szCs w:val="24"/>
        </w:rPr>
        <w:t>十四、其他重要事项</w:t>
      </w:r>
      <w:bookmarkEnd w:id="1911"/>
      <w:bookmarkEnd w:id="1912"/>
      <w:bookmarkEnd w:id="1913"/>
    </w:p>
    <w:p>
      <w:pPr>
        <w:pStyle w:val="Style33"/>
        <w:keepNext/>
        <w:keepLines/>
        <w:widowControl w:val="0"/>
        <w:shd w:val="clear" w:color="auto" w:fill="auto"/>
        <w:tabs>
          <w:tab w:pos="368"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bookmarkEnd w:id="1916"/>
      <w:r>
        <w:rPr>
          <w:color w:val="000000"/>
          <w:spacing w:val="0"/>
          <w:w w:val="100"/>
          <w:position w:val="0"/>
        </w:rPr>
        <w:t>、</w:t>
        <w:tab/>
        <w:t>非货币性资产交换</w:t>
      </w:r>
      <w:bookmarkEnd w:id="1914"/>
      <w:bookmarkEnd w:id="1915"/>
      <w:bookmarkEnd w:id="1917"/>
    </w:p>
    <w:p>
      <w:pPr>
        <w:pStyle w:val="Style33"/>
        <w:keepNext/>
        <w:keepLines/>
        <w:widowControl w:val="0"/>
        <w:shd w:val="clear" w:color="auto" w:fill="auto"/>
        <w:tabs>
          <w:tab w:pos="378"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bookmarkEnd w:id="1920"/>
      <w:r>
        <w:rPr>
          <w:color w:val="000000"/>
          <w:spacing w:val="0"/>
          <w:w w:val="100"/>
          <w:position w:val="0"/>
        </w:rPr>
        <w:t>、</w:t>
        <w:tab/>
        <w:t>债务重组</w:t>
      </w:r>
      <w:bookmarkEnd w:id="1918"/>
      <w:bookmarkEnd w:id="1919"/>
      <w:bookmarkEnd w:id="1921"/>
    </w:p>
    <w:p>
      <w:pPr>
        <w:pStyle w:val="Style33"/>
        <w:keepNext/>
        <w:keepLines/>
        <w:widowControl w:val="0"/>
        <w:shd w:val="clear" w:color="auto" w:fill="auto"/>
        <w:tabs>
          <w:tab w:pos="378"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3</w:t>
      </w:r>
      <w:bookmarkEnd w:id="1924"/>
      <w:r>
        <w:rPr>
          <w:color w:val="000000"/>
          <w:spacing w:val="0"/>
          <w:w w:val="100"/>
          <w:position w:val="0"/>
        </w:rPr>
        <w:t>、</w:t>
        <w:tab/>
        <w:t>企业合并</w:t>
      </w:r>
      <w:bookmarkEnd w:id="1922"/>
      <w:bookmarkEnd w:id="1923"/>
      <w:bookmarkEnd w:id="1925"/>
    </w:p>
    <w:p>
      <w:pPr>
        <w:pStyle w:val="Style33"/>
        <w:keepNext/>
        <w:keepLines/>
        <w:widowControl w:val="0"/>
        <w:shd w:val="clear" w:color="auto" w:fill="auto"/>
        <w:tabs>
          <w:tab w:pos="378" w:val="left"/>
        </w:tabs>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4</w:t>
      </w:r>
      <w:bookmarkEnd w:id="1928"/>
      <w:r>
        <w:rPr>
          <w:color w:val="000000"/>
          <w:spacing w:val="0"/>
          <w:w w:val="100"/>
          <w:position w:val="0"/>
        </w:rPr>
        <w:t>、</w:t>
        <w:tab/>
        <w:t>租赁</w:t>
      </w:r>
      <w:bookmarkEnd w:id="1926"/>
      <w:bookmarkEnd w:id="1927"/>
      <w:bookmarkEnd w:id="1929"/>
    </w:p>
    <w:p>
      <w:pPr>
        <w:pStyle w:val="Style33"/>
        <w:keepNext/>
        <w:keepLines/>
        <w:widowControl w:val="0"/>
        <w:shd w:val="clear" w:color="auto" w:fill="auto"/>
        <w:tabs>
          <w:tab w:pos="378"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5</w:t>
      </w:r>
      <w:bookmarkEnd w:id="1932"/>
      <w:r>
        <w:rPr>
          <w:color w:val="000000"/>
          <w:spacing w:val="0"/>
          <w:w w:val="100"/>
          <w:position w:val="0"/>
        </w:rPr>
        <w:t>、</w:t>
        <w:tab/>
        <w:t>期末发行在外的、可转换为股份的金融工具</w:t>
      </w:r>
      <w:bookmarkEnd w:id="1930"/>
      <w:bookmarkEnd w:id="1931"/>
      <w:bookmarkEnd w:id="1933"/>
    </w:p>
    <w:p>
      <w:pPr>
        <w:pStyle w:val="Style33"/>
        <w:keepNext/>
        <w:keepLines/>
        <w:widowControl w:val="0"/>
        <w:shd w:val="clear" w:color="auto" w:fill="auto"/>
        <w:tabs>
          <w:tab w:pos="378" w:val="left"/>
        </w:tabs>
        <w:bidi w:val="0"/>
        <w:spacing w:before="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6</w:t>
      </w:r>
      <w:bookmarkEnd w:id="1936"/>
      <w:r>
        <w:rPr>
          <w:color w:val="000000"/>
          <w:spacing w:val="0"/>
          <w:w w:val="100"/>
          <w:position w:val="0"/>
        </w:rPr>
        <w:t>、</w:t>
        <w:tab/>
        <w:t>以公允价值计量的资产和负债</w:t>
      </w:r>
      <w:bookmarkEnd w:id="1934"/>
      <w:bookmarkEnd w:id="1935"/>
      <w:bookmarkEnd w:id="193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12"/>
        <w:gridCol w:w="1531"/>
        <w:gridCol w:w="1522"/>
        <w:gridCol w:w="1522"/>
        <w:gridCol w:w="153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实物黄金 投资</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-918,170.00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118,230.00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7</w:t>
      </w:r>
      <w:bookmarkEnd w:id="1940"/>
      <w:r>
        <w:rPr>
          <w:color w:val="000000"/>
          <w:spacing w:val="0"/>
          <w:w w:val="100"/>
          <w:position w:val="0"/>
        </w:rPr>
        <w:t>、外币金融资产和外币金融负债</w:t>
      </w:r>
      <w:bookmarkEnd w:id="1938"/>
      <w:bookmarkEnd w:id="1939"/>
      <w:bookmarkEnd w:id="194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17"/>
        <w:gridCol w:w="1522"/>
        <w:gridCol w:w="1512"/>
        <w:gridCol w:w="1512"/>
        <w:gridCol w:w="153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8</w:t>
      </w:r>
      <w:bookmarkEnd w:id="1944"/>
      <w:r>
        <w:rPr>
          <w:color w:val="000000"/>
          <w:spacing w:val="0"/>
          <w:w w:val="100"/>
          <w:position w:val="0"/>
        </w:rPr>
        <w:t>、年金计划主要内容及重大变化</w:t>
      </w:r>
      <w:bookmarkEnd w:id="1942"/>
      <w:bookmarkEnd w:id="1943"/>
      <w:bookmarkEnd w:id="1945"/>
      <w:r>
        <w:br w:type="page"/>
      </w:r>
    </w:p>
    <w:p>
      <w:pPr>
        <w:pStyle w:val="Style33"/>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9</w:t>
      </w:r>
      <w:bookmarkEnd w:id="1948"/>
      <w:r>
        <w:rPr>
          <w:color w:val="000000"/>
          <w:spacing w:val="0"/>
          <w:w w:val="100"/>
          <w:position w:val="0"/>
        </w:rPr>
        <w:t>、其他</w:t>
      </w:r>
      <w:bookmarkEnd w:id="1946"/>
      <w:bookmarkEnd w:id="1947"/>
      <w:bookmarkEnd w:id="1949"/>
    </w:p>
    <w:p>
      <w:pPr>
        <w:pStyle w:val="Style31"/>
        <w:keepNext/>
        <w:keepLines/>
        <w:widowControl w:val="0"/>
        <w:shd w:val="clear" w:color="auto" w:fill="auto"/>
        <w:bidi w:val="0"/>
        <w:spacing w:before="0" w:after="340" w:line="240" w:lineRule="auto"/>
        <w:ind w:left="0" w:right="0" w:firstLine="0"/>
        <w:jc w:val="left"/>
      </w:pPr>
      <w:bookmarkStart w:id="1950" w:name="bookmark1950"/>
      <w:bookmarkStart w:id="1951" w:name="bookmark1951"/>
      <w:bookmarkStart w:id="1952" w:name="bookmark1952"/>
      <w:r>
        <w:rPr>
          <w:color w:val="000000"/>
          <w:spacing w:val="0"/>
          <w:w w:val="100"/>
          <w:position w:val="0"/>
          <w:sz w:val="24"/>
          <w:szCs w:val="24"/>
        </w:rPr>
        <w:t>十五、母公司财务报表主要项目注释</w:t>
      </w:r>
      <w:bookmarkEnd w:id="1950"/>
      <w:bookmarkEnd w:id="1951"/>
      <w:bookmarkEnd w:id="1952"/>
    </w:p>
    <w:p>
      <w:pPr>
        <w:pStyle w:val="Style33"/>
        <w:keepNext/>
        <w:keepLines/>
        <w:widowControl w:val="0"/>
        <w:shd w:val="clear" w:color="auto" w:fill="auto"/>
        <w:bidi w:val="0"/>
        <w:spacing w:before="0" w:line="240" w:lineRule="auto"/>
        <w:ind w:left="0" w:right="0" w:firstLine="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53"/>
      <w:bookmarkEnd w:id="1954"/>
      <w:bookmarkEnd w:id="1955"/>
    </w:p>
    <w:p>
      <w:pPr>
        <w:pStyle w:val="Style36"/>
        <w:keepNext/>
        <w:keepLines/>
        <w:widowControl w:val="0"/>
        <w:shd w:val="clear" w:color="auto" w:fill="auto"/>
        <w:bidi w:val="0"/>
        <w:spacing w:before="0" w:after="340" w:line="240" w:lineRule="auto"/>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56"/>
      <w:bookmarkEnd w:id="1957"/>
      <w:bookmarkEnd w:id="195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0"/>
        <w:gridCol w:w="533"/>
        <w:gridCol w:w="1330"/>
        <w:gridCol w:w="658"/>
        <w:gridCol w:w="1200"/>
        <w:gridCol w:w="662"/>
        <w:gridCol w:w="1330"/>
        <w:gridCol w:w="67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以账龄作为信用风险特 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148,877,684.93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8,777,792.17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117,868,831.14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6,007,960.23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148,877,684.93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8,777,792.17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117,868,831.14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6,007,960.23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148,877,684.93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8,777,792.17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117,868,831.14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6,007,960.23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997"/>
        <w:gridCol w:w="662"/>
        <w:gridCol w:w="1459"/>
        <w:gridCol w:w="2126"/>
        <w:gridCol w:w="667"/>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138,970,217.82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6,948,510.89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115,578,457.78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5,778,922.89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138,970,217.82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6,948,510.89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115,578,457.78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5,778,922.89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7,811,130.69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781,113.07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2,290,373.36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229,037.34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2,096,336.42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1,048,168.21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148,877,684.93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8,777,792.17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117,868,831.14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6,007,960.23</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959"/>
      <w:bookmarkEnd w:id="1960"/>
      <w:bookmarkEnd w:id="196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99"/>
        <w:gridCol w:w="1901"/>
        <w:gridCol w:w="1910"/>
        <w:gridCol w:w="193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2513"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36"/>
        <w:keepNext/>
        <w:keepLines/>
        <w:widowControl w:val="0"/>
        <w:numPr>
          <w:ilvl w:val="0"/>
          <w:numId w:val="127"/>
        </w:numPr>
        <w:shd w:val="clear" w:color="auto" w:fill="auto"/>
        <w:bidi w:val="0"/>
        <w:spacing w:before="0" w:line="240" w:lineRule="auto"/>
        <w:ind w:left="0" w:right="0" w:firstLine="0"/>
        <w:jc w:val="left"/>
      </w:pPr>
      <w:bookmarkStart w:id="1962" w:name="bookmark1962"/>
      <w:bookmarkStart w:id="1963" w:name="bookmark1963"/>
      <w:bookmarkStart w:id="1964" w:name="bookmark1964"/>
      <w:bookmarkStart w:id="1965" w:name="bookmark1965"/>
      <w:bookmarkEnd w:id="1964"/>
      <w:r>
        <w:rPr>
          <w:color w:val="000000"/>
          <w:spacing w:val="0"/>
          <w:w w:val="100"/>
          <w:position w:val="0"/>
        </w:rPr>
        <w:t>本报告期实际核销的应收账款情况</w:t>
      </w:r>
      <w:bookmarkEnd w:id="1962"/>
      <w:bookmarkEnd w:id="1963"/>
      <w:bookmarkEnd w:id="196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608"/>
        <w:gridCol w:w="1589"/>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6"/>
        <w:keepNext/>
        <w:keepLines/>
        <w:widowControl w:val="0"/>
        <w:numPr>
          <w:ilvl w:val="0"/>
          <w:numId w:val="127"/>
        </w:numPr>
        <w:shd w:val="clear" w:color="auto" w:fill="auto"/>
        <w:bidi w:val="0"/>
        <w:spacing w:before="0" w:line="240" w:lineRule="auto"/>
        <w:ind w:left="0" w:right="0" w:firstLine="0"/>
        <w:jc w:val="left"/>
      </w:pPr>
      <w:bookmarkStart w:id="1966" w:name="bookmark1966"/>
      <w:bookmarkStart w:id="1967" w:name="bookmark1967"/>
      <w:bookmarkStart w:id="1968" w:name="bookmark1968"/>
      <w:bookmarkStart w:id="1969" w:name="bookmark1969"/>
      <w:bookmarkEnd w:id="1968"/>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66"/>
      <w:bookmarkEnd w:id="1967"/>
      <w:bookmarkEnd w:id="1969"/>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594"/>
        <w:gridCol w:w="1862"/>
        <w:gridCol w:w="187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6"/>
        <w:keepNext/>
        <w:keepLines/>
        <w:widowControl w:val="0"/>
        <w:numPr>
          <w:ilvl w:val="0"/>
          <w:numId w:val="127"/>
        </w:numPr>
        <w:shd w:val="clear" w:color="auto" w:fill="auto"/>
        <w:tabs>
          <w:tab w:pos="488" w:val="left"/>
        </w:tabs>
        <w:bidi w:val="0"/>
        <w:spacing w:before="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金额较大的其他的应收账款的性质或内容</w:t>
      </w:r>
      <w:bookmarkEnd w:id="1970"/>
      <w:bookmarkEnd w:id="1971"/>
      <w:bookmarkEnd w:id="1973"/>
    </w:p>
    <w:p>
      <w:pPr>
        <w:pStyle w:val="Style36"/>
        <w:keepNext/>
        <w:keepLines/>
        <w:widowControl w:val="0"/>
        <w:numPr>
          <w:ilvl w:val="0"/>
          <w:numId w:val="127"/>
        </w:numPr>
        <w:shd w:val="clear" w:color="auto" w:fill="auto"/>
        <w:tabs>
          <w:tab w:pos="488" w:val="left"/>
        </w:tabs>
        <w:bidi w:val="0"/>
        <w:spacing w:before="0" w:line="240" w:lineRule="auto"/>
        <w:ind w:left="0" w:right="0" w:firstLine="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应收账款中金额前五名单位情况</w:t>
      </w:r>
      <w:bookmarkEnd w:id="1974"/>
      <w:bookmarkEnd w:id="1975"/>
      <w:bookmarkEnd w:id="1977"/>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株式会社溜和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工，束京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15,356,933.38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百胜咨询</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9,616,047.97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江苏电力信息技术有限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9,554,222.62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6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株式会社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才勺人卜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8,994,713.62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客户兼关联方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7,701,091.26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51,223,008.85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w:t>
            </w:r>
          </w:p>
        </w:tc>
      </w:tr>
    </w:tbl>
    <w:p>
      <w:pPr>
        <w:widowControl w:val="0"/>
        <w:spacing w:after="339" w:line="1" w:lineRule="exact"/>
      </w:pPr>
    </w:p>
    <w:p>
      <w:pPr>
        <w:pStyle w:val="Style36"/>
        <w:keepNext/>
        <w:keepLines/>
        <w:widowControl w:val="0"/>
        <w:numPr>
          <w:ilvl w:val="0"/>
          <w:numId w:val="127"/>
        </w:numPr>
        <w:shd w:val="clear" w:color="auto" w:fill="auto"/>
        <w:bidi w:val="0"/>
        <w:spacing w:before="0" w:after="340" w:line="240" w:lineRule="auto"/>
        <w:ind w:left="0" w:right="0" w:firstLine="14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应收关联方账款情况</w:t>
      </w:r>
      <w:bookmarkEnd w:id="1978"/>
      <w:bookmarkEnd w:id="1979"/>
      <w:bookmarkEnd w:id="198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4"/>
        <w:gridCol w:w="2429"/>
        <w:gridCol w:w="2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株式会社溜和</w:t>
            </w:r>
            <w:r>
              <w:rPr>
                <w:color w:val="000000"/>
                <w:spacing w:val="0"/>
                <w:w w:val="100"/>
                <w:position w:val="0"/>
                <w:sz w:val="18"/>
                <w:szCs w:val="18"/>
              </w:rPr>
              <w:t xml:space="preserve">7 </w:t>
            </w:r>
            <w:r>
              <w:rPr>
                <w:color w:val="000000"/>
                <w:spacing w:val="0"/>
                <w:w w:val="100"/>
                <w:position w:val="0"/>
              </w:rPr>
              <w:t>束京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15,356,933.38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参股股东的关联方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7,701,091.26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华为终端(东莞)有限公司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参股股东的关联方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510,190.16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Hoperun Software Singapore</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474,184.37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参股股东的关联方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452,970.39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江苏开拓信息与系统有限公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290,600.00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深圳市华为技术软件有限公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参股股东的关联方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深圳市海思半导体有限公司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参股股东的关联方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24,854,263.56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1982" w:name="bookmark1982"/>
            <w:r>
              <w:rPr>
                <w:rFonts w:ascii="Times New Roman" w:eastAsia="Times New Roman" w:hAnsi="Times New Roman" w:cs="Times New Roman"/>
                <w:color w:val="000000"/>
                <w:spacing w:val="0"/>
                <w:w w:val="100"/>
                <w:position w:val="0"/>
              </w:rPr>
              <w:t>16.69%</w:t>
            </w:r>
            <w:bookmarkEnd w:id="1982"/>
          </w:p>
        </w:tc>
      </w:tr>
    </w:tbl>
    <w:p>
      <w:pPr>
        <w:widowControl w:val="0"/>
        <w:spacing w:after="339" w:line="1" w:lineRule="exact"/>
      </w:pPr>
    </w:p>
    <w:p>
      <w:pPr>
        <w:pStyle w:val="Style58"/>
        <w:keepNext w:val="0"/>
        <w:keepLines w:val="0"/>
        <w:widowControl w:val="0"/>
        <w:shd w:val="clear" w:color="auto" w:fill="auto"/>
        <w:bidi w:val="0"/>
        <w:spacing w:before="0" w:after="400" w:line="240" w:lineRule="auto"/>
        <w:ind w:left="0" w:right="0" w:firstLine="0"/>
        <w:jc w:val="left"/>
      </w:pPr>
      <w:bookmarkStart w:id="1983" w:name="bookmark1983"/>
      <w:r>
        <w:rPr>
          <w:color w:val="000000"/>
          <w:spacing w:val="0"/>
          <w:w w:val="100"/>
          <w:position w:val="0"/>
        </w:rPr>
        <w:t>(</w:t>
      </w:r>
      <w:bookmarkEnd w:id="1983"/>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numPr>
          <w:ilvl w:val="0"/>
          <w:numId w:val="127"/>
        </w:numPr>
        <w:shd w:val="clear" w:color="auto" w:fill="auto"/>
        <w:tabs>
          <w:tab w:pos="488" w:val="left"/>
        </w:tabs>
        <w:bidi w:val="0"/>
        <w:spacing w:before="0" w:after="340" w:line="240" w:lineRule="auto"/>
        <w:ind w:left="0" w:right="0" w:firstLine="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以应收款项为标的资产进行资产证券化的，需简要说明相关交易安排</w:t>
      </w:r>
      <w:bookmarkEnd w:id="1984"/>
      <w:bookmarkEnd w:id="1985"/>
      <w:bookmarkEnd w:id="1987"/>
    </w:p>
    <w:p>
      <w:pPr>
        <w:pStyle w:val="Style33"/>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88"/>
      <w:bookmarkEnd w:id="1989"/>
      <w:bookmarkEnd w:id="1990"/>
    </w:p>
    <w:p>
      <w:pPr>
        <w:pStyle w:val="Style36"/>
        <w:keepNext/>
        <w:keepLines/>
        <w:widowControl w:val="0"/>
        <w:shd w:val="clear" w:color="auto" w:fill="auto"/>
        <w:bidi w:val="0"/>
        <w:spacing w:before="0" w:after="340" w:line="240" w:lineRule="auto"/>
        <w:ind w:left="0" w:right="0" w:firstLine="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91"/>
      <w:bookmarkEnd w:id="1992"/>
      <w:bookmarkEnd w:id="1993"/>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74"/>
        <w:gridCol w:w="1454"/>
        <w:gridCol w:w="528"/>
        <w:gridCol w:w="1320"/>
        <w:gridCol w:w="528"/>
        <w:gridCol w:w="1325"/>
        <w:gridCol w:w="528"/>
        <w:gridCol w:w="1190"/>
        <w:gridCol w:w="53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74"/>
        <w:gridCol w:w="1454"/>
        <w:gridCol w:w="528"/>
        <w:gridCol w:w="1320"/>
        <w:gridCol w:w="528"/>
        <w:gridCol w:w="1325"/>
        <w:gridCol w:w="528"/>
        <w:gridCol w:w="1190"/>
        <w:gridCol w:w="53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以账龄作为信用风险特征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80,487,726.37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4,151,432.37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67,793,066.68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3,762,809.61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80,487,726.37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4,151,432.37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67,793,066.68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3,762,809.61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80,487,726.37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4,151,432.37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67,793,066.68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3,762,809.61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79,871,525.37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3,993,576.27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60,409,941.23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3,020,497.06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79,871,525.37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3,993,576.27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60,409,941.23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3,020,497.06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388,111.00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38,811.10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7,373,125.45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737,312.55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218,090.00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109,045.00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80,487,726.37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4,151,432.37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67,793,066.68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3,762,809.61</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994"/>
      <w:bookmarkEnd w:id="1995"/>
      <w:bookmarkEnd w:id="199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14"/>
        <w:gridCol w:w="1862"/>
        <w:gridCol w:w="1915"/>
        <w:gridCol w:w="189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4"/>
        <w:gridCol w:w="1954"/>
        <w:gridCol w:w="186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6"/>
        <w:keepNext/>
        <w:keepLines/>
        <w:widowControl w:val="0"/>
        <w:numPr>
          <w:ilvl w:val="0"/>
          <w:numId w:val="129"/>
        </w:numPr>
        <w:shd w:val="clear" w:color="auto" w:fill="auto"/>
        <w:bidi w:val="0"/>
        <w:spacing w:before="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本报告期实际核销的其他应收款情况</w:t>
      </w:r>
      <w:bookmarkEnd w:id="1997"/>
      <w:bookmarkEnd w:id="1998"/>
      <w:bookmarkEnd w:id="2000"/>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464"/>
        <w:gridCol w:w="1517"/>
        <w:gridCol w:w="181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numPr>
          <w:ilvl w:val="0"/>
          <w:numId w:val="129"/>
        </w:numPr>
        <w:shd w:val="clear" w:color="auto" w:fill="auto"/>
        <w:bidi w:val="0"/>
        <w:spacing w:before="0" w:line="240" w:lineRule="auto"/>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2001"/>
      <w:bookmarkEnd w:id="2002"/>
      <w:bookmarkEnd w:id="2004"/>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664"/>
        <w:gridCol w:w="1728"/>
        <w:gridCol w:w="1728"/>
        <w:gridCol w:w="1858"/>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6"/>
        <w:keepNext/>
        <w:keepLines/>
        <w:widowControl w:val="0"/>
        <w:numPr>
          <w:ilvl w:val="0"/>
          <w:numId w:val="129"/>
        </w:numPr>
        <w:shd w:val="clear" w:color="auto" w:fill="auto"/>
        <w:tabs>
          <w:tab w:pos="488"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金额较大的其他应收款的性质或内容</w:t>
      </w:r>
      <w:bookmarkEnd w:id="2005"/>
      <w:bookmarkEnd w:id="2006"/>
      <w:bookmarkEnd w:id="2008"/>
    </w:p>
    <w:p>
      <w:pPr>
        <w:pStyle w:val="Style36"/>
        <w:keepNext/>
        <w:keepLines/>
        <w:widowControl w:val="0"/>
        <w:numPr>
          <w:ilvl w:val="0"/>
          <w:numId w:val="129"/>
        </w:numPr>
        <w:shd w:val="clear" w:color="auto" w:fill="auto"/>
        <w:tabs>
          <w:tab w:pos="488" w:val="left"/>
        </w:tabs>
        <w:bidi w:val="0"/>
        <w:spacing w:before="0" w:line="240" w:lineRule="auto"/>
        <w:ind w:left="0" w:right="0" w:firstLine="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其他应收款金额前五名单位情况</w:t>
      </w:r>
      <w:bookmarkEnd w:id="2009"/>
      <w:bookmarkEnd w:id="2010"/>
      <w:bookmarkEnd w:id="2012"/>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65,798,972.36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江苏润和南京软件外包 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3,434,220.17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Hoperun mMax Digital</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润和数码的全资子公司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2,470,936.39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北京润和汇智信息技术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1,002,084.00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江苏天源招标有限公司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1.02%</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73,531,112.92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91.36%</w:t>
            </w:r>
          </w:p>
        </w:tc>
      </w:tr>
    </w:tbl>
    <w:p>
      <w:pPr>
        <w:widowControl w:val="0"/>
        <w:spacing w:after="339" w:line="1" w:lineRule="exact"/>
      </w:pPr>
    </w:p>
    <w:p>
      <w:pPr>
        <w:pStyle w:val="Style36"/>
        <w:keepNext/>
        <w:keepLines/>
        <w:widowControl w:val="0"/>
        <w:numPr>
          <w:ilvl w:val="0"/>
          <w:numId w:val="129"/>
        </w:numPr>
        <w:shd w:val="clear" w:color="auto" w:fill="auto"/>
        <w:bidi w:val="0"/>
        <w:spacing w:before="0" w:after="340" w:line="240" w:lineRule="auto"/>
        <w:ind w:left="0" w:right="0" w:firstLine="14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其他应收关联方账款情况</w:t>
      </w:r>
      <w:bookmarkEnd w:id="2013"/>
      <w:bookmarkEnd w:id="2014"/>
      <w:bookmarkEnd w:id="201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4"/>
        <w:gridCol w:w="2429"/>
        <w:gridCol w:w="2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65,798,972.36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江苏润和南京软件外包园投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3,434,220.17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Hoperun mMax Digital Pte</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润和数码的全资子公司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2,470,936.39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北京润和汇智信息技术有限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1,002,084.00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2017" w:name="bookmark2017"/>
            <w:r>
              <w:rPr>
                <w:rFonts w:ascii="Times New Roman" w:eastAsia="Times New Roman" w:hAnsi="Times New Roman" w:cs="Times New Roman"/>
                <w:color w:val="000000"/>
                <w:spacing w:val="0"/>
                <w:w w:val="100"/>
                <w:position w:val="0"/>
              </w:rPr>
              <w:t>72,706,212.92</w:t>
            </w:r>
            <w:bookmarkEnd w:id="2017"/>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w:t>
            </w:r>
          </w:p>
        </w:tc>
      </w:tr>
    </w:tbl>
    <w:p>
      <w:pPr>
        <w:widowControl w:val="0"/>
        <w:spacing w:after="339" w:line="1" w:lineRule="exact"/>
      </w:pPr>
    </w:p>
    <w:p>
      <w:pPr>
        <w:pStyle w:val="Style58"/>
        <w:keepNext w:val="0"/>
        <w:keepLines w:val="0"/>
        <w:widowControl w:val="0"/>
        <w:shd w:val="clear" w:color="auto" w:fill="auto"/>
        <w:bidi w:val="0"/>
        <w:spacing w:before="0" w:after="400" w:line="240" w:lineRule="auto"/>
        <w:ind w:left="0" w:right="0" w:firstLine="0"/>
        <w:jc w:val="left"/>
      </w:pPr>
      <w:bookmarkStart w:id="2018" w:name="bookmark2018"/>
      <w:r>
        <w:rPr>
          <w:color w:val="000000"/>
          <w:spacing w:val="0"/>
          <w:w w:val="100"/>
          <w:position w:val="0"/>
        </w:rPr>
        <w:t>(</w:t>
      </w:r>
      <w:bookmarkEnd w:id="2018"/>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numPr>
          <w:ilvl w:val="0"/>
          <w:numId w:val="129"/>
        </w:numPr>
        <w:shd w:val="clear" w:color="auto" w:fill="auto"/>
        <w:tabs>
          <w:tab w:pos="488" w:val="left"/>
        </w:tabs>
        <w:bidi w:val="0"/>
        <w:spacing w:before="0" w:after="340" w:line="240" w:lineRule="auto"/>
        <w:ind w:left="0" w:right="0" w:firstLine="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以其他应收款项为标的资产进行资产证券化的，需简要说明相关交易安排</w:t>
      </w:r>
      <w:bookmarkEnd w:id="2019"/>
      <w:bookmarkEnd w:id="2020"/>
      <w:bookmarkEnd w:id="2022"/>
    </w:p>
    <w:p>
      <w:pPr>
        <w:pStyle w:val="Style33"/>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3</w:t>
      </w:r>
      <w:bookmarkEnd w:id="2025"/>
      <w:r>
        <w:rPr>
          <w:color w:val="000000"/>
          <w:spacing w:val="0"/>
          <w:w w:val="100"/>
          <w:position w:val="0"/>
        </w:rPr>
        <w:t>、长期股权投资</w:t>
      </w:r>
      <w:bookmarkEnd w:id="2023"/>
      <w:bookmarkEnd w:id="2024"/>
      <w:bookmarkEnd w:id="2026"/>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HopeRun Technolo 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6,589,850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6,589,850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6,589,850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株式会社</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濮</w:t>
            </w:r>
            <w:r>
              <w:rPr>
                <w:color w:val="000000"/>
                <w:spacing w:val="0"/>
                <w:w w:val="100"/>
                <w:position w:val="0"/>
                <w:sz w:val="18"/>
                <w:szCs w:val="18"/>
              </w:rPr>
              <w:t>1</w:t>
            </w:r>
            <w:r>
              <w:rPr>
                <w:color w:val="000000"/>
                <w:spacing w:val="0"/>
                <w:w w:val="100"/>
                <w:position w:val="0"/>
              </w:rPr>
              <w:t>和</w:t>
            </w:r>
            <w:r>
              <w:rPr>
                <w:color w:val="000000"/>
                <w:spacing w:val="0"/>
                <w:w w:val="100"/>
                <w:position w:val="0"/>
                <w:sz w:val="18"/>
                <w:szCs w:val="18"/>
              </w:rPr>
              <w:t>7 7</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束京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4,856,001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4,856,001</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4,856,001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东京润和 持有 </w:t>
            </w:r>
            <w:r>
              <w:rPr>
                <w:rFonts w:ascii="Times New Roman" w:eastAsia="Times New Roman" w:hAnsi="Times New Roman" w:cs="Times New Roman"/>
                <w:color w:val="000000"/>
                <w:spacing w:val="0"/>
                <w:w w:val="100"/>
                <w:position w:val="0"/>
              </w:rPr>
              <w:t xml:space="preserve">8.33% </w:t>
            </w:r>
            <w:r>
              <w:rPr>
                <w:color w:val="000000"/>
                <w:spacing w:val="0"/>
                <w:w w:val="100"/>
                <w:position w:val="0"/>
              </w:rPr>
              <w:t>的 库存股股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江苏润和 南京软件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181,097,6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91,097,60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181,097,6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外包园投 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SRS2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LIMITE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2,084,594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2,084,594</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2,084,594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南京润和 数码有限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5,320,755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5,320,755</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5,320,755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西安润和 软件信息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北京润和 汇智信息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江苏开拓 信息与系 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56,464,60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56,464,60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56,464,60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281,413,4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129,948,8</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151,464,6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281,413,4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长期股权投资的说明</w:t>
      </w:r>
    </w:p>
    <w:p>
      <w:pPr>
        <w:pStyle w:val="Style33"/>
        <w:keepNext/>
        <w:keepLines/>
        <w:widowControl w:val="0"/>
        <w:shd w:val="clear" w:color="auto" w:fill="auto"/>
        <w:bidi w:val="0"/>
        <w:spacing w:before="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4</w:t>
      </w:r>
      <w:bookmarkEnd w:id="2029"/>
      <w:r>
        <w:rPr>
          <w:color w:val="000000"/>
          <w:spacing w:val="0"/>
          <w:w w:val="100"/>
          <w:position w:val="0"/>
        </w:rPr>
        <w:t>、营业收入和营业成本</w:t>
      </w:r>
      <w:bookmarkEnd w:id="2027"/>
      <w:bookmarkEnd w:id="2028"/>
      <w:bookmarkEnd w:id="2030"/>
    </w:p>
    <w:p>
      <w:pPr>
        <w:pStyle w:val="Style33"/>
        <w:keepNext/>
        <w:keepLines/>
        <w:widowControl w:val="0"/>
        <w:shd w:val="clear" w:color="auto" w:fill="auto"/>
        <w:bidi w:val="0"/>
        <w:spacing w:before="0" w:line="240" w:lineRule="auto"/>
        <w:ind w:left="0" w:right="0" w:firstLine="0"/>
        <w:jc w:val="left"/>
      </w:pPr>
      <w:bookmarkStart w:id="2027" w:name="bookmark2027"/>
      <w:bookmarkStart w:id="2028" w:name="bookmark2028"/>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2027"/>
      <w:bookmarkEnd w:id="2028"/>
    </w:p>
    <w:p>
      <w:pPr>
        <w:pStyle w:val="Style19"/>
        <w:keepNext w:val="0"/>
        <w:keepLines w:val="0"/>
        <w:widowControl w:val="0"/>
        <w:shd w:val="clear" w:color="auto" w:fill="auto"/>
        <w:bidi w:val="0"/>
        <w:spacing w:before="0" w:after="0" w:line="240" w:lineRule="auto"/>
        <w:ind w:left="0" w:right="0" w:firstLine="0"/>
        <w:jc w:val="right"/>
      </w:pPr>
      <w:bookmarkStart w:id="2031" w:name="bookmark2031"/>
      <w:r>
        <w:rPr>
          <w:color w:val="000000"/>
          <w:spacing w:val="0"/>
          <w:w w:val="100"/>
          <w:position w:val="0"/>
        </w:rPr>
        <w:t>单位：元</w:t>
      </w:r>
      <w:bookmarkEnd w:id="2031"/>
    </w:p>
    <w:tbl>
      <w:tblPr>
        <w:tblOverlap w:val="never"/>
        <w:jc w:val="center"/>
        <w:tblLayout w:type="fixed"/>
      </w:tblPr>
      <w:tblGrid>
        <w:gridCol w:w="2530"/>
        <w:gridCol w:w="3456"/>
        <w:gridCol w:w="36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303,167,335.45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260,901,991.50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303,167,335.45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260,901,991.50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179,047,239.04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bookmarkStart w:id="2032" w:name="bookmark2032"/>
            <w:r>
              <w:rPr>
                <w:rFonts w:ascii="Times New Roman" w:eastAsia="Times New Roman" w:hAnsi="Times New Roman" w:cs="Times New Roman"/>
                <w:color w:val="000000"/>
                <w:spacing w:val="0"/>
                <w:w w:val="100"/>
                <w:position w:val="0"/>
              </w:rPr>
              <w:t>146,480,470.16</w:t>
            </w:r>
            <w:bookmarkEnd w:id="2032"/>
          </w:p>
        </w:tc>
      </w:tr>
    </w:tbl>
    <w:p>
      <w:pPr>
        <w:widowControl w:val="0"/>
        <w:spacing w:after="339" w:line="1" w:lineRule="exact"/>
      </w:pPr>
    </w:p>
    <w:p>
      <w:pPr>
        <w:pStyle w:val="Style5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266"/>
        <w:gridCol w:w="1862"/>
        <w:gridCol w:w="1862"/>
        <w:gridCol w:w="1858"/>
        <w:gridCol w:w="17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303,167,335.45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179,047,239.04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260,901,991.50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146,480,470.16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303,167,335.45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179,047,239.04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260,901,991.50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146,480,470.16</w:t>
            </w:r>
          </w:p>
        </w:tc>
      </w:tr>
    </w:tbl>
    <w:p>
      <w:pPr>
        <w:widowControl w:val="0"/>
        <w:spacing w:after="299" w:line="1" w:lineRule="exact"/>
      </w:pPr>
    </w:p>
    <w:p>
      <w:pPr>
        <w:pStyle w:val="Style58"/>
        <w:keepNext w:val="0"/>
        <w:keepLines w:val="0"/>
        <w:widowControl w:val="0"/>
        <w:numPr>
          <w:ilvl w:val="0"/>
          <w:numId w:val="131"/>
        </w:numPr>
        <w:shd w:val="clear" w:color="auto" w:fill="auto"/>
        <w:bidi w:val="0"/>
        <w:spacing w:before="0" w:line="240" w:lineRule="auto"/>
        <w:ind w:left="0" w:right="0" w:firstLine="0"/>
        <w:jc w:val="left"/>
      </w:pPr>
      <w:bookmarkStart w:id="2033" w:name="bookmark2033"/>
      <w:bookmarkStart w:id="2034" w:name="bookmark2034"/>
      <w:bookmarkEnd w:id="2033"/>
      <w:r>
        <w:rPr>
          <w:color w:val="000000"/>
          <w:spacing w:val="0"/>
          <w:w w:val="100"/>
          <w:position w:val="0"/>
        </w:rPr>
        <w:t>主营业务(分产品)</w:t>
      </w:r>
      <w:bookmarkEnd w:id="203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124,462,003.31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74,119,843.72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91,171,079.66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51,327,891.51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智能终端嵌入式软件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93,573,441.86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52,658,940.50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92,148,737.55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47,794,273.97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60,303,869.10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32,820,800.52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49,955,431.20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28,381,825.09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15,207,600.49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13,246,362.40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1,845,724.57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1,575,753.50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9,620,420.69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6,201,291.90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25,781,018.52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17,400,726.09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303,167,335.45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179,047,239.04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bookmarkStart w:id="2035" w:name="bookmark2035"/>
            <w:r>
              <w:rPr>
                <w:rFonts w:ascii="Times New Roman" w:eastAsia="Times New Roman" w:hAnsi="Times New Roman" w:cs="Times New Roman"/>
                <w:color w:val="000000"/>
                <w:spacing w:val="0"/>
                <w:w w:val="100"/>
                <w:position w:val="0"/>
              </w:rPr>
              <w:t>260,901,991.50</w:t>
            </w:r>
            <w:bookmarkEnd w:id="2035"/>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146,480,470.16</w:t>
            </w:r>
          </w:p>
        </w:tc>
      </w:tr>
    </w:tbl>
    <w:p>
      <w:pPr>
        <w:widowControl w:val="0"/>
        <w:spacing w:after="299" w:line="1" w:lineRule="exact"/>
      </w:pPr>
    </w:p>
    <w:p>
      <w:pPr>
        <w:pStyle w:val="Style58"/>
        <w:keepNext w:val="0"/>
        <w:keepLines w:val="0"/>
        <w:widowControl w:val="0"/>
        <w:numPr>
          <w:ilvl w:val="0"/>
          <w:numId w:val="131"/>
        </w:numPr>
        <w:shd w:val="clear" w:color="auto" w:fill="auto"/>
        <w:bidi w:val="0"/>
        <w:spacing w:before="0" w:line="240" w:lineRule="auto"/>
        <w:ind w:left="0" w:right="0" w:firstLine="0"/>
        <w:jc w:val="left"/>
      </w:pPr>
      <w:bookmarkStart w:id="2036" w:name="bookmark2036"/>
      <w:bookmarkEnd w:id="2036"/>
      <w:r>
        <w:rPr>
          <w:color w:val="000000"/>
          <w:spacing w:val="0"/>
          <w:w w:val="100"/>
          <w:position w:val="0"/>
        </w:rPr>
        <w:t>主营业务(分地区)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240,637,833.05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143,231,639.16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200,727,710.26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113,716,727.18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62,529,502.40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35,815,599.88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60,174,281.24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32,763,742.98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303,167,335.45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179,047,239.04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260,901,991.50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146,480,470.16</w:t>
            </w:r>
          </w:p>
        </w:tc>
      </w:tr>
    </w:tbl>
    <w:p>
      <w:pPr>
        <w:widowControl w:val="0"/>
        <w:spacing w:after="299" w:line="1" w:lineRule="exact"/>
      </w:pPr>
    </w:p>
    <w:p>
      <w:pPr>
        <w:pStyle w:val="Style36"/>
        <w:keepNext/>
        <w:keepLines/>
        <w:widowControl w:val="0"/>
        <w:numPr>
          <w:ilvl w:val="0"/>
          <w:numId w:val="131"/>
        </w:numPr>
        <w:shd w:val="clear" w:color="auto" w:fill="auto"/>
        <w:bidi w:val="0"/>
        <w:spacing w:before="0" w:line="240" w:lineRule="auto"/>
        <w:ind w:left="0" w:right="0" w:firstLine="0"/>
        <w:jc w:val="left"/>
      </w:pPr>
      <w:bookmarkStart w:id="2037" w:name="bookmark2037"/>
      <w:bookmarkStart w:id="2038" w:name="bookmark2038"/>
      <w:bookmarkStart w:id="2039" w:name="bookmark2039"/>
      <w:bookmarkStart w:id="2040" w:name="bookmark2040"/>
      <w:bookmarkEnd w:id="2039"/>
      <w:r>
        <w:rPr>
          <w:color w:val="000000"/>
          <w:spacing w:val="0"/>
          <w:w w:val="100"/>
          <w:position w:val="0"/>
        </w:rPr>
        <w:t>公司来自前五名客户的营业收入情况</w:t>
      </w:r>
      <w:bookmarkEnd w:id="2037"/>
      <w:bookmarkEnd w:id="2038"/>
      <w:bookmarkEnd w:id="2040"/>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2918"/>
        <w:gridCol w:w="187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株式会社润和京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36,861,534.84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百胜咨询</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19,965,664.50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江苏方天电力技术有限公司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19,491,570.71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南京南瑞集团公司信息通信技术分公司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19,443,679.25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江苏电力信息技术有限公司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12,549,278.30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108,311,727.60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33"/>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5</w:t>
      </w:r>
      <w:bookmarkEnd w:id="2043"/>
      <w:r>
        <w:rPr>
          <w:color w:val="000000"/>
          <w:spacing w:val="0"/>
          <w:w w:val="100"/>
          <w:position w:val="0"/>
        </w:rPr>
        <w:t>、投资收益</w:t>
      </w:r>
      <w:bookmarkEnd w:id="2041"/>
      <w:bookmarkEnd w:id="2042"/>
      <w:bookmarkEnd w:id="2044"/>
    </w:p>
    <w:p>
      <w:pPr>
        <w:pStyle w:val="Style36"/>
        <w:keepNext/>
        <w:keepLines/>
        <w:widowControl w:val="0"/>
        <w:shd w:val="clear" w:color="auto" w:fill="auto"/>
        <w:bidi w:val="0"/>
        <w:spacing w:before="0" w:after="340" w:line="240" w:lineRule="auto"/>
        <w:ind w:left="0" w:right="0" w:firstLine="0"/>
        <w:jc w:val="left"/>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2045"/>
      <w:bookmarkEnd w:id="2046"/>
      <w:bookmarkEnd w:id="20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1,664,100.00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1,664,100.00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2048"/>
      <w:bookmarkEnd w:id="2049"/>
      <w:bookmarkEnd w:id="205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608"/>
        <w:gridCol w:w="297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127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051" w:name="bookmark205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bookmarkEnd w:id="205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投资收益的说明</w:t>
      </w:r>
    </w:p>
    <w:p>
      <w:pPr>
        <w:pStyle w:val="Style33"/>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6</w:t>
      </w:r>
      <w:bookmarkEnd w:id="2054"/>
      <w:r>
        <w:rPr>
          <w:color w:val="000000"/>
          <w:spacing w:val="0"/>
          <w:w w:val="100"/>
          <w:position w:val="0"/>
        </w:rPr>
        <w:t>、现金流量表补充资料</w:t>
      </w:r>
      <w:bookmarkEnd w:id="2052"/>
      <w:bookmarkEnd w:id="2053"/>
      <w:bookmarkEnd w:id="205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68,722,708.01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64,311,439.76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3,158,454.70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4,169,930.86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3,714,708.18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3,353,196.89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1,534,771.65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823,327.24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238,426.67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150,585.36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27,856.07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897,600.00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280,762.36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3,046,344.89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-1,664,100.00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189,551.70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-604,440.50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134,640.00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6,634,667.45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-21,156,410.06</w:t>
            </w:r>
          </w:p>
        </w:tc>
      </w:tr>
    </w:tbl>
    <w:p>
      <w:pPr>
        <w:spacing w:lineRule="exact" w:line="1"/>
        <w:rPr>
          <w:sz w:val="2"/>
          <w:szCs w:val="2"/>
        </w:rPr>
      </w:pPr>
      <w:r>
        <w:br w:type="page"/>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-36,094,345.78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-73,253,531.87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-5,455,176.64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41,372,904.16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42,051,244.37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20,281,486.73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318,056,809.34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443,519,902.14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443,519,902.14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139,670,945.30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-125,463,092.80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303,848,956.84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7</w:t>
      </w:r>
      <w:bookmarkEnd w:id="2058"/>
      <w:r>
        <w:rPr>
          <w:color w:val="000000"/>
          <w:spacing w:val="0"/>
          <w:w w:val="100"/>
          <w:position w:val="0"/>
        </w:rPr>
        <w:t>、反向购买下以评估值入账的资产、负债情况</w:t>
      </w:r>
      <w:bookmarkEnd w:id="2056"/>
      <w:bookmarkEnd w:id="2057"/>
      <w:bookmarkEnd w:id="205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638"/>
        <w:gridCol w:w="1277"/>
        <w:gridCol w:w="19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2060" w:name="bookmark2060"/>
      <w:bookmarkStart w:id="2061" w:name="bookmark2061"/>
      <w:bookmarkStart w:id="2062" w:name="bookmark2062"/>
      <w:r>
        <w:rPr>
          <w:color w:val="000000"/>
          <w:spacing w:val="0"/>
          <w:w w:val="100"/>
          <w:position w:val="0"/>
          <w:sz w:val="24"/>
          <w:szCs w:val="24"/>
        </w:rPr>
        <w:t>十六、补充资料</w:t>
      </w:r>
      <w:bookmarkEnd w:id="2060"/>
      <w:bookmarkEnd w:id="2061"/>
      <w:bookmarkEnd w:id="2062"/>
    </w:p>
    <w:p>
      <w:pPr>
        <w:pStyle w:val="Style33"/>
        <w:keepNext/>
        <w:keepLines/>
        <w:widowControl w:val="0"/>
        <w:shd w:val="clear" w:color="auto" w:fill="auto"/>
        <w:bidi w:val="0"/>
        <w:spacing w:before="0" w:after="380" w:line="240" w:lineRule="auto"/>
        <w:ind w:left="0" w:right="0" w:firstLine="0"/>
        <w:jc w:val="left"/>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3"/>
      <w:bookmarkEnd w:id="2064"/>
      <w:bookmarkEnd w:id="2065"/>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834"/>
        <w:gridCol w:w="2237"/>
        <w:gridCol w:w="251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-31,419.68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27,749,413.50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745,930.00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3,043,115.85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25,140,263.81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320" w:line="350"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2066"/>
      <w:bookmarkEnd w:id="2067"/>
      <w:bookmarkEnd w:id="2068"/>
    </w:p>
    <w:p>
      <w:pPr>
        <w:pStyle w:val="Style36"/>
        <w:keepNext/>
        <w:keepLines/>
        <w:widowControl w:val="0"/>
        <w:shd w:val="clear" w:color="auto" w:fill="auto"/>
        <w:bidi w:val="0"/>
        <w:spacing w:before="0" w:after="340" w:line="240" w:lineRule="auto"/>
        <w:ind w:left="0" w:right="0" w:firstLine="0"/>
        <w:jc w:val="left"/>
      </w:pPr>
      <w:bookmarkStart w:id="2069" w:name="bookmark2069"/>
      <w:bookmarkStart w:id="2070" w:name="bookmark2070"/>
      <w:bookmarkStart w:id="2071" w:name="bookmark20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2069"/>
      <w:bookmarkEnd w:id="2070"/>
      <w:bookmarkEnd w:id="207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77,167,961.05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65,547,736.31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712,588,129.42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654,740,876.57</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pStyle w:val="Style19"/>
        <w:keepNext w:val="0"/>
        <w:keepLines w:val="0"/>
        <w:widowControl w:val="0"/>
        <w:shd w:val="clear" w:color="auto" w:fill="auto"/>
        <w:bidi w:val="0"/>
        <w:spacing w:before="0" w:after="0" w:line="240" w:lineRule="auto"/>
        <w:ind w:left="101" w:right="0" w:firstLine="0"/>
        <w:jc w:val="left"/>
        <w:rPr>
          <w:sz w:val="20"/>
          <w:szCs w:val="20"/>
        </w:rPr>
      </w:pPr>
      <w:bookmarkStart w:id="2072" w:name="bookmark2072"/>
      <w:r>
        <w:rPr>
          <w:rFonts w:ascii="Times New Roman" w:eastAsia="Times New Roman" w:hAnsi="Times New Roman" w:cs="Times New Roman"/>
          <w:b/>
          <w:bCs/>
          <w:color w:val="000000"/>
          <w:spacing w:val="0"/>
          <w:w w:val="100"/>
          <w:position w:val="0"/>
          <w:sz w:val="20"/>
          <w:szCs w:val="20"/>
        </w:rPr>
        <w:t xml:space="preserve">（2 </w:t>
      </w:r>
      <w:r>
        <w:rPr>
          <w:b/>
          <w:bCs/>
          <w:color w:val="000000"/>
          <w:spacing w:val="0"/>
          <w:w w:val="100"/>
          <w:position w:val="0"/>
          <w:sz w:val="20"/>
          <w:szCs w:val="20"/>
        </w:rPr>
        <w:t>）同时按照境外会计准则与按照中国会计准则披露的财务报告中净利润和净资产差异情况</w:t>
      </w:r>
      <w:bookmarkEnd w:id="2072"/>
    </w:p>
    <w:p>
      <w:pPr>
        <w:widowControl w:val="0"/>
        <w:spacing w:after="33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77,167,961.05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65,547,736.31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712,588,129.42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654,740,876.57</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w:t>
      </w:r>
      <w:bookmarkEnd w:id="207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2073"/>
      <w:bookmarkEnd w:id="2074"/>
      <w:bookmarkEnd w:id="2076"/>
    </w:p>
    <w:p>
      <w:pPr>
        <w:pStyle w:val="Style33"/>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、净资产收益率及每股收益</w:t>
      </w:r>
      <w:bookmarkEnd w:id="2077"/>
      <w:bookmarkEnd w:id="2078"/>
      <w:bookmarkEnd w:id="2080"/>
    </w:p>
    <w:p>
      <w:pPr>
        <w:pStyle w:val="Style1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557"/>
        <w:gridCol w:w="2160"/>
        <w:gridCol w:w="1920"/>
        <w:gridCol w:w="19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bl>
    <w:p>
      <w:pPr>
        <w:widowControl w:val="0"/>
        <w:spacing w:after="239" w:line="1" w:lineRule="exact"/>
      </w:pPr>
    </w:p>
    <w:p>
      <w:pPr>
        <w:pStyle w:val="Style33"/>
        <w:keepNext/>
        <w:keepLines/>
        <w:widowControl w:val="0"/>
        <w:shd w:val="clear" w:color="auto" w:fill="auto"/>
        <w:bidi w:val="0"/>
        <w:spacing w:before="0" w:line="326" w:lineRule="exact"/>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4</w:t>
      </w:r>
      <w:bookmarkEnd w:id="2083"/>
      <w:r>
        <w:rPr>
          <w:color w:val="000000"/>
          <w:spacing w:val="0"/>
          <w:w w:val="100"/>
          <w:position w:val="0"/>
        </w:rPr>
        <w:t>、公司主要会计报表项目的异常情况及原因的说明</w:t>
      </w:r>
      <w:bookmarkEnd w:id="2081"/>
      <w:bookmarkEnd w:id="2082"/>
      <w:bookmarkEnd w:id="2084"/>
    </w:p>
    <w:p>
      <w:pPr>
        <w:pStyle w:val="Style58"/>
        <w:keepNext w:val="0"/>
        <w:keepLines w:val="0"/>
        <w:widowControl w:val="0"/>
        <w:shd w:val="clear" w:color="auto" w:fill="auto"/>
        <w:bidi w:val="0"/>
        <w:spacing w:before="0" w:after="0" w:line="341" w:lineRule="auto"/>
        <w:ind w:left="0" w:right="0" w:firstLine="44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资产类项目</w:t>
      </w:r>
    </w:p>
    <w:p>
      <w:pPr>
        <w:pStyle w:val="Style58"/>
        <w:keepNext w:val="0"/>
        <w:keepLines w:val="0"/>
        <w:widowControl w:val="0"/>
        <w:shd w:val="clear" w:color="auto" w:fill="auto"/>
        <w:tabs>
          <w:tab w:pos="794" w:val="left"/>
        </w:tabs>
        <w:bidi w:val="0"/>
        <w:spacing w:before="0" w:after="0" w:line="240" w:lineRule="auto"/>
        <w:ind w:left="0" w:right="0" w:firstLine="440"/>
        <w:jc w:val="left"/>
      </w:pPr>
      <w:bookmarkStart w:id="2085" w:name="bookmark2085"/>
      <w:r>
        <w:rPr>
          <w:rFonts w:ascii="Times New Roman" w:eastAsia="Times New Roman" w:hAnsi="Times New Roman" w:cs="Times New Roman"/>
          <w:b w:val="0"/>
          <w:bCs w:val="0"/>
          <w:color w:val="000000"/>
          <w:spacing w:val="0"/>
          <w:w w:val="100"/>
          <w:position w:val="0"/>
        </w:rPr>
        <w:t>1</w:t>
      </w:r>
      <w:bookmarkEnd w:id="2085"/>
      <w:r>
        <w:rPr>
          <w:b w:val="0"/>
          <w:bCs w:val="0"/>
          <w:color w:val="000000"/>
          <w:spacing w:val="0"/>
          <w:w w:val="100"/>
          <w:position w:val="0"/>
        </w:rPr>
        <w:t>、</w:t>
        <w:tab/>
        <w:t>交易性金融资产年末较年初减少</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,主要系年初尚未交割的远期外汇结汇合同在本年交割。</w:t>
      </w:r>
    </w:p>
    <w:p>
      <w:pPr>
        <w:pStyle w:val="Style58"/>
        <w:keepNext w:val="0"/>
        <w:keepLines w:val="0"/>
        <w:widowControl w:val="0"/>
        <w:shd w:val="clear" w:color="auto" w:fill="auto"/>
        <w:tabs>
          <w:tab w:pos="813" w:val="left"/>
        </w:tabs>
        <w:bidi w:val="0"/>
        <w:spacing w:before="0" w:after="0" w:line="331" w:lineRule="exact"/>
        <w:ind w:left="0" w:right="0" w:firstLine="440"/>
        <w:jc w:val="left"/>
      </w:pPr>
      <w:bookmarkStart w:id="2086" w:name="bookmark2086"/>
      <w:r>
        <w:rPr>
          <w:rFonts w:ascii="Times New Roman" w:eastAsia="Times New Roman" w:hAnsi="Times New Roman" w:cs="Times New Roman"/>
          <w:b w:val="0"/>
          <w:bCs w:val="0"/>
          <w:color w:val="000000"/>
          <w:spacing w:val="0"/>
          <w:w w:val="100"/>
          <w:position w:val="0"/>
        </w:rPr>
        <w:t>2</w:t>
      </w:r>
      <w:bookmarkEnd w:id="2086"/>
      <w:r>
        <w:rPr>
          <w:b w:val="0"/>
          <w:bCs w:val="0"/>
          <w:color w:val="000000"/>
          <w:spacing w:val="0"/>
          <w:w w:val="100"/>
          <w:position w:val="0"/>
        </w:rPr>
        <w:t>、</w:t>
        <w:tab/>
        <w:t>应收票据年末较年初增加</w:t>
      </w:r>
      <w:r>
        <w:rPr>
          <w:rFonts w:ascii="Times New Roman" w:eastAsia="Times New Roman" w:hAnsi="Times New Roman" w:cs="Times New Roman"/>
          <w:b w:val="0"/>
          <w:bCs w:val="0"/>
          <w:color w:val="000000"/>
          <w:spacing w:val="0"/>
          <w:w w:val="100"/>
          <w:position w:val="0"/>
        </w:rPr>
        <w:t>480.96%</w:t>
      </w:r>
      <w:r>
        <w:rPr>
          <w:b w:val="0"/>
          <w:bCs w:val="0"/>
          <w:color w:val="000000"/>
          <w:spacing w:val="0"/>
          <w:w w:val="100"/>
          <w:position w:val="0"/>
        </w:rPr>
        <w:t>，主要系部分客户采用商业汇票结算货款。</w:t>
      </w:r>
    </w:p>
    <w:p>
      <w:pPr>
        <w:pStyle w:val="Style58"/>
        <w:keepNext w:val="0"/>
        <w:keepLines w:val="0"/>
        <w:widowControl w:val="0"/>
        <w:shd w:val="clear" w:color="auto" w:fill="auto"/>
        <w:tabs>
          <w:tab w:pos="790" w:val="left"/>
        </w:tabs>
        <w:bidi w:val="0"/>
        <w:spacing w:before="0" w:after="0" w:line="331" w:lineRule="exact"/>
        <w:ind w:left="0" w:right="0" w:firstLine="440"/>
        <w:jc w:val="left"/>
      </w:pPr>
      <w:bookmarkStart w:id="2087" w:name="bookmark2087"/>
      <w:r>
        <w:rPr>
          <w:rFonts w:ascii="Times New Roman" w:eastAsia="Times New Roman" w:hAnsi="Times New Roman" w:cs="Times New Roman"/>
          <w:b w:val="0"/>
          <w:bCs w:val="0"/>
          <w:color w:val="000000"/>
          <w:spacing w:val="0"/>
          <w:w w:val="100"/>
          <w:position w:val="0"/>
        </w:rPr>
        <w:t>3</w:t>
      </w:r>
      <w:bookmarkEnd w:id="2087"/>
      <w:r>
        <w:rPr>
          <w:b w:val="0"/>
          <w:bCs w:val="0"/>
          <w:color w:val="000000"/>
          <w:spacing w:val="0"/>
          <w:w w:val="100"/>
          <w:position w:val="0"/>
        </w:rPr>
        <w:t>、</w:t>
        <w:tab/>
        <w:t>应收账款年末较年初增加</w:t>
      </w:r>
      <w:r>
        <w:rPr>
          <w:rFonts w:ascii="Times New Roman" w:eastAsia="Times New Roman" w:hAnsi="Times New Roman" w:cs="Times New Roman"/>
          <w:b w:val="0"/>
          <w:bCs w:val="0"/>
          <w:color w:val="000000"/>
          <w:spacing w:val="0"/>
          <w:w w:val="100"/>
          <w:position w:val="0"/>
        </w:rPr>
        <w:t>44.61%</w:t>
      </w:r>
      <w:r>
        <w:rPr>
          <w:b w:val="0"/>
          <w:bCs w:val="0"/>
          <w:color w:val="000000"/>
          <w:spacing w:val="0"/>
          <w:w w:val="100"/>
          <w:position w:val="0"/>
        </w:rPr>
        <w:t>，主要系本年营业收入增长，应收账款余额相应增加，以及增加 非同一控制下企业合并子公司江苏开拓的年末应收账款。</w:t>
      </w:r>
    </w:p>
    <w:p>
      <w:pPr>
        <w:pStyle w:val="Style58"/>
        <w:keepNext w:val="0"/>
        <w:keepLines w:val="0"/>
        <w:widowControl w:val="0"/>
        <w:shd w:val="clear" w:color="auto" w:fill="auto"/>
        <w:tabs>
          <w:tab w:pos="800" w:val="left"/>
        </w:tabs>
        <w:bidi w:val="0"/>
        <w:spacing w:before="0" w:after="0" w:line="326" w:lineRule="exact"/>
        <w:ind w:left="0" w:right="0" w:firstLine="440"/>
        <w:jc w:val="left"/>
      </w:pPr>
      <w:bookmarkStart w:id="2088" w:name="bookmark2088"/>
      <w:r>
        <w:rPr>
          <w:rFonts w:ascii="Times New Roman" w:eastAsia="Times New Roman" w:hAnsi="Times New Roman" w:cs="Times New Roman"/>
          <w:b w:val="0"/>
          <w:bCs w:val="0"/>
          <w:color w:val="000000"/>
          <w:spacing w:val="0"/>
          <w:w w:val="100"/>
          <w:position w:val="0"/>
        </w:rPr>
        <w:t>4</w:t>
      </w:r>
      <w:bookmarkEnd w:id="2088"/>
      <w:r>
        <w:rPr>
          <w:b w:val="0"/>
          <w:bCs w:val="0"/>
          <w:color w:val="000000"/>
          <w:spacing w:val="0"/>
          <w:w w:val="100"/>
          <w:position w:val="0"/>
        </w:rPr>
        <w:t>、</w:t>
        <w:tab/>
        <w:t>预付款项年末较年初增加</w:t>
      </w:r>
      <w:r>
        <w:rPr>
          <w:rFonts w:ascii="Times New Roman" w:eastAsia="Times New Roman" w:hAnsi="Times New Roman" w:cs="Times New Roman"/>
          <w:b w:val="0"/>
          <w:bCs w:val="0"/>
          <w:color w:val="000000"/>
          <w:spacing w:val="0"/>
          <w:w w:val="100"/>
          <w:position w:val="0"/>
        </w:rPr>
        <w:t>1,781.80%</w:t>
      </w:r>
      <w:r>
        <w:rPr>
          <w:b w:val="0"/>
          <w:bCs w:val="0"/>
          <w:color w:val="000000"/>
          <w:spacing w:val="0"/>
          <w:w w:val="100"/>
          <w:position w:val="0"/>
        </w:rPr>
        <w:t>，主要系本年子公司润和数码预付的材料采购款增加，以及增 加非同一控制下企业合并子公司江苏开拓的年末预付款项。</w:t>
      </w:r>
    </w:p>
    <w:p>
      <w:pPr>
        <w:pStyle w:val="Style58"/>
        <w:keepNext w:val="0"/>
        <w:keepLines w:val="0"/>
        <w:widowControl w:val="0"/>
        <w:shd w:val="clear" w:color="auto" w:fill="auto"/>
        <w:tabs>
          <w:tab w:pos="813" w:val="left"/>
        </w:tabs>
        <w:bidi w:val="0"/>
        <w:spacing w:before="0" w:after="0" w:line="312" w:lineRule="exact"/>
        <w:ind w:left="0" w:right="0" w:firstLine="440"/>
        <w:jc w:val="left"/>
      </w:pPr>
      <w:bookmarkStart w:id="2089" w:name="bookmark2089"/>
      <w:r>
        <w:rPr>
          <w:rFonts w:ascii="Times New Roman" w:eastAsia="Times New Roman" w:hAnsi="Times New Roman" w:cs="Times New Roman"/>
          <w:b w:val="0"/>
          <w:bCs w:val="0"/>
          <w:color w:val="000000"/>
          <w:spacing w:val="0"/>
          <w:w w:val="100"/>
          <w:position w:val="0"/>
        </w:rPr>
        <w:t>5</w:t>
      </w:r>
      <w:bookmarkEnd w:id="2089"/>
      <w:r>
        <w:rPr>
          <w:b w:val="0"/>
          <w:bCs w:val="0"/>
          <w:color w:val="000000"/>
          <w:spacing w:val="0"/>
          <w:w w:val="100"/>
          <w:position w:val="0"/>
        </w:rPr>
        <w:t>、</w:t>
        <w:tab/>
        <w:t>应收利息年末较年初减少</w:t>
      </w:r>
      <w:r>
        <w:rPr>
          <w:rFonts w:ascii="Times New Roman" w:eastAsia="Times New Roman" w:hAnsi="Times New Roman" w:cs="Times New Roman"/>
          <w:b w:val="0"/>
          <w:bCs w:val="0"/>
          <w:color w:val="000000"/>
          <w:spacing w:val="0"/>
          <w:w w:val="100"/>
          <w:position w:val="0"/>
        </w:rPr>
        <w:t>61.91%</w:t>
      </w:r>
      <w:r>
        <w:rPr>
          <w:b w:val="0"/>
          <w:bCs w:val="0"/>
          <w:color w:val="000000"/>
          <w:spacing w:val="0"/>
          <w:w w:val="100"/>
          <w:position w:val="0"/>
        </w:rPr>
        <w:t>，主要系年末定期存款减少，计提的存款利息相应减少。</w:t>
      </w:r>
    </w:p>
    <w:p>
      <w:pPr>
        <w:pStyle w:val="Style58"/>
        <w:keepNext w:val="0"/>
        <w:keepLines w:val="0"/>
        <w:widowControl w:val="0"/>
        <w:shd w:val="clear" w:color="auto" w:fill="auto"/>
        <w:tabs>
          <w:tab w:pos="786" w:val="left"/>
        </w:tabs>
        <w:bidi w:val="0"/>
        <w:spacing w:before="0" w:after="0" w:line="312" w:lineRule="exact"/>
        <w:ind w:left="0" w:right="0" w:firstLine="440"/>
        <w:jc w:val="both"/>
      </w:pPr>
      <w:bookmarkStart w:id="2090" w:name="bookmark2090"/>
      <w:r>
        <w:rPr>
          <w:rFonts w:ascii="Times New Roman" w:eastAsia="Times New Roman" w:hAnsi="Times New Roman" w:cs="Times New Roman"/>
          <w:b w:val="0"/>
          <w:bCs w:val="0"/>
          <w:color w:val="000000"/>
          <w:spacing w:val="0"/>
          <w:w w:val="100"/>
          <w:position w:val="0"/>
        </w:rPr>
        <w:t>6</w:t>
      </w:r>
      <w:bookmarkEnd w:id="2090"/>
      <w:r>
        <w:rPr>
          <w:b w:val="0"/>
          <w:bCs w:val="0"/>
          <w:color w:val="000000"/>
          <w:spacing w:val="0"/>
          <w:w w:val="100"/>
          <w:position w:val="0"/>
        </w:rPr>
        <w:t>、</w:t>
        <w:tab/>
        <w:t>其他应收款年末较年初增加</w:t>
      </w:r>
      <w:r>
        <w:rPr>
          <w:rFonts w:ascii="Times New Roman" w:eastAsia="Times New Roman" w:hAnsi="Times New Roman" w:cs="Times New Roman"/>
          <w:b w:val="0"/>
          <w:bCs w:val="0"/>
          <w:color w:val="000000"/>
          <w:spacing w:val="0"/>
          <w:w w:val="100"/>
          <w:position w:val="0"/>
        </w:rPr>
        <w:t>217.42%</w:t>
      </w:r>
      <w:r>
        <w:rPr>
          <w:b w:val="0"/>
          <w:bCs w:val="0"/>
          <w:color w:val="000000"/>
          <w:spacing w:val="0"/>
          <w:w w:val="100"/>
          <w:position w:val="0"/>
        </w:rPr>
        <w:t>,主要系本年</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润和国际软件外包研发总部基地项目''正在建设 中，为南京沧溪建设工程有限公司代为支付的建设工程社会保障费</w:t>
      </w:r>
      <w:r>
        <w:rPr>
          <w:rFonts w:ascii="Times New Roman" w:eastAsia="Times New Roman" w:hAnsi="Times New Roman" w:cs="Times New Roman"/>
          <w:b w:val="0"/>
          <w:bCs w:val="0"/>
          <w:color w:val="000000"/>
          <w:spacing w:val="0"/>
          <w:w w:val="100"/>
          <w:position w:val="0"/>
        </w:rPr>
        <w:t>13,050,000.00</w:t>
      </w:r>
      <w:r>
        <w:rPr>
          <w:b w:val="0"/>
          <w:bCs w:val="0"/>
          <w:color w:val="000000"/>
          <w:spacing w:val="0"/>
          <w:w w:val="100"/>
          <w:position w:val="0"/>
        </w:rPr>
        <w:t xml:space="preserve">元，以及支付给南京市建 </w:t>
      </w:r>
      <w:r>
        <w:rPr>
          <w:b w:val="0"/>
          <w:bCs w:val="0"/>
          <w:color w:val="000000"/>
          <w:spacing w:val="0"/>
          <w:w w:val="100"/>
          <w:position w:val="0"/>
        </w:rPr>
        <w:t>筑节能管理中心的新墙材专项基金</w:t>
      </w:r>
      <w:r>
        <w:rPr>
          <w:rFonts w:ascii="Times New Roman" w:eastAsia="Times New Roman" w:hAnsi="Times New Roman" w:cs="Times New Roman"/>
          <w:b w:val="0"/>
          <w:bCs w:val="0"/>
          <w:color w:val="000000"/>
          <w:spacing w:val="0"/>
          <w:w w:val="100"/>
          <w:position w:val="0"/>
        </w:rPr>
        <w:t>1</w:t>
      </w:r>
      <w:r>
        <w:rPr>
          <w:rFonts w:ascii="Times New Roman" w:eastAsia="Times New Roman" w:hAnsi="Times New Roman" w:cs="Times New Roman"/>
          <w:b w:val="0"/>
          <w:bCs w:val="0"/>
          <w:color w:val="000000"/>
          <w:spacing w:val="0"/>
          <w:w w:val="100"/>
          <w:position w:val="0"/>
        </w:rPr>
        <w:t>,236,945.00</w:t>
      </w:r>
      <w:r>
        <w:rPr>
          <w:b w:val="0"/>
          <w:bCs w:val="0"/>
          <w:color w:val="000000"/>
          <w:spacing w:val="0"/>
          <w:w w:val="100"/>
          <w:position w:val="0"/>
        </w:rPr>
        <w:t>元等款项增加。</w:t>
      </w:r>
    </w:p>
    <w:p>
      <w:pPr>
        <w:pStyle w:val="Style58"/>
        <w:keepNext w:val="0"/>
        <w:keepLines w:val="0"/>
        <w:widowControl w:val="0"/>
        <w:shd w:val="clear" w:color="auto" w:fill="auto"/>
        <w:tabs>
          <w:tab w:pos="788" w:val="left"/>
        </w:tabs>
        <w:bidi w:val="0"/>
        <w:spacing w:before="0" w:after="0" w:line="320" w:lineRule="exact"/>
        <w:ind w:left="0" w:right="0" w:firstLine="420"/>
        <w:jc w:val="both"/>
      </w:pPr>
      <w:bookmarkStart w:id="2091" w:name="bookmark2091"/>
      <w:r>
        <w:rPr>
          <w:rFonts w:ascii="Times New Roman" w:eastAsia="Times New Roman" w:hAnsi="Times New Roman" w:cs="Times New Roman"/>
          <w:b w:val="0"/>
          <w:bCs w:val="0"/>
          <w:color w:val="000000"/>
          <w:spacing w:val="0"/>
          <w:w w:val="100"/>
          <w:position w:val="0"/>
        </w:rPr>
        <w:t>7</w:t>
      </w:r>
      <w:bookmarkEnd w:id="2091"/>
      <w:r>
        <w:rPr>
          <w:b w:val="0"/>
          <w:bCs w:val="0"/>
          <w:color w:val="000000"/>
          <w:spacing w:val="0"/>
          <w:w w:val="100"/>
          <w:position w:val="0"/>
        </w:rPr>
        <w:t>、</w:t>
        <w:tab/>
        <w:t>存货年末较年初增加</w:t>
      </w:r>
      <w:r>
        <w:rPr>
          <w:rFonts w:ascii="Times New Roman" w:eastAsia="Times New Roman" w:hAnsi="Times New Roman" w:cs="Times New Roman"/>
          <w:b w:val="0"/>
          <w:bCs w:val="0"/>
          <w:color w:val="000000"/>
          <w:spacing w:val="0"/>
          <w:w w:val="100"/>
          <w:position w:val="0"/>
        </w:rPr>
        <w:t>92.99%</w:t>
      </w:r>
      <w:r>
        <w:rPr>
          <w:b w:val="0"/>
          <w:bCs w:val="0"/>
          <w:color w:val="000000"/>
          <w:spacing w:val="0"/>
          <w:w w:val="100"/>
          <w:position w:val="0"/>
        </w:rPr>
        <w:t>,主要系增加非同一控制下企业合并子公司江苏开拓的年末工程施工。</w:t>
      </w:r>
    </w:p>
    <w:p>
      <w:pPr>
        <w:pStyle w:val="Style58"/>
        <w:keepNext w:val="0"/>
        <w:keepLines w:val="0"/>
        <w:widowControl w:val="0"/>
        <w:shd w:val="clear" w:color="auto" w:fill="auto"/>
        <w:tabs>
          <w:tab w:pos="788" w:val="left"/>
        </w:tabs>
        <w:bidi w:val="0"/>
        <w:spacing w:before="0" w:after="0" w:line="320" w:lineRule="exact"/>
        <w:ind w:left="0" w:right="0" w:firstLine="420"/>
        <w:jc w:val="both"/>
      </w:pPr>
      <w:bookmarkStart w:id="2092" w:name="bookmark2092"/>
      <w:r>
        <w:rPr>
          <w:rFonts w:ascii="Times New Roman" w:eastAsia="Times New Roman" w:hAnsi="Times New Roman" w:cs="Times New Roman"/>
          <w:b w:val="0"/>
          <w:bCs w:val="0"/>
          <w:color w:val="000000"/>
          <w:spacing w:val="0"/>
          <w:w w:val="100"/>
          <w:position w:val="0"/>
        </w:rPr>
        <w:t>8</w:t>
      </w:r>
      <w:bookmarkEnd w:id="2092"/>
      <w:r>
        <w:rPr>
          <w:b w:val="0"/>
          <w:bCs w:val="0"/>
          <w:color w:val="000000"/>
          <w:spacing w:val="0"/>
          <w:w w:val="100"/>
          <w:position w:val="0"/>
        </w:rPr>
        <w:t>、</w:t>
        <w:tab/>
        <w:t>其他流动资产年末较年初增加</w:t>
      </w:r>
      <w:r>
        <w:rPr>
          <w:rFonts w:ascii="Times New Roman" w:eastAsia="Times New Roman" w:hAnsi="Times New Roman" w:cs="Times New Roman"/>
          <w:b w:val="0"/>
          <w:bCs w:val="0"/>
          <w:color w:val="000000"/>
          <w:spacing w:val="0"/>
          <w:w w:val="100"/>
          <w:position w:val="0"/>
        </w:rPr>
        <w:t>225.09%</w:t>
      </w:r>
      <w:r>
        <w:rPr>
          <w:b w:val="0"/>
          <w:bCs w:val="0"/>
          <w:color w:val="000000"/>
          <w:spacing w:val="0"/>
          <w:w w:val="100"/>
          <w:position w:val="0"/>
        </w:rPr>
        <w:t>，主要系本年利润总额增加，年末预缴的企业所得税增加。</w:t>
      </w:r>
    </w:p>
    <w:p>
      <w:pPr>
        <w:pStyle w:val="Style58"/>
        <w:keepNext w:val="0"/>
        <w:keepLines w:val="0"/>
        <w:widowControl w:val="0"/>
        <w:shd w:val="clear" w:color="auto" w:fill="auto"/>
        <w:tabs>
          <w:tab w:pos="790" w:val="left"/>
        </w:tabs>
        <w:bidi w:val="0"/>
        <w:spacing w:before="0" w:after="0" w:line="320" w:lineRule="exact"/>
        <w:ind w:left="0" w:right="0" w:firstLine="440"/>
        <w:jc w:val="both"/>
      </w:pPr>
      <w:bookmarkStart w:id="2093" w:name="bookmark2093"/>
      <w:r>
        <w:rPr>
          <w:rFonts w:ascii="Times New Roman" w:eastAsia="Times New Roman" w:hAnsi="Times New Roman" w:cs="Times New Roman"/>
          <w:b w:val="0"/>
          <w:bCs w:val="0"/>
          <w:color w:val="000000"/>
          <w:spacing w:val="0"/>
          <w:w w:val="100"/>
          <w:position w:val="0"/>
        </w:rPr>
        <w:t>9</w:t>
      </w:r>
      <w:bookmarkEnd w:id="2093"/>
      <w:r>
        <w:rPr>
          <w:b w:val="0"/>
          <w:bCs w:val="0"/>
          <w:color w:val="000000"/>
          <w:spacing w:val="0"/>
          <w:w w:val="100"/>
          <w:position w:val="0"/>
        </w:rPr>
        <w:t>、</w:t>
        <w:tab/>
        <w:t>长期股权投资年末较年初增加</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，主要系增加非同一控制下企业合并子公司江苏开拓的持有长 期股权投资。</w:t>
      </w:r>
    </w:p>
    <w:p>
      <w:pPr>
        <w:pStyle w:val="Style58"/>
        <w:keepNext w:val="0"/>
        <w:keepLines w:val="0"/>
        <w:widowControl w:val="0"/>
        <w:shd w:val="clear" w:color="auto" w:fill="auto"/>
        <w:tabs>
          <w:tab w:pos="896" w:val="left"/>
        </w:tabs>
        <w:bidi w:val="0"/>
        <w:spacing w:before="0" w:after="0" w:line="320" w:lineRule="exact"/>
        <w:ind w:left="0" w:right="0" w:firstLine="440"/>
        <w:jc w:val="both"/>
      </w:pPr>
      <w:bookmarkStart w:id="2094" w:name="bookmark2094"/>
      <w:r>
        <w:rPr>
          <w:rFonts w:ascii="Times New Roman" w:eastAsia="Times New Roman" w:hAnsi="Times New Roman" w:cs="Times New Roman"/>
          <w:b w:val="0"/>
          <w:bCs w:val="0"/>
          <w:color w:val="000000"/>
          <w:spacing w:val="0"/>
          <w:w w:val="100"/>
          <w:position w:val="0"/>
        </w:rPr>
        <w:t>1</w:t>
      </w:r>
      <w:bookmarkEnd w:id="2094"/>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w:t>
        <w:tab/>
        <w:t>在建工程年末较年初增加</w:t>
      </w:r>
      <w:r>
        <w:rPr>
          <w:rFonts w:ascii="Times New Roman" w:eastAsia="Times New Roman" w:hAnsi="Times New Roman" w:cs="Times New Roman"/>
          <w:b w:val="0"/>
          <w:bCs w:val="0"/>
          <w:color w:val="000000"/>
          <w:spacing w:val="0"/>
          <w:w w:val="100"/>
          <w:position w:val="0"/>
        </w:rPr>
        <w:t>2,684.08%</w:t>
      </w:r>
      <w:r>
        <w:rPr>
          <w:b w:val="0"/>
          <w:bCs w:val="0"/>
          <w:color w:val="000000"/>
          <w:spacing w:val="0"/>
          <w:w w:val="100"/>
          <w:position w:val="0"/>
        </w:rPr>
        <w:t>,主要系子公司外包园公司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润和国际软件外包研发总部基地</w:t>
      </w:r>
      <w:r>
        <w:rPr>
          <w:b w:val="0"/>
          <w:bCs w:val="0"/>
          <w:color w:val="000000"/>
          <w:spacing w:val="0"/>
          <w:w w:val="100"/>
          <w:position w:val="0"/>
        </w:rPr>
        <w:t xml:space="preserve">'' </w:t>
      </w:r>
      <w:r>
        <w:rPr>
          <w:b w:val="0"/>
          <w:bCs w:val="0"/>
          <w:color w:val="000000"/>
          <w:spacing w:val="0"/>
          <w:w w:val="100"/>
          <w:position w:val="0"/>
        </w:rPr>
        <w:t>项目建设投入增加，年末在建工程余额增加。</w:t>
      </w:r>
    </w:p>
    <w:p>
      <w:pPr>
        <w:pStyle w:val="Style58"/>
        <w:keepNext w:val="0"/>
        <w:keepLines w:val="0"/>
        <w:widowControl w:val="0"/>
        <w:shd w:val="clear" w:color="auto" w:fill="auto"/>
        <w:tabs>
          <w:tab w:pos="896" w:val="left"/>
        </w:tabs>
        <w:bidi w:val="0"/>
        <w:spacing w:before="0" w:after="0" w:line="320" w:lineRule="exact"/>
        <w:ind w:left="0" w:right="0" w:firstLine="440"/>
        <w:jc w:val="both"/>
      </w:pPr>
      <w:bookmarkStart w:id="2095" w:name="bookmark2095"/>
      <w:r>
        <w:rPr>
          <w:rFonts w:ascii="Times New Roman" w:eastAsia="Times New Roman" w:hAnsi="Times New Roman" w:cs="Times New Roman"/>
          <w:b w:val="0"/>
          <w:bCs w:val="0"/>
          <w:color w:val="000000"/>
          <w:spacing w:val="0"/>
          <w:w w:val="100"/>
          <w:position w:val="0"/>
        </w:rPr>
        <w:t>1</w:t>
      </w:r>
      <w:bookmarkEnd w:id="2095"/>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无形资产年末较年初增加</w:t>
      </w:r>
      <w:r>
        <w:rPr>
          <w:rFonts w:ascii="Times New Roman" w:eastAsia="Times New Roman" w:hAnsi="Times New Roman" w:cs="Times New Roman"/>
          <w:b w:val="0"/>
          <w:bCs w:val="0"/>
          <w:color w:val="000000"/>
          <w:spacing w:val="0"/>
          <w:w w:val="100"/>
          <w:position w:val="0"/>
        </w:rPr>
        <w:t>46.27%</w:t>
      </w:r>
      <w:r>
        <w:rPr>
          <w:b w:val="0"/>
          <w:bCs w:val="0"/>
          <w:color w:val="000000"/>
          <w:spacing w:val="0"/>
          <w:w w:val="100"/>
          <w:position w:val="0"/>
        </w:rPr>
        <w:t>，主要系子公司外包园公司调整原有土地容积率，缴纳的土地出 让金及相关税费</w:t>
      </w:r>
      <w:r>
        <w:rPr>
          <w:rFonts w:ascii="Times New Roman" w:eastAsia="Times New Roman" w:hAnsi="Times New Roman" w:cs="Times New Roman"/>
          <w:b w:val="0"/>
          <w:bCs w:val="0"/>
          <w:color w:val="000000"/>
          <w:spacing w:val="0"/>
          <w:w w:val="100"/>
          <w:position w:val="0"/>
        </w:rPr>
        <w:t>14,363,077.4</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元，以及通过非同一控制下企业合并江苏开拓增加无形资产原值</w:t>
      </w:r>
      <w:r>
        <w:rPr>
          <w:rFonts w:ascii="Times New Roman" w:eastAsia="Times New Roman" w:hAnsi="Times New Roman" w:cs="Times New Roman"/>
          <w:b w:val="0"/>
          <w:bCs w:val="0"/>
          <w:color w:val="000000"/>
          <w:spacing w:val="0"/>
          <w:w w:val="100"/>
          <w:position w:val="0"/>
        </w:rPr>
        <w:t xml:space="preserve">6,644,600.00 </w:t>
      </w:r>
      <w:r>
        <w:rPr>
          <w:b w:val="0"/>
          <w:bCs w:val="0"/>
          <w:color w:val="000000"/>
          <w:spacing w:val="0"/>
          <w:w w:val="100"/>
          <w:position w:val="0"/>
        </w:rPr>
        <w:t>元等。</w:t>
      </w:r>
    </w:p>
    <w:p>
      <w:pPr>
        <w:pStyle w:val="Style58"/>
        <w:keepNext w:val="0"/>
        <w:keepLines w:val="0"/>
        <w:widowControl w:val="0"/>
        <w:shd w:val="clear" w:color="auto" w:fill="auto"/>
        <w:tabs>
          <w:tab w:pos="879" w:val="left"/>
        </w:tabs>
        <w:bidi w:val="0"/>
        <w:spacing w:before="0" w:after="0" w:line="324" w:lineRule="exact"/>
        <w:ind w:left="0" w:right="0" w:firstLine="420"/>
        <w:jc w:val="both"/>
      </w:pPr>
      <w:bookmarkStart w:id="2096" w:name="bookmark2096"/>
      <w:r>
        <w:rPr>
          <w:rFonts w:ascii="Times New Roman" w:eastAsia="Times New Roman" w:hAnsi="Times New Roman" w:cs="Times New Roman"/>
          <w:b w:val="0"/>
          <w:bCs w:val="0"/>
          <w:color w:val="000000"/>
          <w:spacing w:val="0"/>
          <w:w w:val="100"/>
          <w:position w:val="0"/>
        </w:rPr>
        <w:t>1</w:t>
      </w:r>
      <w:bookmarkEnd w:id="2096"/>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商誉年末较年初增加</w:t>
      </w:r>
      <w:r>
        <w:rPr>
          <w:rFonts w:ascii="Times New Roman" w:eastAsia="Times New Roman" w:hAnsi="Times New Roman" w:cs="Times New Roman"/>
          <w:b w:val="0"/>
          <w:bCs w:val="0"/>
          <w:color w:val="000000"/>
          <w:spacing w:val="0"/>
          <w:w w:val="100"/>
          <w:position w:val="0"/>
        </w:rPr>
        <w:t>1,110.48%</w:t>
      </w:r>
      <w:r>
        <w:rPr>
          <w:b w:val="0"/>
          <w:bCs w:val="0"/>
          <w:color w:val="000000"/>
          <w:spacing w:val="0"/>
          <w:w w:val="100"/>
          <w:position w:val="0"/>
        </w:rPr>
        <w:t>,主要系本年非同一控制下企业合并江苏开拓形成的商誉。</w:t>
      </w:r>
    </w:p>
    <w:p>
      <w:pPr>
        <w:pStyle w:val="Style58"/>
        <w:keepNext w:val="0"/>
        <w:keepLines w:val="0"/>
        <w:widowControl w:val="0"/>
        <w:shd w:val="clear" w:color="auto" w:fill="auto"/>
        <w:tabs>
          <w:tab w:pos="891" w:val="left"/>
        </w:tabs>
        <w:bidi w:val="0"/>
        <w:spacing w:before="0" w:after="40" w:line="324" w:lineRule="exact"/>
        <w:ind w:left="0" w:right="0" w:firstLine="440"/>
        <w:jc w:val="both"/>
      </w:pPr>
      <w:bookmarkStart w:id="2097" w:name="bookmark2097"/>
      <w:r>
        <w:rPr>
          <w:rFonts w:ascii="Times New Roman" w:eastAsia="Times New Roman" w:hAnsi="Times New Roman" w:cs="Times New Roman"/>
          <w:b w:val="0"/>
          <w:bCs w:val="0"/>
          <w:color w:val="000000"/>
          <w:spacing w:val="0"/>
          <w:w w:val="100"/>
          <w:position w:val="0"/>
        </w:rPr>
        <w:t>1</w:t>
      </w:r>
      <w:bookmarkEnd w:id="2097"/>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长期待摊费用年末较年初增加</w:t>
      </w:r>
      <w:r>
        <w:rPr>
          <w:rFonts w:ascii="Times New Roman" w:eastAsia="Times New Roman" w:hAnsi="Times New Roman" w:cs="Times New Roman"/>
          <w:b w:val="0"/>
          <w:bCs w:val="0"/>
          <w:color w:val="000000"/>
          <w:spacing w:val="0"/>
          <w:w w:val="100"/>
          <w:position w:val="0"/>
        </w:rPr>
        <w:t>365.26%</w:t>
      </w:r>
      <w:r>
        <w:rPr>
          <w:b w:val="0"/>
          <w:bCs w:val="0"/>
          <w:color w:val="000000"/>
          <w:spacing w:val="0"/>
          <w:w w:val="100"/>
          <w:position w:val="0"/>
        </w:rPr>
        <w:t>，主要系全资子公司西安润和、东京润和经营租赁办公楼 所发生的装修费用，按合同约定租用期限平均摊销。</w:t>
      </w:r>
    </w:p>
    <w:p>
      <w:pPr>
        <w:pStyle w:val="Style58"/>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负债类项目</w:t>
      </w:r>
    </w:p>
    <w:p>
      <w:pPr>
        <w:pStyle w:val="Style58"/>
        <w:keepNext w:val="0"/>
        <w:keepLines w:val="0"/>
        <w:widowControl w:val="0"/>
        <w:shd w:val="clear" w:color="auto" w:fill="auto"/>
        <w:tabs>
          <w:tab w:pos="794" w:val="left"/>
        </w:tabs>
        <w:bidi w:val="0"/>
        <w:spacing w:before="0" w:after="0" w:line="324" w:lineRule="exact"/>
        <w:ind w:left="0" w:right="0" w:firstLine="440"/>
        <w:jc w:val="both"/>
      </w:pPr>
      <w:bookmarkStart w:id="2098" w:name="bookmark2098"/>
      <w:r>
        <w:rPr>
          <w:rFonts w:ascii="Times New Roman" w:eastAsia="Times New Roman" w:hAnsi="Times New Roman" w:cs="Times New Roman"/>
          <w:b w:val="0"/>
          <w:bCs w:val="0"/>
          <w:color w:val="000000"/>
          <w:spacing w:val="0"/>
          <w:w w:val="100"/>
          <w:position w:val="0"/>
        </w:rPr>
        <w:t>1</w:t>
      </w:r>
      <w:bookmarkEnd w:id="2098"/>
      <w:r>
        <w:rPr>
          <w:b w:val="0"/>
          <w:bCs w:val="0"/>
          <w:color w:val="000000"/>
          <w:spacing w:val="0"/>
          <w:w w:val="100"/>
          <w:position w:val="0"/>
        </w:rPr>
        <w:t>、</w:t>
        <w:tab/>
        <w:t>应付票据年末较年初减少</w:t>
      </w:r>
      <w:r>
        <w:rPr>
          <w:rFonts w:ascii="Times New Roman" w:eastAsia="Times New Roman" w:hAnsi="Times New Roman" w:cs="Times New Roman"/>
          <w:b w:val="0"/>
          <w:bCs w:val="0"/>
          <w:color w:val="000000"/>
          <w:spacing w:val="0"/>
          <w:w w:val="100"/>
          <w:position w:val="0"/>
        </w:rPr>
        <w:t>60.55%</w:t>
      </w:r>
      <w:r>
        <w:rPr>
          <w:b w:val="0"/>
          <w:bCs w:val="0"/>
          <w:color w:val="000000"/>
          <w:spacing w:val="0"/>
          <w:w w:val="100"/>
          <w:position w:val="0"/>
        </w:rPr>
        <w:t>，主要系本年商业票据到期承兑，应付票据余额减少。</w:t>
      </w:r>
    </w:p>
    <w:p>
      <w:pPr>
        <w:pStyle w:val="Style58"/>
        <w:keepNext w:val="0"/>
        <w:keepLines w:val="0"/>
        <w:widowControl w:val="0"/>
        <w:shd w:val="clear" w:color="auto" w:fill="auto"/>
        <w:tabs>
          <w:tab w:pos="795" w:val="left"/>
        </w:tabs>
        <w:bidi w:val="0"/>
        <w:spacing w:before="0" w:after="0" w:line="324" w:lineRule="exact"/>
        <w:ind w:left="0" w:right="0" w:firstLine="440"/>
        <w:jc w:val="both"/>
      </w:pPr>
      <w:bookmarkStart w:id="2099" w:name="bookmark2099"/>
      <w:r>
        <w:rPr>
          <w:rFonts w:ascii="Times New Roman" w:eastAsia="Times New Roman" w:hAnsi="Times New Roman" w:cs="Times New Roman"/>
          <w:b w:val="0"/>
          <w:bCs w:val="0"/>
          <w:color w:val="000000"/>
          <w:spacing w:val="0"/>
          <w:w w:val="100"/>
          <w:position w:val="0"/>
        </w:rPr>
        <w:t>2</w:t>
      </w:r>
      <w:bookmarkEnd w:id="2099"/>
      <w:r>
        <w:rPr>
          <w:b w:val="0"/>
          <w:bCs w:val="0"/>
          <w:color w:val="000000"/>
          <w:spacing w:val="0"/>
          <w:w w:val="100"/>
          <w:position w:val="0"/>
        </w:rPr>
        <w:t>、</w:t>
        <w:tab/>
        <w:t>应付账款年末较年初增加</w:t>
      </w:r>
      <w:r>
        <w:rPr>
          <w:rFonts w:ascii="Times New Roman" w:eastAsia="Times New Roman" w:hAnsi="Times New Roman" w:cs="Times New Roman"/>
          <w:b w:val="0"/>
          <w:bCs w:val="0"/>
          <w:color w:val="000000"/>
          <w:spacing w:val="0"/>
          <w:w w:val="100"/>
          <w:position w:val="0"/>
        </w:rPr>
        <w:t>211.74%</w:t>
      </w:r>
      <w:r>
        <w:rPr>
          <w:b w:val="0"/>
          <w:bCs w:val="0"/>
          <w:color w:val="000000"/>
          <w:spacing w:val="0"/>
          <w:w w:val="100"/>
          <w:position w:val="0"/>
        </w:rPr>
        <w:t>,主要系本年增加非同一控制下企业合并子公司江苏开拓的年末 应付账款，以及随着</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润和国际软件外包研发总部基地项目''建设，应付工程款增加。</w:t>
      </w:r>
    </w:p>
    <w:p>
      <w:pPr>
        <w:pStyle w:val="Style58"/>
        <w:keepNext w:val="0"/>
        <w:keepLines w:val="0"/>
        <w:widowControl w:val="0"/>
        <w:shd w:val="clear" w:color="auto" w:fill="auto"/>
        <w:tabs>
          <w:tab w:pos="795" w:val="left"/>
        </w:tabs>
        <w:bidi w:val="0"/>
        <w:spacing w:before="0" w:after="0" w:line="326" w:lineRule="exact"/>
        <w:ind w:left="0" w:right="0" w:firstLine="440"/>
        <w:jc w:val="both"/>
      </w:pPr>
      <w:bookmarkStart w:id="2100" w:name="bookmark2100"/>
      <w:r>
        <w:rPr>
          <w:rFonts w:ascii="Times New Roman" w:eastAsia="Times New Roman" w:hAnsi="Times New Roman" w:cs="Times New Roman"/>
          <w:b w:val="0"/>
          <w:bCs w:val="0"/>
          <w:color w:val="000000"/>
          <w:spacing w:val="0"/>
          <w:w w:val="100"/>
          <w:position w:val="0"/>
        </w:rPr>
        <w:t>3</w:t>
      </w:r>
      <w:bookmarkEnd w:id="2100"/>
      <w:r>
        <w:rPr>
          <w:b w:val="0"/>
          <w:bCs w:val="0"/>
          <w:color w:val="000000"/>
          <w:spacing w:val="0"/>
          <w:w w:val="100"/>
          <w:position w:val="0"/>
        </w:rPr>
        <w:t>、</w:t>
        <w:tab/>
        <w:t>预收款项年末比年初增加</w:t>
      </w:r>
      <w:r>
        <w:rPr>
          <w:rFonts w:ascii="Times New Roman" w:eastAsia="Times New Roman" w:hAnsi="Times New Roman" w:cs="Times New Roman"/>
          <w:b w:val="0"/>
          <w:bCs w:val="0"/>
          <w:color w:val="000000"/>
          <w:spacing w:val="0"/>
          <w:w w:val="100"/>
          <w:position w:val="0"/>
        </w:rPr>
        <w:t>1,495.08%</w:t>
      </w:r>
      <w:r>
        <w:rPr>
          <w:b w:val="0"/>
          <w:bCs w:val="0"/>
          <w:color w:val="000000"/>
          <w:spacing w:val="0"/>
          <w:w w:val="100"/>
          <w:position w:val="0"/>
        </w:rPr>
        <w:t>，主要系本年增加非同一控制下企业合并子公司江苏开拓的年 末预收款项。</w:t>
      </w:r>
    </w:p>
    <w:p>
      <w:pPr>
        <w:pStyle w:val="Style58"/>
        <w:keepNext w:val="0"/>
        <w:keepLines w:val="0"/>
        <w:widowControl w:val="0"/>
        <w:shd w:val="clear" w:color="auto" w:fill="auto"/>
        <w:tabs>
          <w:tab w:pos="795" w:val="left"/>
        </w:tabs>
        <w:bidi w:val="0"/>
        <w:spacing w:before="0" w:after="0" w:line="331" w:lineRule="exact"/>
        <w:ind w:left="0" w:right="0" w:firstLine="440"/>
        <w:jc w:val="both"/>
      </w:pPr>
      <w:bookmarkStart w:id="2101" w:name="bookmark2101"/>
      <w:r>
        <w:rPr>
          <w:rFonts w:ascii="Times New Roman" w:eastAsia="Times New Roman" w:hAnsi="Times New Roman" w:cs="Times New Roman"/>
          <w:b w:val="0"/>
          <w:bCs w:val="0"/>
          <w:color w:val="000000"/>
          <w:spacing w:val="0"/>
          <w:w w:val="100"/>
          <w:position w:val="0"/>
        </w:rPr>
        <w:t>4</w:t>
      </w:r>
      <w:bookmarkEnd w:id="2101"/>
      <w:r>
        <w:rPr>
          <w:b w:val="0"/>
          <w:bCs w:val="0"/>
          <w:color w:val="000000"/>
          <w:spacing w:val="0"/>
          <w:w w:val="100"/>
          <w:position w:val="0"/>
        </w:rPr>
        <w:t>、</w:t>
        <w:tab/>
        <w:t>应交税费年末较年初增加</w:t>
      </w:r>
      <w:r>
        <w:rPr>
          <w:rFonts w:ascii="Times New Roman" w:eastAsia="Times New Roman" w:hAnsi="Times New Roman" w:cs="Times New Roman"/>
          <w:b w:val="0"/>
          <w:bCs w:val="0"/>
          <w:color w:val="000000"/>
          <w:spacing w:val="0"/>
          <w:w w:val="100"/>
          <w:position w:val="0"/>
        </w:rPr>
        <w:t>260.83%</w:t>
      </w:r>
      <w:r>
        <w:rPr>
          <w:b w:val="0"/>
          <w:bCs w:val="0"/>
          <w:color w:val="000000"/>
          <w:spacing w:val="0"/>
          <w:w w:val="100"/>
          <w:position w:val="0"/>
        </w:rPr>
        <w:t>,主要系本年增加非同一控制下企业合并子公司江苏开拓的年末 应交税费。</w:t>
      </w:r>
    </w:p>
    <w:p>
      <w:pPr>
        <w:pStyle w:val="Style58"/>
        <w:keepNext w:val="0"/>
        <w:keepLines w:val="0"/>
        <w:widowControl w:val="0"/>
        <w:shd w:val="clear" w:color="auto" w:fill="auto"/>
        <w:tabs>
          <w:tab w:pos="800" w:val="left"/>
        </w:tabs>
        <w:bidi w:val="0"/>
        <w:spacing w:before="0" w:after="0" w:line="326" w:lineRule="exact"/>
        <w:ind w:left="0" w:right="0" w:firstLine="440"/>
        <w:jc w:val="both"/>
      </w:pPr>
      <w:bookmarkStart w:id="2102" w:name="bookmark2102"/>
      <w:r>
        <w:rPr>
          <w:rFonts w:ascii="Times New Roman" w:eastAsia="Times New Roman" w:hAnsi="Times New Roman" w:cs="Times New Roman"/>
          <w:b w:val="0"/>
          <w:bCs w:val="0"/>
          <w:color w:val="000000"/>
          <w:spacing w:val="0"/>
          <w:w w:val="100"/>
          <w:position w:val="0"/>
        </w:rPr>
        <w:t>5</w:t>
      </w:r>
      <w:bookmarkEnd w:id="2102"/>
      <w:r>
        <w:rPr>
          <w:b w:val="0"/>
          <w:bCs w:val="0"/>
          <w:color w:val="000000"/>
          <w:spacing w:val="0"/>
          <w:w w:val="100"/>
          <w:position w:val="0"/>
        </w:rPr>
        <w:t>、</w:t>
        <w:tab/>
        <w:t>应付利息</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年末余额比年初余额增长</w:t>
      </w:r>
      <w:r>
        <w:rPr>
          <w:rFonts w:ascii="Times New Roman" w:eastAsia="Times New Roman" w:hAnsi="Times New Roman" w:cs="Times New Roman"/>
          <w:b w:val="0"/>
          <w:bCs w:val="0"/>
          <w:color w:val="000000"/>
          <w:spacing w:val="0"/>
          <w:w w:val="100"/>
          <w:position w:val="0"/>
        </w:rPr>
        <w:t>125.37%</w:t>
      </w:r>
      <w:r>
        <w:rPr>
          <w:b w:val="0"/>
          <w:bCs w:val="0"/>
          <w:color w:val="000000"/>
          <w:spacing w:val="0"/>
          <w:w w:val="100"/>
          <w:position w:val="0"/>
        </w:rPr>
        <w:t>,主要系本年长短期借款增加，年末应付利息的余 额增加。</w:t>
      </w:r>
    </w:p>
    <w:p>
      <w:pPr>
        <w:pStyle w:val="Style58"/>
        <w:keepNext w:val="0"/>
        <w:keepLines w:val="0"/>
        <w:widowControl w:val="0"/>
        <w:shd w:val="clear" w:color="auto" w:fill="auto"/>
        <w:tabs>
          <w:tab w:pos="800" w:val="left"/>
        </w:tabs>
        <w:bidi w:val="0"/>
        <w:spacing w:before="0" w:after="0" w:line="319" w:lineRule="exact"/>
        <w:ind w:left="0" w:right="0" w:firstLine="440"/>
        <w:jc w:val="both"/>
      </w:pPr>
      <w:bookmarkStart w:id="2103" w:name="bookmark2103"/>
      <w:r>
        <w:rPr>
          <w:rFonts w:ascii="Times New Roman" w:eastAsia="Times New Roman" w:hAnsi="Times New Roman" w:cs="Times New Roman"/>
          <w:b w:val="0"/>
          <w:bCs w:val="0"/>
          <w:color w:val="000000"/>
          <w:spacing w:val="0"/>
          <w:w w:val="100"/>
          <w:position w:val="0"/>
        </w:rPr>
        <w:t>6</w:t>
      </w:r>
      <w:bookmarkEnd w:id="2103"/>
      <w:r>
        <w:rPr>
          <w:b w:val="0"/>
          <w:bCs w:val="0"/>
          <w:color w:val="000000"/>
          <w:spacing w:val="0"/>
          <w:w w:val="100"/>
          <w:position w:val="0"/>
        </w:rPr>
        <w:t>、</w:t>
        <w:tab/>
        <w:t>其他应付款</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年末余额比年初余额增加</w:t>
      </w:r>
      <w:r>
        <w:rPr>
          <w:rFonts w:ascii="Times New Roman" w:eastAsia="Times New Roman" w:hAnsi="Times New Roman" w:cs="Times New Roman"/>
          <w:b w:val="0"/>
          <w:bCs w:val="0"/>
          <w:color w:val="000000"/>
          <w:spacing w:val="0"/>
          <w:w w:val="100"/>
          <w:position w:val="0"/>
        </w:rPr>
        <w:t>569.94%</w:t>
      </w:r>
      <w:r>
        <w:rPr>
          <w:b w:val="0"/>
          <w:bCs w:val="0"/>
          <w:color w:val="000000"/>
          <w:spacing w:val="0"/>
          <w:w w:val="100"/>
          <w:position w:val="0"/>
        </w:rPr>
        <w:t>,主要原因是本公司年末应付子公司江苏开拓少 数股东的股权转让款</w:t>
      </w:r>
      <w:r>
        <w:rPr>
          <w:rFonts w:ascii="Times New Roman" w:eastAsia="Times New Roman" w:hAnsi="Times New Roman" w:cs="Times New Roman"/>
          <w:b w:val="0"/>
          <w:bCs w:val="0"/>
          <w:color w:val="000000"/>
          <w:spacing w:val="0"/>
          <w:w w:val="100"/>
          <w:position w:val="0"/>
        </w:rPr>
        <w:t>5,200,000.00</w:t>
      </w:r>
      <w:r>
        <w:rPr>
          <w:b w:val="0"/>
          <w:bCs w:val="0"/>
          <w:color w:val="000000"/>
          <w:spacing w:val="0"/>
          <w:w w:val="100"/>
          <w:position w:val="0"/>
        </w:rPr>
        <w:t>元，以及本年增加非同一控制下企业合并子公司江苏开拓的年末其他应付 款。</w:t>
      </w:r>
    </w:p>
    <w:p>
      <w:pPr>
        <w:pStyle w:val="Style58"/>
        <w:keepNext w:val="0"/>
        <w:keepLines w:val="0"/>
        <w:widowControl w:val="0"/>
        <w:shd w:val="clear" w:color="auto" w:fill="auto"/>
        <w:tabs>
          <w:tab w:pos="795" w:val="left"/>
        </w:tabs>
        <w:bidi w:val="0"/>
        <w:spacing w:before="0" w:after="0" w:line="326" w:lineRule="exact"/>
        <w:ind w:left="0" w:right="0" w:firstLine="440"/>
        <w:jc w:val="both"/>
      </w:pPr>
      <w:bookmarkStart w:id="2104" w:name="bookmark2104"/>
      <w:r>
        <w:rPr>
          <w:rFonts w:ascii="Times New Roman" w:eastAsia="Times New Roman" w:hAnsi="Times New Roman" w:cs="Times New Roman"/>
          <w:b w:val="0"/>
          <w:bCs w:val="0"/>
          <w:color w:val="000000"/>
          <w:spacing w:val="0"/>
          <w:w w:val="100"/>
          <w:position w:val="0"/>
        </w:rPr>
        <w:t>7</w:t>
      </w:r>
      <w:bookmarkEnd w:id="2104"/>
      <w:r>
        <w:rPr>
          <w:b w:val="0"/>
          <w:bCs w:val="0"/>
          <w:color w:val="000000"/>
          <w:spacing w:val="0"/>
          <w:w w:val="100"/>
          <w:position w:val="0"/>
        </w:rPr>
        <w:t>、</w:t>
        <w:tab/>
        <w:t>长期借款年末较年初增加</w:t>
      </w:r>
      <w:r>
        <w:rPr>
          <w:rFonts w:ascii="Times New Roman" w:eastAsia="Times New Roman" w:hAnsi="Times New Roman" w:cs="Times New Roman"/>
          <w:b w:val="0"/>
          <w:bCs w:val="0"/>
          <w:color w:val="000000"/>
          <w:spacing w:val="0"/>
          <w:w w:val="100"/>
          <w:position w:val="0"/>
        </w:rPr>
        <w:t>4,289.65%</w:t>
      </w:r>
      <w:r>
        <w:rPr>
          <w:b w:val="0"/>
          <w:bCs w:val="0"/>
          <w:color w:val="000000"/>
          <w:spacing w:val="0"/>
          <w:w w:val="100"/>
          <w:position w:val="0"/>
        </w:rPr>
        <w:t>，主要系子公司外包园公司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润和国际软件外包研发总部基地</w:t>
      </w:r>
      <w:r>
        <w:rPr>
          <w:b w:val="0"/>
          <w:bCs w:val="0"/>
          <w:color w:val="000000"/>
          <w:spacing w:val="0"/>
          <w:w w:val="100"/>
          <w:position w:val="0"/>
        </w:rPr>
        <w:t xml:space="preserve">'' </w:t>
      </w:r>
      <w:r>
        <w:rPr>
          <w:b w:val="0"/>
          <w:bCs w:val="0"/>
          <w:color w:val="000000"/>
          <w:spacing w:val="0"/>
          <w:w w:val="100"/>
          <w:position w:val="0"/>
        </w:rPr>
        <w:t>项目建设借款大幅增加。</w:t>
      </w:r>
    </w:p>
    <w:p>
      <w:pPr>
        <w:pStyle w:val="Style58"/>
        <w:keepNext w:val="0"/>
        <w:keepLines w:val="0"/>
        <w:widowControl w:val="0"/>
        <w:shd w:val="clear" w:color="auto" w:fill="auto"/>
        <w:tabs>
          <w:tab w:pos="800" w:val="left"/>
        </w:tabs>
        <w:bidi w:val="0"/>
        <w:spacing w:before="0" w:after="0" w:line="322" w:lineRule="exact"/>
        <w:ind w:left="0" w:right="0" w:firstLine="440"/>
        <w:jc w:val="both"/>
      </w:pPr>
      <w:bookmarkStart w:id="2105" w:name="bookmark2105"/>
      <w:r>
        <w:rPr>
          <w:rFonts w:ascii="Times New Roman" w:eastAsia="Times New Roman" w:hAnsi="Times New Roman" w:cs="Times New Roman"/>
          <w:b w:val="0"/>
          <w:bCs w:val="0"/>
          <w:color w:val="000000"/>
          <w:spacing w:val="0"/>
          <w:w w:val="100"/>
          <w:position w:val="0"/>
        </w:rPr>
        <w:t>8</w:t>
      </w:r>
      <w:bookmarkEnd w:id="2105"/>
      <w:r>
        <w:rPr>
          <w:b w:val="0"/>
          <w:bCs w:val="0"/>
          <w:color w:val="000000"/>
          <w:spacing w:val="0"/>
          <w:w w:val="100"/>
          <w:position w:val="0"/>
        </w:rPr>
        <w:t>、</w:t>
        <w:tab/>
        <w:t>其他非流动负债年末较年初减少</w:t>
      </w:r>
      <w:r>
        <w:rPr>
          <w:rFonts w:ascii="Times New Roman" w:eastAsia="Times New Roman" w:hAnsi="Times New Roman" w:cs="Times New Roman"/>
          <w:b w:val="0"/>
          <w:bCs w:val="0"/>
          <w:color w:val="000000"/>
          <w:spacing w:val="0"/>
          <w:w w:val="100"/>
          <w:position w:val="0"/>
        </w:rPr>
        <w:t>47.53%</w:t>
      </w:r>
      <w:r>
        <w:rPr>
          <w:b w:val="0"/>
          <w:bCs w:val="0"/>
          <w:color w:val="000000"/>
          <w:spacing w:val="0"/>
          <w:w w:val="100"/>
          <w:position w:val="0"/>
        </w:rPr>
        <w:t>，主要系公司年初部分与收益相关的政府补助在报告期内 完成验收，计入当期损益。</w:t>
      </w:r>
    </w:p>
    <w:p>
      <w:pPr>
        <w:pStyle w:val="Style58"/>
        <w:keepNext w:val="0"/>
        <w:keepLines w:val="0"/>
        <w:widowControl w:val="0"/>
        <w:numPr>
          <w:ilvl w:val="0"/>
          <w:numId w:val="133"/>
        </w:numPr>
        <w:shd w:val="clear" w:color="auto" w:fill="auto"/>
        <w:bidi w:val="0"/>
        <w:spacing w:before="0" w:after="0" w:line="320" w:lineRule="exact"/>
        <w:ind w:left="0" w:right="0" w:firstLine="440"/>
        <w:jc w:val="both"/>
      </w:pPr>
      <w:bookmarkStart w:id="2106" w:name="bookmark2106"/>
      <w:bookmarkEnd w:id="2106"/>
      <w:r>
        <w:rPr>
          <w:b w:val="0"/>
          <w:bCs w:val="0"/>
          <w:color w:val="000000"/>
          <w:spacing w:val="0"/>
          <w:w w:val="100"/>
          <w:position w:val="0"/>
        </w:rPr>
        <w:t>所有者权益类项目</w:t>
      </w:r>
    </w:p>
    <w:p>
      <w:pPr>
        <w:pStyle w:val="Style58"/>
        <w:keepNext w:val="0"/>
        <w:keepLines w:val="0"/>
        <w:widowControl w:val="0"/>
        <w:shd w:val="clear" w:color="auto" w:fill="auto"/>
        <w:tabs>
          <w:tab w:pos="774" w:val="left"/>
        </w:tabs>
        <w:bidi w:val="0"/>
        <w:spacing w:before="0" w:after="0" w:line="320" w:lineRule="exact"/>
        <w:ind w:left="0" w:right="0" w:firstLine="420"/>
        <w:jc w:val="both"/>
      </w:pPr>
      <w:bookmarkStart w:id="2107" w:name="bookmark2107"/>
      <w:r>
        <w:rPr>
          <w:rFonts w:ascii="Times New Roman" w:eastAsia="Times New Roman" w:hAnsi="Times New Roman" w:cs="Times New Roman"/>
          <w:b w:val="0"/>
          <w:bCs w:val="0"/>
          <w:color w:val="000000"/>
          <w:spacing w:val="0"/>
          <w:w w:val="100"/>
          <w:position w:val="0"/>
        </w:rPr>
        <w:t>1</w:t>
      </w:r>
      <w:bookmarkEnd w:id="2107"/>
      <w:r>
        <w:rPr>
          <w:b w:val="0"/>
          <w:bCs w:val="0"/>
          <w:color w:val="000000"/>
          <w:spacing w:val="0"/>
          <w:w w:val="100"/>
          <w:position w:val="0"/>
        </w:rPr>
        <w:t>、</w:t>
        <w:tab/>
        <w:t>股本年末较年初增加</w:t>
      </w:r>
      <w:r>
        <w:rPr>
          <w:rFonts w:ascii="Times New Roman" w:eastAsia="Times New Roman" w:hAnsi="Times New Roman" w:cs="Times New Roman"/>
          <w:b w:val="0"/>
          <w:bCs w:val="0"/>
          <w:color w:val="000000"/>
          <w:spacing w:val="0"/>
          <w:w w:val="100"/>
          <w:position w:val="0"/>
        </w:rPr>
        <w:t>100.00%</w:t>
      </w:r>
      <w:r>
        <w:rPr>
          <w:b w:val="0"/>
          <w:bCs w:val="0"/>
          <w:color w:val="000000"/>
          <w:spacing w:val="0"/>
          <w:w w:val="100"/>
          <w:position w:val="0"/>
        </w:rPr>
        <w:t>，主要系公司报告期内资本公积转增资本。</w:t>
      </w:r>
    </w:p>
    <w:p>
      <w:pPr>
        <w:pStyle w:val="Style58"/>
        <w:keepNext w:val="0"/>
        <w:keepLines w:val="0"/>
        <w:widowControl w:val="0"/>
        <w:shd w:val="clear" w:color="auto" w:fill="auto"/>
        <w:tabs>
          <w:tab w:pos="795" w:val="left"/>
        </w:tabs>
        <w:bidi w:val="0"/>
        <w:spacing w:before="0" w:after="0" w:line="320" w:lineRule="exact"/>
        <w:ind w:left="0" w:right="0" w:firstLine="440"/>
        <w:jc w:val="both"/>
      </w:pPr>
      <w:bookmarkStart w:id="2108" w:name="bookmark2108"/>
      <w:r>
        <w:rPr>
          <w:rFonts w:ascii="Times New Roman" w:eastAsia="Times New Roman" w:hAnsi="Times New Roman" w:cs="Times New Roman"/>
          <w:b w:val="0"/>
          <w:bCs w:val="0"/>
          <w:color w:val="000000"/>
          <w:spacing w:val="0"/>
          <w:w w:val="100"/>
          <w:position w:val="0"/>
        </w:rPr>
        <w:t>2</w:t>
      </w:r>
      <w:bookmarkEnd w:id="2108"/>
      <w:r>
        <w:rPr>
          <w:b w:val="0"/>
          <w:bCs w:val="0"/>
          <w:color w:val="000000"/>
          <w:spacing w:val="0"/>
          <w:w w:val="100"/>
          <w:position w:val="0"/>
        </w:rPr>
        <w:t>、</w:t>
        <w:tab/>
        <w:t>盈余公积年末较年初增加</w:t>
      </w:r>
      <w:r>
        <w:rPr>
          <w:rFonts w:ascii="Times New Roman" w:eastAsia="Times New Roman" w:hAnsi="Times New Roman" w:cs="Times New Roman"/>
          <w:b w:val="0"/>
          <w:bCs w:val="0"/>
          <w:color w:val="000000"/>
          <w:spacing w:val="0"/>
          <w:w w:val="100"/>
          <w:position w:val="0"/>
        </w:rPr>
        <w:t>35.53%</w:t>
      </w:r>
      <w:r>
        <w:rPr>
          <w:b w:val="0"/>
          <w:bCs w:val="0"/>
          <w:color w:val="000000"/>
          <w:spacing w:val="0"/>
          <w:w w:val="100"/>
          <w:position w:val="0"/>
        </w:rPr>
        <w:t>,主要系本公司根据《公司法》及公司章程有关规定，按本年净 利润</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提取的法定盈余公积金。</w:t>
      </w:r>
    </w:p>
    <w:p>
      <w:pPr>
        <w:pStyle w:val="Style58"/>
        <w:keepNext w:val="0"/>
        <w:keepLines w:val="0"/>
        <w:widowControl w:val="0"/>
        <w:shd w:val="clear" w:color="auto" w:fill="auto"/>
        <w:tabs>
          <w:tab w:pos="813" w:val="left"/>
        </w:tabs>
        <w:bidi w:val="0"/>
        <w:spacing w:before="0" w:after="0" w:line="320" w:lineRule="exact"/>
        <w:ind w:left="0" w:right="0" w:firstLine="440"/>
        <w:jc w:val="both"/>
      </w:pPr>
      <w:bookmarkStart w:id="2109" w:name="bookmark2109"/>
      <w:r>
        <w:rPr>
          <w:rFonts w:ascii="Times New Roman" w:eastAsia="Times New Roman" w:hAnsi="Times New Roman" w:cs="Times New Roman"/>
          <w:b w:val="0"/>
          <w:bCs w:val="0"/>
          <w:color w:val="000000"/>
          <w:spacing w:val="0"/>
          <w:w w:val="100"/>
          <w:position w:val="0"/>
        </w:rPr>
        <w:t>3</w:t>
      </w:r>
      <w:bookmarkEnd w:id="2109"/>
      <w:r>
        <w:rPr>
          <w:b w:val="0"/>
          <w:bCs w:val="0"/>
          <w:color w:val="000000"/>
          <w:spacing w:val="0"/>
          <w:w w:val="100"/>
          <w:position w:val="0"/>
        </w:rPr>
        <w:t>、</w:t>
        <w:tab/>
        <w:t>外币报表折算差额年末较年初减少</w:t>
      </w:r>
      <w:r>
        <w:rPr>
          <w:rFonts w:ascii="Times New Roman" w:eastAsia="Times New Roman" w:hAnsi="Times New Roman" w:cs="Times New Roman"/>
          <w:b w:val="0"/>
          <w:bCs w:val="0"/>
          <w:color w:val="000000"/>
          <w:spacing w:val="0"/>
          <w:w w:val="100"/>
          <w:position w:val="0"/>
        </w:rPr>
        <w:t>611.62%</w:t>
      </w:r>
      <w:r>
        <w:rPr>
          <w:b w:val="0"/>
          <w:bCs w:val="0"/>
          <w:color w:val="000000"/>
          <w:spacing w:val="0"/>
          <w:w w:val="100"/>
          <w:position w:val="0"/>
        </w:rPr>
        <w:t>,主要系日元对人民币折算汇率波动形成。</w:t>
      </w:r>
    </w:p>
    <w:p>
      <w:pPr>
        <w:pStyle w:val="Style58"/>
        <w:keepNext w:val="0"/>
        <w:keepLines w:val="0"/>
        <w:widowControl w:val="0"/>
        <w:shd w:val="clear" w:color="auto" w:fill="auto"/>
        <w:tabs>
          <w:tab w:pos="795" w:val="left"/>
        </w:tabs>
        <w:bidi w:val="0"/>
        <w:spacing w:before="0" w:after="0" w:line="320" w:lineRule="exact"/>
        <w:ind w:left="0" w:right="0" w:firstLine="440"/>
        <w:jc w:val="both"/>
      </w:pPr>
      <w:bookmarkStart w:id="2110" w:name="bookmark2110"/>
      <w:r>
        <w:rPr>
          <w:rFonts w:ascii="Times New Roman" w:eastAsia="Times New Roman" w:hAnsi="Times New Roman" w:cs="Times New Roman"/>
          <w:b w:val="0"/>
          <w:bCs w:val="0"/>
          <w:color w:val="000000"/>
          <w:spacing w:val="0"/>
          <w:w w:val="100"/>
          <w:position w:val="0"/>
        </w:rPr>
        <w:t>4</w:t>
      </w:r>
      <w:bookmarkEnd w:id="2110"/>
      <w:r>
        <w:rPr>
          <w:b w:val="0"/>
          <w:bCs w:val="0"/>
          <w:color w:val="000000"/>
          <w:spacing w:val="0"/>
          <w:w w:val="100"/>
          <w:position w:val="0"/>
        </w:rPr>
        <w:t>、</w:t>
        <w:tab/>
        <w:t>少数股东权益年末较年初增加</w:t>
      </w:r>
      <w:r>
        <w:rPr>
          <w:rFonts w:ascii="Times New Roman" w:eastAsia="Times New Roman" w:hAnsi="Times New Roman" w:cs="Times New Roman"/>
          <w:b w:val="0"/>
          <w:bCs w:val="0"/>
          <w:color w:val="000000"/>
          <w:spacing w:val="0"/>
          <w:w w:val="100"/>
          <w:position w:val="0"/>
        </w:rPr>
        <w:t>354.46%</w:t>
      </w:r>
      <w:r>
        <w:rPr>
          <w:b w:val="0"/>
          <w:bCs w:val="0"/>
          <w:color w:val="000000"/>
          <w:spacing w:val="0"/>
          <w:w w:val="100"/>
          <w:position w:val="0"/>
        </w:rPr>
        <w:t>，主要系本年增加非同一控制下企业合并子公司江苏开拓的 少数股东权益。</w:t>
      </w:r>
    </w:p>
    <w:p>
      <w:pPr>
        <w:pStyle w:val="Style58"/>
        <w:keepNext w:val="0"/>
        <w:keepLines w:val="0"/>
        <w:widowControl w:val="0"/>
        <w:numPr>
          <w:ilvl w:val="0"/>
          <w:numId w:val="133"/>
        </w:numPr>
        <w:shd w:val="clear" w:color="auto" w:fill="auto"/>
        <w:bidi w:val="0"/>
        <w:spacing w:before="0" w:after="0" w:line="320" w:lineRule="exact"/>
        <w:ind w:left="0" w:right="0" w:firstLine="340"/>
        <w:jc w:val="both"/>
      </w:pPr>
      <w:bookmarkStart w:id="2111" w:name="bookmark2111"/>
      <w:bookmarkEnd w:id="2111"/>
      <w:r>
        <w:rPr>
          <w:b w:val="0"/>
          <w:bCs w:val="0"/>
          <w:color w:val="000000"/>
          <w:spacing w:val="0"/>
          <w:w w:val="100"/>
          <w:position w:val="0"/>
        </w:rPr>
        <w:t>损益类项目</w:t>
      </w:r>
    </w:p>
    <w:p>
      <w:pPr>
        <w:pStyle w:val="Style58"/>
        <w:keepNext w:val="0"/>
        <w:keepLines w:val="0"/>
        <w:widowControl w:val="0"/>
        <w:shd w:val="clear" w:color="auto" w:fill="auto"/>
        <w:tabs>
          <w:tab w:pos="790" w:val="left"/>
        </w:tabs>
        <w:bidi w:val="0"/>
        <w:spacing w:before="0" w:after="0" w:line="320" w:lineRule="exact"/>
        <w:ind w:left="0" w:right="0" w:firstLine="440"/>
        <w:jc w:val="both"/>
      </w:pPr>
      <w:bookmarkStart w:id="2112" w:name="bookmark2112"/>
      <w:r>
        <w:rPr>
          <w:rFonts w:ascii="Times New Roman" w:eastAsia="Times New Roman" w:hAnsi="Times New Roman" w:cs="Times New Roman"/>
          <w:b w:val="0"/>
          <w:bCs w:val="0"/>
          <w:color w:val="000000"/>
          <w:spacing w:val="0"/>
          <w:w w:val="100"/>
          <w:position w:val="0"/>
        </w:rPr>
        <w:t>1</w:t>
      </w:r>
      <w:bookmarkEnd w:id="2112"/>
      <w:r>
        <w:rPr>
          <w:b w:val="0"/>
          <w:bCs w:val="0"/>
          <w:color w:val="000000"/>
          <w:spacing w:val="0"/>
          <w:w w:val="100"/>
          <w:position w:val="0"/>
        </w:rPr>
        <w:t>、</w:t>
        <w:tab/>
        <w:t>报告期营业收入较上年同期增长</w:t>
      </w:r>
      <w:r>
        <w:rPr>
          <w:rFonts w:ascii="Times New Roman" w:eastAsia="Times New Roman" w:hAnsi="Times New Roman" w:cs="Times New Roman"/>
          <w:b w:val="0"/>
          <w:bCs w:val="0"/>
          <w:color w:val="000000"/>
          <w:spacing w:val="0"/>
          <w:w w:val="100"/>
          <w:position w:val="0"/>
        </w:rPr>
        <w:t>25.63%</w:t>
      </w:r>
      <w:r>
        <w:rPr>
          <w:b w:val="0"/>
          <w:bCs w:val="0"/>
          <w:color w:val="000000"/>
          <w:spacing w:val="0"/>
          <w:w w:val="100"/>
          <w:position w:val="0"/>
        </w:rPr>
        <w:t>，主要系公司原有业务持续增长，以及新增非同一控制下 企业合并子公司江苏开拓的系统集成服务业务。</w:t>
      </w:r>
    </w:p>
    <w:p>
      <w:pPr>
        <w:pStyle w:val="Style58"/>
        <w:keepNext w:val="0"/>
        <w:keepLines w:val="0"/>
        <w:widowControl w:val="0"/>
        <w:shd w:val="clear" w:color="auto" w:fill="auto"/>
        <w:tabs>
          <w:tab w:pos="771" w:val="left"/>
        </w:tabs>
        <w:bidi w:val="0"/>
        <w:spacing w:before="0" w:after="0" w:line="320" w:lineRule="exact"/>
        <w:ind w:left="0" w:right="0" w:firstLine="440"/>
        <w:jc w:val="both"/>
      </w:pPr>
      <w:bookmarkStart w:id="2113" w:name="bookmark2113"/>
      <w:r>
        <w:rPr>
          <w:rFonts w:ascii="Times New Roman" w:eastAsia="Times New Roman" w:hAnsi="Times New Roman" w:cs="Times New Roman"/>
          <w:b w:val="0"/>
          <w:bCs w:val="0"/>
          <w:color w:val="000000"/>
          <w:spacing w:val="0"/>
          <w:w w:val="100"/>
          <w:position w:val="0"/>
        </w:rPr>
        <w:t>2</w:t>
      </w:r>
      <w:bookmarkEnd w:id="2113"/>
      <w:r>
        <w:rPr>
          <w:b w:val="0"/>
          <w:bCs w:val="0"/>
          <w:color w:val="000000"/>
          <w:spacing w:val="0"/>
          <w:w w:val="100"/>
          <w:position w:val="0"/>
        </w:rPr>
        <w:t>、</w:t>
        <w:tab/>
        <w:t>报告期营业成本较上年同期增长</w:t>
      </w:r>
      <w:r>
        <w:rPr>
          <w:rFonts w:ascii="Times New Roman" w:eastAsia="Times New Roman" w:hAnsi="Times New Roman" w:cs="Times New Roman"/>
          <w:b w:val="0"/>
          <w:bCs w:val="0"/>
          <w:color w:val="000000"/>
          <w:spacing w:val="0"/>
          <w:w w:val="100"/>
          <w:position w:val="0"/>
        </w:rPr>
        <w:t>27.07%</w:t>
      </w:r>
      <w:r>
        <w:rPr>
          <w:b w:val="0"/>
          <w:bCs w:val="0"/>
          <w:color w:val="000000"/>
          <w:spacing w:val="0"/>
          <w:w w:val="100"/>
          <w:position w:val="0"/>
        </w:rPr>
        <w:t>，主要系公司原有营业务持续增长，营业成本相应增加， 以及新增非同一控制下企业合并子公司江苏开拓的系统集成服务业务所对应的成本。</w:t>
      </w:r>
    </w:p>
    <w:p>
      <w:pPr>
        <w:pStyle w:val="Style58"/>
        <w:keepNext w:val="0"/>
        <w:keepLines w:val="0"/>
        <w:widowControl w:val="0"/>
        <w:shd w:val="clear" w:color="auto" w:fill="auto"/>
        <w:tabs>
          <w:tab w:pos="813" w:val="left"/>
        </w:tabs>
        <w:bidi w:val="0"/>
        <w:spacing w:before="0" w:after="0" w:line="320" w:lineRule="exact"/>
        <w:ind w:left="0" w:right="0" w:firstLine="440"/>
        <w:jc w:val="both"/>
      </w:pPr>
      <w:bookmarkStart w:id="2114" w:name="bookmark2114"/>
      <w:r>
        <w:rPr>
          <w:rFonts w:ascii="Times New Roman" w:eastAsia="Times New Roman" w:hAnsi="Times New Roman" w:cs="Times New Roman"/>
          <w:b w:val="0"/>
          <w:bCs w:val="0"/>
          <w:color w:val="000000"/>
          <w:spacing w:val="0"/>
          <w:w w:val="100"/>
          <w:position w:val="0"/>
        </w:rPr>
        <w:t>3</w:t>
      </w:r>
      <w:bookmarkEnd w:id="2114"/>
      <w:r>
        <w:rPr>
          <w:b w:val="0"/>
          <w:bCs w:val="0"/>
          <w:color w:val="000000"/>
          <w:spacing w:val="0"/>
          <w:w w:val="100"/>
          <w:position w:val="0"/>
        </w:rPr>
        <w:t>、</w:t>
        <w:tab/>
        <w:t>报告期管理费用较上年同期增长</w:t>
      </w:r>
      <w:r>
        <w:rPr>
          <w:rFonts w:ascii="Times New Roman" w:eastAsia="Times New Roman" w:hAnsi="Times New Roman" w:cs="Times New Roman"/>
          <w:b w:val="0"/>
          <w:bCs w:val="0"/>
          <w:color w:val="000000"/>
          <w:spacing w:val="0"/>
          <w:w w:val="100"/>
          <w:position w:val="0"/>
        </w:rPr>
        <w:t>45.29%%</w:t>
      </w:r>
      <w:r>
        <w:rPr>
          <w:b w:val="0"/>
          <w:bCs w:val="0"/>
          <w:color w:val="000000"/>
          <w:spacing w:val="0"/>
          <w:w w:val="100"/>
          <w:position w:val="0"/>
        </w:rPr>
        <w:t>,主要系随着公司研发投入的增加，研发费用相应增长。</w:t>
      </w:r>
    </w:p>
    <w:p>
      <w:pPr>
        <w:pStyle w:val="Style58"/>
        <w:keepNext w:val="0"/>
        <w:keepLines w:val="0"/>
        <w:widowControl w:val="0"/>
        <w:shd w:val="clear" w:color="auto" w:fill="auto"/>
        <w:tabs>
          <w:tab w:pos="373" w:val="left"/>
        </w:tabs>
        <w:bidi w:val="0"/>
        <w:spacing w:before="0" w:after="0" w:line="320" w:lineRule="exact"/>
        <w:ind w:left="0" w:right="0" w:firstLine="440"/>
        <w:jc w:val="both"/>
      </w:pPr>
      <w:bookmarkStart w:id="2115" w:name="bookmark2115"/>
      <w:r>
        <w:rPr>
          <w:rFonts w:ascii="Times New Roman" w:eastAsia="Times New Roman" w:hAnsi="Times New Roman" w:cs="Times New Roman"/>
          <w:b w:val="0"/>
          <w:bCs w:val="0"/>
          <w:color w:val="000000"/>
          <w:spacing w:val="0"/>
          <w:w w:val="100"/>
          <w:position w:val="0"/>
        </w:rPr>
        <w:t>4</w:t>
      </w:r>
      <w:bookmarkEnd w:id="2115"/>
      <w:r>
        <w:rPr>
          <w:b w:val="0"/>
          <w:bCs w:val="0"/>
          <w:color w:val="000000"/>
          <w:spacing w:val="0"/>
          <w:w w:val="100"/>
          <w:position w:val="0"/>
        </w:rPr>
        <w:t>、</w:t>
        <w:tab/>
        <w:t>报告期公允价值变动收益较上年同期减少</w:t>
      </w:r>
      <w:r>
        <w:rPr>
          <w:rFonts w:ascii="Times New Roman" w:eastAsia="Times New Roman" w:hAnsi="Times New Roman" w:cs="Times New Roman"/>
          <w:b w:val="0"/>
          <w:bCs w:val="0"/>
          <w:color w:val="000000"/>
          <w:spacing w:val="0"/>
          <w:w w:val="100"/>
          <w:position w:val="0"/>
        </w:rPr>
        <w:t>202.29%</w:t>
      </w:r>
      <w:r>
        <w:rPr>
          <w:b w:val="0"/>
          <w:bCs w:val="0"/>
          <w:color w:val="000000"/>
          <w:spacing w:val="0"/>
          <w:w w:val="100"/>
          <w:position w:val="0"/>
        </w:rPr>
        <w:t xml:space="preserve">,主要系公司上年度开展的远期外汇结汇业务在 </w:t>
      </w:r>
      <w:r>
        <w:rPr>
          <w:b w:val="0"/>
          <w:bCs w:val="0"/>
          <w:color w:val="000000"/>
          <w:spacing w:val="0"/>
          <w:w w:val="100"/>
          <w:position w:val="0"/>
        </w:rPr>
        <w:t>本年结汇，转回上年公允价值变动损益。</w:t>
      </w:r>
    </w:p>
    <w:p>
      <w:pPr>
        <w:pStyle w:val="Style58"/>
        <w:keepNext w:val="0"/>
        <w:keepLines w:val="0"/>
        <w:widowControl w:val="0"/>
        <w:shd w:val="clear" w:color="auto" w:fill="auto"/>
        <w:tabs>
          <w:tab w:pos="788" w:val="left"/>
        </w:tabs>
        <w:bidi w:val="0"/>
        <w:spacing w:before="0" w:after="0" w:line="315" w:lineRule="exact"/>
        <w:ind w:left="0" w:right="0" w:firstLine="420"/>
        <w:jc w:val="left"/>
      </w:pPr>
      <w:bookmarkStart w:id="2116" w:name="bookmark2116"/>
      <w:r>
        <w:rPr>
          <w:rFonts w:ascii="Times New Roman" w:eastAsia="Times New Roman" w:hAnsi="Times New Roman" w:cs="Times New Roman"/>
          <w:b w:val="0"/>
          <w:bCs w:val="0"/>
          <w:color w:val="000000"/>
          <w:spacing w:val="0"/>
          <w:w w:val="100"/>
          <w:position w:val="0"/>
        </w:rPr>
        <w:t>5</w:t>
      </w:r>
      <w:bookmarkEnd w:id="2116"/>
      <w:r>
        <w:rPr>
          <w:b w:val="0"/>
          <w:bCs w:val="0"/>
          <w:color w:val="000000"/>
          <w:spacing w:val="0"/>
          <w:w w:val="100"/>
          <w:position w:val="0"/>
        </w:rPr>
        <w:t>、</w:t>
        <w:tab/>
        <w:t>报告期投资收益较上年同期增加</w:t>
      </w:r>
      <w:r>
        <w:rPr>
          <w:rFonts w:ascii="Times New Roman" w:eastAsia="Times New Roman" w:hAnsi="Times New Roman" w:cs="Times New Roman"/>
          <w:b w:val="0"/>
          <w:bCs w:val="0"/>
          <w:color w:val="000000"/>
          <w:spacing w:val="0"/>
          <w:w w:val="100"/>
          <w:position w:val="0"/>
        </w:rPr>
        <w:t>42.34%</w:t>
      </w:r>
      <w:r>
        <w:rPr>
          <w:b w:val="0"/>
          <w:bCs w:val="0"/>
          <w:color w:val="000000"/>
          <w:spacing w:val="0"/>
          <w:w w:val="100"/>
          <w:position w:val="0"/>
        </w:rPr>
        <w:t>，主要系远期外汇结汇业务交割产生的收益增加。</w:t>
      </w:r>
    </w:p>
    <w:p>
      <w:pPr>
        <w:pStyle w:val="Style58"/>
        <w:keepNext w:val="0"/>
        <w:keepLines w:val="0"/>
        <w:widowControl w:val="0"/>
        <w:shd w:val="clear" w:color="auto" w:fill="auto"/>
        <w:tabs>
          <w:tab w:pos="788" w:val="left"/>
        </w:tabs>
        <w:bidi w:val="0"/>
        <w:spacing w:before="0" w:after="0" w:line="315" w:lineRule="exact"/>
        <w:ind w:left="0" w:right="0" w:firstLine="420"/>
        <w:jc w:val="left"/>
      </w:pPr>
      <w:bookmarkStart w:id="2117" w:name="bookmark2117"/>
      <w:r>
        <w:rPr>
          <w:rFonts w:ascii="Times New Roman" w:eastAsia="Times New Roman" w:hAnsi="Times New Roman" w:cs="Times New Roman"/>
          <w:b w:val="0"/>
          <w:bCs w:val="0"/>
          <w:color w:val="000000"/>
          <w:spacing w:val="0"/>
          <w:w w:val="100"/>
          <w:position w:val="0"/>
        </w:rPr>
        <w:t>6</w:t>
      </w:r>
      <w:bookmarkEnd w:id="2117"/>
      <w:r>
        <w:rPr>
          <w:b w:val="0"/>
          <w:bCs w:val="0"/>
          <w:color w:val="000000"/>
          <w:spacing w:val="0"/>
          <w:w w:val="100"/>
          <w:position w:val="0"/>
        </w:rPr>
        <w:t>、</w:t>
        <w:tab/>
        <w:t>报告期营业外收入较上年同期增加</w:t>
      </w:r>
      <w:r>
        <w:rPr>
          <w:rFonts w:ascii="Times New Roman" w:eastAsia="Times New Roman" w:hAnsi="Times New Roman" w:cs="Times New Roman"/>
          <w:b w:val="0"/>
          <w:bCs w:val="0"/>
          <w:color w:val="000000"/>
          <w:spacing w:val="0"/>
          <w:w w:val="100"/>
          <w:position w:val="0"/>
        </w:rPr>
        <w:t>65.51%</w:t>
      </w:r>
      <w:r>
        <w:rPr>
          <w:b w:val="0"/>
          <w:bCs w:val="0"/>
          <w:color w:val="000000"/>
          <w:spacing w:val="0"/>
          <w:w w:val="100"/>
          <w:position w:val="0"/>
        </w:rPr>
        <w:t>，主要系计入当期损益的政府补助增加。</w:t>
      </w:r>
    </w:p>
    <w:p>
      <w:pPr>
        <w:pStyle w:val="Style58"/>
        <w:keepNext w:val="0"/>
        <w:keepLines w:val="0"/>
        <w:widowControl w:val="0"/>
        <w:shd w:val="clear" w:color="auto" w:fill="auto"/>
        <w:bidi w:val="0"/>
        <w:spacing w:before="0" w:after="0" w:line="315" w:lineRule="exact"/>
        <w:ind w:left="0" w:right="0" w:firstLine="420"/>
        <w:jc w:val="left"/>
      </w:pPr>
      <w:bookmarkStart w:id="2118" w:name="bookmark2118"/>
      <w:r>
        <w:rPr>
          <w:b w:val="0"/>
          <w:bCs w:val="0"/>
          <w:color w:val="000000"/>
          <w:spacing w:val="0"/>
          <w:w w:val="100"/>
          <w:position w:val="0"/>
        </w:rPr>
        <w:t>（</w:t>
      </w:r>
      <w:bookmarkEnd w:id="2118"/>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）现金流量表项目</w:t>
      </w:r>
    </w:p>
    <w:p>
      <w:pPr>
        <w:pStyle w:val="Style58"/>
        <w:keepNext w:val="0"/>
        <w:keepLines w:val="0"/>
        <w:widowControl w:val="0"/>
        <w:shd w:val="clear" w:color="auto" w:fill="auto"/>
        <w:tabs>
          <w:tab w:pos="771" w:val="left"/>
        </w:tabs>
        <w:bidi w:val="0"/>
        <w:spacing w:before="0" w:after="0" w:line="315" w:lineRule="exact"/>
        <w:ind w:left="0" w:right="0" w:firstLine="440"/>
        <w:jc w:val="left"/>
      </w:pPr>
      <w:bookmarkStart w:id="2119" w:name="bookmark2119"/>
      <w:r>
        <w:rPr>
          <w:rFonts w:ascii="Times New Roman" w:eastAsia="Times New Roman" w:hAnsi="Times New Roman" w:cs="Times New Roman"/>
          <w:b w:val="0"/>
          <w:bCs w:val="0"/>
          <w:color w:val="000000"/>
          <w:spacing w:val="0"/>
          <w:w w:val="100"/>
          <w:position w:val="0"/>
        </w:rPr>
        <w:t>1</w:t>
      </w:r>
      <w:bookmarkEnd w:id="2119"/>
      <w:r>
        <w:rPr>
          <w:b w:val="0"/>
          <w:bCs w:val="0"/>
          <w:color w:val="000000"/>
          <w:spacing w:val="0"/>
          <w:w w:val="100"/>
          <w:position w:val="0"/>
        </w:rPr>
        <w:t>、</w:t>
        <w:tab/>
        <w:t>报告期内，经营活动产生的现金流量净额较上年减少</w:t>
      </w:r>
      <w:r>
        <w:rPr>
          <w:rFonts w:ascii="Times New Roman" w:eastAsia="Times New Roman" w:hAnsi="Times New Roman" w:cs="Times New Roman"/>
          <w:b w:val="0"/>
          <w:bCs w:val="0"/>
          <w:color w:val="000000"/>
          <w:spacing w:val="0"/>
          <w:w w:val="100"/>
          <w:position w:val="0"/>
        </w:rPr>
        <w:t>57.69%</w:t>
      </w:r>
      <w:r>
        <w:rPr>
          <w:b w:val="0"/>
          <w:bCs w:val="0"/>
          <w:color w:val="000000"/>
          <w:spacing w:val="0"/>
          <w:w w:val="100"/>
          <w:position w:val="0"/>
        </w:rPr>
        <w:t>，主要系公司支付到期银行承兑汇票、 以及职工薪酬较上年增加。</w:t>
      </w:r>
    </w:p>
    <w:p>
      <w:pPr>
        <w:pStyle w:val="Style58"/>
        <w:keepNext w:val="0"/>
        <w:keepLines w:val="0"/>
        <w:widowControl w:val="0"/>
        <w:shd w:val="clear" w:color="auto" w:fill="auto"/>
        <w:tabs>
          <w:tab w:pos="795" w:val="left"/>
        </w:tabs>
        <w:bidi w:val="0"/>
        <w:spacing w:before="0" w:after="0" w:line="315" w:lineRule="exact"/>
        <w:ind w:left="0" w:right="0" w:firstLine="440"/>
        <w:jc w:val="left"/>
      </w:pPr>
      <w:bookmarkStart w:id="2120" w:name="bookmark2120"/>
      <w:r>
        <w:rPr>
          <w:rFonts w:ascii="Times New Roman" w:eastAsia="Times New Roman" w:hAnsi="Times New Roman" w:cs="Times New Roman"/>
          <w:b w:val="0"/>
          <w:bCs w:val="0"/>
          <w:color w:val="000000"/>
          <w:spacing w:val="0"/>
          <w:w w:val="100"/>
          <w:position w:val="0"/>
        </w:rPr>
        <w:t>2</w:t>
      </w:r>
      <w:bookmarkEnd w:id="2120"/>
      <w:r>
        <w:rPr>
          <w:b w:val="0"/>
          <w:bCs w:val="0"/>
          <w:color w:val="000000"/>
          <w:spacing w:val="0"/>
          <w:w w:val="100"/>
          <w:position w:val="0"/>
        </w:rPr>
        <w:t>、</w:t>
        <w:tab/>
        <w:t>报告期内，投资活动产生的现金流量净额较上年减少</w:t>
      </w:r>
      <w:r>
        <w:rPr>
          <w:rFonts w:ascii="Times New Roman" w:eastAsia="Times New Roman" w:hAnsi="Times New Roman" w:cs="Times New Roman"/>
          <w:b w:val="0"/>
          <w:bCs w:val="0"/>
          <w:color w:val="000000"/>
          <w:spacing w:val="0"/>
          <w:w w:val="100"/>
          <w:position w:val="0"/>
        </w:rPr>
        <w:t>1,136.54%,</w:t>
      </w:r>
      <w:r>
        <w:rPr>
          <w:b w:val="0"/>
          <w:bCs w:val="0"/>
          <w:color w:val="000000"/>
          <w:spacing w:val="0"/>
          <w:w w:val="100"/>
          <w:position w:val="0"/>
        </w:rPr>
        <w:t>,主要系全资子公司外包园公司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润 和国际软件外包研发总部基地</w:t>
      </w:r>
      <w:r>
        <w:rPr>
          <w:b w:val="0"/>
          <w:bCs w:val="0"/>
          <w:color w:val="000000"/>
          <w:spacing w:val="0"/>
          <w:w w:val="100"/>
          <w:position w:val="0"/>
        </w:rPr>
        <w:t>''</w:t>
      </w:r>
      <w:r>
        <w:rPr>
          <w:b w:val="0"/>
          <w:bCs w:val="0"/>
          <w:color w:val="000000"/>
          <w:spacing w:val="0"/>
          <w:w w:val="100"/>
          <w:position w:val="0"/>
        </w:rPr>
        <w:t>项目建设投入增加。</w:t>
      </w:r>
    </w:p>
    <w:p>
      <w:pPr>
        <w:pStyle w:val="Style58"/>
        <w:keepNext w:val="0"/>
        <w:keepLines w:val="0"/>
        <w:widowControl w:val="0"/>
        <w:shd w:val="clear" w:color="auto" w:fill="auto"/>
        <w:tabs>
          <w:tab w:pos="795" w:val="left"/>
        </w:tabs>
        <w:bidi w:val="0"/>
        <w:spacing w:before="0" w:after="0" w:line="315" w:lineRule="exact"/>
        <w:ind w:left="0" w:right="0" w:firstLine="440"/>
        <w:jc w:val="left"/>
        <w:sectPr>
          <w:footnotePr>
            <w:pos w:val="pageBottom"/>
            <w:numFmt w:val="decimal"/>
            <w:numRestart w:val="continuous"/>
          </w:footnotePr>
          <w:pgSz w:w="11900" w:h="16840"/>
          <w:pgMar w:top="1393" w:right="1046" w:bottom="1475" w:left="1067" w:header="0" w:footer="3" w:gutter="0"/>
          <w:cols w:space="720"/>
          <w:noEndnote/>
          <w:rtlGutter w:val="0"/>
          <w:docGrid w:linePitch="360"/>
        </w:sectPr>
      </w:pPr>
      <w:bookmarkStart w:id="2121" w:name="bookmark2121"/>
      <w:r>
        <w:rPr>
          <w:rFonts w:ascii="Times New Roman" w:eastAsia="Times New Roman" w:hAnsi="Times New Roman" w:cs="Times New Roman"/>
          <w:b w:val="0"/>
          <w:bCs w:val="0"/>
          <w:color w:val="000000"/>
          <w:spacing w:val="0"/>
          <w:w w:val="100"/>
          <w:position w:val="0"/>
        </w:rPr>
        <w:t>3</w:t>
      </w:r>
      <w:bookmarkEnd w:id="2121"/>
      <w:r>
        <w:rPr>
          <w:b w:val="0"/>
          <w:bCs w:val="0"/>
          <w:color w:val="000000"/>
          <w:spacing w:val="0"/>
          <w:w w:val="100"/>
          <w:position w:val="0"/>
        </w:rPr>
        <w:t>、</w:t>
        <w:tab/>
        <w:t>报告期内，筹资活动产生的现金流量净额较上年减少</w:t>
      </w:r>
      <w:r>
        <w:rPr>
          <w:rFonts w:ascii="Times New Roman" w:eastAsia="Times New Roman" w:hAnsi="Times New Roman" w:cs="Times New Roman"/>
          <w:b w:val="0"/>
          <w:bCs w:val="0"/>
          <w:color w:val="000000"/>
          <w:spacing w:val="0"/>
          <w:w w:val="100"/>
          <w:position w:val="0"/>
        </w:rPr>
        <w:t>72.02%</w:t>
      </w:r>
      <w:r>
        <w:rPr>
          <w:b w:val="0"/>
          <w:bCs w:val="0"/>
          <w:color w:val="000000"/>
          <w:spacing w:val="0"/>
          <w:w w:val="100"/>
          <w:position w:val="0"/>
        </w:rPr>
        <w:t>，主要系公司上年同期募集资金到账 和</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年现金分红</w:t>
      </w:r>
      <w:r>
        <w:rPr>
          <w:rFonts w:ascii="Times New Roman" w:eastAsia="Times New Roman" w:hAnsi="Times New Roman" w:cs="Times New Roman"/>
          <w:b w:val="0"/>
          <w:bCs w:val="0"/>
          <w:color w:val="000000"/>
          <w:spacing w:val="0"/>
          <w:w w:val="100"/>
          <w:position w:val="0"/>
        </w:rPr>
        <w:t>15,348,000.00</w:t>
      </w:r>
      <w:r>
        <w:rPr>
          <w:b w:val="0"/>
          <w:bCs w:val="0"/>
          <w:color w:val="000000"/>
          <w:spacing w:val="0"/>
          <w:w w:val="100"/>
          <w:position w:val="0"/>
        </w:rPr>
        <w:t>元。</w:t>
      </w:r>
    </w:p>
    <w:p>
      <w:pPr>
        <w:pStyle w:val="Style16"/>
        <w:keepNext/>
        <w:keepLines/>
        <w:widowControl w:val="0"/>
        <w:shd w:val="clear" w:color="auto" w:fill="auto"/>
        <w:bidi w:val="0"/>
        <w:spacing w:before="0" w:after="480" w:line="240" w:lineRule="auto"/>
        <w:ind w:left="0" w:right="0" w:firstLine="0"/>
        <w:jc w:val="center"/>
      </w:pPr>
      <w:bookmarkStart w:id="2122" w:name="bookmark2122"/>
      <w:bookmarkStart w:id="2123" w:name="bookmark2123"/>
      <w:bookmarkStart w:id="2124" w:name="bookmark2124"/>
      <w:r>
        <w:rPr>
          <w:color w:val="000000"/>
          <w:spacing w:val="0"/>
          <w:w w:val="100"/>
          <w:position w:val="0"/>
        </w:rPr>
        <w:t>第十节备查文件目录</w:t>
      </w:r>
      <w:bookmarkEnd w:id="2122"/>
      <w:bookmarkEnd w:id="2123"/>
      <w:bookmarkEnd w:id="2124"/>
    </w:p>
    <w:p>
      <w:pPr>
        <w:pStyle w:val="Style58"/>
        <w:keepNext w:val="0"/>
        <w:keepLines w:val="0"/>
        <w:widowControl w:val="0"/>
        <w:shd w:val="clear" w:color="auto" w:fill="auto"/>
        <w:tabs>
          <w:tab w:pos="354" w:val="left"/>
        </w:tabs>
        <w:bidi w:val="0"/>
        <w:spacing w:before="0" w:after="0" w:line="322" w:lineRule="exact"/>
        <w:ind w:left="0" w:right="0" w:firstLine="0"/>
        <w:jc w:val="left"/>
      </w:pPr>
      <w:bookmarkStart w:id="2125" w:name="bookmark2125"/>
      <w:bookmarkStart w:id="2126" w:name="bookmark2126"/>
      <w:r>
        <w:rPr>
          <w:rFonts w:ascii="Times New Roman" w:eastAsia="Times New Roman" w:hAnsi="Times New Roman" w:cs="Times New Roman"/>
          <w:b w:val="0"/>
          <w:bCs w:val="0"/>
          <w:color w:val="000000"/>
          <w:spacing w:val="0"/>
          <w:w w:val="100"/>
          <w:position w:val="0"/>
        </w:rPr>
        <w:t>1</w:t>
      </w:r>
      <w:bookmarkEnd w:id="2126"/>
      <w:r>
        <w:rPr>
          <w:b w:val="0"/>
          <w:bCs w:val="0"/>
          <w:color w:val="000000"/>
          <w:spacing w:val="0"/>
          <w:w w:val="100"/>
          <w:position w:val="0"/>
        </w:rPr>
        <w:t>、</w:t>
        <w:tab/>
        <w:t>载有公司法定代表人周红卫先生签名的</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年度报告文本原件；</w:t>
      </w:r>
      <w:bookmarkEnd w:id="2125"/>
    </w:p>
    <w:p>
      <w:pPr>
        <w:pStyle w:val="Style58"/>
        <w:keepNext w:val="0"/>
        <w:keepLines w:val="0"/>
        <w:widowControl w:val="0"/>
        <w:shd w:val="clear" w:color="auto" w:fill="auto"/>
        <w:tabs>
          <w:tab w:pos="373" w:val="left"/>
        </w:tabs>
        <w:bidi w:val="0"/>
        <w:spacing w:before="0" w:after="0" w:line="322" w:lineRule="exact"/>
        <w:ind w:left="0" w:right="0" w:firstLine="0"/>
        <w:jc w:val="left"/>
      </w:pPr>
      <w:bookmarkStart w:id="2127" w:name="bookmark2127"/>
      <w:r>
        <w:rPr>
          <w:rFonts w:ascii="Times New Roman" w:eastAsia="Times New Roman" w:hAnsi="Times New Roman" w:cs="Times New Roman"/>
          <w:b w:val="0"/>
          <w:bCs w:val="0"/>
          <w:color w:val="000000"/>
          <w:spacing w:val="0"/>
          <w:w w:val="100"/>
          <w:position w:val="0"/>
        </w:rPr>
        <w:t>2</w:t>
      </w:r>
      <w:bookmarkEnd w:id="2127"/>
      <w:r>
        <w:rPr>
          <w:b w:val="0"/>
          <w:bCs w:val="0"/>
          <w:color w:val="000000"/>
          <w:spacing w:val="0"/>
          <w:w w:val="100"/>
          <w:position w:val="0"/>
        </w:rPr>
        <w:t>、</w:t>
        <w:tab/>
        <w:t>载有单位负责人周红卫先生、主管会计工作负责人朱祖龙先生、会计机构负责人朱祖龙先生签名并盖 章的财务报告文本原件；</w:t>
      </w:r>
    </w:p>
    <w:p>
      <w:pPr>
        <w:pStyle w:val="Style58"/>
        <w:keepNext w:val="0"/>
        <w:keepLines w:val="0"/>
        <w:widowControl w:val="0"/>
        <w:shd w:val="clear" w:color="auto" w:fill="auto"/>
        <w:tabs>
          <w:tab w:pos="373" w:val="left"/>
        </w:tabs>
        <w:bidi w:val="0"/>
        <w:spacing w:before="0" w:after="0" w:line="322" w:lineRule="exact"/>
        <w:ind w:left="0" w:right="0" w:firstLine="0"/>
        <w:jc w:val="left"/>
      </w:pPr>
      <w:bookmarkStart w:id="2128" w:name="bookmark2128"/>
      <w:r>
        <w:rPr>
          <w:rFonts w:ascii="Times New Roman" w:eastAsia="Times New Roman" w:hAnsi="Times New Roman" w:cs="Times New Roman"/>
          <w:b w:val="0"/>
          <w:bCs w:val="0"/>
          <w:color w:val="000000"/>
          <w:spacing w:val="0"/>
          <w:w w:val="100"/>
          <w:position w:val="0"/>
        </w:rPr>
        <w:t>3</w:t>
      </w:r>
      <w:bookmarkEnd w:id="2128"/>
      <w:r>
        <w:rPr>
          <w:b w:val="0"/>
          <w:bCs w:val="0"/>
          <w:color w:val="000000"/>
          <w:spacing w:val="0"/>
          <w:w w:val="100"/>
          <w:position w:val="0"/>
        </w:rPr>
        <w:t>、</w:t>
        <w:tab/>
        <w:t>报告期内在中国证监会创业板指定信息披露网站披露过的所有文件的正本及公告的原稿；</w:t>
      </w:r>
    </w:p>
    <w:p>
      <w:pPr>
        <w:pStyle w:val="Style58"/>
        <w:keepNext w:val="0"/>
        <w:keepLines w:val="0"/>
        <w:widowControl w:val="0"/>
        <w:shd w:val="clear" w:color="auto" w:fill="auto"/>
        <w:tabs>
          <w:tab w:pos="373" w:val="left"/>
        </w:tabs>
        <w:bidi w:val="0"/>
        <w:spacing w:before="0" w:after="0" w:line="322" w:lineRule="exact"/>
        <w:ind w:left="0" w:right="0" w:firstLine="0"/>
        <w:jc w:val="left"/>
      </w:pPr>
      <w:bookmarkStart w:id="2129" w:name="bookmark2129"/>
      <w:r>
        <w:rPr>
          <w:rFonts w:ascii="Times New Roman" w:eastAsia="Times New Roman" w:hAnsi="Times New Roman" w:cs="Times New Roman"/>
          <w:b w:val="0"/>
          <w:bCs w:val="0"/>
          <w:color w:val="000000"/>
          <w:spacing w:val="0"/>
          <w:w w:val="100"/>
          <w:position w:val="0"/>
        </w:rPr>
        <w:t>4</w:t>
      </w:r>
      <w:bookmarkEnd w:id="2129"/>
      <w:r>
        <w:rPr>
          <w:b w:val="0"/>
          <w:bCs w:val="0"/>
          <w:color w:val="000000"/>
          <w:spacing w:val="0"/>
          <w:w w:val="100"/>
          <w:position w:val="0"/>
        </w:rPr>
        <w:t>、</w:t>
        <w:tab/>
        <w:t>其他有关资料。</w:t>
      </w:r>
    </w:p>
    <w:p>
      <w:pPr>
        <w:pStyle w:val="Style58"/>
        <w:keepNext w:val="0"/>
        <w:keepLines w:val="0"/>
        <w:widowControl w:val="0"/>
        <w:shd w:val="clear" w:color="auto" w:fill="auto"/>
        <w:bidi w:val="0"/>
        <w:spacing w:before="0" w:after="1400" w:line="322" w:lineRule="exact"/>
        <w:ind w:left="0" w:right="0" w:firstLine="0"/>
        <w:jc w:val="left"/>
      </w:pPr>
      <w:r>
        <w:rPr>
          <w:b w:val="0"/>
          <w:bCs w:val="0"/>
          <w:color w:val="000000"/>
          <w:spacing w:val="0"/>
          <w:w w:val="100"/>
          <w:position w:val="0"/>
        </w:rPr>
        <w:t>以上备查文件的备置地点：公司证券事务部</w:t>
      </w:r>
    </w:p>
    <w:p>
      <w:pPr>
        <w:pStyle w:val="Style58"/>
        <w:keepNext w:val="0"/>
        <w:keepLines w:val="0"/>
        <w:widowControl w:val="0"/>
        <w:shd w:val="clear" w:color="auto" w:fill="auto"/>
        <w:bidi w:val="0"/>
        <w:spacing w:before="0" w:after="220" w:line="240" w:lineRule="auto"/>
        <w:ind w:left="5780" w:right="0" w:firstLine="0"/>
        <w:jc w:val="left"/>
      </w:pPr>
      <w:r>
        <w:rPr>
          <w:b w:val="0"/>
          <w:bCs w:val="0"/>
          <w:color w:val="000000"/>
          <w:spacing w:val="0"/>
          <w:w w:val="100"/>
          <w:position w:val="0"/>
        </w:rPr>
        <w:t>法定代表人（签字）：周红卫</w:t>
      </w:r>
    </w:p>
    <w:p>
      <w:pPr>
        <w:pStyle w:val="Style58"/>
        <w:keepNext w:val="0"/>
        <w:keepLines w:val="0"/>
        <w:widowControl w:val="0"/>
        <w:shd w:val="clear" w:color="auto" w:fill="auto"/>
        <w:bidi w:val="0"/>
        <w:spacing w:before="0" w:after="220" w:line="240" w:lineRule="auto"/>
        <w:ind w:left="0" w:right="1060" w:firstLine="0"/>
        <w:jc w:val="right"/>
      </w:pPr>
      <w:r>
        <w:rPr>
          <w:b w:val="0"/>
          <w:bCs w:val="0"/>
          <w:color w:val="000000"/>
          <w:spacing w:val="0"/>
          <w:w w:val="100"/>
          <w:position w:val="0"/>
        </w:rPr>
        <w:t>江苏润和软件股份有限公司（盖章）</w:t>
      </w:r>
    </w:p>
    <w:p>
      <w:pPr>
        <w:pStyle w:val="Style58"/>
        <w:keepNext w:val="0"/>
        <w:keepLines w:val="0"/>
        <w:widowControl w:val="0"/>
        <w:shd w:val="clear" w:color="auto" w:fill="auto"/>
        <w:bidi w:val="0"/>
        <w:spacing w:before="0" w:after="340" w:line="240" w:lineRule="auto"/>
        <w:ind w:left="6100" w:right="0" w:firstLine="0"/>
        <w:jc w:val="left"/>
      </w:pPr>
      <w:r>
        <w:rPr>
          <w:b w:val="0"/>
          <w:bCs w:val="0"/>
          <w:color w:val="000000"/>
          <w:spacing w:val="0"/>
          <w:w w:val="100"/>
          <w:position w:val="0"/>
        </w:rPr>
        <w:t>2014</w:t>
      </w:r>
      <w:r>
        <w:rPr>
          <w:b w:val="0"/>
          <w:bCs w:val="0"/>
          <w:color w:val="000000"/>
          <w:spacing w:val="0"/>
          <w:w w:val="100"/>
          <w:position w:val="0"/>
        </w:rPr>
        <w:t>年</w:t>
      </w:r>
      <w:r>
        <w:rPr>
          <w:b w:val="0"/>
          <w:bCs w:val="0"/>
          <w:color w:val="000000"/>
          <w:spacing w:val="0"/>
          <w:w w:val="100"/>
          <w:position w:val="0"/>
        </w:rPr>
        <w:t>3</w:t>
      </w:r>
      <w:r>
        <w:rPr>
          <w:b w:val="0"/>
          <w:bCs w:val="0"/>
          <w:color w:val="000000"/>
          <w:spacing w:val="0"/>
          <w:w w:val="100"/>
          <w:position w:val="0"/>
        </w:rPr>
        <w:t>月</w:t>
      </w:r>
      <w:r>
        <w:rPr>
          <w:b w:val="0"/>
          <w:bCs w:val="0"/>
          <w:color w:val="000000"/>
          <w:spacing w:val="0"/>
          <w:w w:val="100"/>
          <w:position w:val="0"/>
        </w:rPr>
        <w:t>24</w:t>
      </w:r>
      <w:r>
        <w:rPr>
          <w:b w:val="0"/>
          <w:bCs w:val="0"/>
          <w:color w:val="000000"/>
          <w:spacing w:val="0"/>
          <w:w w:val="100"/>
          <w:position w:val="0"/>
        </w:rPr>
        <w:t>日</w:t>
      </w:r>
    </w:p>
    <w:sectPr>
      <w:footnotePr>
        <w:pos w:val="pageBottom"/>
        <w:numFmt w:val="decimal"/>
        <w:numRestart w:val="continuous"/>
      </w:footnotePr>
      <w:pgSz w:w="11900" w:h="16840"/>
      <w:pgMar w:top="1969" w:right="1190" w:bottom="196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6724650</wp:posOffset>
              </wp:positionH>
              <wp:positionV relativeFrom="page">
                <wp:posOffset>9984740</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5pt;margin-top:786.20000000000005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478790</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25pt;margin-top:37.7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4496435</wp:posOffset>
              </wp:positionH>
              <wp:positionV relativeFrom="page">
                <wp:posOffset>558800</wp:posOffset>
              </wp:positionV>
              <wp:extent cx="2334895" cy="106680"/>
              <wp:wrapNone/>
              <wp:docPr id="6" name="Shape 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54.05000000000001pt;margin-top:44.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48">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2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4)_"/>
    <w:basedOn w:val="DefaultParagraphFont"/>
    <w:link w:val="Style44"/>
    <w:rPr>
      <w:rFonts w:ascii="SimSun" w:eastAsia="SimSun" w:hAnsi="SimSun" w:cs="SimSun"/>
      <w:b w:val="0"/>
      <w:bCs w:val="0"/>
      <w:i w:val="0"/>
      <w:iCs w:val="0"/>
      <w:smallCaps w:val="0"/>
      <w:strike w:val="0"/>
      <w:u w:val="none"/>
      <w:shd w:val="clear" w:color="auto" w:fill="auto"/>
    </w:rPr>
  </w:style>
  <w:style w:type="character" w:customStyle="1" w:styleId="CharStyle51">
    <w:name w:val="正文文本 (5)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6)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60" w:lineRule="auto"/>
      <w:ind w:firstLine="30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目录"/>
    <w:basedOn w:val="Normal"/>
    <w:link w:val="CharStyle24"/>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w:basedOn w:val="Normal"/>
    <w:link w:val="CharStyle29"/>
    <w:pPr>
      <w:widowControl w:val="0"/>
      <w:shd w:val="clear" w:color="auto" w:fill="auto"/>
      <w:spacing w:line="360" w:lineRule="auto"/>
      <w:ind w:firstLine="300"/>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2"/>
    <w:basedOn w:val="Normal"/>
    <w:link w:val="CharStyle32"/>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33">
    <w:name w:val="标题 #3"/>
    <w:basedOn w:val="Normal"/>
    <w:link w:val="CharStyle34"/>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4)"/>
    <w:basedOn w:val="Normal"/>
    <w:link w:val="CharStyle45"/>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50">
    <w:name w:val="正文文本 (5)"/>
    <w:basedOn w:val="Normal"/>
    <w:link w:val="CharStyle51"/>
    <w:pPr>
      <w:widowControl w:val="0"/>
      <w:shd w:val="clear" w:color="auto" w:fill="auto"/>
      <w:spacing w:after="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6)"/>
    <w:basedOn w:val="Normal"/>
    <w:link w:val="CharStyle59"/>
    <w:pPr>
      <w:widowControl w:val="0"/>
      <w:shd w:val="clear" w:color="auto" w:fill="auto"/>
      <w:spacing w:after="360"/>
      <w:ind w:firstLine="14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江苏润和软件股份有限公司2013年度报告全文</dc:title>
  <dc:subject/>
  <dc:creator>江苏润和软件股份有限公司</dc:creator>
  <cp:keywords/>
</cp:coreProperties>
</file>