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spacing w:line="460" w:lineRule="exact" w:before="0"/>
        <w:ind w:left="2785" w:right="2784" w:firstLine="0"/>
        <w:jc w:val="center"/>
        <w:rPr>
          <w:rFonts w:ascii="宋体" w:hAnsi="宋体" w:cs="宋体" w:eastAsia="宋体" w:hint="default"/>
          <w:sz w:val="36"/>
          <w:szCs w:val="36"/>
        </w:rPr>
      </w:pPr>
      <w:r>
        <w:rPr/>
        <w:pict>
          <v:group style="position:absolute;margin-left:55.200001pt;margin-top:-90.411247pt;width:484.8pt;height:.1pt;mso-position-horizontal-relative:page;mso-position-vertical-relative:paragraph;z-index:0" coordorigin="1104,-1808" coordsize="9696,2">
            <v:shape style="position:absolute;left:1104;top:-1808;width:9696;height:2" coordorigin="1104,-1808" coordsize="9696,0" path="m1104,-1808l10800,-1808e" filled="false" stroked="true" strokeweight=".72pt" strokecolor="#000000">
              <v:path arrowok="t"/>
            </v:shape>
            <w10:wrap type="none"/>
          </v:group>
        </w:pict>
      </w:r>
      <w:r>
        <w:rPr>
          <w:rFonts w:ascii="宋体" w:hAnsi="宋体" w:cs="宋体" w:eastAsia="宋体" w:hint="default"/>
          <w:b/>
          <w:bCs/>
          <w:sz w:val="36"/>
          <w:szCs w:val="36"/>
        </w:rPr>
        <w:t>江苏润和软件股份有限公司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82"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782" w:right="2784" w:firstLine="0"/>
        <w:jc w:val="center"/>
        <w:rPr>
          <w:rFonts w:ascii="Times New Roman" w:hAnsi="Times New Roman" w:cs="Times New Roman" w:eastAsia="Times New Roman" w:hint="default"/>
          <w:sz w:val="22"/>
          <w:szCs w:val="22"/>
        </w:rPr>
      </w:pPr>
      <w:r>
        <w:rPr>
          <w:rFonts w:ascii="Times New Roman"/>
          <w:b/>
          <w:sz w:val="22"/>
        </w:rPr>
        <w:t>2016-032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784"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第一节 重要提示、目录和释义"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6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spacing w:val="2"/>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2" w:right="17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公司负责人周红卫、主管会计工作负责人朱祖龙及会计机构负责人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朱祖龙声明：保证年度报告中财务报告的真实、准确、完整。</w:t>
      </w:r>
      <w:r>
        <w:rPr>
          <w:rFonts w:ascii="宋体" w:hAnsi="宋体" w:cs="宋体" w:eastAsia="宋体" w:hint="default"/>
          <w:sz w:val="28"/>
          <w:szCs w:val="28"/>
        </w:rPr>
      </w:r>
    </w:p>
    <w:p>
      <w:pPr>
        <w:spacing w:line="472" w:lineRule="auto"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sz w:val="28"/>
          <w:szCs w:val="28"/>
        </w:rPr>
      </w:r>
    </w:p>
    <w:p>
      <w:pPr>
        <w:spacing w:line="408" w:lineRule="auto" w:before="0"/>
        <w:ind w:left="152" w:right="169" w:firstLine="0"/>
        <w:jc w:val="left"/>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对任何投资者及相关人士的实质性承诺，投资者及相关人士均应对此保持足够</w:t>
      </w:r>
      <w:r>
        <w:rPr>
          <w:rFonts w:ascii="宋体" w:hAnsi="宋体" w:cs="宋体" w:eastAsia="宋体" w:hint="default"/>
          <w:b/>
          <w:bCs/>
          <w:spacing w:val="2"/>
          <w:w w:val="99"/>
          <w:sz w:val="28"/>
          <w:szCs w:val="28"/>
        </w:rPr>
        <w:t> </w:t>
      </w:r>
      <w:r>
        <w:rPr>
          <w:rFonts w:ascii="宋体" w:hAnsi="宋体" w:cs="宋体" w:eastAsia="宋体" w:hint="default"/>
          <w:b/>
          <w:bCs/>
          <w:sz w:val="28"/>
          <w:szCs w:val="28"/>
        </w:rPr>
        <w:t>的风险认识，并且应当理解计划、预测与承诺之间的差异。</w:t>
      </w:r>
      <w:r>
        <w:rPr>
          <w:rFonts w:ascii="宋体" w:hAnsi="宋体" w:cs="宋体" w:eastAsia="宋体" w:hint="default"/>
          <w:sz w:val="28"/>
          <w:szCs w:val="28"/>
        </w:rPr>
      </w:r>
    </w:p>
    <w:p>
      <w:pPr>
        <w:spacing w:line="398" w:lineRule="auto" w:before="162"/>
        <w:ind w:left="152" w:right="173"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管理层分析与讨论</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分，详细描述了公司经营中可能存在的风险及应对措施，敬请投资者关注相关</w:t>
      </w:r>
      <w:r>
        <w:rPr>
          <w:rFonts w:ascii="宋体" w:hAnsi="宋体" w:cs="宋体" w:eastAsia="宋体" w:hint="default"/>
          <w:b/>
          <w:bCs/>
          <w:spacing w:val="2"/>
          <w:w w:val="99"/>
          <w:sz w:val="28"/>
          <w:szCs w:val="28"/>
        </w:rPr>
        <w:t> </w:t>
      </w:r>
      <w:r>
        <w:rPr>
          <w:rFonts w:ascii="宋体" w:hAnsi="宋体" w:cs="宋体" w:eastAsia="宋体" w:hint="default"/>
          <w:b/>
          <w:bCs/>
          <w:sz w:val="28"/>
          <w:szCs w:val="28"/>
        </w:rPr>
        <w:t>内容。</w:t>
      </w:r>
      <w:r>
        <w:rPr>
          <w:rFonts w:ascii="宋体" w:hAnsi="宋体" w:cs="宋体" w:eastAsia="宋体" w:hint="default"/>
          <w:sz w:val="28"/>
          <w:szCs w:val="28"/>
        </w:rPr>
      </w:r>
    </w:p>
    <w:p>
      <w:pPr>
        <w:spacing w:before="17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358,101,350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82" w:header="745" w:top="1060" w:bottom="1180" w:left="980" w:right="96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2784" w:right="278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备查文件目录</w:t>
            </w:r>
            <w:r>
              <w:rPr>
                <w:rFonts w:ascii="Times New Roman" w:hAnsi="Times New Roman" w:cs="Times New Roman" w:eastAsia="Times New Roman" w:hint="default"/>
              </w:rPr>
              <w:tab/>
              <w:t>203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2" w:top="1060" w:bottom="1180" w:left="980" w:right="980"/>
        </w:sectPr>
      </w:pPr>
    </w:p>
    <w:p>
      <w:pPr>
        <w:spacing w:before="944"/>
        <w:ind w:left="2782" w:right="278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41"/>
        <w:gridCol w:w="593"/>
        <w:gridCol w:w="5435"/>
      </w:tblGrid>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41"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593"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16" w:lineRule="auto" w:before="49"/>
              <w:ind w:left="28" w:right="21"/>
              <w:jc w:val="left"/>
              <w:rPr>
                <w:rFonts w:ascii="宋体" w:hAnsi="宋体" w:cs="宋体" w:eastAsia="宋体" w:hint="default"/>
                <w:sz w:val="18"/>
                <w:szCs w:val="18"/>
              </w:rPr>
            </w:pPr>
            <w:r>
              <w:rPr>
                <w:rFonts w:ascii="宋体" w:hAnsi="宋体" w:cs="宋体" w:eastAsia="宋体" w:hint="default"/>
                <w:spacing w:val="-2"/>
                <w:sz w:val="18"/>
                <w:szCs w:val="18"/>
              </w:rPr>
              <w:t>江苏润和科技投资集团有限公司，原江苏润和科技投资有限公司，系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公司控股股东。</w:t>
            </w:r>
          </w:p>
        </w:tc>
      </w:tr>
      <w:tr>
        <w:trPr>
          <w:trHeight w:val="391" w:hRule="exact"/>
        </w:trPr>
        <w:tc>
          <w:tcPr>
            <w:tcW w:w="3541" w:type="dxa"/>
            <w:vMerge/>
            <w:tcBorders>
              <w:left w:val="single" w:sz="4" w:space="0" w:color="000000"/>
              <w:right w:val="single" w:sz="9" w:space="0" w:color="D4D4D4"/>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9" w:space="0" w:color="D4D4D4"/>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北京润和</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北京润和汇智信息技术有限公司，系公司全资子公司。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上海润和</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上海润和信息技术服务有限公司，系公司全资子公司。</w:t>
            </w:r>
          </w:p>
        </w:tc>
      </w:tr>
      <w:tr>
        <w:trPr>
          <w:trHeight w:val="161" w:hRule="exact"/>
        </w:trPr>
        <w:tc>
          <w:tcPr>
            <w:tcW w:w="3541"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深圳润和</w:t>
            </w:r>
          </w:p>
        </w:tc>
        <w:tc>
          <w:tcPr>
            <w:tcW w:w="593"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0" w:lineRule="auto" w:before="49"/>
              <w:ind w:left="28" w:right="77"/>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深圳润和汇智信息技术有限公司，系北京润和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年新设全资子公 司。</w:t>
            </w:r>
          </w:p>
        </w:tc>
      </w:tr>
      <w:tr>
        <w:trPr>
          <w:trHeight w:val="394" w:hRule="exact"/>
        </w:trPr>
        <w:tc>
          <w:tcPr>
            <w:tcW w:w="3541" w:type="dxa"/>
            <w:vMerge/>
            <w:tcBorders>
              <w:left w:val="single" w:sz="4" w:space="0" w:color="000000"/>
              <w:right w:val="single" w:sz="9" w:space="0" w:color="D4D4D4"/>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9" w:space="0" w:color="D4D4D4"/>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香港润和</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香港润和信息技术投资有限公司，系公司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年新设全资子公司。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外包园公司</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江苏润和南京软件外包园投资有限公司，系公司全资子公司。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西安润和软件信息技术有限公司，系公司全资子公司。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株式会社ホープラン東京，系公司全资子公司。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新加坡润和</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Software Singapore Pte.</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，系东京润和控股子公司。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波士顿润和</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Technology Co.,</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，系公司全资子公司。</w:t>
            </w:r>
          </w:p>
        </w:tc>
      </w:tr>
      <w:tr>
        <w:trPr>
          <w:trHeight w:val="161" w:hRule="exact"/>
        </w:trPr>
        <w:tc>
          <w:tcPr>
            <w:tcW w:w="3541"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593"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0" w:lineRule="auto" w:before="49"/>
              <w:ind w:left="28" w:right="77"/>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北京联创智融信息技术有限公司，系公司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年通过重大资产重组 获取的全资子公司。</w:t>
            </w:r>
          </w:p>
        </w:tc>
      </w:tr>
      <w:tr>
        <w:trPr>
          <w:trHeight w:val="391" w:hRule="exact"/>
        </w:trPr>
        <w:tc>
          <w:tcPr>
            <w:tcW w:w="3541" w:type="dxa"/>
            <w:vMerge/>
            <w:tcBorders>
              <w:left w:val="single" w:sz="4" w:space="0" w:color="000000"/>
              <w:right w:val="single" w:sz="9" w:space="0" w:color="D4D4D4"/>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9" w:space="0" w:color="D4D4D4"/>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重庆度融</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重庆度融信息技术有限公司，系联创智融的控股子公司。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成都联创</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成都联创智融信息技术有限公司，系联创智融的全资子公司。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深圳联创</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深圳联创智融信息技术有限公司，系联创智融的控股子公司。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北京捷科智诚科技有限公司，系公司全资子公司。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上海捷科</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上海捷科智诚科技有限公司，系捷科智诚的全资子公司。</w:t>
            </w:r>
          </w:p>
        </w:tc>
      </w:tr>
      <w:tr>
        <w:trPr>
          <w:trHeight w:val="161" w:hRule="exact"/>
        </w:trPr>
        <w:tc>
          <w:tcPr>
            <w:tcW w:w="3541"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福州捷科</w:t>
            </w:r>
          </w:p>
        </w:tc>
        <w:tc>
          <w:tcPr>
            <w:tcW w:w="593"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0" w:lineRule="auto" w:before="49"/>
              <w:ind w:left="28" w:right="167"/>
              <w:jc w:val="left"/>
              <w:rPr>
                <w:rFonts w:ascii="宋体" w:hAnsi="宋体" w:cs="宋体" w:eastAsia="宋体" w:hint="default"/>
                <w:sz w:val="18"/>
                <w:szCs w:val="18"/>
              </w:rPr>
            </w:pPr>
            <w:r>
              <w:rPr>
                <w:rFonts w:ascii="宋体" w:hAnsi="宋体" w:cs="宋体" w:eastAsia="宋体" w:hint="default"/>
                <w:sz w:val="18"/>
                <w:szCs w:val="18"/>
              </w:rPr>
              <w:t>福州捷科智诚信息科技有限公司，系捷科智诚的控股子公司，</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日完成少数股东股份收购后成为捷科智诚全资子公司。</w:t>
            </w:r>
          </w:p>
        </w:tc>
      </w:tr>
      <w:tr>
        <w:trPr>
          <w:trHeight w:val="391" w:hRule="exact"/>
        </w:trPr>
        <w:tc>
          <w:tcPr>
            <w:tcW w:w="3541" w:type="dxa"/>
            <w:vMerge/>
            <w:tcBorders>
              <w:left w:val="single" w:sz="4" w:space="0" w:color="000000"/>
              <w:right w:val="single" w:sz="9" w:space="0" w:color="D4D4D4"/>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9" w:space="0" w:color="D4D4D4"/>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161" w:hRule="exact"/>
        </w:trPr>
        <w:tc>
          <w:tcPr>
            <w:tcW w:w="3541" w:type="dxa"/>
            <w:vMerge w:val="restart"/>
            <w:tcBorders>
              <w:top w:val="single" w:sz="4" w:space="0" w:color="000000"/>
              <w:left w:val="single" w:sz="4" w:space="0" w:color="000000"/>
              <w:right w:val="single" w:sz="9" w:space="0" w:color="D4D4D4"/>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593"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0" w:lineRule="auto" w:before="49"/>
              <w:ind w:left="28" w:right="19"/>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r>
              <w:rPr>
                <w:rFonts w:ascii="宋体" w:hAnsi="宋体" w:cs="宋体" w:eastAsia="宋体" w:hint="default"/>
                <w:spacing w:val="-2"/>
                <w:sz w:val="18"/>
                <w:szCs w:val="18"/>
              </w:rPr>
              <w:t> </w:t>
            </w:r>
            <w:r>
              <w:rPr>
                <w:rFonts w:ascii="宋体" w:hAnsi="宋体" w:cs="宋体" w:eastAsia="宋体" w:hint="default"/>
                <w:spacing w:val="-8"/>
                <w:sz w:val="18"/>
                <w:szCs w:val="18"/>
              </w:rPr>
              <w:t>，系公司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年通过并购获取的全资 子公司。</w:t>
            </w:r>
          </w:p>
        </w:tc>
      </w:tr>
      <w:tr>
        <w:trPr>
          <w:trHeight w:val="394" w:hRule="exact"/>
        </w:trPr>
        <w:tc>
          <w:tcPr>
            <w:tcW w:w="3541" w:type="dxa"/>
            <w:vMerge/>
            <w:tcBorders>
              <w:left w:val="single" w:sz="4" w:space="0" w:color="000000"/>
              <w:right w:val="single" w:sz="9" w:space="0" w:color="D4D4D4"/>
            </w:tcBorders>
          </w:tcPr>
          <w:p>
            <w:pPr/>
          </w:p>
        </w:tc>
        <w:tc>
          <w:tcPr>
            <w:tcW w:w="5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61" w:hRule="exact"/>
        </w:trPr>
        <w:tc>
          <w:tcPr>
            <w:tcW w:w="3541" w:type="dxa"/>
            <w:vMerge/>
            <w:tcBorders>
              <w:left w:val="single" w:sz="4" w:space="0" w:color="000000"/>
              <w:bottom w:val="single" w:sz="4" w:space="0" w:color="000000"/>
              <w:right w:val="single" w:sz="9" w:space="0" w:color="D4D4D4"/>
            </w:tcBorders>
          </w:tcPr>
          <w:p>
            <w:pPr/>
          </w:p>
        </w:tc>
        <w:tc>
          <w:tcPr>
            <w:tcW w:w="593"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江苏开拓信息与系统有限公司，系公司控股子公司。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SRS2</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SRS2</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，系公司控股子公司。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SRS2</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SilkRoad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Software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Service.Inc</w:t>
            </w:r>
            <w:r>
              <w:rPr>
                <w:rFonts w:ascii="宋体" w:hAnsi="宋体" w:cs="宋体" w:eastAsia="宋体" w:hint="default"/>
                <w:sz w:val="18"/>
                <w:szCs w:val="18"/>
              </w:rPr>
              <w:t>，系香港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SRS2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全资子公司。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上海丝略</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丝略软件（上海）有限公司，系香港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SRS2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全资子公司。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润和数码</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南京润和数码有限公司，系公司原控股子公司。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深圳数码</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深圳市润和创新信息科技有限公司，系润和数码的全资子公司。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新加坡数码</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MMAX </w:t>
            </w:r>
            <w:r>
              <w:rPr>
                <w:rFonts w:ascii="Times New Roman" w:hAnsi="Times New Roman" w:cs="Times New Roman" w:eastAsia="Times New Roman" w:hint="default"/>
                <w:spacing w:val="-3"/>
                <w:sz w:val="18"/>
                <w:szCs w:val="18"/>
              </w:rPr>
              <w:t>DIGITAL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，系深圳数码的全资子公司。</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BodyText"/>
        <w:spacing w:line="240" w:lineRule="auto" w:before="44"/>
        <w:ind w:left="0" w:right="158"/>
        <w:jc w:val="right"/>
      </w:pPr>
      <w:r>
        <w:rPr/>
        <w:pict>
          <v:shape style="position:absolute;margin-left:56.400002pt;margin-top:-20.889275pt;width:479.2pt;height:353.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中晟智源</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江苏中晟智源科技产业有限公司，系公司原参股公司。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宁波宏创</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宁波宏创股权投资合伙企</w:t>
                        </w:r>
                        <w:r>
                          <w:rPr>
                            <w:rFonts w:ascii="宋体" w:hAnsi="宋体" w:cs="宋体" w:eastAsia="宋体" w:hint="default"/>
                            <w:spacing w:val="-70"/>
                            <w:sz w:val="18"/>
                            <w:szCs w:val="18"/>
                          </w:rPr>
                          <w:t>业</w:t>
                        </w:r>
                        <w:r>
                          <w:rPr>
                            <w:rFonts w:ascii="宋体" w:hAnsi="宋体" w:cs="宋体" w:eastAsia="宋体" w:hint="default"/>
                            <w:sz w:val="18"/>
                            <w:szCs w:val="18"/>
                          </w:rPr>
                          <w:t>（</w:t>
                        </w:r>
                        <w:r>
                          <w:rPr>
                            <w:rFonts w:ascii="宋体" w:hAnsi="宋体" w:cs="宋体" w:eastAsia="宋体" w:hint="default"/>
                            <w:spacing w:val="2"/>
                            <w:sz w:val="18"/>
                            <w:szCs w:val="18"/>
                          </w:rPr>
                          <w:t>有</w:t>
                        </w:r>
                        <w:r>
                          <w:rPr>
                            <w:rFonts w:ascii="宋体" w:hAnsi="宋体" w:cs="宋体" w:eastAsia="宋体" w:hint="default"/>
                            <w:sz w:val="18"/>
                            <w:szCs w:val="18"/>
                          </w:rPr>
                          <w:t>限合伙</w:t>
                        </w:r>
                        <w:r>
                          <w:rPr>
                            <w:rFonts w:ascii="宋体" w:hAnsi="宋体" w:cs="宋体" w:eastAsia="宋体" w:hint="default"/>
                            <w:spacing w:val="-92"/>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系公司持股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以</w:t>
                        </w:r>
                        <w:r>
                          <w:rPr>
                            <w:rFonts w:ascii="宋体" w:hAnsi="宋体" w:cs="宋体" w:eastAsia="宋体" w:hint="default"/>
                            <w:spacing w:val="2"/>
                            <w:sz w:val="18"/>
                            <w:szCs w:val="18"/>
                          </w:rPr>
                          <w:t>上</w:t>
                        </w:r>
                        <w:r>
                          <w:rPr>
                            <w:rFonts w:ascii="宋体" w:hAnsi="宋体" w:cs="宋体" w:eastAsia="宋体" w:hint="default"/>
                            <w:sz w:val="18"/>
                            <w:szCs w:val="18"/>
                          </w:rPr>
                          <w:t>的股东</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润宏置业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8"/>
                          <w:jc w:val="left"/>
                          <w:rPr>
                            <w:rFonts w:ascii="宋体" w:hAnsi="宋体" w:cs="宋体" w:eastAsia="宋体" w:hint="default"/>
                            <w:sz w:val="18"/>
                            <w:szCs w:val="18"/>
                          </w:rPr>
                        </w:pPr>
                        <w:r>
                          <w:rPr>
                            <w:rFonts w:ascii="宋体" w:hAnsi="宋体" w:cs="宋体" w:eastAsia="宋体" w:hint="default"/>
                            <w:sz w:val="18"/>
                            <w:szCs w:val="18"/>
                          </w:rPr>
                          <w:t>南京润宏置业有限公司，原系润和投资与宁波宏创共同控制的子公 司，</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月变更为润和投资的全资子公司。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外包园置业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8"/>
                          <w:jc w:val="left"/>
                          <w:rPr>
                            <w:rFonts w:ascii="宋体" w:hAnsi="宋体" w:cs="宋体" w:eastAsia="宋体" w:hint="default"/>
                            <w:sz w:val="18"/>
                            <w:szCs w:val="18"/>
                          </w:rPr>
                        </w:pPr>
                        <w:r>
                          <w:rPr>
                            <w:rFonts w:ascii="宋体" w:hAnsi="宋体" w:cs="宋体" w:eastAsia="宋体" w:hint="default"/>
                            <w:sz w:val="18"/>
                            <w:szCs w:val="18"/>
                          </w:rPr>
                          <w:t>江苏润和南京软件外包园置业有限公司，系外包园公司原全资子公 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信思成</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北京信思成信息技术有限公司，系北京润和参股公司。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上海云角信息技术有限公司，系公司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博纳讯动</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苏州博纳讯动软件有限公司，系公司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阿里云</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阿里云计算有限公司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江苏润和股份有限公司股东大会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江苏润和软件股份有限公司的董事会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江苏润和软件股份有限公司的监事会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江苏润和软件股份有限公司章程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1"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1.119995pt;margin-top:114.075615pt;width:362.65pt;height:20.9pt;mso-position-horizontal-relative:page;mso-position-vertical-relative:paragraph;z-index:-1147888" coordorigin="3422,2282" coordsize="7253,418">
            <v:group style="position:absolute;left:3434;top:2294;width:2;height:394" coordorigin="3434,2294" coordsize="2,394">
              <v:shape style="position:absolute;left:3434;top:2294;width:2;height:394" coordorigin="3434,2294" coordsize="0,394" path="m3434,2294l3434,2687e" filled="false" stroked="true" strokeweight="1.2pt" strokecolor="#ffffff">
                <v:path arrowok="t"/>
              </v:shape>
            </v:group>
            <v:group style="position:absolute;left:3446;top:2294;width:7229;height:394" coordorigin="3446,2294" coordsize="7229,394">
              <v:shape style="position:absolute;left:3446;top:2294;width:7229;height:394" coordorigin="3446,2294" coordsize="7229,394" path="m3446,2687l10675,2687,10675,2294,3446,2294,3446,2687xe" filled="true" fillcolor="#ffffff" stroked="false">
                <v:path arrowok="t"/>
                <v:fill type="solid"/>
              </v:shape>
            </v:group>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4"/>
        <w:gridCol w:w="2143"/>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21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300339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Jiangsu Hoperun Software Co.,</w:t>
            </w:r>
            <w:r>
              <w:rPr>
                <w:rFonts w:ascii="Times New Roman"/>
                <w:spacing w:val="-10"/>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8"/>
                <w:sz w:val="18"/>
              </w:rPr>
              <w:t> </w:t>
            </w:r>
            <w:r>
              <w:rPr>
                <w:rFonts w:ascii="Times New Roman"/>
                <w:sz w:val="18"/>
              </w:rPr>
              <w:t>Software</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周红卫</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南京市雨花台区铁心桥工业园</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210012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210012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8">
              <w:r>
                <w:rPr>
                  <w:rFonts w:ascii="Times New Roman"/>
                  <w:sz w:val="18"/>
                </w:rPr>
                <w:t>http://www.hoperun.com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company@hoperun.com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李天蕾</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025-52668518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025-52668518</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025-52668895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025-52668895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company@hoperun.com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company@hoperun.com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上海证券报、证券日报、证券时报</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幢外经贸大厦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922-926 </w:t>
            </w:r>
            <w:r>
              <w:rPr>
                <w:rFonts w:ascii="宋体" w:hAnsi="宋体" w:cs="宋体" w:eastAsia="宋体" w:hint="default"/>
                <w:sz w:val="18"/>
                <w:szCs w:val="18"/>
              </w:rPr>
              <w:t>室</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方长顺、褚诗炜、周晓飞</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广东省深圳市福田区中心三</w:t>
            </w:r>
          </w:p>
          <w:p>
            <w:pPr>
              <w:pStyle w:val="TableParagraph"/>
              <w:spacing w:line="300" w:lineRule="auto" w:before="76"/>
              <w:ind w:left="24" w:right="12"/>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号卓越时代广场（二期） 北座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杨峰、王建文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广东省深圳市福田区中心三</w:t>
            </w:r>
          </w:p>
          <w:p>
            <w:pPr>
              <w:pStyle w:val="TableParagraph"/>
              <w:spacing w:line="300" w:lineRule="auto" w:before="76"/>
              <w:ind w:left="24" w:right="12"/>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号卓越时代广场（二期） 北座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王明希，王建文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广东省深圳市福田区中心三</w:t>
            </w:r>
          </w:p>
          <w:p>
            <w:pPr>
              <w:pStyle w:val="TableParagraph"/>
              <w:spacing w:line="300" w:lineRule="auto" w:before="76"/>
              <w:ind w:left="24" w:right="12"/>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号卓越时代广场（二期） 北座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雷晨、胡蒲娟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6" w:type="dxa"/>
        <w:tblLayout w:type="fixed"/>
        <w:tblCellMar>
          <w:top w:w="0" w:type="dxa"/>
          <w:left w:w="0" w:type="dxa"/>
          <w:bottom w:w="0" w:type="dxa"/>
          <w:right w:w="0" w:type="dxa"/>
        </w:tblCellMar>
        <w:tblLook w:val="01E0"/>
      </w:tblPr>
      <w:tblGrid>
        <w:gridCol w:w="2592"/>
        <w:gridCol w:w="1748"/>
        <w:gridCol w:w="1738"/>
        <w:gridCol w:w="1738"/>
        <w:gridCol w:w="1735"/>
      </w:tblGrid>
      <w:tr>
        <w:trPr>
          <w:trHeight w:val="403"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1,128,583,974.64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733,234,727.46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476,797,826.03</w:t>
            </w:r>
            <w:r>
              <w:rPr>
                <w:rFonts w:ascii="Times New Roman"/>
                <w:sz w:val="18"/>
              </w:rPr>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194,690,096.58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110,029,056.96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77,167,961.05</w:t>
            </w:r>
          </w:p>
        </w:tc>
      </w:tr>
      <w:tr>
        <w:trPr>
          <w:trHeight w:val="713"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123,916,588.23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78,663,551.56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52,027,697.24</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76,815,573.45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48,004,020.35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24,300,211.61</w:t>
            </w:r>
            <w:r>
              <w:rPr>
                <w:rFonts w:ascii="Times New Roman"/>
                <w:sz w:val="18"/>
              </w:rPr>
            </w:r>
          </w:p>
        </w:tc>
      </w:tr>
      <w:tr>
        <w:trPr>
          <w:trHeight w:val="401"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0.45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0.34</w:t>
            </w:r>
            <w:r>
              <w:rPr>
                <w:rFonts w:ascii="Times New Roman"/>
                <w:sz w:val="18"/>
              </w:rPr>
            </w:r>
          </w:p>
        </w:tc>
      </w:tr>
      <w:tr>
        <w:trPr>
          <w:trHeight w:val="403"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0.64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0.45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0.34</w:t>
            </w:r>
            <w:r>
              <w:rPr>
                <w:rFonts w:ascii="Times New Roman"/>
                <w:sz w:val="18"/>
              </w:rPr>
            </w:r>
          </w:p>
        </w:tc>
      </w:tr>
      <w:tr>
        <w:trPr>
          <w:trHeight w:val="401"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11.13%</w:t>
            </w:r>
            <w:r>
              <w:rPr>
                <w:rFonts w:ascii="Times New Roman"/>
                <w:sz w:val="18"/>
              </w:rPr>
            </w:r>
          </w:p>
        </w:tc>
      </w:tr>
      <w:tr>
        <w:trPr>
          <w:trHeight w:val="403"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4,998,625,141.82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2,264,744,043.31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1,093,508,526.09</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3,190,044,543.39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1,459,458,040.69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712,588,129.42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227,004,334.81</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241,739,231.25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250,396,007.76</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409,444,400.82</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12,237,036.92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15,389,499.00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33,313,633.01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133,749,927.65</w:t>
            </w:r>
            <w:r>
              <w:rPr>
                <w:rFonts w:ascii="Times New Roman"/>
                <w:sz w:val="18"/>
              </w:rPr>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11,251,735.99</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13,287,308.63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30,285,086.25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69,092,457.36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-20,613,011.63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-27,591,827.01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-34,397,127.09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159,417,539.18</w:t>
            </w:r>
            <w:r>
              <w:rPr>
                <w:rFonts w:ascii="Times New Roman"/>
                <w:sz w:val="18"/>
              </w:rPr>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6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79,061,639.91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21,833,497.97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-31,419.68</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8,375,054.72</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17,330,776.12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27,749,413.50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3,446,500.00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745,930.00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-39,706.49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-506,309.88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-275,800.00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3"/>
        <w:gridCol w:w="1532"/>
        <w:gridCol w:w="1519"/>
        <w:gridCol w:w="1522"/>
        <w:gridCol w:w="1711"/>
      </w:tblGrid>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20,079,767.99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7,218,671.88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3,043,115.85</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-9,788.20</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73,786.93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4,744.16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70,773,508.35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31,365,505.40</w:t>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25,140,263.81</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9"/>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1"/>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90" w:firstLine="288"/>
        <w:jc w:val="left"/>
      </w:pPr>
      <w:r>
        <w:rPr/>
        <w:t>公司的主营业务为向国际国内客户提供基于行业解决方案为基础，涵盖需求设计、开发、测试、系统集成、运维等全生 命周期的软件和信息技术服务，公司的主营业务聚焦在</w:t>
      </w:r>
      <w:r>
        <w:rPr>
          <w:rFonts w:ascii="Times New Roman" w:hAnsi="Times New Roman" w:cs="Times New Roman" w:eastAsia="Times New Roman" w:hint="default"/>
        </w:rPr>
        <w:t>“</w:t>
      </w:r>
      <w:r>
        <w:rPr/>
        <w:t>金融信息化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智能供应链信息化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智能终端嵌入式系统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w:t>
      </w:r>
      <w:r>
        <w:rPr>
          <w:spacing w:val="-24"/>
        </w:rPr>
        <w:t> </w:t>
      </w:r>
      <w:r>
        <w:rPr>
          <w:spacing w:val="-1"/>
        </w:rPr>
        <w:t>能电网信息化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系统集成及运维服务</w:t>
      </w:r>
      <w:r>
        <w:rPr>
          <w:rFonts w:ascii="Times New Roman" w:hAnsi="Times New Roman" w:cs="Times New Roman" w:eastAsia="Times New Roman" w:hint="default"/>
          <w:spacing w:val="-1"/>
        </w:rPr>
        <w:t>”</w:t>
      </w:r>
      <w:r>
        <w:rPr>
          <w:spacing w:val="-1"/>
        </w:rPr>
        <w:t>等专业领域，业务覆盖中国、日本、东南亚、北美等区域，总部位于南京，在北京、</w:t>
      </w:r>
      <w:r>
        <w:rPr/>
        <w:t> </w:t>
      </w:r>
      <w:r>
        <w:rPr>
          <w:spacing w:val="-2"/>
        </w:rPr>
        <w:t>上海、深圳、广州、重庆、成都、西安、福州、无锡、香港等国内主要城市设有子公司，并在日本东京、新加坡、美国波士</w:t>
      </w:r>
      <w:r>
        <w:rPr>
          <w:spacing w:val="-70"/>
        </w:rPr>
        <w:t> </w:t>
      </w:r>
      <w:r>
        <w:rPr>
          <w:spacing w:val="-70"/>
        </w:rPr>
      </w:r>
      <w:r>
        <w:rPr/>
        <w:t>顿、旧金山设立了海外子公司。拥有全球软件服务交付能力，能够为客户提供全面、即时、高效的软件和信息技术服务。</w:t>
      </w:r>
    </w:p>
    <w:p>
      <w:pPr>
        <w:pStyle w:val="BodyText"/>
        <w:spacing w:line="309" w:lineRule="auto" w:before="65"/>
        <w:ind w:right="193" w:firstLine="288"/>
        <w:jc w:val="both"/>
      </w:pPr>
      <w:r>
        <w:rPr>
          <w:spacing w:val="-1"/>
        </w:rPr>
        <w:t>润和软件是中国电子工业标准化技术协会信息技术服务分会理事单位，是信息技术服务国家标准制定单位，润和软件拥</w:t>
      </w:r>
      <w:r>
        <w:rPr/>
        <w:t> </w:t>
      </w:r>
      <w:r>
        <w:rPr>
          <w:spacing w:val="-2"/>
        </w:rPr>
        <w:t>有</w:t>
      </w:r>
      <w:r>
        <w:rPr>
          <w:rFonts w:ascii="Times New Roman" w:hAnsi="Times New Roman" w:cs="Times New Roman" w:eastAsia="Times New Roman" w:hint="default"/>
          <w:spacing w:val="-2"/>
        </w:rPr>
        <w:t>ISO9001</w:t>
      </w:r>
      <w:r>
        <w:rPr>
          <w:spacing w:val="-2"/>
        </w:rPr>
        <w:t>、</w:t>
      </w:r>
      <w:r>
        <w:rPr>
          <w:rFonts w:ascii="Times New Roman" w:hAnsi="Times New Roman" w:cs="Times New Roman" w:eastAsia="Times New Roman" w:hint="default"/>
          <w:spacing w:val="-2"/>
        </w:rPr>
        <w:t>ISO27001</w:t>
      </w:r>
      <w:r>
        <w:rPr>
          <w:spacing w:val="-2"/>
        </w:rPr>
        <w:t>、</w:t>
      </w:r>
      <w:r>
        <w:rPr>
          <w:rFonts w:ascii="Times New Roman" w:hAnsi="Times New Roman" w:cs="Times New Roman" w:eastAsia="Times New Roman" w:hint="default"/>
          <w:spacing w:val="-2"/>
        </w:rPr>
        <w:t>CMMI3</w:t>
      </w:r>
      <w:r>
        <w:rPr>
          <w:spacing w:val="-2"/>
        </w:rPr>
        <w:t>、系统集成二级、运维服务能力成熟度符合性评估二级等多项资质认证，公司还获得了江苏</w:t>
      </w:r>
      <w:r>
        <w:rPr>
          <w:spacing w:val="-56"/>
        </w:rPr>
        <w:t> </w:t>
      </w:r>
      <w:r>
        <w:rPr>
          <w:spacing w:val="-56"/>
        </w:rPr>
      </w:r>
      <w:r>
        <w:rPr/>
        <w:t>省高新技术企业、江苏省首批技术先进型服务企业等多项荣誉。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9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8"/>
        <w:gridCol w:w="6518"/>
      </w:tblGrid>
      <w:tr>
        <w:trPr>
          <w:trHeight w:val="185"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，主要系公司通过受让及增资的方式，获得上海云角</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的股权。</w:t>
            </w: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vMerge/>
            <w:tcBorders>
              <w:left w:val="single" w:sz="10" w:space="0" w:color="D4D4D4"/>
              <w:right w:val="single" w:sz="4" w:space="0" w:color="000000"/>
            </w:tcBorders>
          </w:tcPr>
          <w:p>
            <w:pPr/>
          </w:p>
        </w:tc>
      </w:tr>
      <w:tr>
        <w:trPr>
          <w:trHeight w:val="161"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vMerge/>
            <w:tcBorders>
              <w:left w:val="single" w:sz="10" w:space="0" w:color="D4D4D4"/>
              <w:bottom w:val="single" w:sz="4" w:space="0" w:color="000000"/>
              <w:right w:val="single" w:sz="4" w:space="0" w:color="000000"/>
            </w:tcBorders>
          </w:tcPr>
          <w:p>
            <w:pPr/>
          </w:p>
        </w:tc>
      </w:tr>
      <w:tr>
        <w:trPr>
          <w:trHeight w:val="163"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vMerge w:val="restart"/>
            <w:tcBorders>
              <w:top w:val="single" w:sz="4" w:space="0" w:color="000000"/>
              <w:left w:val="single" w:sz="10" w:space="0" w:color="D4D4D4"/>
              <w:right w:val="single" w:sz="4" w:space="0" w:color="000000"/>
            </w:tcBorders>
          </w:tcPr>
          <w:p>
            <w:pPr>
              <w:pStyle w:val="TableParagraph"/>
              <w:spacing w:line="297" w:lineRule="auto" w:before="51"/>
              <w:ind w:left="16" w:right="31"/>
              <w:jc w:val="left"/>
              <w:rPr>
                <w:rFonts w:ascii="宋体" w:hAnsi="宋体" w:cs="宋体" w:eastAsia="宋体" w:hint="default"/>
                <w:sz w:val="18"/>
                <w:szCs w:val="18"/>
              </w:rPr>
            </w:pPr>
            <w:r>
              <w:rPr>
                <w:rFonts w:ascii="宋体" w:hAnsi="宋体" w:cs="宋体" w:eastAsia="宋体" w:hint="default"/>
                <w:sz w:val="18"/>
                <w:szCs w:val="18"/>
              </w:rPr>
              <w:t>固定资产增长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519.58%</w:t>
            </w:r>
            <w:r>
              <w:rPr>
                <w:rFonts w:ascii="宋体" w:hAnsi="宋体" w:cs="宋体" w:eastAsia="宋体" w:hint="default"/>
                <w:sz w:val="18"/>
                <w:szCs w:val="18"/>
              </w:rPr>
              <w:t>，主要系润和国际软件外包研发总部基地等项目建成转入固 定资产。</w:t>
            </w: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vMerge/>
            <w:tcBorders>
              <w:left w:val="single" w:sz="10" w:space="0" w:color="D4D4D4"/>
              <w:right w:val="single" w:sz="4" w:space="0" w:color="000000"/>
            </w:tcBorders>
          </w:tcPr>
          <w:p>
            <w:pPr/>
          </w:p>
        </w:tc>
      </w:tr>
      <w:tr>
        <w:trPr>
          <w:trHeight w:val="161"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vMerge/>
            <w:tcBorders>
              <w:left w:val="single" w:sz="10" w:space="0" w:color="D4D4D4"/>
              <w:bottom w:val="single" w:sz="4" w:space="0" w:color="000000"/>
              <w:right w:val="single" w:sz="4" w:space="0" w:color="000000"/>
            </w:tcBorders>
          </w:tcPr>
          <w:p>
            <w:pPr/>
          </w:p>
        </w:tc>
      </w:tr>
      <w:tr>
        <w:trPr>
          <w:trHeight w:val="161"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vMerge w:val="restart"/>
            <w:tcBorders>
              <w:top w:val="single" w:sz="4" w:space="0" w:color="000000"/>
              <w:left w:val="single" w:sz="10" w:space="0" w:color="D4D4D4"/>
              <w:right w:val="single" w:sz="4" w:space="0" w:color="000000"/>
            </w:tcBorders>
          </w:tcPr>
          <w:p>
            <w:pPr>
              <w:pStyle w:val="TableParagraph"/>
              <w:spacing w:line="300" w:lineRule="auto" w:before="49"/>
              <w:ind w:left="16" w:right="21"/>
              <w:jc w:val="left"/>
              <w:rPr>
                <w:rFonts w:ascii="宋体" w:hAnsi="宋体" w:cs="宋体" w:eastAsia="宋体" w:hint="default"/>
                <w:sz w:val="18"/>
                <w:szCs w:val="18"/>
              </w:rPr>
            </w:pPr>
            <w:r>
              <w:rPr>
                <w:rFonts w:ascii="宋体" w:hAnsi="宋体" w:cs="宋体" w:eastAsia="宋体" w:hint="default"/>
                <w:sz w:val="18"/>
                <w:szCs w:val="18"/>
              </w:rPr>
              <w:t>无形资产增长</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54.06%</w:t>
            </w:r>
            <w:r>
              <w:rPr>
                <w:rFonts w:ascii="宋体" w:hAnsi="宋体" w:cs="宋体" w:eastAsia="宋体" w:hint="default"/>
                <w:spacing w:val="-3"/>
                <w:sz w:val="18"/>
                <w:szCs w:val="18"/>
              </w:rPr>
              <w:t>，主要系新增非同一控制下企业合并子公司联创智融无形资产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评估增值。</w:t>
            </w: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vMerge/>
            <w:tcBorders>
              <w:left w:val="single" w:sz="10" w:space="0" w:color="D4D4D4"/>
              <w:right w:val="single" w:sz="4" w:space="0" w:color="000000"/>
            </w:tcBorders>
          </w:tcPr>
          <w:p>
            <w:pPr/>
          </w:p>
        </w:tc>
      </w:tr>
      <w:tr>
        <w:trPr>
          <w:trHeight w:val="161"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vMerge/>
            <w:tcBorders>
              <w:left w:val="single" w:sz="10" w:space="0" w:color="D4D4D4"/>
              <w:bottom w:val="single" w:sz="4" w:space="0" w:color="000000"/>
              <w:right w:val="single" w:sz="4" w:space="0" w:color="000000"/>
            </w:tcBorders>
          </w:tcPr>
          <w:p>
            <w:pPr/>
          </w:p>
        </w:tc>
      </w:tr>
      <w:tr>
        <w:trPr>
          <w:trHeight w:val="163"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vMerge w:val="restart"/>
            <w:tcBorders>
              <w:top w:val="single" w:sz="4" w:space="0" w:color="000000"/>
              <w:left w:val="single" w:sz="10" w:space="0" w:color="D4D4D4"/>
              <w:right w:val="single" w:sz="4" w:space="0" w:color="000000"/>
            </w:tcBorders>
          </w:tcPr>
          <w:p>
            <w:pPr>
              <w:pStyle w:val="TableParagraph"/>
              <w:spacing w:line="297"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在建工程降低</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99.95%</w:t>
            </w:r>
            <w:r>
              <w:rPr>
                <w:rFonts w:ascii="宋体" w:hAnsi="宋体" w:cs="宋体" w:eastAsia="宋体" w:hint="default"/>
                <w:spacing w:val="-3"/>
                <w:sz w:val="18"/>
                <w:szCs w:val="18"/>
              </w:rPr>
              <w:t>，主要系润和国际软件外包研发总部基地等项目建成转入固定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w:t>
            </w: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vMerge/>
            <w:tcBorders>
              <w:left w:val="single" w:sz="10" w:space="0" w:color="D4D4D4"/>
              <w:right w:val="single" w:sz="4" w:space="0" w:color="000000"/>
            </w:tcBorders>
          </w:tcPr>
          <w:p>
            <w:pPr/>
          </w:p>
        </w:tc>
      </w:tr>
      <w:tr>
        <w:trPr>
          <w:trHeight w:val="161"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vMerge/>
            <w:tcBorders>
              <w:left w:val="single" w:sz="10" w:space="0" w:color="D4D4D4"/>
              <w:bottom w:val="single" w:sz="4" w:space="0" w:color="000000"/>
              <w:right w:val="single" w:sz="4" w:space="0" w:color="000000"/>
            </w:tcBorders>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商誉增加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293.17%</w:t>
            </w:r>
            <w:r>
              <w:rPr>
                <w:rFonts w:ascii="宋体" w:hAnsi="宋体" w:cs="宋体" w:eastAsia="宋体" w:hint="default"/>
                <w:sz w:val="18"/>
                <w:szCs w:val="18"/>
              </w:rPr>
              <w:t>，主要系收购联创智融、菲耐得形成的商誉。</w:t>
            </w:r>
          </w:p>
        </w:tc>
      </w:tr>
    </w:tbl>
    <w:p>
      <w:pPr>
        <w:spacing w:line="240" w:lineRule="auto" w:before="3"/>
        <w:rPr>
          <w:rFonts w:ascii="宋体" w:hAnsi="宋体" w:cs="宋体" w:eastAsia="宋体" w:hint="default"/>
          <w:b/>
          <w:bCs/>
          <w:sz w:val="19"/>
          <w:szCs w:val="19"/>
        </w:rPr>
      </w:pPr>
    </w:p>
    <w:p>
      <w:pPr>
        <w:pStyle w:val="Heading3"/>
        <w:spacing w:line="240" w:lineRule="auto" w:before="36"/>
        <w:ind w:right="9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90"/>
        <w:jc w:val="left"/>
      </w:pPr>
      <w:r>
        <w:rPr/>
        <w:t>报告期内，公司的核心竞争力发生了以下变化： </w:t>
      </w:r>
      <w:r>
        <w:rPr>
          <w:spacing w:val="-2"/>
        </w:rPr>
        <w:t>报告期内，公司通过并购联创智融、菲耐得等优秀金融信息化服务公司，使得公司金融信息化服务的核心竞争力发生了重大</w:t>
      </w:r>
      <w:r>
        <w:rPr>
          <w:spacing w:val="-63"/>
        </w:rPr>
        <w:t> </w:t>
      </w:r>
      <w:r>
        <w:rPr>
          <w:spacing w:val="-63"/>
        </w:rPr>
      </w:r>
      <w:r>
        <w:rPr>
          <w:spacing w:val="-2"/>
        </w:rPr>
        <w:t>变化，公司金融信息化业务从以向银行提供第三方专业测试服务为主的业务能力升级为向银行及保险公司提供整体解决方案</w:t>
      </w:r>
    </w:p>
    <w:p>
      <w:pPr>
        <w:pStyle w:val="BodyText"/>
        <w:spacing w:line="240" w:lineRule="auto" w:before="2"/>
        <w:ind w:right="90"/>
        <w:jc w:val="left"/>
      </w:pPr>
      <w:r>
        <w:rPr/>
        <w:t>及产品的信息技术服务能力，提高了公司在金融信息化业务领域的核心竞争力。</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38" w:lineRule="auto" w:before="44"/>
        <w:ind w:right="0"/>
        <w:jc w:val="left"/>
      </w:pPr>
      <w:r>
        <w:rPr>
          <w:spacing w:val="-2"/>
        </w:rPr>
        <w:t>报告期内，公司智能电网信息化及智能终端嵌入式系统业务均实现了全国性布局，相关业务实现了从区域市场到全国性市场</w:t>
      </w:r>
      <w:r>
        <w:rPr>
          <w:spacing w:val="-64"/>
        </w:rPr>
        <w:t> </w:t>
      </w:r>
      <w:r>
        <w:rPr>
          <w:spacing w:val="-64"/>
        </w:rPr>
      </w:r>
      <w:r>
        <w:rPr/>
        <w:t>业务能力的提升。 </w:t>
      </w:r>
      <w:r>
        <w:rPr>
          <w:spacing w:val="-2"/>
        </w:rPr>
        <w:t>报告期内，公司剥离了毛利率较低的智能终端嵌入式产品业务，使得公司智能终端嵌入式系统业务更专注于高毛利率的软件</w:t>
      </w:r>
    </w:p>
    <w:p>
      <w:pPr>
        <w:pStyle w:val="BodyText"/>
        <w:spacing w:line="240" w:lineRule="auto" w:before="2"/>
        <w:ind w:right="0"/>
        <w:jc w:val="left"/>
      </w:pPr>
      <w:r>
        <w:rPr/>
        <w:t>服务领域。</w:t>
      </w:r>
    </w:p>
    <w:p>
      <w:pPr>
        <w:pStyle w:val="BodyText"/>
        <w:spacing w:line="300" w:lineRule="auto" w:before="115"/>
        <w:ind w:right="0"/>
        <w:jc w:val="left"/>
      </w:pPr>
      <w:r>
        <w:rPr>
          <w:spacing w:val="-2"/>
        </w:rPr>
        <w:t>报告期内，公司子公司江苏开拓获得了</w:t>
      </w:r>
      <w:r>
        <w:rPr>
          <w:rFonts w:ascii="Times New Roman" w:hAnsi="Times New Roman" w:cs="Times New Roman" w:eastAsia="Times New Roman" w:hint="default"/>
          <w:spacing w:val="-2"/>
        </w:rPr>
        <w:t>“</w:t>
      </w:r>
      <w:r>
        <w:rPr>
          <w:spacing w:val="-2"/>
        </w:rPr>
        <w:t>运维服务能力成熟度符合性评估二级</w:t>
      </w:r>
      <w:r>
        <w:rPr>
          <w:rFonts w:ascii="Times New Roman" w:hAnsi="Times New Roman" w:cs="Times New Roman" w:eastAsia="Times New Roman" w:hint="default"/>
          <w:spacing w:val="-2"/>
        </w:rPr>
        <w:t>”</w:t>
      </w:r>
      <w:r>
        <w:rPr>
          <w:spacing w:val="-2"/>
        </w:rPr>
        <w:t>证书，系统集成及运维服务业务的核心竞争力</w:t>
      </w:r>
      <w:r>
        <w:rPr>
          <w:spacing w:val="-46"/>
        </w:rPr>
        <w:t> </w:t>
      </w:r>
      <w:r>
        <w:rPr>
          <w:spacing w:val="-46"/>
        </w:rPr>
      </w:r>
      <w:r>
        <w:rPr/>
        <w:t>获得提高。</w:t>
      </w:r>
    </w:p>
    <w:p>
      <w:pPr>
        <w:spacing w:after="0" w:line="30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124" w:right="90"/>
        <w:jc w:val="left"/>
        <w:rPr>
          <w:b w:val="0"/>
          <w:bCs w:val="0"/>
        </w:rPr>
      </w:pPr>
      <w:bookmarkStart w:name="第四节 管理层讨论与分析" w:id="21"/>
      <w:bookmarkEnd w:id="21"/>
      <w:r>
        <w:rPr>
          <w:b w:val="0"/>
          <w:bCs w:val="0"/>
        </w:rPr>
      </w:r>
      <w:bookmarkStart w:name="_bookmark2" w:id="22"/>
      <w:bookmarkEnd w:id="22"/>
      <w:r>
        <w:rPr>
          <w:b w:val="0"/>
          <w:bCs w:val="0"/>
        </w:rPr>
      </w:r>
      <w:r>
        <w:rPr/>
        <w:t>第四节</w:t>
      </w:r>
      <w:r>
        <w:rPr>
          <w:spacing w:val="-6"/>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0"/>
        <w:jc w:val="left"/>
        <w:rPr>
          <w:b w:val="0"/>
          <w:bCs w:val="0"/>
        </w:rPr>
      </w:pPr>
      <w:bookmarkStart w:name="一、概述" w:id="23"/>
      <w:bookmarkEnd w:id="23"/>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02" w:firstLine="432"/>
        <w:jc w:val="left"/>
      </w:pPr>
      <w:r>
        <w:rPr/>
        <w:t>根据中国证监会《上市公司行业分类指引》（</w:t>
      </w:r>
      <w:r>
        <w:rPr>
          <w:rFonts w:ascii="Times New Roman" w:hAnsi="Times New Roman" w:cs="Times New Roman" w:eastAsia="Times New Roman" w:hint="default"/>
        </w:rPr>
        <w:t>2012</w:t>
      </w:r>
      <w:r>
        <w:rPr/>
        <w:t>年修订），公司所处行业的编码为</w:t>
      </w:r>
      <w:r>
        <w:rPr>
          <w:rFonts w:ascii="Times New Roman" w:hAnsi="Times New Roman" w:cs="Times New Roman" w:eastAsia="Times New Roman" w:hint="default"/>
        </w:rPr>
        <w:t>I65</w:t>
      </w:r>
      <w:r>
        <w:rPr/>
        <w:t>，为</w:t>
      </w:r>
      <w:r>
        <w:rPr>
          <w:rFonts w:ascii="Times New Roman" w:hAnsi="Times New Roman" w:cs="Times New Roman" w:eastAsia="Times New Roman" w:hint="default"/>
        </w:rPr>
        <w:t>“</w:t>
      </w:r>
      <w:r>
        <w:rPr/>
        <w:t>信息传输、软件和信息 技术服务业</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软件和信息技术服务业</w:t>
      </w:r>
      <w:r>
        <w:rPr>
          <w:rFonts w:ascii="Times New Roman" w:hAnsi="Times New Roman" w:cs="Times New Roman" w:eastAsia="Times New Roman" w:hint="default"/>
        </w:rPr>
        <w:t>”</w:t>
      </w:r>
      <w:r>
        <w:rPr/>
        <w:t>。报告期内，公司的主营业务为向国际国内客户提供基于行业解决方案为基础， </w:t>
      </w:r>
      <w:r>
        <w:rPr>
          <w:spacing w:val="-3"/>
        </w:rPr>
        <w:t>涵盖需求设计、开发、测试、系统集成、运维等全生命周期的软件和信息技术服务，公司主营业务主要聚焦在</w:t>
      </w:r>
      <w:r>
        <w:rPr>
          <w:rFonts w:ascii="Times New Roman" w:hAnsi="Times New Roman" w:cs="Times New Roman" w:eastAsia="Times New Roman" w:hint="default"/>
          <w:spacing w:val="-3"/>
        </w:rPr>
        <w:t>“</w:t>
      </w:r>
      <w:r>
        <w:rPr>
          <w:spacing w:val="-3"/>
        </w:rPr>
        <w:t>金融信息化</w:t>
      </w:r>
      <w:r>
        <w:rPr>
          <w:rFonts w:ascii="Times New Roman" w:hAnsi="Times New Roman" w:cs="Times New Roman" w:eastAsia="Times New Roman" w:hint="default"/>
          <w:spacing w:val="-3"/>
        </w:rPr>
        <w:t>”</w:t>
      </w:r>
      <w:r>
        <w:rPr>
          <w:spacing w:val="-3"/>
        </w:rPr>
        <w:t>、</w:t>
      </w:r>
      <w:r>
        <w:rPr>
          <w:spacing w:val="-82"/>
        </w:rPr>
        <w:t> </w:t>
      </w:r>
      <w:r>
        <w:rPr>
          <w:rFonts w:ascii="Times New Roman" w:hAnsi="Times New Roman" w:cs="Times New Roman" w:eastAsia="Times New Roman" w:hint="default"/>
        </w:rPr>
        <w:t>“</w:t>
      </w:r>
      <w:r>
        <w:rPr/>
        <w:t>智能供应链信息化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智能终端嵌入式系统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智能电网信息化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系统集成及运维服务</w:t>
      </w:r>
      <w:r>
        <w:rPr>
          <w:rFonts w:ascii="Times New Roman" w:hAnsi="Times New Roman" w:cs="Times New Roman" w:eastAsia="Times New Roman" w:hint="default"/>
        </w:rPr>
        <w:t>”</w:t>
      </w:r>
      <w:r>
        <w:rPr/>
        <w:t>等五大专业领域。</w:t>
      </w:r>
    </w:p>
    <w:p>
      <w:pPr>
        <w:pStyle w:val="BodyText"/>
        <w:spacing w:line="300" w:lineRule="auto" w:before="13"/>
        <w:ind w:right="202" w:firstLine="432"/>
        <w:jc w:val="left"/>
      </w:pPr>
      <w:r>
        <w:rPr/>
        <w:t>据国家工业与信息化部发布数据，</w:t>
      </w:r>
      <w:r>
        <w:rPr>
          <w:rFonts w:ascii="Times New Roman" w:hAnsi="Times New Roman" w:cs="Times New Roman" w:eastAsia="Times New Roman" w:hint="default"/>
        </w:rPr>
        <w:t>2015</w:t>
      </w:r>
      <w:r>
        <w:rPr/>
        <w:t>年软件和信息技术服务产业保持平稳增长，规模以上软件和信息技术服务业企 业</w:t>
      </w:r>
      <w:r>
        <w:rPr>
          <w:rFonts w:ascii="Times New Roman" w:hAnsi="Times New Roman" w:cs="Times New Roman" w:eastAsia="Times New Roman" w:hint="default"/>
        </w:rPr>
        <w:t>4.09</w:t>
      </w:r>
      <w:r>
        <w:rPr/>
        <w:t>万家，全年软件和信息技术服务业实现软件业务收入</w:t>
      </w:r>
      <w:r>
        <w:rPr>
          <w:rFonts w:ascii="Times New Roman" w:hAnsi="Times New Roman" w:cs="Times New Roman" w:eastAsia="Times New Roman" w:hint="default"/>
        </w:rPr>
        <w:t>4.3</w:t>
      </w:r>
      <w:r>
        <w:rPr/>
        <w:t>万亿元，同比增长</w:t>
      </w:r>
      <w:r>
        <w:rPr>
          <w:rFonts w:ascii="Times New Roman" w:hAnsi="Times New Roman" w:cs="Times New Roman" w:eastAsia="Times New Roman" w:hint="default"/>
        </w:rPr>
        <w:t>16.6%</w:t>
      </w:r>
      <w:r>
        <w:rPr/>
        <w:t>。</w:t>
      </w:r>
    </w:p>
    <w:p>
      <w:pPr>
        <w:pStyle w:val="BodyText"/>
        <w:spacing w:line="312" w:lineRule="auto" w:before="13"/>
        <w:ind w:right="90" w:firstLine="432"/>
        <w:jc w:val="left"/>
      </w:pPr>
      <w:r>
        <w:rPr/>
        <w:t>报告期内，公司继续坚持</w:t>
      </w:r>
      <w:r>
        <w:rPr>
          <w:rFonts w:ascii="Times New Roman" w:hAnsi="Times New Roman" w:cs="Times New Roman" w:eastAsia="Times New Roman" w:hint="default"/>
        </w:rPr>
        <w:t>“</w:t>
      </w:r>
      <w:r>
        <w:rPr/>
        <w:t>国际化、专业化、高端化</w:t>
      </w:r>
      <w:r>
        <w:rPr>
          <w:rFonts w:ascii="Times New Roman" w:hAnsi="Times New Roman" w:cs="Times New Roman" w:eastAsia="Times New Roman" w:hint="default"/>
        </w:rPr>
        <w:t>”</w:t>
      </w:r>
      <w:r>
        <w:rPr/>
        <w:t>的发展方针，并坚持</w:t>
      </w:r>
      <w:r>
        <w:rPr>
          <w:rFonts w:ascii="Times New Roman" w:hAnsi="Times New Roman" w:cs="Times New Roman" w:eastAsia="Times New Roman" w:hint="default"/>
        </w:rPr>
        <w:t>“</w:t>
      </w:r>
      <w:r>
        <w:rPr/>
        <w:t>内外并重</w:t>
      </w:r>
      <w:r>
        <w:rPr>
          <w:rFonts w:ascii="Times New Roman" w:hAnsi="Times New Roman" w:cs="Times New Roman" w:eastAsia="Times New Roman" w:hint="default"/>
        </w:rPr>
        <w:t>”</w:t>
      </w:r>
      <w:r>
        <w:rPr/>
        <w:t>资本发展战略，顺利完成</w:t>
      </w:r>
      <w:r>
        <w:rPr>
          <w:rFonts w:ascii="Times New Roman" w:hAnsi="Times New Roman" w:cs="Times New Roman" w:eastAsia="Times New Roman" w:hint="default"/>
        </w:rPr>
        <w:t>IPO</w:t>
      </w:r>
      <w:r>
        <w:rPr/>
        <w:t>募投</w:t>
      </w:r>
      <w:r>
        <w:rPr>
          <w:spacing w:val="-3"/>
        </w:rPr>
        <w:t> </w:t>
      </w:r>
      <w:r>
        <w:rPr>
          <w:spacing w:val="-2"/>
        </w:rPr>
        <w:t>项目的建设，利用公司多年积累起来的技术优势、人才优势和专业化优势，抓住软件和信息技术服务产业快速发展的市场机</w:t>
      </w:r>
      <w:r>
        <w:rPr>
          <w:spacing w:val="-63"/>
        </w:rPr>
        <w:t> </w:t>
      </w:r>
      <w:r>
        <w:rPr>
          <w:spacing w:val="-63"/>
        </w:rPr>
      </w:r>
      <w:r>
        <w:rPr>
          <w:spacing w:val="-4"/>
        </w:rPr>
        <w:t>会，积极采取并购等资本运作加快业务规模化发展，实现了销售收入和经营业绩的稳定增长，巩固了公司的行业及市场地位，</w:t>
      </w:r>
      <w:r>
        <w:rPr>
          <w:spacing w:val="-44"/>
        </w:rPr>
        <w:t> </w:t>
      </w:r>
      <w:r>
        <w:rPr>
          <w:spacing w:val="-44"/>
        </w:rPr>
      </w:r>
      <w:r>
        <w:rPr/>
        <w:t>提高了公司的品牌知名度。</w:t>
      </w:r>
    </w:p>
    <w:p>
      <w:pPr>
        <w:pStyle w:val="BodyText"/>
        <w:spacing w:line="309" w:lineRule="auto" w:before="22"/>
        <w:ind w:right="94" w:firstLine="504"/>
        <w:jc w:val="left"/>
      </w:pPr>
      <w:r>
        <w:rPr/>
        <w:t>随着云计算、大数据等新兴互联网技术的成熟应用，</w:t>
      </w:r>
      <w:r>
        <w:rPr>
          <w:rFonts w:ascii="Times New Roman" w:hAnsi="Times New Roman" w:cs="Times New Roman" w:eastAsia="Times New Roman" w:hint="default"/>
        </w:rPr>
        <w:t>IT</w:t>
      </w:r>
      <w:r>
        <w:rPr/>
        <w:t>服务正向</w:t>
      </w:r>
      <w:r>
        <w:rPr>
          <w:rFonts w:ascii="Times New Roman" w:hAnsi="Times New Roman" w:cs="Times New Roman" w:eastAsia="Times New Roman" w:hint="default"/>
        </w:rPr>
        <w:t>DT</w:t>
      </w:r>
      <w:r>
        <w:rPr/>
        <w:t>服务转型升级，公司积极应对产业环境发生的变 革，主动部署产业转型升级的发展战略。公司投资参股了</w:t>
      </w:r>
      <w:r>
        <w:rPr>
          <w:rFonts w:ascii="Times New Roman" w:hAnsi="Times New Roman" w:cs="Times New Roman" w:eastAsia="Times New Roman" w:hint="default"/>
        </w:rPr>
        <w:t>“</w:t>
      </w:r>
      <w:r>
        <w:rPr/>
        <w:t>上海云角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博纳讯动</w:t>
      </w:r>
      <w:r>
        <w:rPr>
          <w:rFonts w:ascii="Times New Roman" w:hAnsi="Times New Roman" w:cs="Times New Roman" w:eastAsia="Times New Roman" w:hint="default"/>
        </w:rPr>
        <w:t>”</w:t>
      </w:r>
      <w:r>
        <w:rPr/>
        <w:t>等以云计算和大数据为核心技术能力的科 技公司，与他们形成了战略合作关系；公司发起在上海设立金融云战略落地的全资子公司，参与发起成立互联网保险公司； 公司与阿里云签署了金融云的战略合作协议。公司已经将</w:t>
      </w:r>
      <w:r>
        <w:rPr>
          <w:rFonts w:ascii="Times New Roman" w:hAnsi="Times New Roman" w:cs="Times New Roman" w:eastAsia="Times New Roman" w:hint="default"/>
        </w:rPr>
        <w:t>DT</w:t>
      </w:r>
      <w:r>
        <w:rPr/>
        <w:t>、互联网作为公司转型升级的重要战略方向，将公司多年积累 的线下业务的专业化优势，与云计算、大数据等互联网技术深度结合，逐步推出面向行业客户的互联网业务应用服务平台。 </w:t>
      </w:r>
      <w:r>
        <w:rPr>
          <w:spacing w:val="-2"/>
        </w:rPr>
        <w:t>未来公司将坚持线上运营服务和线下信息技术服务并重的业务发展格局，向各专业领域的客户提供即时、可靠的线上线下一</w:t>
      </w:r>
      <w:r>
        <w:rPr>
          <w:spacing w:val="-64"/>
        </w:rPr>
        <w:t> </w:t>
      </w:r>
      <w:r>
        <w:rPr>
          <w:spacing w:val="-64"/>
        </w:rPr>
      </w:r>
      <w:r>
        <w:rPr/>
        <w:t>体化信息服务。</w:t>
      </w:r>
    </w:p>
    <w:p>
      <w:pPr>
        <w:pStyle w:val="BodyText"/>
        <w:spacing w:line="300" w:lineRule="auto" w:before="24"/>
        <w:ind w:right="90" w:firstLine="432"/>
        <w:jc w:val="left"/>
      </w:pPr>
      <w:r>
        <w:rPr/>
        <w:t>报告期内，公司实现营业收入</w:t>
      </w:r>
      <w:r>
        <w:rPr>
          <w:rFonts w:ascii="Times New Roman" w:hAnsi="Times New Roman" w:cs="Times New Roman" w:eastAsia="Times New Roman" w:hint="default"/>
        </w:rPr>
        <w:t>112,858.40</w:t>
      </w:r>
      <w:r>
        <w:rPr/>
        <w:t>万元，较去年同期增长</w:t>
      </w:r>
      <w:r>
        <w:rPr>
          <w:rFonts w:ascii="Times New Roman" w:hAnsi="Times New Roman" w:cs="Times New Roman" w:eastAsia="Times New Roman" w:hint="default"/>
        </w:rPr>
        <w:t>53.92%</w:t>
      </w:r>
      <w:r>
        <w:rPr/>
        <w:t>；利润总额为</w:t>
      </w:r>
      <w:r>
        <w:rPr>
          <w:rFonts w:ascii="Times New Roman" w:hAnsi="Times New Roman" w:cs="Times New Roman" w:eastAsia="Times New Roman" w:hint="default"/>
        </w:rPr>
        <w:t>22,174.51</w:t>
      </w:r>
      <w:r>
        <w:rPr/>
        <w:t>万元，较去年同期增长 </w:t>
      </w:r>
      <w:r>
        <w:rPr>
          <w:rFonts w:ascii="Times New Roman" w:hAnsi="Times New Roman" w:cs="Times New Roman" w:eastAsia="Times New Roman" w:hint="default"/>
          <w:spacing w:val="-1"/>
        </w:rPr>
        <w:t>71.66%</w:t>
      </w:r>
      <w:r>
        <w:rPr>
          <w:spacing w:val="-1"/>
        </w:rPr>
        <w:t>；归属上市公司股东净利润为</w:t>
      </w:r>
      <w:r>
        <w:rPr>
          <w:rFonts w:ascii="Times New Roman" w:hAnsi="Times New Roman" w:cs="Times New Roman" w:eastAsia="Times New Roman" w:hint="default"/>
          <w:spacing w:val="-1"/>
        </w:rPr>
        <w:t>19,469.01</w:t>
      </w:r>
      <w:r>
        <w:rPr>
          <w:spacing w:val="-1"/>
        </w:rPr>
        <w:t>万元，较去年同期增长</w:t>
      </w:r>
      <w:r>
        <w:rPr>
          <w:rFonts w:ascii="Times New Roman" w:hAnsi="Times New Roman" w:cs="Times New Roman" w:eastAsia="Times New Roman" w:hint="default"/>
          <w:spacing w:val="-1"/>
        </w:rPr>
        <w:t>76.94%</w:t>
      </w:r>
      <w:r>
        <w:rPr>
          <w:spacing w:val="-1"/>
        </w:rPr>
        <w:t>。其中主营业务营业收入为</w:t>
      </w:r>
      <w:r>
        <w:rPr>
          <w:rFonts w:ascii="Times New Roman" w:hAnsi="Times New Roman" w:cs="Times New Roman" w:eastAsia="Times New Roman" w:hint="default"/>
          <w:spacing w:val="-1"/>
        </w:rPr>
        <w:t>112,330.28</w:t>
      </w:r>
      <w:r>
        <w:rPr>
          <w:spacing w:val="-1"/>
        </w:rPr>
        <w:t>万元，较</w:t>
      </w:r>
      <w:r>
        <w:rPr>
          <w:spacing w:val="-64"/>
        </w:rPr>
        <w:t> </w:t>
      </w:r>
      <w:r>
        <w:rPr>
          <w:spacing w:val="-64"/>
        </w:rPr>
      </w:r>
      <w:r>
        <w:rPr/>
        <w:t>去年同期增长</w:t>
      </w:r>
      <w:r>
        <w:rPr>
          <w:rFonts w:ascii="Times New Roman" w:hAnsi="Times New Roman" w:cs="Times New Roman" w:eastAsia="Times New Roman" w:hint="default"/>
        </w:rPr>
        <w:t>53.84%</w:t>
      </w:r>
      <w:r>
        <w:rPr/>
        <w:t>，具体状况如下：</w:t>
      </w:r>
    </w:p>
    <w:p>
      <w:pPr>
        <w:pStyle w:val="BodyText"/>
        <w:spacing w:line="309" w:lineRule="auto" w:before="13"/>
        <w:ind w:right="90"/>
        <w:jc w:val="left"/>
      </w:pPr>
      <w:r>
        <w:rPr>
          <w:rFonts w:ascii="Times New Roman" w:hAnsi="Times New Roman" w:cs="Times New Roman" w:eastAsia="Times New Roman" w:hint="default"/>
        </w:rPr>
        <w:t>1</w:t>
      </w:r>
      <w:r>
        <w:rPr/>
        <w:t>、金融信息化 </w:t>
      </w:r>
      <w:r>
        <w:rPr>
          <w:spacing w:val="-2"/>
        </w:rPr>
        <w:t>公司自</w:t>
      </w:r>
      <w:r>
        <w:rPr>
          <w:rFonts w:ascii="Times New Roman" w:hAnsi="Times New Roman" w:cs="Times New Roman" w:eastAsia="Times New Roman" w:hint="default"/>
          <w:spacing w:val="-2"/>
        </w:rPr>
        <w:t>2014</w:t>
      </w:r>
      <w:r>
        <w:rPr>
          <w:spacing w:val="-2"/>
        </w:rPr>
        <w:t>年并购捷科智诚开始，重点布局公司金融信息化专业领域，报告期内，公司完成了联创智融、菲耐得等优秀金融</w:t>
      </w:r>
      <w:r>
        <w:rPr>
          <w:spacing w:val="-62"/>
        </w:rPr>
        <w:t> </w:t>
      </w:r>
      <w:r>
        <w:rPr>
          <w:spacing w:val="-62"/>
        </w:rPr>
      </w:r>
      <w:r>
        <w:rPr>
          <w:spacing w:val="-2"/>
        </w:rPr>
        <w:t>信息化服务公司的并购，已经初步完成金融信息化业务的战略布局，在金融业务细分市场中拥有了银行信息化、保险信息化</w:t>
      </w:r>
      <w:r>
        <w:rPr>
          <w:spacing w:val="-63"/>
        </w:rPr>
        <w:t> </w:t>
      </w:r>
      <w:r>
        <w:rPr>
          <w:spacing w:val="-63"/>
        </w:rPr>
      </w:r>
      <w:r>
        <w:rPr/>
        <w:t>的整体解决方案及产品提供能力。 </w:t>
      </w:r>
      <w:r>
        <w:rPr>
          <w:spacing w:val="-1"/>
        </w:rPr>
        <w:t>报告期内，公司金融信息化服务业务实现营业收入</w:t>
      </w:r>
      <w:r>
        <w:rPr>
          <w:rFonts w:ascii="Times New Roman" w:hAnsi="Times New Roman" w:cs="Times New Roman" w:eastAsia="Times New Roman" w:hint="default"/>
          <w:spacing w:val="-1"/>
        </w:rPr>
        <w:t>46,227.41</w:t>
      </w:r>
      <w:r>
        <w:rPr>
          <w:spacing w:val="-1"/>
        </w:rPr>
        <w:t>万元，较去年同期增长</w:t>
      </w:r>
      <w:r>
        <w:rPr>
          <w:rFonts w:ascii="Times New Roman" w:hAnsi="Times New Roman" w:cs="Times New Roman" w:eastAsia="Times New Roman" w:hint="default"/>
          <w:spacing w:val="-1"/>
        </w:rPr>
        <w:t>280.98%</w:t>
      </w:r>
      <w:r>
        <w:rPr>
          <w:spacing w:val="-1"/>
        </w:rPr>
        <w:t>，收入增长的主要原因系原有业</w:t>
      </w:r>
      <w:r>
        <w:rPr>
          <w:spacing w:val="-44"/>
        </w:rPr>
        <w:t> </w:t>
      </w:r>
      <w:r>
        <w:rPr>
          <w:spacing w:val="-44"/>
        </w:rPr>
      </w:r>
      <w:r>
        <w:rPr/>
        <w:t>务增长，并新增非同一控制下企业合并子公司联创智融、菲耐得的金融信息化业务所致。 </w:t>
      </w:r>
      <w:r>
        <w:rPr>
          <w:spacing w:val="-2"/>
        </w:rPr>
        <w:t>金融信息化业务，报告期内主要业务能力是向商业银行提供全面的创新的银行应用产品及解决方案服务，以及专业的第三方</w:t>
      </w:r>
      <w:r>
        <w:rPr>
          <w:spacing w:val="-64"/>
        </w:rPr>
        <w:t> </w:t>
      </w:r>
      <w:r>
        <w:rPr>
          <w:spacing w:val="-64"/>
        </w:rPr>
      </w:r>
      <w:r>
        <w:rPr/>
        <w:t>系统测试服务；向保险公司提供财险类业务应用产品及解决方案服务。</w:t>
      </w:r>
    </w:p>
    <w:p>
      <w:pPr>
        <w:pStyle w:val="BodyText"/>
        <w:spacing w:line="240" w:lineRule="auto" w:before="24"/>
        <w:ind w:right="90"/>
        <w:jc w:val="left"/>
      </w:pPr>
      <w:r>
        <w:rPr>
          <w:rFonts w:ascii="Times New Roman" w:hAnsi="Times New Roman" w:cs="Times New Roman" w:eastAsia="Times New Roman" w:hint="default"/>
        </w:rPr>
        <w:t>2</w:t>
      </w:r>
      <w:r>
        <w:rPr/>
        <w:t>、智能电网信息化服务</w:t>
      </w:r>
    </w:p>
    <w:p>
      <w:pPr>
        <w:pStyle w:val="BodyText"/>
        <w:spacing w:line="312" w:lineRule="auto" w:before="62"/>
        <w:ind w:right="90"/>
        <w:jc w:val="left"/>
      </w:pPr>
      <w:r>
        <w:rPr/>
        <w:t>报告期内，智能电网信息化业务实现营业收入</w:t>
      </w:r>
      <w:r>
        <w:rPr>
          <w:spacing w:val="-19"/>
        </w:rPr>
        <w:t> </w:t>
      </w:r>
      <w:r>
        <w:rPr>
          <w:rFonts w:ascii="Times New Roman" w:hAnsi="Times New Roman" w:cs="Times New Roman" w:eastAsia="Times New Roman" w:hint="default"/>
        </w:rPr>
        <w:t>9,783.08</w:t>
      </w:r>
      <w:r>
        <w:rPr/>
        <w:t>万元，较去年同期增长</w:t>
      </w:r>
      <w:r>
        <w:rPr>
          <w:rFonts w:ascii="Times New Roman" w:hAnsi="Times New Roman" w:cs="Times New Roman" w:eastAsia="Times New Roman" w:hint="default"/>
        </w:rPr>
        <w:t>4.37%</w:t>
      </w:r>
      <w:r>
        <w:rPr/>
        <w:t>。 </w:t>
      </w:r>
      <w:r>
        <w:rPr>
          <w:spacing w:val="-2"/>
        </w:rPr>
        <w:t>报告期内，智能电网信息化业务，主动在国内主要地区设置本地化市场及交付团队，初步完成了国内主要区域的布局；随着</w:t>
      </w:r>
      <w:r>
        <w:rPr>
          <w:spacing w:val="-65"/>
        </w:rPr>
        <w:t> </w:t>
      </w:r>
      <w:r>
        <w:rPr>
          <w:spacing w:val="-65"/>
        </w:rPr>
      </w:r>
      <w:r>
        <w:rPr>
          <w:spacing w:val="-2"/>
        </w:rPr>
        <w:t>电力行业改革大潮的来临，以及新兴互联网技术的成熟应用，确定了转型升级的战略目标，将公司多年在供电领域积累的行</w:t>
      </w:r>
      <w:r>
        <w:rPr>
          <w:spacing w:val="-63"/>
        </w:rPr>
        <w:t> </w:t>
      </w:r>
      <w:r>
        <w:rPr>
          <w:spacing w:val="-63"/>
        </w:rPr>
      </w:r>
      <w:r>
        <w:rPr>
          <w:spacing w:val="-2"/>
        </w:rPr>
        <w:t>业知识，与云计算、大数据等新兴互联网技术进行深度结合，重点研究用电需求侧的大数据应用分析平台，逐步建立以互联</w:t>
      </w:r>
      <w:r>
        <w:rPr>
          <w:spacing w:val="-64"/>
        </w:rPr>
        <w:t> </w:t>
      </w:r>
      <w:r>
        <w:rPr>
          <w:spacing w:val="-64"/>
        </w:rPr>
      </w:r>
      <w:r>
        <w:rPr/>
        <w:t>网应用平台为渠道，以数据运营服务为核心的数据能源服务平台。 智能电网信息化业务，报告期内主要业务能力是向电网企业提供智能电网信息化的产品及解决方案服务。 </w:t>
      </w:r>
      <w:r>
        <w:rPr>
          <w:rFonts w:ascii="Times New Roman" w:hAnsi="Times New Roman" w:cs="Times New Roman" w:eastAsia="Times New Roman" w:hint="default"/>
        </w:rPr>
        <w:t>3</w:t>
      </w:r>
      <w:r>
        <w:rPr/>
        <w:t>、智能终端嵌入式系统 </w:t>
      </w:r>
      <w:r>
        <w:rPr>
          <w:spacing w:val="-1"/>
        </w:rPr>
        <w:t>报告期内，智能终端嵌入式系统业务的软件服务业务实现营业收入</w:t>
      </w:r>
      <w:r>
        <w:rPr>
          <w:rFonts w:ascii="Times New Roman" w:hAnsi="Times New Roman" w:cs="Times New Roman" w:eastAsia="Times New Roman" w:hint="default"/>
          <w:spacing w:val="-1"/>
        </w:rPr>
        <w:t>14,218.38</w:t>
      </w:r>
      <w:r>
        <w:rPr>
          <w:spacing w:val="-1"/>
        </w:rPr>
        <w:t>万元，较去年同期增长</w:t>
      </w:r>
      <w:r>
        <w:rPr>
          <w:rFonts w:ascii="Times New Roman" w:hAnsi="Times New Roman" w:cs="Times New Roman" w:eastAsia="Times New Roman" w:hint="default"/>
          <w:spacing w:val="-1"/>
        </w:rPr>
        <w:t>1.11%</w:t>
      </w:r>
      <w:r>
        <w:rPr>
          <w:spacing w:val="-1"/>
        </w:rPr>
        <w:t>；自主智能终端产</w:t>
      </w:r>
      <w:r>
        <w:rPr>
          <w:spacing w:val="-44"/>
        </w:rPr>
        <w:t> </w:t>
      </w:r>
      <w:r>
        <w:rPr>
          <w:spacing w:val="-44"/>
        </w:rPr>
      </w:r>
      <w:r>
        <w:rPr/>
        <w:t>品实现营业收入</w:t>
      </w:r>
      <w:r>
        <w:rPr>
          <w:rFonts w:ascii="Times New Roman" w:hAnsi="Times New Roman" w:cs="Times New Roman" w:eastAsia="Times New Roman" w:hint="default"/>
        </w:rPr>
        <w:t>8,205.21</w:t>
      </w:r>
      <w:r>
        <w:rPr>
          <w:rFonts w:ascii="Times New Roman" w:hAnsi="Times New Roman" w:cs="Times New Roman" w:eastAsia="Times New Roman" w:hint="default"/>
          <w:spacing w:val="22"/>
        </w:rPr>
        <w:t> </w:t>
      </w:r>
      <w:r>
        <w:rPr/>
        <w:t>万元，较去年同期增长</w:t>
      </w:r>
      <w:r>
        <w:rPr>
          <w:rFonts w:ascii="Times New Roman" w:hAnsi="Times New Roman" w:cs="Times New Roman" w:eastAsia="Times New Roman" w:hint="default"/>
        </w:rPr>
        <w:t>46.37%</w:t>
      </w:r>
      <w:r>
        <w:rPr/>
        <w:t>，产品收入增长的主要原因系产品出货量快速增长所致。</w:t>
      </w:r>
    </w:p>
    <w:p>
      <w:pPr>
        <w:spacing w:after="0" w:line="312"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0"/>
        <w:jc w:val="left"/>
      </w:pPr>
      <w:r>
        <w:rPr>
          <w:spacing w:val="-2"/>
        </w:rPr>
        <w:t>报告期内，智能终端嵌入式系统业务，主动在国内主要地区设置本地化市场及交付团队的布局，初步完成了国内主要区域布</w:t>
      </w:r>
      <w:r>
        <w:rPr>
          <w:spacing w:val="-63"/>
        </w:rPr>
        <w:t> </w:t>
      </w:r>
      <w:r>
        <w:rPr>
          <w:spacing w:val="-63"/>
        </w:rPr>
      </w:r>
      <w:r>
        <w:rPr>
          <w:spacing w:val="-2"/>
        </w:rPr>
        <w:t>局；随着国产芯片、物联网、穿戴设备、虚拟现实设备的爆发式增长，公司积极布局新业务带来的市场机会，重点拓展行业</w:t>
      </w:r>
      <w:r>
        <w:rPr>
          <w:spacing w:val="-70"/>
        </w:rPr>
        <w:t> </w:t>
      </w:r>
      <w:r>
        <w:rPr>
          <w:spacing w:val="-70"/>
        </w:rPr>
      </w:r>
      <w:r>
        <w:rPr>
          <w:spacing w:val="-2"/>
        </w:rPr>
        <w:t>上游的芯片厂商提供基于嵌入式芯片的软件服务业务，并主动布局物联网、穿戴设备、虚拟现实设备市场，进行了相关技术</w:t>
      </w:r>
      <w:r>
        <w:rPr>
          <w:spacing w:val="-64"/>
        </w:rPr>
        <w:t> </w:t>
      </w:r>
      <w:r>
        <w:rPr>
          <w:spacing w:val="-64"/>
        </w:rPr>
      </w:r>
      <w:r>
        <w:rPr/>
        <w:t>的研究与开发；报告期内公司主动剥离毛利率较低的智能终端产品业务，提高了该业务板块的综合毛利率。 </w:t>
      </w:r>
      <w:r>
        <w:rPr>
          <w:spacing w:val="-2"/>
        </w:rPr>
        <w:t>智能终端嵌入式系统业务，报告期内主要业务能力是向嵌入式芯片厂商、整机厂商、应用软件客户提供基于嵌入式操作系统</w:t>
      </w:r>
      <w:r>
        <w:rPr>
          <w:spacing w:val="-66"/>
        </w:rPr>
        <w:t> </w:t>
      </w:r>
      <w:r>
        <w:rPr>
          <w:spacing w:val="-66"/>
        </w:rPr>
      </w:r>
      <w:r>
        <w:rPr/>
        <w:t>的软件与系统解决方案服务。</w:t>
      </w:r>
    </w:p>
    <w:p>
      <w:pPr>
        <w:pStyle w:val="BodyText"/>
        <w:spacing w:line="300" w:lineRule="auto" w:before="18"/>
        <w:ind w:right="2869"/>
        <w:jc w:val="left"/>
      </w:pPr>
      <w:r>
        <w:rPr>
          <w:rFonts w:ascii="Times New Roman" w:hAnsi="Times New Roman" w:cs="Times New Roman" w:eastAsia="Times New Roman" w:hint="default"/>
        </w:rPr>
        <w:t>4</w:t>
      </w:r>
      <w:r>
        <w:rPr/>
        <w:t>、智能供应链信息化 报告期内，智能供应链信息化业务实现营业收入</w:t>
      </w:r>
      <w:r>
        <w:rPr>
          <w:rFonts w:ascii="Times New Roman" w:hAnsi="Times New Roman" w:cs="Times New Roman" w:eastAsia="Times New Roman" w:hint="default"/>
        </w:rPr>
        <w:t>15,781.61</w:t>
      </w:r>
      <w:r>
        <w:rPr/>
        <w:t>万元，较去年同期增长</w:t>
      </w:r>
      <w:r>
        <w:rPr>
          <w:rFonts w:ascii="Times New Roman" w:hAnsi="Times New Roman" w:cs="Times New Roman" w:eastAsia="Times New Roman" w:hint="default"/>
        </w:rPr>
        <w:t>0.03%</w:t>
      </w:r>
      <w:r>
        <w:rPr/>
        <w:t>。</w:t>
      </w:r>
    </w:p>
    <w:p>
      <w:pPr>
        <w:pStyle w:val="BodyText"/>
        <w:spacing w:line="316" w:lineRule="auto" w:before="13"/>
        <w:ind w:right="90"/>
        <w:jc w:val="left"/>
      </w:pPr>
      <w:r>
        <w:rPr>
          <w:spacing w:val="-2"/>
        </w:rPr>
        <w:t>报告期内，智能供应链信息化业务，公司积极调整该业务方向的业务结构，公司利用多年累计的国际化供应链管理软件的行</w:t>
      </w:r>
      <w:r>
        <w:rPr>
          <w:spacing w:val="-63"/>
        </w:rPr>
        <w:t> </w:t>
      </w:r>
      <w:r>
        <w:rPr>
          <w:spacing w:val="-63"/>
        </w:rPr>
      </w:r>
      <w:r>
        <w:rPr>
          <w:spacing w:val="-2"/>
        </w:rPr>
        <w:t>业经验，优化并提升了国际化供应链管理的解决方案服务能力；同时聚焦餐饮连锁细分行业市场，将公司在餐饮连锁行业的</w:t>
      </w:r>
      <w:r>
        <w:rPr>
          <w:spacing w:val="-63"/>
        </w:rPr>
        <w:t> </w:t>
      </w:r>
      <w:r>
        <w:rPr>
          <w:spacing w:val="-63"/>
        </w:rPr>
      </w:r>
      <w:r>
        <w:rPr/>
        <w:t>专业优势转化为品牌和产品优势，研发出适用于国际国内大中型餐饮连锁的产品解决方案。 </w:t>
      </w:r>
      <w:r>
        <w:rPr>
          <w:spacing w:val="-2"/>
        </w:rPr>
        <w:t>智能供应链信息化服务，报告期内主要业务能力是向国际化高端客户提供国际化供应链管理软件解决方案服务；向国际国内</w:t>
      </w:r>
      <w:r>
        <w:rPr>
          <w:spacing w:val="-64"/>
        </w:rPr>
        <w:t> </w:t>
      </w:r>
      <w:r>
        <w:rPr>
          <w:spacing w:val="-64"/>
        </w:rPr>
      </w:r>
      <w:r>
        <w:rPr/>
        <w:t>大中型餐饮连锁企业提供产品和解决方案服务。</w:t>
      </w:r>
    </w:p>
    <w:p>
      <w:pPr>
        <w:pStyle w:val="BodyText"/>
        <w:spacing w:line="309" w:lineRule="auto" w:before="18"/>
        <w:ind w:right="94"/>
        <w:jc w:val="left"/>
      </w:pPr>
      <w:r>
        <w:rPr>
          <w:rFonts w:ascii="Times New Roman" w:hAnsi="Times New Roman" w:cs="Times New Roman" w:eastAsia="Times New Roman" w:hint="default"/>
        </w:rPr>
        <w:t>5</w:t>
      </w:r>
      <w:r>
        <w:rPr/>
        <w:t>、系统集成及运维服务 报告期内，系统集成及运维服务业务实现营业收入</w:t>
      </w:r>
      <w:r>
        <w:rPr>
          <w:rFonts w:ascii="Times New Roman" w:hAnsi="Times New Roman" w:cs="Times New Roman" w:eastAsia="Times New Roman" w:hint="default"/>
        </w:rPr>
        <w:t>14,383.11</w:t>
      </w:r>
      <w:r>
        <w:rPr/>
        <w:t>万元，较去年同期增长</w:t>
      </w:r>
      <w:r>
        <w:rPr>
          <w:rFonts w:ascii="Times New Roman" w:hAnsi="Times New Roman" w:cs="Times New Roman" w:eastAsia="Times New Roman" w:hint="default"/>
        </w:rPr>
        <w:t>38.43%</w:t>
      </w:r>
      <w:r>
        <w:rPr/>
        <w:t>，其收入增长的主要原因系运维 服务业务规模增长所致。 报告期内，系统集成及运维服务业务，积极开拓新的业务增长点，重点开拓运维服务市场，完善了运维管理业务能力建设， 子公司江苏开拓在报告期内获得了</w:t>
      </w:r>
      <w:r>
        <w:rPr>
          <w:rFonts w:ascii="Times New Roman" w:hAnsi="Times New Roman" w:cs="Times New Roman" w:eastAsia="Times New Roman" w:hint="default"/>
        </w:rPr>
        <w:t>“</w:t>
      </w:r>
      <w:r>
        <w:rPr/>
        <w:t>运维服务能力成熟度符合性评估二级</w:t>
      </w:r>
      <w:r>
        <w:rPr>
          <w:rFonts w:ascii="Times New Roman" w:hAnsi="Times New Roman" w:cs="Times New Roman" w:eastAsia="Times New Roman" w:hint="default"/>
        </w:rPr>
        <w:t>”</w:t>
      </w:r>
      <w:r>
        <w:rPr/>
        <w:t>证书。 </w:t>
      </w:r>
      <w:r>
        <w:rPr>
          <w:spacing w:val="-2"/>
        </w:rPr>
        <w:t>系统集成及运维服务业务，报告期内主要业务能力是向客户提供智能楼宇、系统集成的规划设计、集成实施服务，及信息系</w:t>
      </w:r>
      <w:r>
        <w:rPr>
          <w:spacing w:val="-64"/>
        </w:rPr>
        <w:t> </w:t>
      </w:r>
      <w:r>
        <w:rPr>
          <w:spacing w:val="-64"/>
        </w:rPr>
      </w:r>
      <w:r>
        <w:rPr/>
        <w:t>统软硬件平台、应用软件的集成实施及运维服务。</w:t>
      </w:r>
    </w:p>
    <w:p>
      <w:pPr>
        <w:pStyle w:val="BodyText"/>
        <w:spacing w:line="309" w:lineRule="auto" w:before="24"/>
        <w:ind w:right="90"/>
        <w:jc w:val="left"/>
      </w:pPr>
      <w:r>
        <w:rPr/>
        <w:t>报告期内，公司主营业务中，其他软件服务业务实现营业收入</w:t>
      </w:r>
      <w:r>
        <w:rPr>
          <w:rFonts w:ascii="Times New Roman" w:hAnsi="Times New Roman" w:cs="Times New Roman" w:eastAsia="Times New Roman" w:hint="default"/>
        </w:rPr>
        <w:t>783.59</w:t>
      </w:r>
      <w:r>
        <w:rPr>
          <w:rFonts w:ascii="Times New Roman" w:hAnsi="Times New Roman" w:cs="Times New Roman" w:eastAsia="Times New Roman" w:hint="default"/>
          <w:spacing w:val="25"/>
        </w:rPr>
        <w:t> </w:t>
      </w:r>
      <w:r>
        <w:rPr/>
        <w:t>万元，较去年同期降低</w:t>
      </w:r>
      <w:r>
        <w:rPr>
          <w:rFonts w:ascii="Times New Roman" w:hAnsi="Times New Roman" w:cs="Times New Roman" w:eastAsia="Times New Roman" w:hint="default"/>
        </w:rPr>
        <w:t>68.43%</w:t>
      </w:r>
      <w:r>
        <w:rPr/>
        <w:t>，收入降低的主要原因 系公司业务持续聚焦所致；外购软硬件产品销售业务实现营业收入</w:t>
      </w:r>
      <w:r>
        <w:rPr>
          <w:spacing w:val="-19"/>
        </w:rPr>
        <w:t> </w:t>
      </w:r>
      <w:r>
        <w:rPr>
          <w:rFonts w:ascii="Times New Roman" w:hAnsi="Times New Roman" w:cs="Times New Roman" w:eastAsia="Times New Roman" w:hint="default"/>
        </w:rPr>
        <w:t>2,947.89</w:t>
      </w:r>
      <w:r>
        <w:rPr/>
        <w:t>万元，较去年同期降低</w:t>
      </w:r>
      <w:r>
        <w:rPr>
          <w:rFonts w:ascii="Times New Roman" w:hAnsi="Times New Roman" w:cs="Times New Roman" w:eastAsia="Times New Roman" w:hint="default"/>
        </w:rPr>
        <w:t>7.67%</w:t>
      </w:r>
      <w:r>
        <w:rPr/>
        <w:t>。 报告期内，公司非主营业务实现营业收入</w:t>
      </w:r>
      <w:r>
        <w:rPr>
          <w:rFonts w:ascii="Times New Roman" w:hAnsi="Times New Roman" w:cs="Times New Roman" w:eastAsia="Times New Roman" w:hint="default"/>
        </w:rPr>
        <w:t>528.11</w:t>
      </w:r>
      <w:r>
        <w:rPr/>
        <w:t>万元，较去年同期增长</w:t>
      </w:r>
      <w:r>
        <w:rPr>
          <w:rFonts w:ascii="Times New Roman" w:hAnsi="Times New Roman" w:cs="Times New Roman" w:eastAsia="Times New Roman" w:hint="default"/>
        </w:rPr>
        <w:t>72.68%</w:t>
      </w:r>
      <w:r>
        <w:rPr/>
        <w:t>，非主营业务主要系公司全资子公司外包园的 房屋租赁及物业收入，收入增长的主要原因系公司新建成办公楼宇落成后办公楼租赁面积增加所致。 </w:t>
      </w:r>
      <w:r>
        <w:rPr>
          <w:spacing w:val="-2"/>
        </w:rPr>
        <w:t>报告期内，随着公司的业务规模、人员规模的快速发展，公司不断提高内控体系的效率，通过不断健全内控管理制度，加强</w:t>
      </w:r>
      <w:r>
        <w:rPr>
          <w:spacing w:val="-67"/>
        </w:rPr>
        <w:t> </w:t>
      </w:r>
      <w:r>
        <w:rPr>
          <w:spacing w:val="-67"/>
        </w:rPr>
      </w:r>
      <w:r>
        <w:rPr>
          <w:spacing w:val="-4"/>
        </w:rPr>
        <w:t>了经营风险管控能力。随着公司规模快速增长，公司开始加强统一管理平台的建设，确定了公司经营管理扁平化的发展方针，</w:t>
      </w:r>
      <w:r>
        <w:rPr>
          <w:spacing w:val="-44"/>
        </w:rPr>
        <w:t> </w:t>
      </w:r>
      <w:r>
        <w:rPr>
          <w:spacing w:val="-44"/>
        </w:rPr>
      </w:r>
      <w:r>
        <w:rPr/>
        <w:t>通过管理平台的体系化、信息化建设逐步提高公司经营决策的速度和效率。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0"/>
        <w:ind w:right="90"/>
        <w:jc w:val="left"/>
        <w:rPr>
          <w:b w:val="0"/>
          <w:bCs w:val="0"/>
        </w:rPr>
      </w:pPr>
      <w:bookmarkStart w:name="二、主营业务分析" w:id="24"/>
      <w:bookmarkEnd w:id="24"/>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714"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9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6"/>
        <w:gridCol w:w="1594"/>
        <w:gridCol w:w="1583"/>
        <w:gridCol w:w="1607"/>
        <w:gridCol w:w="1570"/>
        <w:gridCol w:w="1606"/>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317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596" w:type="dxa"/>
            <w:vMerge w:val="restart"/>
            <w:tcBorders>
              <w:top w:val="nil" w:sz="6" w:space="0" w:color="auto"/>
              <w:left w:val="single" w:sz="4" w:space="0" w:color="000000"/>
              <w:right w:val="single" w:sz="4" w:space="0" w:color="000000"/>
            </w:tcBorders>
            <w:shd w:val="clear" w:color="auto" w:fill="D4D4D4"/>
          </w:tcPr>
          <w:p>
            <w:pPr/>
          </w:p>
        </w:tc>
        <w:tc>
          <w:tcPr>
            <w:tcW w:w="3176" w:type="dxa"/>
            <w:gridSpan w:val="2"/>
            <w:vMerge/>
            <w:tcBorders>
              <w:left w:val="single" w:sz="4" w:space="0" w:color="000000"/>
              <w:bottom w:val="single" w:sz="4" w:space="0" w:color="000000"/>
              <w:right w:val="single" w:sz="4" w:space="0" w:color="000000"/>
            </w:tcBorders>
            <w:shd w:val="clear" w:color="auto" w:fill="D4D4D4"/>
          </w:tcPr>
          <w:p>
            <w:pPr/>
          </w:p>
        </w:tc>
        <w:tc>
          <w:tcPr>
            <w:tcW w:w="3176" w:type="dxa"/>
            <w:gridSpan w:val="2"/>
            <w:vMerge/>
            <w:tcBorders>
              <w:left w:val="single" w:sz="4" w:space="0" w:color="000000"/>
              <w:bottom w:val="single" w:sz="4" w:space="0" w:color="000000"/>
              <w:right w:val="single" w:sz="4" w:space="0" w:color="000000"/>
            </w:tcBorders>
            <w:shd w:val="clear" w:color="auto" w:fill="D4D4D4"/>
          </w:tcPr>
          <w:p>
            <w:pPr/>
          </w:p>
        </w:tc>
        <w:tc>
          <w:tcPr>
            <w:tcW w:w="160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2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83" w:type="dxa"/>
            <w:vMerge/>
            <w:tcBorders>
              <w:left w:val="single" w:sz="4" w:space="0" w:color="000000"/>
              <w:bottom w:val="single" w:sz="4" w:space="0" w:color="000000"/>
              <w:right w:val="single" w:sz="4" w:space="0" w:color="000000"/>
            </w:tcBorders>
            <w:shd w:val="clear" w:color="auto" w:fill="D4D4D4"/>
          </w:tcPr>
          <w:p>
            <w:pPr/>
          </w:p>
        </w:tc>
        <w:tc>
          <w:tcPr>
            <w:tcW w:w="1607" w:type="dxa"/>
            <w:vMerge/>
            <w:tcBorders>
              <w:left w:val="single" w:sz="4" w:space="0" w:color="000000"/>
              <w:bottom w:val="single" w:sz="4" w:space="0" w:color="000000"/>
              <w:right w:val="single" w:sz="4" w:space="0" w:color="000000"/>
            </w:tcBorders>
            <w:shd w:val="clear" w:color="auto" w:fill="D4D4D4"/>
          </w:tcPr>
          <w:p>
            <w:pPr/>
          </w:p>
        </w:tc>
        <w:tc>
          <w:tcPr>
            <w:tcW w:w="1570" w:type="dxa"/>
            <w:vMerge/>
            <w:tcBorders>
              <w:left w:val="single" w:sz="4" w:space="0" w:color="000000"/>
              <w:bottom w:val="single" w:sz="4" w:space="0" w:color="000000"/>
              <w:right w:val="single" w:sz="4" w:space="0" w:color="000000"/>
            </w:tcBorders>
            <w:shd w:val="clear" w:color="auto" w:fill="D4D4D4"/>
          </w:tcPr>
          <w:p>
            <w:pPr/>
          </w:p>
        </w:tc>
        <w:tc>
          <w:tcPr>
            <w:tcW w:w="160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left="284" w:right="0"/>
              <w:jc w:val="left"/>
              <w:rPr>
                <w:rFonts w:ascii="Times New Roman" w:hAnsi="Times New Roman" w:cs="Times New Roman" w:eastAsia="Times New Roman" w:hint="default"/>
                <w:sz w:val="18"/>
                <w:szCs w:val="18"/>
              </w:rPr>
            </w:pPr>
            <w:r>
              <w:rPr>
                <w:rFonts w:ascii="Times New Roman"/>
                <w:sz w:val="18"/>
              </w:rPr>
              <w:t>1,128,583,974.64</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7"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left="428" w:right="0"/>
              <w:jc w:val="left"/>
              <w:rPr>
                <w:rFonts w:ascii="Times New Roman" w:hAnsi="Times New Roman" w:cs="Times New Roman" w:eastAsia="Times New Roman" w:hint="default"/>
                <w:sz w:val="18"/>
                <w:szCs w:val="18"/>
              </w:rPr>
            </w:pPr>
            <w:r>
              <w:rPr>
                <w:rFonts w:ascii="Times New Roman"/>
                <w:sz w:val="18"/>
              </w:rPr>
              <w:t>733,234,727.46</w:t>
            </w:r>
          </w:p>
        </w:tc>
        <w:tc>
          <w:tcPr>
            <w:tcW w:w="15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100%</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53.92%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867,940,747.49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76.91%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538,286,524.50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61.24%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143,831,105.84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103,904,445.56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38.43%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智能终端产品业务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82,052,091.35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56,057,242.65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46.37%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外购软硬件产品销 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29,478,890.67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31,928,185.29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5,281,139.29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3,058,329.46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72.68%</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462,274,068.53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121,337,503.73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280.98%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供应链管理软件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157,816,107.86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157,771,031.15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智能终端嵌入式软 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142,183,826.80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140,629,317.65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1.11%</w:t>
            </w:r>
            <w:r>
              <w:rPr>
                <w:rFonts w:ascii="Times New Roman"/>
                <w:sz w:val="18"/>
              </w:rPr>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智能电网信息化软 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97,830,825.80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93,731,040.15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其它软件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7,835,918.50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24,817,631.82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-68.43%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智能终端产品业务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82,052,091.35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56,057,242.65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46.37%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143,831,105.84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103,904,445.56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38.43%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外购软硬件产品销 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29,478,890.67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31,928,185.29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5,281,139.29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3,058,329.46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72.68%</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966,228,188.75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85.61%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577,138,444.09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67.42%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162,355,785.89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156,096,283.37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867,940,747.49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492,009,765.04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143,831,105.84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101,591,006.72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供应链软件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157,816,107.86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103,785,126.40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智能终端软件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142,183,826.80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84,713,514.85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智能电网软件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97,830,825.80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60,460,248.26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462,274,068.54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237,723,831.74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143,831,105.84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101,591,006.72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966,228,188.75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573,092,029.91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162,355,785.89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127,727,319.19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-12.51%</w:t>
            </w:r>
          </w:p>
        </w:tc>
      </w:tr>
    </w:tbl>
    <w:p>
      <w:pPr>
        <w:pStyle w:val="BodyText"/>
        <w:spacing w:line="240" w:lineRule="auto" w:before="49"/>
        <w:ind w:right="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60"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873" w:space="8045"/>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355,719,954.31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207,503,360.30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71.43%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251,399,963.02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206,881,762.50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21.52%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71"/>
              <w:jc w:val="left"/>
              <w:rPr>
                <w:rFonts w:ascii="宋体" w:hAnsi="宋体" w:cs="宋体" w:eastAsia="宋体" w:hint="default"/>
                <w:sz w:val="18"/>
                <w:szCs w:val="18"/>
              </w:rPr>
            </w:pPr>
            <w:r>
              <w:rPr>
                <w:rFonts w:ascii="宋体" w:hAnsi="宋体" w:cs="宋体" w:eastAsia="宋体" w:hint="default"/>
                <w:spacing w:val="-12"/>
                <w:sz w:val="18"/>
                <w:szCs w:val="18"/>
              </w:rPr>
              <w:t>其中：（</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）外包</w:t>
            </w:r>
            <w:r>
              <w:rPr>
                <w:rFonts w:ascii="宋体" w:hAnsi="宋体" w:cs="宋体" w:eastAsia="宋体" w:hint="default"/>
                <w:spacing w:val="-85"/>
                <w:sz w:val="18"/>
                <w:szCs w:val="18"/>
              </w:rPr>
              <w:t> </w:t>
            </w: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64,841,615.68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51,634,377.36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11.68%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25.58%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）软硬件成本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186,558,347.34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155,247,385.14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89,026,673.27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25,019,412.67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255.83%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主营成本合计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696,146,590.60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439,404,535.47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58.43%</w:t>
            </w:r>
          </w:p>
        </w:tc>
      </w:tr>
    </w:tbl>
    <w:p>
      <w:pPr>
        <w:pStyle w:val="BodyText"/>
        <w:spacing w:line="240" w:lineRule="auto" w:before="49"/>
        <w:ind w:right="0"/>
        <w:jc w:val="left"/>
      </w:pPr>
      <w:r>
        <w:rPr/>
        <w:t>说明</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详情见第十节、八、合并范围的变更。</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1"/>
        <w:ind w:right="141" w:firstLine="504"/>
        <w:jc w:val="left"/>
      </w:pPr>
      <w:r>
        <w:rPr>
          <w:spacing w:val="-1"/>
        </w:rPr>
        <w:t>报告期内，金融信息化业务发生了重大变化，公司并购了联创智融，使得公司拥有了银行信息化服务的整体解决方案</w:t>
      </w:r>
      <w:r>
        <w:rPr/>
        <w:t> 和产品服务能力；公司并购了菲耐得，使得公司金融信息化业务从银行信息化服务延伸到保险信息化服务。</w:t>
      </w:r>
    </w:p>
    <w:p>
      <w:pPr>
        <w:pStyle w:val="BodyText"/>
        <w:spacing w:line="316" w:lineRule="auto" w:before="18"/>
        <w:ind w:right="141" w:firstLine="504"/>
        <w:jc w:val="left"/>
      </w:pPr>
      <w:r>
        <w:rPr>
          <w:spacing w:val="-1"/>
        </w:rPr>
        <w:t>报告期内，系统集成及运维服务业务发生了重大变化，通过运维服务体系的建设提升了运维服务的核心竞争力，子公</w:t>
      </w:r>
      <w:r>
        <w:rPr/>
        <w:t> 司江苏开拓获得了</w:t>
      </w:r>
      <w:r>
        <w:rPr>
          <w:rFonts w:ascii="Times New Roman" w:hAnsi="Times New Roman" w:cs="Times New Roman" w:eastAsia="Times New Roman" w:hint="default"/>
        </w:rPr>
        <w:t>“</w:t>
      </w:r>
      <w:r>
        <w:rPr/>
        <w:t>运维服务能力成熟度符合性评估二级</w:t>
      </w:r>
      <w:r>
        <w:rPr>
          <w:rFonts w:ascii="Times New Roman" w:hAnsi="Times New Roman" w:cs="Times New Roman" w:eastAsia="Times New Roman" w:hint="default"/>
        </w:rPr>
        <w:t>”</w:t>
      </w:r>
      <w:r>
        <w:rPr/>
        <w:t>证书。</w:t>
      </w:r>
    </w:p>
    <w:p>
      <w:pPr>
        <w:pStyle w:val="BodyText"/>
        <w:spacing w:line="235" w:lineRule="exact"/>
        <w:ind w:left="728" w:right="0"/>
        <w:jc w:val="left"/>
      </w:pPr>
      <w:r>
        <w:rPr/>
        <w:t>报告期内，智能终端嵌入式系统业务发生了重大变化，公司主动剥离了毛利率较低的智能终端嵌入式产品业务。</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327,587,431.98</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29.03%</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FFFFFF"/>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86,151,168.46</w:t>
            </w:r>
          </w:p>
        </w:tc>
        <w:tc>
          <w:tcPr>
            <w:tcW w:w="314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80,948,928.76</w:t>
            </w:r>
          </w:p>
        </w:tc>
        <w:tc>
          <w:tcPr>
            <w:tcW w:w="314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66,497,861.94</w:t>
            </w:r>
          </w:p>
        </w:tc>
        <w:tc>
          <w:tcPr>
            <w:tcW w:w="314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49,363,713.98</w:t>
            </w:r>
          </w:p>
        </w:tc>
        <w:tc>
          <w:tcPr>
            <w:tcW w:w="314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44,625,758.84</w:t>
            </w:r>
          </w:p>
        </w:tc>
        <w:tc>
          <w:tcPr>
            <w:tcW w:w="314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FFFFF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327,587,431.98</w:t>
            </w:r>
            <w:r>
              <w:rPr>
                <w:rFonts w:ascii="Times New Roman"/>
                <w:sz w:val="18"/>
              </w:rPr>
            </w:r>
          </w:p>
        </w:tc>
        <w:tc>
          <w:tcPr>
            <w:tcW w:w="314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29.03%</w:t>
            </w:r>
          </w:p>
        </w:tc>
      </w:tr>
    </w:tbl>
    <w:p>
      <w:pPr>
        <w:pStyle w:val="BodyText"/>
        <w:spacing w:line="240" w:lineRule="auto" w:before="49"/>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47,338,184.84</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18.83%</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15,838,710.12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8,437,706.84</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8,030,051.61</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7,809,494.05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w:t>
            </w:r>
            <w:r>
              <w:rPr>
                <w:rFonts w:ascii="Times New Roman"/>
                <w:sz w:val="18"/>
              </w:rPr>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7,222,222.22</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47,338,184.84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46,361,497.34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40,640,229.07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37"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215,091,052.51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128,553,200.49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67.32%</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报告期管理费用本年度较上年同期 增长</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67.32%</w:t>
            </w:r>
            <w:r>
              <w:rPr>
                <w:rFonts w:ascii="宋体" w:hAnsi="宋体" w:cs="宋体" w:eastAsia="宋体" w:hint="default"/>
                <w:spacing w:val="-5"/>
                <w:sz w:val="18"/>
                <w:szCs w:val="18"/>
              </w:rPr>
              <w:t>，主要原因是本年度公司</w:t>
            </w:r>
            <w:r>
              <w:rPr>
                <w:rFonts w:ascii="宋体" w:hAnsi="宋体" w:cs="宋体" w:eastAsia="宋体" w:hint="default"/>
                <w:sz w:val="18"/>
                <w:szCs w:val="18"/>
              </w:rPr>
              <w:t> </w:t>
            </w:r>
            <w:r>
              <w:rPr>
                <w:rFonts w:ascii="宋体" w:hAnsi="宋体" w:cs="宋体" w:eastAsia="宋体" w:hint="default"/>
                <w:spacing w:val="-2"/>
                <w:sz w:val="18"/>
                <w:szCs w:val="18"/>
              </w:rPr>
              <w:t>研发投入的增加，以及新增非同一控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制下企业合并子公司联创智融的管 理费用。</w:t>
            </w:r>
          </w:p>
        </w:tc>
      </w:tr>
      <w:tr>
        <w:trPr>
          <w:trHeight w:val="394" w:hRule="exact"/>
        </w:trPr>
        <w:tc>
          <w:tcPr>
            <w:tcW w:w="19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637"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17,157,206.29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23,784,893.28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-27.87%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40" w:right="0"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作为高新技术企业，公司一直高度重视研发，每年都投入资金进行自主知识产权的软件产品的研发，通过自主知识产权</w:t>
      </w:r>
    </w:p>
    <w:p>
      <w:pPr>
        <w:pStyle w:val="BodyText"/>
        <w:spacing w:line="300" w:lineRule="auto"/>
        <w:ind w:left="440" w:right="201" w:hanging="288"/>
        <w:jc w:val="left"/>
      </w:pPr>
      <w:r>
        <w:rPr/>
        <w:t>软件产品的研发，提高了整体解决方案的提供能力，保障了公司的</w:t>
      </w:r>
      <w:r>
        <w:rPr>
          <w:rFonts w:ascii="Times New Roman" w:hAnsi="Times New Roman" w:cs="Times New Roman" w:eastAsia="Times New Roman" w:hint="default"/>
        </w:rPr>
        <w:t>“</w:t>
      </w:r>
      <w:r>
        <w:rPr/>
        <w:t>国际化、专业化、高端化</w:t>
      </w:r>
      <w:r>
        <w:rPr>
          <w:rFonts w:ascii="Times New Roman" w:hAnsi="Times New Roman" w:cs="Times New Roman" w:eastAsia="Times New Roman" w:hint="default"/>
        </w:rPr>
        <w:t>”</w:t>
      </w:r>
      <w:r>
        <w:rPr/>
        <w:t>战略的实施。 报告期内，公司研发投入为</w:t>
      </w:r>
      <w:r>
        <w:rPr>
          <w:rFonts w:ascii="Times New Roman" w:hAnsi="Times New Roman" w:cs="Times New Roman" w:eastAsia="Times New Roman" w:hint="default"/>
        </w:rPr>
        <w:t>10,702.86</w:t>
      </w:r>
      <w:r>
        <w:rPr/>
        <w:t>万元，占营业收入的比重为</w:t>
      </w:r>
      <w:r>
        <w:rPr>
          <w:rFonts w:ascii="Times New Roman" w:hAnsi="Times New Roman" w:cs="Times New Roman" w:eastAsia="Times New Roman" w:hint="default"/>
        </w:rPr>
        <w:t>9.48%</w:t>
      </w:r>
      <w:r>
        <w:rPr/>
        <w:t>，主要用于专业领域的自主知识产权软件产品的</w:t>
      </w:r>
    </w:p>
    <w:p>
      <w:pPr>
        <w:pStyle w:val="BodyText"/>
        <w:spacing w:line="300" w:lineRule="auto" w:before="13"/>
        <w:ind w:left="440" w:right="0" w:hanging="288"/>
        <w:jc w:val="left"/>
      </w:pPr>
      <w:r>
        <w:rPr/>
        <w:t>研发。截止报告期末，累计取得</w:t>
      </w:r>
      <w:r>
        <w:rPr>
          <w:rFonts w:ascii="Times New Roman" w:hAnsi="Times New Roman" w:cs="Times New Roman" w:eastAsia="Times New Roman" w:hint="default"/>
        </w:rPr>
        <w:t>3</w:t>
      </w:r>
      <w:r>
        <w:rPr/>
        <w:t>项发明专利授权、</w:t>
      </w:r>
      <w:r>
        <w:rPr>
          <w:rFonts w:ascii="Times New Roman" w:hAnsi="Times New Roman" w:cs="Times New Roman" w:eastAsia="Times New Roman" w:hint="default"/>
        </w:rPr>
        <w:t>2</w:t>
      </w:r>
      <w:r>
        <w:rPr/>
        <w:t>项外观设计专利授权、</w:t>
      </w:r>
      <w:r>
        <w:rPr>
          <w:rFonts w:ascii="Times New Roman" w:hAnsi="Times New Roman" w:cs="Times New Roman" w:eastAsia="Times New Roman" w:hint="default"/>
        </w:rPr>
        <w:t>4</w:t>
      </w:r>
      <w:r>
        <w:rPr/>
        <w:t>项实用新型专利授权。 </w:t>
      </w:r>
      <w:r>
        <w:rPr>
          <w:spacing w:val="-1"/>
        </w:rPr>
        <w:t>报告期内公司的研发投入较上年明显增加，增加的主要原因为公司主动布局未来发展，加大研发创新的投入，将公司多</w:t>
      </w:r>
    </w:p>
    <w:p>
      <w:pPr>
        <w:pStyle w:val="BodyText"/>
        <w:spacing w:line="316" w:lineRule="auto" w:before="31"/>
        <w:ind w:right="0"/>
        <w:jc w:val="left"/>
      </w:pPr>
      <w:r>
        <w:rPr>
          <w:spacing w:val="-2"/>
        </w:rPr>
        <w:t>年积累的专业知识与技术优势进行产品化、解决方案化，以适应和满足产业升级背景下信息化、智能化、移动化发展对软件</w:t>
      </w:r>
      <w:r>
        <w:rPr>
          <w:spacing w:val="-66"/>
        </w:rPr>
        <w:t> </w:t>
      </w:r>
      <w:r>
        <w:rPr>
          <w:spacing w:val="-66"/>
        </w:rPr>
      </w:r>
      <w:r>
        <w:rPr/>
        <w:t>服务的广阔市场需求，集中力量提升公司的核心竞争力，研发投入按公司的年度经营计划实施。</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107,028,572.52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67,751,293.98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43,119,451.49</w:t>
            </w:r>
            <w:r>
              <w:rPr>
                <w:rFonts w:ascii="Times New Roman"/>
                <w:sz w:val="18"/>
              </w:rPr>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5,109,205.40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1,050,826,907.68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725,667,124.21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44.81%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974,011,334.23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677,663,103.86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43.73%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76,815,573.45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48,004,020.35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157,826,259.11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26,505,946.12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495.44%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1,299,479,082.88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654,770,183.17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98.46%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-1,141,652,823.77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-628,264,237.05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-81.72%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1,538,965,073.42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1,003,390,500.00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492,497,922.13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448,343,923.58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1,046,467,151.29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555,046,576.42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88.54%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-20,808,120.93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-24,796,902.65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16.09%</w:t>
            </w:r>
          </w:p>
        </w:tc>
      </w:tr>
    </w:tbl>
    <w:p>
      <w:pPr>
        <w:pStyle w:val="BodyText"/>
        <w:spacing w:line="240" w:lineRule="auto" w:before="49"/>
        <w:ind w:right="0"/>
        <w:jc w:val="left"/>
      </w:pPr>
      <w:r>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0"/>
        <w:jc w:val="left"/>
      </w:pPr>
      <w:r>
        <w:rPr>
          <w:spacing w:val="-1"/>
        </w:rPr>
        <w:t>（</w:t>
      </w:r>
      <w:r>
        <w:rPr>
          <w:rFonts w:ascii="Times New Roman" w:hAnsi="Times New Roman" w:cs="Times New Roman" w:eastAsia="Times New Roman" w:hint="default"/>
          <w:spacing w:val="-1"/>
        </w:rPr>
        <w:t>1</w:t>
      </w:r>
      <w:r>
        <w:rPr>
          <w:spacing w:val="-1"/>
        </w:rPr>
        <w:t>）经营活动产生的现金流量净额本年度较上年度增加</w:t>
      </w:r>
      <w:r>
        <w:rPr>
          <w:rFonts w:ascii="Times New Roman" w:hAnsi="Times New Roman" w:cs="Times New Roman" w:eastAsia="Times New Roman" w:hint="default"/>
          <w:spacing w:val="-1"/>
        </w:rPr>
        <w:t>60.02%</w:t>
      </w:r>
      <w:r>
        <w:rPr>
          <w:spacing w:val="-1"/>
        </w:rPr>
        <w:t>，主要原因是新增非同一控制下企业合并子公司联创智融经</w:t>
      </w:r>
      <w:r>
        <w:rPr>
          <w:spacing w:val="-44"/>
        </w:rPr>
        <w:t> </w:t>
      </w:r>
      <w:r>
        <w:rPr>
          <w:spacing w:val="-44"/>
        </w:rPr>
      </w:r>
      <w:r>
        <w:rPr/>
        <w:t>营活动产生的现金流量净额。</w:t>
      </w:r>
    </w:p>
    <w:p>
      <w:pPr>
        <w:pStyle w:val="BodyText"/>
        <w:spacing w:line="300" w:lineRule="auto" w:before="31"/>
        <w:ind w:right="0"/>
        <w:jc w:val="left"/>
      </w:pPr>
      <w:r>
        <w:rPr>
          <w:spacing w:val="-1"/>
        </w:rPr>
        <w:t>（</w:t>
      </w:r>
      <w:r>
        <w:rPr>
          <w:rFonts w:ascii="Times New Roman" w:hAnsi="Times New Roman" w:cs="Times New Roman" w:eastAsia="Times New Roman" w:hint="default"/>
          <w:spacing w:val="-1"/>
        </w:rPr>
        <w:t>2</w:t>
      </w:r>
      <w:r>
        <w:rPr>
          <w:spacing w:val="-1"/>
        </w:rPr>
        <w:t>）投资活动产生的现金流量净额本年度较上年度减少</w:t>
      </w:r>
      <w:r>
        <w:rPr>
          <w:rFonts w:ascii="Times New Roman" w:hAnsi="Times New Roman" w:cs="Times New Roman" w:eastAsia="Times New Roman" w:hint="default"/>
          <w:spacing w:val="-1"/>
        </w:rPr>
        <w:t>81.72%</w:t>
      </w:r>
      <w:r>
        <w:rPr>
          <w:spacing w:val="-1"/>
        </w:rPr>
        <w:t>，主要原因是非同一控制下企业合并取得子公司联创智融支</w:t>
      </w:r>
      <w:r>
        <w:rPr>
          <w:spacing w:val="-44"/>
        </w:rPr>
        <w:t> </w:t>
      </w:r>
      <w:r>
        <w:rPr>
          <w:spacing w:val="-44"/>
        </w:rPr>
      </w:r>
      <w:r>
        <w:rPr/>
        <w:t>付的现金净额。</w:t>
      </w:r>
    </w:p>
    <w:p>
      <w:pPr>
        <w:pStyle w:val="BodyText"/>
        <w:spacing w:line="300" w:lineRule="auto" w:before="31"/>
        <w:ind w:right="0"/>
        <w:jc w:val="left"/>
      </w:pPr>
      <w:r>
        <w:rPr>
          <w:spacing w:val="-1"/>
        </w:rPr>
        <w:t>（</w:t>
      </w:r>
      <w:r>
        <w:rPr>
          <w:rFonts w:ascii="Times New Roman" w:hAnsi="Times New Roman" w:cs="Times New Roman" w:eastAsia="Times New Roman" w:hint="default"/>
          <w:spacing w:val="-1"/>
        </w:rPr>
        <w:t>3</w:t>
      </w:r>
      <w:r>
        <w:rPr>
          <w:spacing w:val="-1"/>
        </w:rPr>
        <w:t>）筹资活动产生的现金流量净额本年度较上年度增加</w:t>
      </w:r>
      <w:r>
        <w:rPr>
          <w:rFonts w:ascii="Times New Roman" w:hAnsi="Times New Roman" w:cs="Times New Roman" w:eastAsia="Times New Roman" w:hint="default"/>
          <w:spacing w:val="-1"/>
        </w:rPr>
        <w:t>88.54%</w:t>
      </w:r>
      <w:r>
        <w:rPr>
          <w:spacing w:val="-1"/>
        </w:rPr>
        <w:t>，主要原因是公司并购联创智融所发生的并购借款及配套融</w:t>
      </w:r>
      <w:r>
        <w:rPr>
          <w:spacing w:val="-44"/>
        </w:rPr>
        <w:t> </w:t>
      </w:r>
      <w:r>
        <w:rPr>
          <w:spacing w:val="-44"/>
        </w:rPr>
      </w:r>
      <w:r>
        <w:rPr/>
        <w:t>资发行股份募集资金增加。</w:t>
      </w:r>
    </w:p>
    <w:p>
      <w:pPr>
        <w:pStyle w:val="BodyText"/>
        <w:spacing w:line="240" w:lineRule="auto" w:before="72"/>
        <w:ind w:right="0"/>
        <w:jc w:val="left"/>
      </w:pPr>
      <w:r>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5"/>
        <w:gridCol w:w="1622"/>
        <w:gridCol w:w="2254"/>
        <w:gridCol w:w="2254"/>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24"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53,705,432.35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24.22%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9"/>
              <w:jc w:val="both"/>
              <w:rPr>
                <w:rFonts w:ascii="宋体" w:hAnsi="宋体" w:cs="宋体" w:eastAsia="宋体" w:hint="default"/>
                <w:sz w:val="18"/>
                <w:szCs w:val="18"/>
              </w:rPr>
            </w:pPr>
            <w:r>
              <w:rPr>
                <w:rFonts w:ascii="宋体" w:hAnsi="宋体" w:cs="宋体" w:eastAsia="宋体" w:hint="default"/>
                <w:sz w:val="18"/>
                <w:szCs w:val="18"/>
              </w:rPr>
              <w:t>主要原因是外包园公司处置 其子公司外包园置业全部股 权形成的投资收益。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24"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91" w:right="0"/>
              <w:jc w:val="left"/>
              <w:rPr>
                <w:rFonts w:ascii="Times New Roman" w:hAnsi="Times New Roman" w:cs="Times New Roman" w:eastAsia="Times New Roman" w:hint="default"/>
                <w:sz w:val="18"/>
                <w:szCs w:val="18"/>
              </w:rPr>
            </w:pPr>
            <w:r>
              <w:rPr>
                <w:rFonts w:ascii="Times New Roman"/>
                <w:sz w:val="18"/>
              </w:rPr>
              <w:t>-13,500.00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5" w:right="0"/>
              <w:jc w:val="left"/>
              <w:rPr>
                <w:rFonts w:ascii="Times New Roman" w:hAnsi="Times New Roman" w:cs="Times New Roman" w:eastAsia="Times New Roman" w:hint="default"/>
                <w:sz w:val="18"/>
                <w:szCs w:val="18"/>
              </w:rPr>
            </w:pPr>
            <w:r>
              <w:rPr>
                <w:rFonts w:ascii="Times New Roman"/>
                <w:sz w:val="18"/>
              </w:rPr>
              <w:t>-0.01%</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39" w:hRule="exact"/>
        </w:trPr>
        <w:tc>
          <w:tcPr>
            <w:tcW w:w="1524"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3" w:space="0" w:color="D4D4D4"/>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837" w:right="0"/>
              <w:jc w:val="left"/>
              <w:rPr>
                <w:rFonts w:ascii="Times New Roman" w:hAnsi="Times New Roman" w:cs="Times New Roman" w:eastAsia="Times New Roman" w:hint="default"/>
                <w:sz w:val="18"/>
                <w:szCs w:val="18"/>
              </w:rPr>
            </w:pPr>
            <w:r>
              <w:rPr>
                <w:rFonts w:ascii="Times New Roman"/>
                <w:sz w:val="18"/>
              </w:rPr>
              <w:t>14,622,897.93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6.59%</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主要原因是新增非同一控制 下企业合并子公司联创智融</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35" w:hRule="exact"/>
        </w:trPr>
        <w:tc>
          <w:tcPr>
            <w:tcW w:w="1524"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vMerge/>
            <w:tcBorders>
              <w:left w:val="single" w:sz="13"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5"/>
        <w:gridCol w:w="1622"/>
        <w:gridCol w:w="2254"/>
        <w:gridCol w:w="2254"/>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的资产减值损失。</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39,728,159.84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17.92%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both"/>
              <w:rPr>
                <w:rFonts w:ascii="宋体" w:hAnsi="宋体" w:cs="宋体" w:eastAsia="宋体" w:hint="default"/>
                <w:sz w:val="18"/>
                <w:szCs w:val="18"/>
              </w:rPr>
            </w:pPr>
            <w:r>
              <w:rPr>
                <w:rFonts w:ascii="宋体" w:hAnsi="宋体" w:cs="宋体" w:eastAsia="宋体" w:hint="default"/>
                <w:sz w:val="18"/>
                <w:szCs w:val="18"/>
              </w:rPr>
              <w:t>主要原因是外包园公司处置 其以在建工程投资设立孙公 司外包园置业全部股份所形 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397,029.54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0.18%</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3"/>
        <w:gridCol w:w="1195"/>
        <w:gridCol w:w="1063"/>
        <w:gridCol w:w="797"/>
        <w:gridCol w:w="2918"/>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3" w:space="0" w:color="FFFFFF"/>
              <w:right w:val="single" w:sz="4" w:space="0" w:color="000000"/>
            </w:tcBorders>
            <w:shd w:val="clear" w:color="auto" w:fill="D4D4D4"/>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4D4D4"/>
          </w:tcPr>
          <w:p>
            <w:pPr/>
          </w:p>
        </w:tc>
        <w:tc>
          <w:tcPr>
            <w:tcW w:w="1164"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389,561,346.4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7.79%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408,369,467.33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18.03%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-10.24%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主要系公司总资产规模大幅增加，货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币资金占比下降。</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835,620,819.1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16.72%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376,901,828.67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16.64%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0.08%</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63,994,362.70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86,626,641.37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703,325,625.7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14.07%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113,516,331.75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5.01%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9.06%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主要系润和国际软件外包研发总部 基地等项目建成转入固定资产。</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234,456.00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444,143,406.08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同固定资产变动说明</w:t>
            </w: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8.40%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182,010,000.00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8.04%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0.36%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11.64%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339,308,226.00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14.98%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-3.34%</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2,628,445,285.</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668,520,501.00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主要系本年新增非同一控制下企业 合并联创智融形成的商誉。</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8"/>
        <w:gridCol w:w="1212"/>
        <w:gridCol w:w="1214"/>
        <w:gridCol w:w="1212"/>
        <w:gridCol w:w="1214"/>
        <w:gridCol w:w="1212"/>
        <w:gridCol w:w="1212"/>
        <w:gridCol w:w="1075"/>
      </w:tblGrid>
      <w:tr>
        <w:trPr>
          <w:trHeight w:val="1027" w:hRule="exact"/>
        </w:trPr>
        <w:tc>
          <w:tcPr>
            <w:tcW w:w="12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22"/>
              <w:jc w:val="right"/>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1" w:right="60"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2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63"/>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19"/>
        <w:gridCol w:w="1212"/>
        <w:gridCol w:w="1214"/>
        <w:gridCol w:w="1212"/>
        <w:gridCol w:w="1214"/>
        <w:gridCol w:w="1212"/>
        <w:gridCol w:w="1212"/>
        <w:gridCol w:w="1075"/>
      </w:tblGrid>
      <w:tr>
        <w:trPr>
          <w:trHeight w:val="1025"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 </w:t>
            </w:r>
            <w:r>
              <w:rPr>
                <w:rFonts w:ascii="Times New Roman" w:hAnsi="Times New Roman" w:cs="Times New Roman" w:eastAsia="Times New Roman" w:hint="default"/>
                <w:sz w:val="18"/>
                <w:szCs w:val="18"/>
              </w:rPr>
              <w:t>(</w:t>
            </w:r>
            <w:r>
              <w:rPr>
                <w:rFonts w:ascii="宋体" w:hAnsi="宋体" w:cs="宋体" w:eastAsia="宋体" w:hint="default"/>
                <w:sz w:val="18"/>
                <w:szCs w:val="18"/>
              </w:rPr>
              <w:t>实物黄金投 资</w:t>
            </w:r>
            <w:r>
              <w:rPr>
                <w:rFonts w:ascii="Times New Roman" w:hAnsi="Times New Roman" w:cs="Times New Roman" w:eastAsia="Times New Roman" w:hint="default"/>
                <w:sz w:val="18"/>
                <w:szCs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-13,500.00</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111,500.00</w:t>
            </w:r>
            <w:r>
              <w:rPr>
                <w:rFonts w:ascii="Times New Roman"/>
                <w:sz w:val="18"/>
              </w:rPr>
            </w:r>
          </w:p>
        </w:tc>
      </w:tr>
      <w:tr>
        <w:trPr>
          <w:trHeight w:val="403" w:hRule="exact"/>
        </w:trPr>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125,000.00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-13,500.00</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111,500.00</w:t>
            </w:r>
            <w:r>
              <w:rPr>
                <w:rFonts w:ascii="Times New Roman"/>
                <w:sz w:val="18"/>
              </w:rPr>
            </w:r>
          </w:p>
        </w:tc>
      </w:tr>
      <w:tr>
        <w:trPr>
          <w:trHeight w:val="403" w:hRule="exact"/>
        </w:trPr>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报告期内公司主要资产计量属性是否发生重大变化</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2"/>
      <w:bookmarkEnd w:id="42"/>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3"/>
      <w:bookmarkEnd w:id="43"/>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86.67%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1025"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9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上海云 角信息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7"/>
              <w:jc w:val="left"/>
              <w:rPr>
                <w:rFonts w:ascii="宋体" w:hAnsi="宋体" w:cs="宋体" w:eastAsia="宋体" w:hint="default"/>
                <w:sz w:val="18"/>
                <w:szCs w:val="18"/>
              </w:rPr>
            </w:pPr>
            <w:r>
              <w:rPr>
                <w:rFonts w:ascii="宋体" w:hAnsi="宋体" w:cs="宋体" w:eastAsia="宋体" w:hint="default"/>
                <w:sz w:val="18"/>
                <w:szCs w:val="18"/>
              </w:rPr>
              <w:t>从事信 息技 术、计 算机科 技领域 内的技 术开 发、技 术转 让、技 术咨 询、技 术服 务，计 算机、 软件及 辅助设 备（除 计算机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10"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郝峻 晟、朱 丽英</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exact" w:before="134"/>
              <w:ind w:left="26"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1">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w:t>
            </w:r>
            <w:r>
              <w:rPr>
                <w:rFonts w:ascii="Times New Roman" w:hAnsi="Times New Roman" w:cs="Times New Roman" w:eastAsia="Times New Roman" w:hint="default"/>
                <w:sz w:val="18"/>
                <w:szCs w:val="18"/>
              </w:rPr>
              <w:t> fo.com. cn</w:t>
            </w:r>
          </w:p>
        </w:tc>
      </w:tr>
    </w:tbl>
    <w:p>
      <w:pPr>
        <w:spacing w:after="0" w:line="312" w:lineRule="exact"/>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5042"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z w:val="18"/>
                <w:szCs w:val="18"/>
              </w:rPr>
              <w:t>信息系 统安全 专用产 </w:t>
            </w:r>
            <w:r>
              <w:rPr>
                <w:rFonts w:ascii="宋体" w:hAnsi="宋体" w:cs="宋体" w:eastAsia="宋体" w:hint="default"/>
                <w:spacing w:val="-24"/>
                <w:sz w:val="18"/>
                <w:szCs w:val="18"/>
              </w:rPr>
              <w:t>品）、通</w:t>
            </w:r>
            <w:r>
              <w:rPr>
                <w:rFonts w:ascii="宋体" w:hAnsi="宋体" w:cs="宋体" w:eastAsia="宋体" w:hint="default"/>
                <w:sz w:val="18"/>
                <w:szCs w:val="18"/>
              </w:rPr>
              <w:t> 信设 备、电 子产品 的销 售，从 事货物 和技术 的进出 口业 务，翻 译服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润和国 际软件 外包研 发总部 基地等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both"/>
              <w:rPr>
                <w:rFonts w:ascii="宋体" w:hAnsi="宋体" w:cs="宋体" w:eastAsia="宋体" w:hint="default"/>
                <w:sz w:val="18"/>
                <w:szCs w:val="18"/>
              </w:rPr>
            </w:pPr>
            <w:r>
              <w:rPr>
                <w:rFonts w:ascii="宋体" w:hAnsi="宋体" w:cs="宋体" w:eastAsia="宋体" w:hint="default"/>
                <w:sz w:val="18"/>
                <w:szCs w:val="18"/>
              </w:rPr>
              <w:t>软件和 信息技 术服务 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110,472,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673.37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554,500,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352.96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90.69%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both"/>
              <w:rPr>
                <w:rFonts w:ascii="宋体" w:hAnsi="宋体" w:cs="宋体" w:eastAsia="宋体" w:hint="default"/>
                <w:sz w:val="18"/>
                <w:szCs w:val="18"/>
              </w:rPr>
            </w:pPr>
            <w:r>
              <w:rPr>
                <w:rFonts w:ascii="宋体" w:hAnsi="宋体" w:cs="宋体" w:eastAsia="宋体" w:hint="default"/>
                <w:sz w:val="18"/>
                <w:szCs w:val="18"/>
              </w:rPr>
              <w:t>项目部 分楼栋 尚未投 入使用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1">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ww.cninf</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o.com.cn</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110,472,</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673.37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554,500,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352.96</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48"/>
      <w:bookmarkEnd w:id="4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44"/>
        <w:ind w:left="0" w:right="160"/>
        <w:jc w:val="right"/>
      </w:pPr>
      <w:r>
        <w:rPr/>
        <w:pict>
          <v:shape style="position:absolute;margin-left:56.400002pt;margin-top:-324.069275pt;width:478.95pt;height:34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35,846.03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36,545.8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22,603.2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22,603.2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52,882.63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51,760.39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51,760.39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1,122.24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用账户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111,331.86</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63,585.59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110,909.39</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z w:val="18"/>
                          </w:rPr>
                          <w:t>1,122.24</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5"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年度公司募集资金使用</w:t>
                        </w:r>
                        <w:r>
                          <w:rPr>
                            <w:rFonts w:ascii="宋体" w:hAnsi="宋体" w:cs="宋体" w:eastAsia="宋体" w:hint="default"/>
                            <w:spacing w:val="-3"/>
                            <w:sz w:val="18"/>
                            <w:szCs w:val="18"/>
                          </w:rPr>
                          <w:t>情</w:t>
                        </w:r>
                        <w:r>
                          <w:rPr>
                            <w:rFonts w:ascii="宋体" w:hAnsi="宋体" w:cs="宋体" w:eastAsia="宋体" w:hint="default"/>
                            <w:sz w:val="18"/>
                            <w:szCs w:val="18"/>
                          </w:rPr>
                          <w:t>况为</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首次公开发行股份</w:t>
                        </w:r>
                        <w:r>
                          <w:rPr>
                            <w:rFonts w:ascii="Times New Roman" w:hAnsi="Times New Roman" w:cs="Times New Roman" w:eastAsia="Times New Roman" w:hint="default"/>
                            <w:spacing w:val="-17"/>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17"/>
                            <w:sz w:val="18"/>
                            <w:szCs w:val="18"/>
                          </w:rPr>
                          <w:t>）</w:t>
                        </w:r>
                        <w:r>
                          <w:rPr>
                            <w:rFonts w:ascii="宋体" w:hAnsi="宋体" w:cs="宋体" w:eastAsia="宋体" w:hint="default"/>
                            <w:sz w:val="18"/>
                            <w:szCs w:val="18"/>
                          </w:rPr>
                          <w:t>直接投入募集资金项目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08"/>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7"/>
                            <w:sz w:val="18"/>
                            <w:szCs w:val="18"/>
                          </w:rPr>
                          <w:t>）</w:t>
                        </w:r>
                        <w:r>
                          <w:rPr>
                            <w:rFonts w:ascii="宋体" w:hAnsi="宋体" w:cs="宋体" w:eastAsia="宋体" w:hint="default"/>
                            <w:sz w:val="18"/>
                            <w:szCs w:val="18"/>
                          </w:rPr>
                          <w:t>使用超募资金</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4,622.87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万元补充流动资金。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年度合计使用募集资金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10,822.00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万元，累计使用募集资金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36,545.80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万元。扣除累计已</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使用募集资金后，募集资金余额为零，募集资金专户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日余额合计为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万元，均为利息结余。</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发行 股份购买资产并配套募集资金用于支付现金对价</w:t>
                        </w:r>
                        <w:r>
                          <w:rPr>
                            <w:rFonts w:ascii="Times New Roman" w:hAnsi="Times New Roman" w:cs="Times New Roman" w:eastAsia="Times New Roman" w:hint="default"/>
                            <w:sz w:val="18"/>
                            <w:szCs w:val="18"/>
                          </w:rPr>
                          <w:t>:(1)2014 </w:t>
                        </w:r>
                        <w:r>
                          <w:rPr>
                            <w:rFonts w:ascii="宋体" w:hAnsi="宋体" w:cs="宋体" w:eastAsia="宋体" w:hint="default"/>
                            <w:sz w:val="18"/>
                            <w:szCs w:val="18"/>
                          </w:rPr>
                          <w:t>年发行股份购买资产并配套募集资金用于支付现金对价情况</w:t>
                        </w:r>
                        <w:r>
                          <w:rPr>
                            <w:rFonts w:ascii="Times New Roman" w:hAnsi="Times New Roman" w:cs="Times New Roman" w:eastAsia="Times New Roman" w:hint="default"/>
                            <w:sz w:val="18"/>
                            <w:szCs w:val="18"/>
                          </w:rPr>
                          <w:t>: 2015 </w:t>
                        </w:r>
                        <w:r>
                          <w:rPr>
                            <w:rFonts w:ascii="宋体" w:hAnsi="宋体" w:cs="宋体" w:eastAsia="宋体" w:hint="default"/>
                            <w:sz w:val="18"/>
                            <w:szCs w:val="18"/>
                          </w:rPr>
                          <w:t>年使用募集资金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1,003.20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万元，公司累计使用募集资金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22,603.20  </w:t>
                        </w:r>
                        <w:r>
                          <w:rPr>
                            <w:rFonts w:ascii="宋体" w:hAnsi="宋体" w:cs="宋体" w:eastAsia="宋体" w:hint="default"/>
                            <w:sz w:val="18"/>
                            <w:szCs w:val="18"/>
                          </w:rPr>
                          <w:t>万元用于支付收购股权款。截止到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日，款项已支付完毕</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年发行股份购买资产并</w:t>
                        </w:r>
                        <w:r>
                          <w:rPr>
                            <w:rFonts w:ascii="宋体" w:hAnsi="宋体" w:cs="宋体" w:eastAsia="宋体" w:hint="default"/>
                            <w:spacing w:val="-3"/>
                            <w:sz w:val="18"/>
                            <w:szCs w:val="18"/>
                          </w:rPr>
                          <w:t>配</w:t>
                        </w:r>
                        <w:r>
                          <w:rPr>
                            <w:rFonts w:ascii="宋体" w:hAnsi="宋体" w:cs="宋体" w:eastAsia="宋体" w:hint="default"/>
                            <w:sz w:val="18"/>
                            <w:szCs w:val="18"/>
                          </w:rPr>
                          <w:t>套募集资金用于支付现金对价情况：向宁波宏创股权投资合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伙企业（有限合伙）发行股份使用募集资金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51,760.39</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日，募集资金专户余额为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1,134.26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0"/>
        <w:jc w:val="left"/>
        <w:rPr>
          <w:b w:val="0"/>
          <w:bCs w:val="0"/>
        </w:rPr>
      </w:pPr>
      <w:bookmarkStart w:name="（2）募集资金承诺项目情况" w:id="49"/>
      <w:bookmarkEnd w:id="4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50"/>
        <w:gridCol w:w="737"/>
        <w:gridCol w:w="724"/>
        <w:gridCol w:w="716"/>
        <w:gridCol w:w="716"/>
        <w:gridCol w:w="719"/>
        <w:gridCol w:w="718"/>
        <w:gridCol w:w="718"/>
        <w:gridCol w:w="718"/>
        <w:gridCol w:w="719"/>
        <w:gridCol w:w="718"/>
        <w:gridCol w:w="709"/>
      </w:tblGrid>
      <w:tr>
        <w:trPr>
          <w:trHeight w:val="1649"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8" w:right="98"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4"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85"/>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0"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7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1"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89"/>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6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5"/>
              <w:jc w:val="left"/>
              <w:rPr>
                <w:rFonts w:ascii="宋体" w:hAnsi="宋体" w:cs="宋体" w:eastAsia="宋体" w:hint="default"/>
                <w:sz w:val="18"/>
                <w:szCs w:val="18"/>
              </w:rPr>
            </w:pPr>
            <w:r>
              <w:rPr>
                <w:rFonts w:ascii="宋体" w:hAnsi="宋体" w:cs="宋体" w:eastAsia="宋体" w:hint="default"/>
                <w:sz w:val="18"/>
                <w:szCs w:val="18"/>
              </w:rPr>
              <w:t>供应链管理软件外 包中心扩建项目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6,507.15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6,507.15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1,966.51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6,747.6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103.70%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1,055.83</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2,474.71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00002pt;margin-top:71.998985pt;width:478.8pt;height:688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1"/>
                    <w:gridCol w:w="737"/>
                    <w:gridCol w:w="724"/>
                    <w:gridCol w:w="716"/>
                    <w:gridCol w:w="716"/>
                    <w:gridCol w:w="694"/>
                    <w:gridCol w:w="743"/>
                    <w:gridCol w:w="718"/>
                    <w:gridCol w:w="718"/>
                    <w:gridCol w:w="719"/>
                    <w:gridCol w:w="718"/>
                    <w:gridCol w:w="709"/>
                  </w:tblGrid>
                  <w:tr>
                    <w:trPr>
                      <w:trHeight w:val="362" w:hRule="exact"/>
                    </w:trPr>
                    <w:tc>
                      <w:tcPr>
                        <w:tcW w:w="165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智能终端嵌入式软 件外包中心扩建项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10,069.5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10,069.5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4,232.62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10,528.8</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104.56%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1,169.87</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3,263.56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2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年度发行股份 购买资产并募集配 套资金项目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22,603.2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22,603.2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1,003.2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8"/>
                          <w:jc w:val="center"/>
                          <w:rPr>
                            <w:rFonts w:ascii="Times New Roman" w:hAnsi="Times New Roman" w:cs="Times New Roman" w:eastAsia="Times New Roman" w:hint="default"/>
                            <w:sz w:val="18"/>
                            <w:szCs w:val="18"/>
                          </w:rPr>
                        </w:pPr>
                        <w:r>
                          <w:rPr>
                            <w:rFonts w:ascii="Times New Roman"/>
                            <w:sz w:val="18"/>
                          </w:rPr>
                          <w:t>22,603.2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6,474.43</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9,561.27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2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年度发行股份 购买资产并募集配 套资金项目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52,882.6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52,882.6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51,760.3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51,760.3</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97.88%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7,145.94</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7,145.94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4" w:type="dxa"/>
                        <w:vMerge w:val="restart"/>
                        <w:tcBorders>
                          <w:top w:val="single" w:sz="4" w:space="0" w:color="000000"/>
                          <w:left w:val="single" w:sz="9" w:space="0" w:color="D4D4D4"/>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92,062.5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92,062.5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58,962.7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w:t>
                        </w:r>
                      </w:p>
                    </w:tc>
                    <w:tc>
                      <w:tcPr>
                        <w:tcW w:w="694" w:type="dxa"/>
                        <w:vMerge w:val="restart"/>
                        <w:tcBorders>
                          <w:top w:val="single" w:sz="4" w:space="0" w:color="000000"/>
                          <w:left w:val="single" w:sz="4" w:space="0" w:color="000000"/>
                          <w:right w:val="single" w:sz="10" w:space="0" w:color="D4D4D4"/>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91,640.0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w:t>
                        </w:r>
                      </w:p>
                    </w:tc>
                    <w:tc>
                      <w:tcPr>
                        <w:tcW w:w="743"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vMerge w:val="restart"/>
                        <w:tcBorders>
                          <w:top w:val="single" w:sz="4" w:space="0" w:color="000000"/>
                          <w:left w:val="single" w:sz="10" w:space="0" w:color="D4D4D4"/>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15,846.0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w:t>
                        </w:r>
                      </w:p>
                    </w:tc>
                    <w:tc>
                      <w:tcPr>
                        <w:tcW w:w="719" w:type="dxa"/>
                        <w:vMerge w:val="restart"/>
                        <w:tcBorders>
                          <w:top w:val="single" w:sz="4" w:space="0" w:color="000000"/>
                          <w:left w:val="single" w:sz="4" w:space="0" w:color="000000"/>
                          <w:right w:val="single" w:sz="10"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22,445.4</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8</w:t>
                        </w: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4" w:type="dxa"/>
                        <w:vMerge/>
                        <w:tcBorders>
                          <w:left w:val="single" w:sz="9" w:space="0" w:color="D4D4D4"/>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10" w:space="0" w:color="D4D4D4"/>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4D4D4"/>
                          <w:right w:val="single" w:sz="4" w:space="0" w:color="000000"/>
                        </w:tcBorders>
                      </w:tcPr>
                      <w:p>
                        <w:pPr/>
                      </w:p>
                    </w:tc>
                    <w:tc>
                      <w:tcPr>
                        <w:tcW w:w="719"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6"/>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4" w:type="dxa"/>
                        <w:vMerge/>
                        <w:tcBorders>
                          <w:left w:val="single" w:sz="9" w:space="0" w:color="D4D4D4"/>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10" w:space="0" w:color="D4D4D4"/>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vMerge/>
                        <w:tcBorders>
                          <w:left w:val="single" w:sz="10" w:space="0" w:color="D4D4D4"/>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6"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75"/>
                          <w:jc w:val="left"/>
                          <w:rPr>
                            <w:rFonts w:ascii="宋体" w:hAnsi="宋体" w:cs="宋体" w:eastAsia="宋体" w:hint="default"/>
                            <w:sz w:val="18"/>
                            <w:szCs w:val="18"/>
                          </w:rPr>
                        </w:pPr>
                        <w:r>
                          <w:rPr>
                            <w:rFonts w:ascii="宋体" w:hAnsi="宋体" w:cs="宋体" w:eastAsia="宋体" w:hint="default"/>
                            <w:sz w:val="18"/>
                            <w:szCs w:val="18"/>
                          </w:rPr>
                          <w:t>设立西安全资子公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2,000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75"/>
                          <w:jc w:val="left"/>
                          <w:rPr>
                            <w:rFonts w:ascii="宋体" w:hAnsi="宋体" w:cs="宋体" w:eastAsia="宋体" w:hint="default"/>
                            <w:sz w:val="18"/>
                            <w:szCs w:val="18"/>
                          </w:rPr>
                        </w:pPr>
                        <w:r>
                          <w:rPr>
                            <w:rFonts w:ascii="宋体" w:hAnsi="宋体" w:cs="宋体" w:eastAsia="宋体" w:hint="default"/>
                            <w:sz w:val="18"/>
                            <w:szCs w:val="18"/>
                          </w:rPr>
                          <w:t>收购并增资江苏开 拓</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5,646.46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5,646.46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5,646.4</w:t>
                        </w:r>
                      </w:p>
                      <w:p>
                        <w:pPr>
                          <w:pStyle w:val="TableParagraph"/>
                          <w:spacing w:line="240" w:lineRule="auto" w:before="105"/>
                          <w:ind w:right="50"/>
                          <w:jc w:val="right"/>
                          <w:rPr>
                            <w:rFonts w:ascii="Times New Roman" w:hAnsi="Times New Roman" w:cs="Times New Roman" w:eastAsia="Times New Roman" w:hint="default"/>
                            <w:sz w:val="18"/>
                            <w:szCs w:val="18"/>
                          </w:rPr>
                        </w:pPr>
                        <w:r>
                          <w:rPr>
                            <w:rFonts w:ascii="Times New Roman"/>
                            <w:sz w:val="18"/>
                          </w:rPr>
                          <w:t>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1,142.2</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2,177.47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4" w:type="dxa"/>
                        <w:vMerge w:val="restart"/>
                        <w:tcBorders>
                          <w:top w:val="single" w:sz="4" w:space="0" w:color="000000"/>
                          <w:left w:val="single" w:sz="9" w:space="0" w:color="D4D4D4"/>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11,622.8</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7</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11,622.8</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7</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4,622.87</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11,622.</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87</w:t>
                        </w:r>
                      </w:p>
                    </w:tc>
                    <w:tc>
                      <w:tcPr>
                        <w:tcW w:w="743" w:type="dxa"/>
                        <w:vMerge w:val="restart"/>
                        <w:tcBorders>
                          <w:top w:val="single" w:sz="4" w:space="0" w:color="000000"/>
                          <w:left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9"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1651" w:type="dxa"/>
                        <w:vMerge/>
                        <w:tcBorders>
                          <w:left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4" w:type="dxa"/>
                        <w:vMerge/>
                        <w:tcBorders>
                          <w:left w:val="single" w:sz="9" w:space="0" w:color="D4D4D4"/>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vMerge/>
                        <w:tcBorders>
                          <w:left w:val="single" w:sz="4" w:space="0" w:color="000000"/>
                          <w:bottom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4" w:type="dxa"/>
                        <w:vMerge/>
                        <w:tcBorders>
                          <w:left w:val="single" w:sz="9" w:space="0" w:color="D4D4D4"/>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9"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4" w:type="dxa"/>
                        <w:vMerge w:val="restart"/>
                        <w:tcBorders>
                          <w:top w:val="single" w:sz="4" w:space="0" w:color="000000"/>
                          <w:left w:val="single" w:sz="9" w:space="0" w:color="D4D4D4"/>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19,269.3</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19,269.3</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4,622.87</w:t>
                        </w:r>
                      </w:p>
                    </w:tc>
                    <w:tc>
                      <w:tcPr>
                        <w:tcW w:w="694" w:type="dxa"/>
                        <w:vMerge w:val="restart"/>
                        <w:tcBorders>
                          <w:top w:val="single" w:sz="4" w:space="0" w:color="000000"/>
                          <w:left w:val="single" w:sz="4" w:space="0" w:color="000000"/>
                          <w:right w:val="single" w:sz="10" w:space="0" w:color="D4D4D4"/>
                        </w:tcBorders>
                      </w:tcPr>
                      <w:p>
                        <w:pPr>
                          <w:pStyle w:val="TableParagraph"/>
                          <w:spacing w:line="240" w:lineRule="auto" w:before="91"/>
                          <w:ind w:right="39"/>
                          <w:jc w:val="right"/>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05"/>
                          <w:ind w:right="39"/>
                          <w:jc w:val="right"/>
                          <w:rPr>
                            <w:rFonts w:ascii="Times New Roman" w:hAnsi="Times New Roman" w:cs="Times New Roman" w:eastAsia="Times New Roman" w:hint="default"/>
                            <w:sz w:val="18"/>
                            <w:szCs w:val="18"/>
                          </w:rPr>
                        </w:pPr>
                        <w:r>
                          <w:rPr>
                            <w:rFonts w:ascii="Times New Roman"/>
                            <w:sz w:val="18"/>
                          </w:rPr>
                          <w:t>33</w:t>
                        </w:r>
                      </w:p>
                    </w:tc>
                    <w:tc>
                      <w:tcPr>
                        <w:tcW w:w="743"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1,142.2</w:t>
                        </w:r>
                      </w:p>
                    </w:tc>
                    <w:tc>
                      <w:tcPr>
                        <w:tcW w:w="719" w:type="dxa"/>
                        <w:vMerge w:val="restart"/>
                        <w:tcBorders>
                          <w:top w:val="single" w:sz="4" w:space="0" w:color="000000"/>
                          <w:left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2,177.47</w:t>
                        </w: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4" w:type="dxa"/>
                        <w:vMerge/>
                        <w:tcBorders>
                          <w:left w:val="single" w:sz="9" w:space="0" w:color="D4D4D4"/>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10" w:space="0" w:color="D4D4D4"/>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4D4D4"/>
                          <w:right w:val="single" w:sz="4" w:space="0" w:color="000000"/>
                        </w:tcBorders>
                      </w:tcPr>
                      <w:p>
                        <w:pPr/>
                      </w:p>
                    </w:tc>
                    <w:tc>
                      <w:tcPr>
                        <w:tcW w:w="719"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4" w:type="dxa"/>
                        <w:vMerge/>
                        <w:tcBorders>
                          <w:left w:val="single" w:sz="9" w:space="0" w:color="D4D4D4"/>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10" w:space="0" w:color="D4D4D4"/>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vMerge/>
                        <w:tcBorders>
                          <w:left w:val="single" w:sz="10" w:space="0" w:color="D4D4D4"/>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651" w:type="dxa"/>
                        <w:tcBorders>
                          <w:top w:val="single" w:sz="4" w:space="0" w:color="000000"/>
                          <w:left w:val="single" w:sz="4" w:space="0" w:color="000000"/>
                          <w:bottom w:val="nil" w:sz="6" w:space="0" w:color="auto"/>
                          <w:right w:val="single" w:sz="4" w:space="0" w:color="000000"/>
                        </w:tcBorders>
                        <w:shd w:val="clear" w:color="auto" w:fill="D4D4D4"/>
                      </w:tcPr>
                      <w:p>
                        <w:pPr/>
                      </w:p>
                    </w:tc>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24" w:type="dxa"/>
                        <w:vMerge w:val="restart"/>
                        <w:tcBorders>
                          <w:top w:val="single" w:sz="4" w:space="0" w:color="000000"/>
                          <w:left w:val="single" w:sz="9" w:space="0" w:color="D4D4D4"/>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111,331.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111,331.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63,585.5</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9</w:t>
                        </w:r>
                      </w:p>
                    </w:tc>
                    <w:tc>
                      <w:tcPr>
                        <w:tcW w:w="694" w:type="dxa"/>
                        <w:vMerge w:val="restart"/>
                        <w:tcBorders>
                          <w:top w:val="single" w:sz="4" w:space="0" w:color="000000"/>
                          <w:left w:val="single" w:sz="4" w:space="0" w:color="000000"/>
                          <w:right w:val="single" w:sz="10" w:space="0" w:color="D4D4D4"/>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110,909</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.39</w:t>
                        </w:r>
                      </w:p>
                    </w:tc>
                    <w:tc>
                      <w:tcPr>
                        <w:tcW w:w="743"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 w:type="dxa"/>
                        <w:vMerge w:val="restart"/>
                        <w:tcBorders>
                          <w:top w:val="single" w:sz="4" w:space="0" w:color="000000"/>
                          <w:left w:val="single" w:sz="10" w:space="0" w:color="D4D4D4"/>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16,988.2</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7</w:t>
                        </w:r>
                      </w:p>
                    </w:tc>
                    <w:tc>
                      <w:tcPr>
                        <w:tcW w:w="719" w:type="dxa"/>
                        <w:vMerge w:val="restart"/>
                        <w:tcBorders>
                          <w:top w:val="single" w:sz="4" w:space="0" w:color="000000"/>
                          <w:left w:val="single" w:sz="4" w:space="0" w:color="000000"/>
                          <w:right w:val="single" w:sz="10" w:space="0" w:color="D4D4D4"/>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24,622.9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w:t>
                        </w:r>
                      </w:p>
                    </w:tc>
                    <w:tc>
                      <w:tcPr>
                        <w:tcW w:w="7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4" w:type="dxa"/>
                        <w:vMerge/>
                        <w:tcBorders>
                          <w:left w:val="single" w:sz="9" w:space="0" w:color="D4D4D4"/>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10" w:space="0" w:color="D4D4D4"/>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4D4D4"/>
                          <w:right w:val="single" w:sz="4" w:space="0" w:color="000000"/>
                        </w:tcBorders>
                      </w:tcPr>
                      <w:p>
                        <w:pPr/>
                      </w:p>
                    </w:tc>
                    <w:tc>
                      <w:tcPr>
                        <w:tcW w:w="719" w:type="dxa"/>
                        <w:vMerge/>
                        <w:tcBorders>
                          <w:left w:val="single" w:sz="4" w:space="0" w:color="000000"/>
                          <w:right w:val="single" w:sz="10" w:space="0" w:color="D4D4D4"/>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24" w:type="dxa"/>
                        <w:vMerge/>
                        <w:tcBorders>
                          <w:left w:val="single" w:sz="9" w:space="0" w:color="D4D4D4"/>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10" w:space="0" w:color="D4D4D4"/>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18" w:type="dxa"/>
                        <w:vMerge/>
                        <w:tcBorders>
                          <w:left w:val="single" w:sz="10" w:space="0" w:color="D4D4D4"/>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4D4D4"/>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0"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0" w:type="dxa"/>
                        <w:gridSpan w:val="11"/>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51" w:type="dxa"/>
                        <w:vMerge w:val="restart"/>
                        <w:tcBorders>
                          <w:top w:val="single" w:sz="4" w:space="0" w:color="000000"/>
                          <w:left w:val="single" w:sz="4" w:space="0" w:color="000000"/>
                          <w:right w:val="single" w:sz="4" w:space="0" w:color="000000"/>
                        </w:tcBorders>
                        <w:shd w:val="clear" w:color="auto" w:fill="D4D4D4"/>
                      </w:tcPr>
                      <w:p>
                        <w:pPr/>
                      </w:p>
                    </w:tc>
                    <w:tc>
                      <w:tcPr>
                        <w:tcW w:w="79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76" w:hRule="exact"/>
                    </w:trPr>
                    <w:tc>
                      <w:tcPr>
                        <w:tcW w:w="1651" w:type="dxa"/>
                        <w:vMerge/>
                        <w:tcBorders>
                          <w:left w:val="single" w:sz="4" w:space="0" w:color="000000"/>
                          <w:bottom w:val="nil" w:sz="6" w:space="0" w:color="auto"/>
                          <w:right w:val="single" w:sz="4" w:space="0" w:color="000000"/>
                        </w:tcBorders>
                        <w:shd w:val="clear" w:color="auto" w:fill="D4D4D4"/>
                      </w:tcPr>
                      <w:p>
                        <w:pPr/>
                      </w:p>
                    </w:tc>
                    <w:tc>
                      <w:tcPr>
                        <w:tcW w:w="7910" w:type="dxa"/>
                        <w:gridSpan w:val="11"/>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日召开的第三届董事会第十八次会议、第三届监事会第八次会议和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年第一次临时股东大会审议通过了《关于公司使用部分超募资金永久补充流</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z w:val="18"/>
                            <w:szCs w:val="18"/>
                          </w:rPr>
                          <w:t>，同意公司使</w:t>
                        </w:r>
                        <w:r>
                          <w:rPr>
                            <w:rFonts w:ascii="宋体" w:hAnsi="宋体" w:cs="宋体" w:eastAsia="宋体" w:hint="default"/>
                            <w:spacing w:val="2"/>
                            <w:sz w:val="18"/>
                            <w:szCs w:val="18"/>
                          </w:rPr>
                          <w:t>用</w:t>
                        </w:r>
                        <w:r>
                          <w:rPr>
                            <w:rFonts w:ascii="宋体" w:hAnsi="宋体" w:cs="宋体" w:eastAsia="宋体" w:hint="default"/>
                            <w:sz w:val="18"/>
                            <w:szCs w:val="18"/>
                          </w:rPr>
                          <w:t>部分超募资金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w:t>
                        </w:r>
                        <w:r>
                          <w:rPr>
                            <w:rFonts w:ascii="宋体" w:hAnsi="宋体" w:cs="宋体" w:eastAsia="宋体" w:hint="default"/>
                            <w:spacing w:val="-3"/>
                            <w:sz w:val="18"/>
                            <w:szCs w:val="18"/>
                          </w:rPr>
                          <w:t>久</w:t>
                        </w:r>
                        <w:r>
                          <w:rPr>
                            <w:rFonts w:ascii="宋体" w:hAnsi="宋体" w:cs="宋体" w:eastAsia="宋体" w:hint="default"/>
                            <w:sz w:val="18"/>
                            <w:szCs w:val="18"/>
                          </w:rPr>
                          <w:t>性补充公司流动资金</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日召开的第三届董事会第二十次会议、第三届监事会第九次会议审议通过了《关于使用部</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分超募资金在西安投资设立全资子公司的议案</w:t>
                        </w:r>
                        <w:r>
                          <w:rPr>
                            <w:rFonts w:ascii="宋体" w:hAnsi="宋体" w:cs="宋体" w:eastAsia="宋体" w:hint="default"/>
                            <w:spacing w:val="-92"/>
                            <w:sz w:val="18"/>
                            <w:szCs w:val="18"/>
                          </w:rPr>
                          <w:t>》</w:t>
                        </w:r>
                        <w:r>
                          <w:rPr>
                            <w:rFonts w:ascii="宋体" w:hAnsi="宋体" w:cs="宋体" w:eastAsia="宋体" w:hint="default"/>
                            <w:sz w:val="18"/>
                            <w:szCs w:val="18"/>
                          </w:rPr>
                          <w:t>，同意公司</w:t>
                        </w:r>
                        <w:r>
                          <w:rPr>
                            <w:rFonts w:ascii="宋体" w:hAnsi="宋体" w:cs="宋体" w:eastAsia="宋体" w:hint="default"/>
                            <w:spacing w:val="2"/>
                            <w:sz w:val="18"/>
                            <w:szCs w:val="18"/>
                          </w:rPr>
                          <w:t>使</w:t>
                        </w:r>
                        <w:r>
                          <w:rPr>
                            <w:rFonts w:ascii="宋体" w:hAnsi="宋体" w:cs="宋体" w:eastAsia="宋体" w:hint="default"/>
                            <w:sz w:val="18"/>
                            <w:szCs w:val="18"/>
                          </w:rPr>
                          <w:t>用部分超募资金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设</w:t>
                        </w:r>
                        <w:r>
                          <w:rPr>
                            <w:rFonts w:ascii="宋体" w:hAnsi="宋体" w:cs="宋体" w:eastAsia="宋体" w:hint="default"/>
                            <w:sz w:val="18"/>
                            <w:szCs w:val="18"/>
                          </w:rPr>
                          <w:t>立全资子</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公司西安润和软件信息技术有限公司</w:t>
                        </w:r>
                        <w:r>
                          <w:rPr>
                            <w:rFonts w:ascii="宋体" w:hAnsi="宋体" w:cs="宋体" w:eastAsia="宋体" w:hint="default"/>
                            <w:spacing w:val="-16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77"/>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w:t>
                        </w:r>
                        <w:r>
                          <w:rPr>
                            <w:rFonts w:ascii="宋体" w:hAnsi="宋体" w:cs="宋体" w:eastAsia="宋体" w:hint="default"/>
                            <w:spacing w:val="-3"/>
                            <w:sz w:val="18"/>
                            <w:szCs w:val="18"/>
                          </w:rPr>
                          <w:t>第</w:t>
                        </w:r>
                        <w:r>
                          <w:rPr>
                            <w:rFonts w:ascii="宋体" w:hAnsi="宋体" w:cs="宋体" w:eastAsia="宋体" w:hint="default"/>
                            <w:sz w:val="18"/>
                            <w:szCs w:val="18"/>
                          </w:rPr>
                          <w:t>六次会议</w:t>
                        </w:r>
                      </w:p>
                      <w:p>
                        <w:pPr>
                          <w:pStyle w:val="TableParagraph"/>
                          <w:spacing w:line="309" w:lineRule="auto" w:before="63"/>
                          <w:ind w:left="16" w:right="43"/>
                          <w:jc w:val="left"/>
                          <w:rPr>
                            <w:rFonts w:ascii="宋体" w:hAnsi="宋体" w:cs="宋体" w:eastAsia="宋体" w:hint="default"/>
                            <w:sz w:val="18"/>
                            <w:szCs w:val="18"/>
                          </w:rPr>
                        </w:pPr>
                        <w:r>
                          <w:rPr>
                            <w:rFonts w:ascii="宋体" w:hAnsi="宋体" w:cs="宋体" w:eastAsia="宋体" w:hint="default"/>
                            <w:sz w:val="18"/>
                            <w:szCs w:val="18"/>
                          </w:rPr>
                          <w:t>第四届监事会第五次会议和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年第三次临时股东大会审议通过了《关于 </w:t>
                        </w:r>
                        <w:r>
                          <w:rPr>
                            <w:rFonts w:ascii="宋体" w:hAnsi="宋体" w:cs="宋体" w:eastAsia="宋体" w:hint="default"/>
                            <w:spacing w:val="-3"/>
                            <w:sz w:val="18"/>
                            <w:szCs w:val="18"/>
                          </w:rPr>
                          <w:t>使用部分超募资金收购并增资江苏开拓信息与系统有限公司的议案》，同意公司使用部分超募资金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5,646.46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万元收购并增资江苏开拓信息与系统有限公司。截至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日止，上述款项已全</w:t>
                        </w:r>
                      </w:p>
                    </w:tc>
                  </w:tr>
                  <w:tr>
                    <w:trPr>
                      <w:trHeight w:val="706" w:hRule="exact"/>
                    </w:trPr>
                    <w:tc>
                      <w:tcPr>
                        <w:tcW w:w="165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0" w:type="dxa"/>
                        <w:gridSpan w:val="11"/>
                        <w:vMerge/>
                        <w:tcBorders>
                          <w:left w:val="single" w:sz="10" w:space="0" w:color="D4D4D4"/>
                          <w:right w:val="single" w:sz="4" w:space="0" w:color="000000"/>
                        </w:tcBorders>
                      </w:tcPr>
                      <w:p>
                        <w:pPr/>
                      </w:p>
                    </w:tc>
                  </w:tr>
                  <w:tr>
                    <w:trPr>
                      <w:trHeight w:val="1277" w:hRule="exact"/>
                    </w:trPr>
                    <w:tc>
                      <w:tcPr>
                        <w:tcW w:w="1651" w:type="dxa"/>
                        <w:tcBorders>
                          <w:top w:val="nil" w:sz="6" w:space="0" w:color="auto"/>
                          <w:left w:val="single" w:sz="4" w:space="0" w:color="000000"/>
                          <w:bottom w:val="single" w:sz="4" w:space="0" w:color="000000"/>
                          <w:right w:val="single" w:sz="4" w:space="0" w:color="000000"/>
                        </w:tcBorders>
                        <w:shd w:val="clear" w:color="auto" w:fill="D4D4D4"/>
                      </w:tcPr>
                      <w:p>
                        <w:pPr/>
                      </w:p>
                    </w:tc>
                    <w:tc>
                      <w:tcPr>
                        <w:tcW w:w="7910" w:type="dxa"/>
                        <w:gridSpan w:val="11"/>
                        <w:vMerge/>
                        <w:tcBorders>
                          <w:left w:val="single" w:sz="10" w:space="0" w:color="D4D4D4"/>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44"/>
        <w:ind w:left="0" w:right="165"/>
        <w:jc w:val="right"/>
      </w:pP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50"/>
        <w:gridCol w:w="7910"/>
      </w:tblGrid>
      <w:tr>
        <w:trPr>
          <w:trHeight w:val="3170"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部支付完毕</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w:t>
            </w:r>
            <w:r>
              <w:rPr>
                <w:rFonts w:ascii="宋体" w:hAnsi="宋体" w:cs="宋体" w:eastAsia="宋体" w:hint="default"/>
                <w:spacing w:val="-3"/>
                <w:sz w:val="18"/>
                <w:szCs w:val="18"/>
              </w:rPr>
              <w:t>董</w:t>
            </w:r>
            <w:r>
              <w:rPr>
                <w:rFonts w:ascii="宋体" w:hAnsi="宋体" w:cs="宋体" w:eastAsia="宋体" w:hint="default"/>
                <w:sz w:val="18"/>
                <w:szCs w:val="18"/>
              </w:rPr>
              <w:t>事会第十次会议、第四届监事会第八次</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年第一次临时股东大会审议通过了《关于公司使用部分超募</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资金永久补充流动资金的议案</w:t>
            </w:r>
            <w:r>
              <w:rPr>
                <w:rFonts w:ascii="宋体" w:hAnsi="宋体" w:cs="宋体" w:eastAsia="宋体" w:hint="default"/>
                <w:spacing w:val="-89"/>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万元永久性补充公司流</w:t>
            </w:r>
            <w:r>
              <w:rPr>
                <w:rFonts w:ascii="宋体" w:hAnsi="宋体" w:cs="宋体" w:eastAsia="宋体" w:hint="default"/>
                <w:spacing w:val="-3"/>
                <w:sz w:val="18"/>
                <w:szCs w:val="18"/>
              </w:rPr>
              <w:t>动</w:t>
            </w:r>
            <w:r>
              <w:rPr>
                <w:rFonts w:ascii="宋体" w:hAnsi="宋体" w:cs="宋体" w:eastAsia="宋体" w:hint="default"/>
                <w:sz w:val="18"/>
                <w:szCs w:val="18"/>
              </w:rPr>
              <w:t>资金。</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止</w:t>
            </w:r>
            <w:r>
              <w:rPr>
                <w:rFonts w:ascii="宋体" w:hAnsi="宋体" w:cs="宋体" w:eastAsia="宋体" w:hint="default"/>
                <w:spacing w:val="-17"/>
                <w:sz w:val="18"/>
                <w:szCs w:val="18"/>
              </w:rPr>
              <w:t>，</w:t>
            </w:r>
            <w:r>
              <w:rPr>
                <w:rFonts w:ascii="宋体" w:hAnsi="宋体" w:cs="宋体" w:eastAsia="宋体" w:hint="default"/>
                <w:spacing w:val="-3"/>
                <w:sz w:val="18"/>
                <w:szCs w:val="18"/>
              </w:rPr>
              <w:t>上</w:t>
            </w:r>
            <w:r>
              <w:rPr>
                <w:rFonts w:ascii="宋体" w:hAnsi="宋体" w:cs="宋体" w:eastAsia="宋体" w:hint="default"/>
                <w:sz w:val="18"/>
                <w:szCs w:val="18"/>
              </w:rPr>
              <w:t>述款项已全部支付完毕</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20"/>
                <w:sz w:val="18"/>
                <w:szCs w:val="18"/>
              </w:rPr>
              <w:t>）</w:t>
            </w:r>
            <w:r>
              <w:rPr>
                <w:rFonts w:ascii="宋体" w:hAnsi="宋体" w:cs="宋体" w:eastAsia="宋体" w:hint="default"/>
                <w:sz w:val="18"/>
                <w:szCs w:val="18"/>
              </w:rPr>
              <w:t>收购并增资江苏开拓的</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本年度实现的效</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pacing w:val="-1"/>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是指本年度江苏开拓归属于母公司的公允价值报表的净利润</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17"/>
                <w:sz w:val="18"/>
                <w:szCs w:val="18"/>
              </w:rPr>
              <w:t>）</w:t>
            </w:r>
            <w:r>
              <w:rPr>
                <w:rFonts w:ascii="宋体" w:hAnsi="宋体" w:cs="宋体" w:eastAsia="宋体" w:hint="default"/>
                <w:sz w:val="18"/>
                <w:szCs w:val="18"/>
              </w:rPr>
              <w:t>公司于</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召开的第四届董事会第二十八次会议、第四届监事会第二十二次会议和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日召开的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r>
              <w:rPr>
                <w:rFonts w:ascii="宋体" w:hAnsi="宋体" w:cs="宋体" w:eastAsia="宋体" w:hint="default"/>
                <w:spacing w:val="-3"/>
                <w:sz w:val="18"/>
                <w:szCs w:val="18"/>
              </w:rPr>
              <w:t>审</w:t>
            </w:r>
            <w:r>
              <w:rPr>
                <w:rFonts w:ascii="宋体" w:hAnsi="宋体" w:cs="宋体" w:eastAsia="宋体" w:hint="default"/>
                <w:sz w:val="18"/>
                <w:szCs w:val="18"/>
              </w:rPr>
              <w:t>议通过</w:t>
            </w:r>
            <w:r>
              <w:rPr>
                <w:rFonts w:ascii="宋体" w:hAnsi="宋体" w:cs="宋体" w:eastAsia="宋体" w:hint="default"/>
                <w:spacing w:val="-32"/>
                <w:sz w:val="18"/>
                <w:szCs w:val="18"/>
              </w:rPr>
              <w:t>了</w:t>
            </w:r>
            <w:r>
              <w:rPr>
                <w:rFonts w:ascii="宋体" w:hAnsi="宋体" w:cs="宋体" w:eastAsia="宋体" w:hint="default"/>
                <w:sz w:val="18"/>
                <w:szCs w:val="18"/>
              </w:rPr>
              <w:t>《关于公司使用剩余超募资金永久补充流动资金的议案</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同</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意公司使用剩余超募资金 </w:t>
            </w:r>
            <w:r>
              <w:rPr>
                <w:rFonts w:ascii="Times New Roman" w:hAnsi="Times New Roman" w:cs="Times New Roman" w:eastAsia="Times New Roman" w:hint="default"/>
                <w:sz w:val="18"/>
                <w:szCs w:val="18"/>
              </w:rPr>
              <w:t>46,210,648.46  </w:t>
            </w:r>
            <w:r>
              <w:rPr>
                <w:rFonts w:ascii="宋体" w:hAnsi="宋体" w:cs="宋体" w:eastAsia="宋体" w:hint="default"/>
                <w:spacing w:val="-7"/>
                <w:sz w:val="18"/>
                <w:szCs w:val="18"/>
              </w:rPr>
              <w:t>元（含截至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日超募资金专户利息收入）及</w:t>
            </w:r>
          </w:p>
          <w:p>
            <w:pPr>
              <w:pStyle w:val="TableParagraph"/>
              <w:spacing w:line="300" w:lineRule="auto" w:before="63"/>
              <w:ind w:left="24" w:right="43" w:hanging="1"/>
              <w:jc w:val="left"/>
              <w:rPr>
                <w:rFonts w:ascii="宋体" w:hAnsi="宋体" w:cs="宋体" w:eastAsia="宋体" w:hint="default"/>
                <w:sz w:val="18"/>
                <w:szCs w:val="18"/>
              </w:rPr>
            </w:pPr>
            <w:r>
              <w:rPr>
                <w:rFonts w:ascii="宋体" w:hAnsi="宋体" w:cs="宋体" w:eastAsia="宋体" w:hint="default"/>
                <w:sz w:val="18"/>
                <w:szCs w:val="18"/>
              </w:rPr>
              <w:t>超募资金专户后期利息收入用于永久补充流动资金。 截至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日止，上述超募资金 已全部使用完毕。</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50" w:type="dxa"/>
            <w:vMerge/>
            <w:tcBorders>
              <w:left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50" w:type="dxa"/>
            <w:vMerge/>
            <w:tcBorders>
              <w:left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4D4D4"/>
          </w:tcPr>
          <w:p>
            <w:pP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尚未使用的募集资金（包括超募资金）全部存储在募集资金银行专户中，按募集资金管理制度严格管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理和使用。</w:t>
            </w:r>
          </w:p>
        </w:tc>
      </w:tr>
      <w:tr>
        <w:trPr>
          <w:trHeight w:val="1025" w:hRule="exact"/>
        </w:trPr>
        <w:tc>
          <w:tcPr>
            <w:tcW w:w="1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募集资金变更项目情况" w:id="50"/>
      <w:bookmarkEnd w:id="5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3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公司报告期未出售重大资产。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3835"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847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南京润 宏置业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 w:right="43"/>
              <w:jc w:val="left"/>
              <w:rPr>
                <w:rFonts w:ascii="宋体" w:hAnsi="宋体" w:cs="宋体" w:eastAsia="宋体" w:hint="default"/>
                <w:sz w:val="18"/>
                <w:szCs w:val="18"/>
              </w:rPr>
            </w:pPr>
            <w:r>
              <w:rPr>
                <w:rFonts w:ascii="宋体" w:hAnsi="宋体" w:cs="宋体" w:eastAsia="宋体" w:hint="default"/>
                <w:sz w:val="18"/>
                <w:szCs w:val="18"/>
              </w:rPr>
              <w:t>江苏润 和南京 软件外 包园置 业有限 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5,477.7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本次交 易有利 于盘活 公司资 产，降 低公司 负债， 降低公 司整体 经营风 险；有 利于公 司专注 主营业 务，提 高公司 核心竞 争力， 符合公 司长期 发展战 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5" w:right="0"/>
              <w:jc w:val="left"/>
              <w:rPr>
                <w:rFonts w:ascii="Times New Roman" w:hAnsi="Times New Roman" w:cs="Times New Roman" w:eastAsia="Times New Roman" w:hint="default"/>
                <w:sz w:val="18"/>
                <w:szCs w:val="18"/>
              </w:rPr>
            </w:pPr>
            <w:r>
              <w:rPr>
                <w:rFonts w:ascii="Times New Roman"/>
                <w:sz w:val="18"/>
              </w:rPr>
              <w:t>28.14%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评估价 格为主 要参考 依据， 交易各 方协商 最终转 让价 格。</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88"/>
              <w:jc w:val="left"/>
              <w:rPr>
                <w:rFonts w:ascii="Times New Roman" w:hAnsi="Times New Roman" w:cs="Times New Roman" w:eastAsia="Times New Roman" w:hint="default"/>
                <w:sz w:val="18"/>
                <w:szCs w:val="18"/>
              </w:rPr>
            </w:pPr>
            <w:r>
              <w:rPr>
                <w:rFonts w:ascii="宋体" w:hAnsi="宋体" w:cs="宋体" w:eastAsia="宋体" w:hint="default"/>
                <w:sz w:val="18"/>
                <w:szCs w:val="18"/>
              </w:rPr>
              <w:t>润和投 资为本 公司控 股股 东；本 公司实 际控制 人、董 事姚宁 先生担 任润宏 置业的 执行董 事；宁 波宏创 持有本 公司 </w:t>
            </w:r>
            <w:r>
              <w:rPr>
                <w:rFonts w:ascii="Times New Roman" w:hAnsi="Times New Roman" w:cs="Times New Roman" w:eastAsia="Times New Roman" w:hint="default"/>
                <w:sz w:val="18"/>
                <w:szCs w:val="18"/>
              </w:rPr>
              <w:t>13.47%</w:t>
            </w:r>
          </w:p>
          <w:p>
            <w:pPr>
              <w:pStyle w:val="TableParagraph"/>
              <w:spacing w:line="316" w:lineRule="auto" w:before="39"/>
              <w:ind w:left="23" w:right="108"/>
              <w:jc w:val="left"/>
              <w:rPr>
                <w:rFonts w:ascii="宋体" w:hAnsi="宋体" w:cs="宋体" w:eastAsia="宋体" w:hint="default"/>
                <w:sz w:val="18"/>
                <w:szCs w:val="18"/>
              </w:rPr>
            </w:pPr>
            <w:r>
              <w:rPr>
                <w:rFonts w:ascii="宋体" w:hAnsi="宋体" w:cs="宋体" w:eastAsia="宋体" w:hint="default"/>
                <w:sz w:val="18"/>
                <w:szCs w:val="18"/>
              </w:rPr>
              <w:t>的股 份，本 公司董 事周帮 建先生 为宁波 宏创的 实际控 制人。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38" w:lineRule="auto"/>
              <w:ind w:left="26"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1">
              <w:r>
                <w:rPr>
                  <w:rFonts w:ascii="Times New Roman" w:hAnsi="Times New Roman" w:cs="Times New Roman" w:eastAsia="Times New Roman" w:hint="default"/>
                  <w:sz w:val="18"/>
                  <w:szCs w:val="18"/>
                </w:rPr>
                <w:t>http://w</w:t>
              </w:r>
            </w:hyperlink>
          </w:p>
          <w:p>
            <w:pPr>
              <w:pStyle w:val="TableParagraph"/>
              <w:spacing w:line="362" w:lineRule="auto" w:before="23"/>
              <w:ind w:left="26" w:right="42"/>
              <w:jc w:val="left"/>
              <w:rPr>
                <w:rFonts w:ascii="Times New Roman" w:hAnsi="Times New Roman" w:cs="Times New Roman" w:eastAsia="Times New Roman" w:hint="default"/>
                <w:sz w:val="18"/>
                <w:szCs w:val="18"/>
              </w:rPr>
            </w:pPr>
            <w:r>
              <w:rPr>
                <w:rFonts w:ascii="Times New Roman"/>
                <w:spacing w:val="-2"/>
                <w:sz w:val="18"/>
              </w:rPr>
              <w:t>ww.cnin</w:t>
            </w:r>
            <w:r>
              <w:rPr>
                <w:rFonts w:ascii="Times New Roman"/>
                <w:sz w:val="18"/>
              </w:rPr>
              <w:t> fo.com. cn</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5978"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根据</w:t>
            </w:r>
          </w:p>
          <w:p>
            <w:pPr>
              <w:pStyle w:val="TableParagraph"/>
              <w:spacing w:line="316" w:lineRule="auto" w:before="76"/>
              <w:ind w:left="23" w:right="108"/>
              <w:jc w:val="left"/>
              <w:rPr>
                <w:rFonts w:ascii="宋体" w:hAnsi="宋体" w:cs="宋体" w:eastAsia="宋体" w:hint="default"/>
                <w:sz w:val="18"/>
                <w:szCs w:val="18"/>
              </w:rPr>
            </w:pPr>
            <w:r>
              <w:rPr>
                <w:rFonts w:ascii="宋体" w:hAnsi="宋体" w:cs="宋体" w:eastAsia="宋体" w:hint="default"/>
                <w:sz w:val="18"/>
                <w:szCs w:val="18"/>
              </w:rPr>
              <w:t>《深圳 证券交 易所创 业板股 票上市 规则》 和《公 司章 程》规 定，润 宏置业 系本公 司关联 法人， 本次交 易构成 关联交 易。</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62" w:lineRule="auto"/>
              <w:ind w:left="24" w:right="69"/>
              <w:jc w:val="left"/>
              <w:rPr>
                <w:rFonts w:ascii="Times New Roman" w:hAnsi="Times New Roman" w:cs="Times New Roman" w:eastAsia="Times New Roman" w:hint="default"/>
                <w:sz w:val="18"/>
                <w:szCs w:val="18"/>
              </w:rPr>
            </w:pPr>
            <w:r>
              <w:rPr>
                <w:rFonts w:ascii="Times New Roman"/>
                <w:sz w:val="18"/>
              </w:rPr>
              <w:t>MMAX</w:t>
            </w:r>
            <w:r>
              <w:rPr>
                <w:rFonts w:ascii="Times New Roman"/>
                <w:w w:val="99"/>
                <w:sz w:val="18"/>
              </w:rPr>
              <w:t> </w:t>
            </w:r>
            <w:r>
              <w:rPr>
                <w:rFonts w:ascii="Times New Roman"/>
                <w:sz w:val="18"/>
              </w:rPr>
              <w:t>COMM</w:t>
            </w:r>
            <w:r>
              <w:rPr>
                <w:rFonts w:ascii="Times New Roman"/>
                <w:w w:val="99"/>
                <w:sz w:val="18"/>
              </w:rPr>
              <w:t> </w:t>
            </w:r>
            <w:r>
              <w:rPr>
                <w:rFonts w:ascii="Times New Roman"/>
                <w:sz w:val="18"/>
              </w:rPr>
              <w:t>UNICA</w:t>
            </w:r>
            <w:r>
              <w:rPr>
                <w:rFonts w:ascii="Times New Roman"/>
                <w:w w:val="99"/>
                <w:sz w:val="18"/>
              </w:rPr>
              <w:t> </w:t>
            </w:r>
            <w:r>
              <w:rPr>
                <w:rFonts w:ascii="Times New Roman"/>
                <w:sz w:val="18"/>
              </w:rPr>
              <w:t>TIONS</w:t>
            </w:r>
            <w:r>
              <w:rPr>
                <w:rFonts w:ascii="Times New Roman"/>
                <w:spacing w:val="-1"/>
                <w:w w:val="99"/>
                <w:sz w:val="18"/>
              </w:rPr>
              <w:t> </w:t>
            </w:r>
            <w:r>
              <w:rPr>
                <w:rFonts w:ascii="Times New Roman"/>
                <w:spacing w:val="-3"/>
                <w:sz w:val="18"/>
              </w:rPr>
              <w:t>PTE.LT</w:t>
            </w:r>
            <w:r>
              <w:rPr>
                <w:rFonts w:ascii="Times New Roman"/>
                <w:sz w:val="18"/>
              </w:rPr>
              <w:t> D.</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南京润 和数码 有限公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55%</w:t>
            </w:r>
          </w:p>
          <w:p>
            <w:pPr>
              <w:pStyle w:val="TableParagraph"/>
              <w:spacing w:line="235" w:lineRule="exact"/>
              <w:ind w:left="2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527.78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-3.22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本次交 易进一 步明晰 主营业 务，优 化资产 结构， 改善公 司经营 与财务 状况。</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-0.02%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z w:val="18"/>
                <w:szCs w:val="18"/>
              </w:rPr>
              <w:t>评估价 格为主 要参考 依据， 交易各 方协商 最终转 让价 格。</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2" w:lineRule="exact"/>
              <w:ind w:left="26"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1">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w:t>
            </w:r>
            <w:r>
              <w:rPr>
                <w:rFonts w:ascii="Times New Roman" w:hAnsi="Times New Roman" w:cs="Times New Roman" w:eastAsia="Times New Roman" w:hint="default"/>
                <w:sz w:val="18"/>
                <w:szCs w:val="18"/>
              </w:rPr>
              <w:t> fo.com. cn</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2" w:top="1060" w:bottom="118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4850" w:space="4068"/>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外包园公司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软件外包园 区的投资和 管理；实业 投资；计算 机软、硬件 销售和服</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862,033,950.</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238,204,802.</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20,206,671.7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26,707,531.1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42,764,881.1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1610"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务；物业管 理；自建房 屋出租；软 件开发与服 务</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系统集成服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20,601,100.0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201,027,384.</w:t>
            </w:r>
            <w:r>
              <w:rPr>
                <w:rFonts w:ascii="Times New Roman"/>
                <w:sz w:val="18"/>
              </w:rPr>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99,749,909.8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167,691,077.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19,744,680.7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17,086,001.5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软件开发与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240,012,203.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159,689,510.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304,990,686.</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71,419,376.7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64,744,320.9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软件开发与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11,166,946.0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496,103,318.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375,296,399.</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144,637,250.</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80,215,638.7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71,459,395.5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软件开发与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16,728,319.9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14,450,670.4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29,581,203.3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-7,244,263.6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-5,636,094.3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软件开发与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30,001,227.8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18,304,641.8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9,200,804.77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6,522,944.53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5,319,530.43</w:t>
            </w:r>
          </w:p>
        </w:tc>
      </w:tr>
    </w:tbl>
    <w:p>
      <w:pPr>
        <w:pStyle w:val="BodyText"/>
        <w:spacing w:line="240" w:lineRule="auto" w:before="49"/>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64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深圳润和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进一步利用所在区域的技术优势、市场 优势，提高产品研发能力，扩大销售规 模，提高盈利能力，增强市场竞争力， 促进公司快速稳定发展。对公司业绩影 响较小。</w:t>
            </w:r>
          </w:p>
        </w:tc>
      </w:tr>
      <w:tr>
        <w:trPr>
          <w:trHeight w:val="102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香港润和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有利于拓展国际业务，加快公司的国际 化进程。提高企业竞争力。</w:t>
            </w:r>
            <w:r>
              <w:rPr>
                <w:rFonts w:ascii="宋体" w:hAnsi="宋体" w:cs="宋体" w:eastAsia="宋体" w:hint="default"/>
                <w:spacing w:val="-16"/>
                <w:sz w:val="18"/>
                <w:szCs w:val="18"/>
              </w:rPr>
              <w:t> </w:t>
            </w:r>
            <w:r>
              <w:rPr>
                <w:rFonts w:ascii="宋体" w:hAnsi="宋体" w:cs="宋体" w:eastAsia="宋体" w:hint="default"/>
                <w:sz w:val="18"/>
                <w:szCs w:val="18"/>
              </w:rPr>
              <w:t>对公司业绩</w:t>
            </w:r>
            <w:r>
              <w:rPr>
                <w:rFonts w:ascii="宋体" w:hAnsi="宋体" w:cs="宋体" w:eastAsia="宋体" w:hint="default"/>
                <w:sz w:val="18"/>
                <w:szCs w:val="18"/>
              </w:rPr>
              <w:t> 影响较小。</w:t>
            </w:r>
          </w:p>
        </w:tc>
      </w:tr>
      <w:tr>
        <w:trPr>
          <w:trHeight w:val="164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进一步优化业务结构，整合双方资源优 势。增强了公司的软件业务竞争能力， 同时推进了公司在金融领域开拓客户的 步伐。从业绩层面看，创造出新的盈利 增长点，对公司业绩产生积极影响。</w:t>
            </w:r>
          </w:p>
        </w:tc>
      </w:tr>
      <w:tr>
        <w:trPr>
          <w:trHeight w:val="165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有利于公司战略性进入金融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的细分市 场</w:t>
            </w:r>
            <w:r>
              <w:rPr>
                <w:rFonts w:ascii="Times New Roman" w:hAnsi="Times New Roman" w:cs="Times New Roman" w:eastAsia="Times New Roman" w:hint="default"/>
                <w:sz w:val="18"/>
                <w:szCs w:val="18"/>
              </w:rPr>
              <w:t>——</w:t>
            </w:r>
            <w:r>
              <w:rPr>
                <w:rFonts w:ascii="宋体" w:hAnsi="宋体" w:cs="宋体" w:eastAsia="宋体" w:hint="default"/>
                <w:sz w:val="18"/>
                <w:szCs w:val="18"/>
              </w:rPr>
              <w:t>保险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市场，进一步完善公司在 金融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市场的布局，迅速实现业务的外 延式扩张，提升主营业绩。对公司业绩 产生了积极影响。</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外包园置业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有利于公司资产结构的优化和资产运作 能力的提升。对公司业绩影响较小。</w:t>
            </w:r>
          </w:p>
        </w:tc>
      </w:tr>
      <w:tr>
        <w:trPr>
          <w:trHeight w:val="67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外包园置业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有利于盘活公司资产，降低公司负债， 降低公司整体经营风险；有利于公司专</w:t>
            </w:r>
          </w:p>
        </w:tc>
      </w:tr>
    </w:tbl>
    <w:p>
      <w:pPr>
        <w:spacing w:after="0" w:line="314"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0" w:right="198"/>
        <w:jc w:val="right"/>
      </w:pPr>
      <w:r>
        <w:rPr/>
        <w:pict>
          <v:shape style="position:absolute;margin-left:56.400002pt;margin-top:-83.449257pt;width:479.2pt;height:116.6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7"/>
                    <w:gridCol w:w="3192"/>
                    <w:gridCol w:w="3190"/>
                  </w:tblGrid>
                  <w:tr>
                    <w:trPr>
                      <w:trHeight w:val="986"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5"/>
                          <w:jc w:val="both"/>
                          <w:rPr>
                            <w:rFonts w:ascii="宋体" w:hAnsi="宋体" w:cs="宋体" w:eastAsia="宋体" w:hint="default"/>
                            <w:sz w:val="18"/>
                            <w:szCs w:val="18"/>
                          </w:rPr>
                        </w:pPr>
                        <w:r>
                          <w:rPr>
                            <w:rFonts w:ascii="宋体" w:hAnsi="宋体" w:cs="宋体" w:eastAsia="宋体" w:hint="default"/>
                            <w:sz w:val="18"/>
                            <w:szCs w:val="18"/>
                          </w:rPr>
                          <w:t>注主营业务，提高公司核心竞争力，符 合公司长期发展战略。对公司业绩产生 积极影响。</w:t>
                        </w:r>
                      </w:p>
                    </w:tc>
                  </w:tr>
                  <w:tr>
                    <w:trPr>
                      <w:trHeight w:val="133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润和数码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对公司整体生产经营而言，进一步探索 了转型战略，明晰主营业务，优化资产 结构，有利于改善公司经营与财务状况 对公司业绩产生积极影响。</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90"/>
        <w:jc w:val="left"/>
      </w:pPr>
      <w:r>
        <w:rPr/>
        <w:t>主要控股参股公司情况说明</w:t>
      </w:r>
    </w:p>
    <w:p>
      <w:pPr>
        <w:pStyle w:val="BodyText"/>
        <w:spacing w:line="300" w:lineRule="auto" w:before="117"/>
        <w:ind w:right="90"/>
        <w:jc w:val="left"/>
      </w:pPr>
      <w:r>
        <w:rPr>
          <w:spacing w:val="-2"/>
        </w:rPr>
        <w:t>联创智融系公司</w:t>
      </w:r>
      <w:r>
        <w:rPr>
          <w:rFonts w:ascii="Times New Roman" w:hAnsi="Times New Roman" w:cs="Times New Roman" w:eastAsia="Times New Roman" w:hint="default"/>
          <w:spacing w:val="-2"/>
        </w:rPr>
        <w:t>2015</w:t>
      </w:r>
      <w:r>
        <w:rPr>
          <w:spacing w:val="-2"/>
        </w:rPr>
        <w:t>年度通过并购取得的非同一控制下企业合并全资子公司，是目前国内专注于新一代银行系统领域行业领</w:t>
      </w:r>
      <w:r>
        <w:rPr>
          <w:spacing w:val="-62"/>
        </w:rPr>
        <w:t> </w:t>
      </w:r>
      <w:r>
        <w:rPr>
          <w:spacing w:val="-62"/>
        </w:rPr>
      </w:r>
      <w:r>
        <w:rPr/>
        <w:t>先的解决方案提供商之一，公司对联创智融的购买日确定为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2015</w:t>
      </w:r>
      <w:r>
        <w:rPr/>
        <w:t>年合并净利润为</w:t>
      </w:r>
      <w:r>
        <w:rPr>
          <w:rFonts w:ascii="Times New Roman" w:hAnsi="Times New Roman" w:cs="Times New Roman" w:eastAsia="Times New Roman" w:hint="default"/>
        </w:rPr>
        <w:t>7,145.94</w:t>
      </w:r>
      <w:r>
        <w:rPr/>
        <w:t>万元。 </w:t>
      </w:r>
      <w:r>
        <w:rPr>
          <w:spacing w:val="-2"/>
        </w:rPr>
        <w:t>菲耐得系公司</w:t>
      </w:r>
      <w:r>
        <w:rPr>
          <w:rFonts w:ascii="Times New Roman" w:hAnsi="Times New Roman" w:cs="Times New Roman" w:eastAsia="Times New Roman" w:hint="default"/>
          <w:spacing w:val="-2"/>
        </w:rPr>
        <w:t>2015</w:t>
      </w:r>
      <w:r>
        <w:rPr>
          <w:spacing w:val="-2"/>
        </w:rPr>
        <w:t>年度通过并购取得的非同一控制下企业合并全资子公司，有利于公司战略性进入金融</w:t>
      </w:r>
      <w:r>
        <w:rPr>
          <w:rFonts w:ascii="Times New Roman" w:hAnsi="Times New Roman" w:cs="Times New Roman" w:eastAsia="Times New Roman" w:hint="default"/>
          <w:spacing w:val="-2"/>
        </w:rPr>
        <w:t>IT</w:t>
      </w:r>
      <w:r>
        <w:rPr>
          <w:spacing w:val="-2"/>
        </w:rPr>
        <w:t>的细分市场</w:t>
      </w:r>
      <w:r>
        <w:rPr>
          <w:rFonts w:ascii="Times New Roman" w:hAnsi="Times New Roman" w:cs="Times New Roman" w:eastAsia="Times New Roman" w:hint="default"/>
          <w:spacing w:val="-2"/>
        </w:rPr>
        <w:t>——</w:t>
      </w:r>
      <w:r>
        <w:rPr>
          <w:spacing w:val="-2"/>
        </w:rPr>
        <w:t>保</w:t>
      </w:r>
      <w:r>
        <w:rPr>
          <w:spacing w:val="-51"/>
        </w:rPr>
        <w:t> </w:t>
      </w:r>
      <w:r>
        <w:rPr/>
        <w:t>险</w:t>
      </w:r>
      <w:r>
        <w:rPr>
          <w:rFonts w:ascii="Times New Roman" w:hAnsi="Times New Roman" w:cs="Times New Roman" w:eastAsia="Times New Roman" w:hint="default"/>
        </w:rPr>
        <w:t>IT</w:t>
      </w:r>
      <w:r>
        <w:rPr/>
        <w:t>市场，公司对菲耐得的购买日确定为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2015</w:t>
      </w:r>
      <w:r>
        <w:rPr/>
        <w:t>年合并净利润为</w:t>
      </w:r>
      <w:r>
        <w:rPr>
          <w:rFonts w:ascii="Times New Roman" w:hAnsi="Times New Roman" w:cs="Times New Roman" w:eastAsia="Times New Roman" w:hint="default"/>
        </w:rPr>
        <w:t>532</w:t>
      </w:r>
      <w:r>
        <w:rPr/>
        <w:t>万元。</w:t>
      </w:r>
    </w:p>
    <w:p>
      <w:pPr>
        <w:spacing w:line="240" w:lineRule="auto" w:before="5"/>
        <w:rPr>
          <w:rFonts w:ascii="宋体" w:hAnsi="宋体" w:cs="宋体" w:eastAsia="宋体" w:hint="default"/>
          <w:sz w:val="20"/>
          <w:szCs w:val="20"/>
        </w:rPr>
      </w:pPr>
    </w:p>
    <w:p>
      <w:pPr>
        <w:pStyle w:val="Heading2"/>
        <w:spacing w:line="240" w:lineRule="auto"/>
        <w:ind w:right="9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84" w:right="202" w:hanging="432"/>
        <w:jc w:val="left"/>
      </w:pPr>
      <w:r>
        <w:rPr/>
        <w:t>（一）公司未来三年的发展规划： 公司自</w:t>
      </w:r>
      <w:r>
        <w:rPr>
          <w:rFonts w:ascii="Times New Roman" w:hAnsi="Times New Roman" w:cs="Times New Roman" w:eastAsia="Times New Roman" w:hint="default"/>
        </w:rPr>
        <w:t>2012</w:t>
      </w:r>
      <w:r>
        <w:rPr/>
        <w:t>年上市后，通过系列的资本运作，并购了一些优秀的软件和信息技术服务公司，公司人员规模和业务规模</w:t>
      </w:r>
    </w:p>
    <w:p>
      <w:pPr>
        <w:pStyle w:val="BodyText"/>
        <w:spacing w:line="307" w:lineRule="auto"/>
        <w:ind w:right="90"/>
        <w:jc w:val="left"/>
      </w:pPr>
      <w:r>
        <w:rPr>
          <w:spacing w:val="-4"/>
        </w:rPr>
        <w:t>均实现了快速扩展，特别是业务从国内区域市场布局迅速发展为全国市场布局。同时信息技术服务行业正处于大变革的时代，</w:t>
      </w:r>
      <w:r>
        <w:rPr>
          <w:spacing w:val="-44"/>
        </w:rPr>
        <w:t> </w:t>
      </w:r>
      <w:r>
        <w:rPr>
          <w:spacing w:val="-44"/>
        </w:rPr>
      </w:r>
      <w:r>
        <w:rPr/>
        <w:t>随着云计算、大数据等互联网新兴技术的实用化，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已成为信息技术服务产业以及各行业转型升级的重要方向，作 为国内信息技术服务领先的企业，公司主动应对外部环境的变化，确立了未来三年</w:t>
      </w:r>
      <w:r>
        <w:rPr>
          <w:rFonts w:ascii="Times New Roman" w:hAnsi="Times New Roman" w:cs="Times New Roman" w:eastAsia="Times New Roman" w:hint="default"/>
        </w:rPr>
        <w:t>“</w:t>
      </w:r>
      <w:r>
        <w:rPr/>
        <w:t>转型升级</w:t>
      </w:r>
      <w:r>
        <w:rPr>
          <w:rFonts w:ascii="Times New Roman" w:hAnsi="Times New Roman" w:cs="Times New Roman" w:eastAsia="Times New Roman" w:hint="default"/>
        </w:rPr>
        <w:t>”</w:t>
      </w:r>
      <w:r>
        <w:rPr/>
        <w:t>为公司重要的发展战略。具体 规划如下：</w:t>
      </w:r>
    </w:p>
    <w:p>
      <w:pPr>
        <w:pStyle w:val="BodyText"/>
        <w:spacing w:line="300" w:lineRule="auto" w:before="26"/>
        <w:ind w:left="656" w:right="181" w:hanging="504"/>
        <w:jc w:val="left"/>
      </w:pPr>
      <w:r>
        <w:rPr>
          <w:rFonts w:ascii="Times New Roman" w:hAnsi="Times New Roman" w:cs="Times New Roman" w:eastAsia="Times New Roman" w:hint="default"/>
        </w:rPr>
        <w:t>1</w:t>
      </w:r>
      <w:r>
        <w:rPr/>
        <w:t>、</w:t>
      </w:r>
      <w:r>
        <w:rPr>
          <w:spacing w:val="-18"/>
        </w:rPr>
        <w:t> </w:t>
      </w:r>
      <w:r>
        <w:rPr/>
        <w:t>线上线下交付并重的业务战略</w:t>
      </w:r>
      <w:r>
        <w:rPr/>
        <w:t> </w:t>
      </w:r>
      <w:r>
        <w:rPr>
          <w:spacing w:val="-1"/>
        </w:rPr>
        <w:t>未来三年，公司将重点布局基于云计算和大数据等互联网核心技术的行业应用服务平台，结合自身多年专业化发展的</w:t>
      </w:r>
    </w:p>
    <w:p>
      <w:pPr>
        <w:pStyle w:val="BodyText"/>
        <w:spacing w:line="316" w:lineRule="auto" w:before="31"/>
        <w:ind w:left="728" w:right="238" w:hanging="576"/>
        <w:jc w:val="left"/>
      </w:pPr>
      <w:r>
        <w:rPr/>
        <w:t>积累，主动向行业客户提供互联网业务应用服务平台，为行业客户提供线上线下的全面信息服务。 其中，线下业务，公司将重点整合多年积累的行业经验，通过模块化、产品化的研发，实现线下服务交付专业化，</w:t>
      </w:r>
    </w:p>
    <w:p>
      <w:pPr>
        <w:pStyle w:val="BodyText"/>
        <w:spacing w:line="300" w:lineRule="auto" w:before="18"/>
        <w:ind w:left="656" w:right="181" w:hanging="504"/>
        <w:jc w:val="left"/>
      </w:pPr>
      <w:r>
        <w:rPr/>
        <w:t>即以承载行业经验的</w:t>
      </w:r>
      <w:r>
        <w:rPr>
          <w:rFonts w:ascii="Times New Roman" w:hAnsi="Times New Roman" w:cs="Times New Roman" w:eastAsia="Times New Roman" w:hint="default"/>
        </w:rPr>
        <w:t>“</w:t>
      </w:r>
      <w:r>
        <w:rPr/>
        <w:t>模块化、产品化</w:t>
      </w:r>
      <w:r>
        <w:rPr>
          <w:rFonts w:ascii="Times New Roman" w:hAnsi="Times New Roman" w:cs="Times New Roman" w:eastAsia="Times New Roman" w:hint="default"/>
        </w:rPr>
        <w:t>”</w:t>
      </w:r>
      <w:r>
        <w:rPr/>
        <w:t>解决方案为主要交付手段的新交付模式。 </w:t>
      </w:r>
      <w:r>
        <w:rPr>
          <w:spacing w:val="-1"/>
        </w:rPr>
        <w:t>线上服务运营化，公司将累积多年的行业专业经验优势，采用云计算、大数据等互联网技术，推出基于互联网的行业</w:t>
      </w:r>
    </w:p>
    <w:p>
      <w:pPr>
        <w:pStyle w:val="BodyText"/>
        <w:spacing w:line="240" w:lineRule="auto" w:before="31"/>
        <w:ind w:right="90"/>
        <w:jc w:val="left"/>
      </w:pPr>
      <w:r>
        <w:rPr/>
        <w:t>应用服务平台。</w:t>
      </w:r>
    </w:p>
    <w:p>
      <w:pPr>
        <w:pStyle w:val="BodyText"/>
        <w:spacing w:line="316" w:lineRule="auto" w:before="76"/>
        <w:ind w:right="181" w:firstLine="504"/>
        <w:jc w:val="left"/>
      </w:pPr>
      <w:r>
        <w:rPr>
          <w:spacing w:val="-1"/>
        </w:rPr>
        <w:t>通过线下专业交付能力建设及线上运营服务的战略推进，公司的主营业务从依赖人员规模的传统信息技术服务模式转</w:t>
      </w:r>
      <w:r>
        <w:rPr/>
        <w:t> 变为依赖行业专业知识及技术驱动的先进业务模式。</w:t>
      </w:r>
    </w:p>
    <w:p>
      <w:pPr>
        <w:pStyle w:val="BodyText"/>
        <w:spacing w:line="300" w:lineRule="auto" w:before="18"/>
        <w:ind w:left="656" w:right="90" w:hanging="504"/>
        <w:jc w:val="left"/>
      </w:pPr>
      <w:r>
        <w:rPr>
          <w:rFonts w:ascii="Times New Roman" w:hAnsi="Times New Roman" w:cs="Times New Roman" w:eastAsia="Times New Roman" w:hint="default"/>
        </w:rPr>
        <w:t>2</w:t>
      </w:r>
      <w:r>
        <w:rPr/>
        <w:t>、内外并重的资本发展策略 </w:t>
      </w:r>
      <w:r>
        <w:rPr>
          <w:spacing w:val="-1"/>
        </w:rPr>
        <w:t>未来三年，公司会采用积极的资本运作手段，来加速公司发展战略的快速落地，通过快速落地</w:t>
      </w:r>
      <w:r>
        <w:rPr>
          <w:rFonts w:ascii="Times New Roman" w:hAnsi="Times New Roman" w:cs="Times New Roman" w:eastAsia="Times New Roman" w:hint="default"/>
          <w:spacing w:val="-1"/>
        </w:rPr>
        <w:t>“</w:t>
      </w:r>
      <w:r>
        <w:rPr>
          <w:spacing w:val="-1"/>
        </w:rPr>
        <w:t>转型升级</w:t>
      </w:r>
      <w:r>
        <w:rPr>
          <w:rFonts w:ascii="Times New Roman" w:hAnsi="Times New Roman" w:cs="Times New Roman" w:eastAsia="Times New Roman" w:hint="default"/>
          <w:spacing w:val="-1"/>
        </w:rPr>
        <w:t>”</w:t>
      </w:r>
      <w:r>
        <w:rPr>
          <w:spacing w:val="-1"/>
        </w:rPr>
        <w:t>战略抢占市</w:t>
      </w:r>
    </w:p>
    <w:p>
      <w:pPr>
        <w:pStyle w:val="BodyText"/>
        <w:spacing w:line="240" w:lineRule="auto" w:before="13"/>
        <w:ind w:right="90"/>
        <w:jc w:val="left"/>
      </w:pPr>
      <w:r>
        <w:rPr/>
        <w:t>场变革的先机。</w:t>
      </w:r>
    </w:p>
    <w:p>
      <w:pPr>
        <w:pStyle w:val="BodyText"/>
        <w:spacing w:line="300" w:lineRule="auto" w:before="76"/>
        <w:ind w:left="656" w:right="98" w:hanging="504"/>
        <w:jc w:val="left"/>
      </w:pPr>
      <w:r>
        <w:rPr>
          <w:rFonts w:ascii="Times New Roman" w:hAnsi="Times New Roman" w:cs="Times New Roman" w:eastAsia="Times New Roman" w:hint="default"/>
        </w:rPr>
        <w:t>3</w:t>
      </w:r>
      <w:r>
        <w:rPr/>
        <w:t>、</w:t>
      </w:r>
      <w:r>
        <w:rPr>
          <w:spacing w:val="-18"/>
        </w:rPr>
        <w:t> </w:t>
      </w:r>
      <w:r>
        <w:rPr/>
        <w:t>扁平化公司管理平台的管理战略</w:t>
      </w:r>
      <w:r>
        <w:rPr/>
        <w:t> </w:t>
      </w:r>
      <w:r>
        <w:rPr>
          <w:spacing w:val="-2"/>
        </w:rPr>
        <w:t>未来三年，公司将</w:t>
      </w:r>
      <w:r>
        <w:rPr>
          <w:rFonts w:ascii="Times New Roman" w:hAnsi="Times New Roman" w:cs="Times New Roman" w:eastAsia="Times New Roman" w:hint="default"/>
          <w:spacing w:val="-2"/>
        </w:rPr>
        <w:t>“</w:t>
      </w:r>
      <w:r>
        <w:rPr>
          <w:spacing w:val="-2"/>
        </w:rPr>
        <w:t>一体化运营管理平台</w:t>
      </w:r>
      <w:r>
        <w:rPr>
          <w:rFonts w:ascii="Times New Roman" w:hAnsi="Times New Roman" w:cs="Times New Roman" w:eastAsia="Times New Roman" w:hint="default"/>
          <w:spacing w:val="-2"/>
        </w:rPr>
        <w:t>”</w:t>
      </w:r>
      <w:r>
        <w:rPr>
          <w:spacing w:val="-2"/>
        </w:rPr>
        <w:t>作为重要的管理建设目标，明确了</w:t>
      </w:r>
      <w:r>
        <w:rPr>
          <w:rFonts w:ascii="Times New Roman" w:hAnsi="Times New Roman" w:cs="Times New Roman" w:eastAsia="Times New Roman" w:hint="default"/>
          <w:spacing w:val="-2"/>
        </w:rPr>
        <w:t>“</w:t>
      </w:r>
      <w:r>
        <w:rPr>
          <w:spacing w:val="-2"/>
        </w:rPr>
        <w:t>去流程化、去层级化</w:t>
      </w:r>
      <w:r>
        <w:rPr>
          <w:rFonts w:ascii="Times New Roman" w:hAnsi="Times New Roman" w:cs="Times New Roman" w:eastAsia="Times New Roman" w:hint="default"/>
          <w:spacing w:val="-2"/>
        </w:rPr>
        <w:t>”</w:t>
      </w:r>
      <w:r>
        <w:rPr>
          <w:spacing w:val="-2"/>
        </w:rPr>
        <w:t>的扁平化管理原则，</w:t>
      </w:r>
    </w:p>
    <w:p>
      <w:pPr>
        <w:pStyle w:val="BodyText"/>
        <w:spacing w:line="316" w:lineRule="auto" w:before="13"/>
        <w:ind w:right="90"/>
        <w:jc w:val="left"/>
      </w:pPr>
      <w:r>
        <w:rPr>
          <w:spacing w:val="-2"/>
        </w:rPr>
        <w:t>通过一体化运营管理平台的建设，将公司业务运作过程的数据流、信息流、资金流全面打通，为公司在互联网时代的竞争中</w:t>
      </w:r>
      <w:r>
        <w:rPr>
          <w:spacing w:val="-64"/>
        </w:rPr>
        <w:t> </w:t>
      </w:r>
      <w:r>
        <w:rPr>
          <w:spacing w:val="-64"/>
        </w:rPr>
      </w:r>
      <w:r>
        <w:rPr/>
        <w:t>提高管理决策效率。</w:t>
      </w:r>
    </w:p>
    <w:p>
      <w:pPr>
        <w:pStyle w:val="BodyText"/>
        <w:spacing w:line="240" w:lineRule="auto" w:before="18"/>
        <w:ind w:right="90"/>
        <w:jc w:val="left"/>
      </w:pPr>
      <w:r>
        <w:rPr/>
        <w:t>（二）公司经营面临的风险因素：</w:t>
      </w:r>
    </w:p>
    <w:p>
      <w:pPr>
        <w:pStyle w:val="BodyText"/>
        <w:spacing w:line="240" w:lineRule="auto" w:before="76"/>
        <w:ind w:right="90"/>
        <w:jc w:val="left"/>
      </w:pPr>
      <w:r>
        <w:rPr>
          <w:rFonts w:ascii="Times New Roman" w:hAnsi="Times New Roman" w:cs="Times New Roman" w:eastAsia="Times New Roman" w:hint="default"/>
        </w:rPr>
        <w:t>1</w:t>
      </w:r>
      <w:r>
        <w:rPr/>
        <w:t>．经营风险</w:t>
      </w:r>
    </w:p>
    <w:p>
      <w:pPr>
        <w:pStyle w:val="BodyText"/>
        <w:spacing w:line="240" w:lineRule="auto" w:before="62"/>
        <w:ind w:right="90"/>
        <w:jc w:val="left"/>
      </w:pPr>
      <w:r>
        <w:rPr/>
        <w:t>①市场风险</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3" w:firstLine="504"/>
        <w:jc w:val="both"/>
      </w:pPr>
      <w:r>
        <w:rPr>
          <w:spacing w:val="-1"/>
        </w:rPr>
        <w:t>公司主营业务是软件和信息技术服务，从国内市场到海外市场，经营环境复杂，市场变动较大，特别是海外市场环境</w:t>
      </w:r>
      <w:r>
        <w:rPr/>
        <w:t> 的变化可能会对公司产生较大影响。</w:t>
      </w:r>
      <w:r>
        <w:rPr>
          <w:spacing w:val="-18"/>
        </w:rPr>
        <w:t> </w:t>
      </w:r>
      <w:r>
        <w:rPr/>
        <w:t>公司将持续关注海外市场的各国政治、经济、社会、法制状况等方面的变化信息，加</w:t>
      </w:r>
      <w:r>
        <w:rPr/>
        <w:t> </w:t>
      </w:r>
      <w:r>
        <w:rPr>
          <w:spacing w:val="-2"/>
        </w:rPr>
        <w:t>大国际市场布局，除日本市场外，积极开拓北美及东南亚市场，在布局国际市场的同时，重点加大国内市场的开拓力度，分</w:t>
      </w:r>
      <w:r>
        <w:rPr>
          <w:spacing w:val="-67"/>
        </w:rPr>
        <w:t> </w:t>
      </w:r>
      <w:r>
        <w:rPr>
          <w:spacing w:val="-67"/>
        </w:rPr>
      </w:r>
      <w:r>
        <w:rPr/>
        <w:t>散市场风险，提高公司的抗风险能力。</w:t>
      </w:r>
    </w:p>
    <w:p>
      <w:pPr>
        <w:pStyle w:val="BodyText"/>
        <w:spacing w:line="316" w:lineRule="auto" w:before="18"/>
        <w:ind w:left="656" w:right="181" w:hanging="504"/>
        <w:jc w:val="left"/>
      </w:pPr>
      <w:r>
        <w:rPr/>
        <w:t>②行业内竞争加剧风险 </w:t>
      </w:r>
      <w:r>
        <w:rPr>
          <w:spacing w:val="-1"/>
        </w:rPr>
        <w:t>目前，在中国提供软件和信息技术服务的企业数量虽然不断增加，但中国的软件和信息技术服务行业正经历了一系列</w:t>
      </w:r>
    </w:p>
    <w:p>
      <w:pPr>
        <w:pStyle w:val="BodyText"/>
        <w:spacing w:line="312" w:lineRule="auto" w:before="18"/>
        <w:ind w:right="90"/>
        <w:jc w:val="left"/>
      </w:pPr>
      <w:r>
        <w:rPr/>
        <w:t>重要而意义深远的变化，</w:t>
      </w:r>
      <w:r>
        <w:rPr>
          <w:rFonts w:ascii="Times New Roman" w:hAnsi="Times New Roman" w:cs="Times New Roman" w:eastAsia="Times New Roman" w:hint="default"/>
        </w:rPr>
        <w:t>“</w:t>
      </w:r>
      <w:r>
        <w:rPr/>
        <w:t>行业整合</w:t>
      </w:r>
      <w:r>
        <w:rPr>
          <w:rFonts w:ascii="Times New Roman" w:hAnsi="Times New Roman" w:cs="Times New Roman" w:eastAsia="Times New Roman" w:hint="default"/>
        </w:rPr>
        <w:t>”</w:t>
      </w:r>
      <w:r>
        <w:rPr/>
        <w:t>已经成为发展趋势，并逐渐向广度和深度延伸，拥有整合能力的企业，将在这一轮整合 </w:t>
      </w:r>
      <w:r>
        <w:rPr>
          <w:spacing w:val="-4"/>
        </w:rPr>
        <w:t>期逐渐占有先机。软件外包的市场竞争格局正在从分散走向相对集中的过程，若公司不能在产品研发、技术创新、人力资源、</w:t>
      </w:r>
      <w:r>
        <w:rPr>
          <w:spacing w:val="-46"/>
        </w:rPr>
        <w:t> </w:t>
      </w:r>
      <w:r>
        <w:rPr>
          <w:spacing w:val="-46"/>
        </w:rPr>
      </w:r>
      <w:r>
        <w:rPr/>
        <w:t>融资能力、市场营销、客户服务等方面进一步增强实力，未来将面临更大的竞争压力，给本公司带来不利影响。</w:t>
      </w:r>
      <w:r>
        <w:rPr>
          <w:spacing w:val="-18"/>
        </w:rPr>
        <w:t> </w:t>
      </w:r>
      <w:r>
        <w:rPr/>
        <w:t>公司经过</w:t>
      </w:r>
      <w:r>
        <w:rPr/>
        <w:t> </w:t>
      </w:r>
      <w:r>
        <w:rPr>
          <w:spacing w:val="-2"/>
        </w:rPr>
        <w:t>数年的发展，在技术开发、人才储备、业务积累、经营管理等方面均取得了长足的发展，具备参与高端市场竞争的能力，这</w:t>
      </w:r>
      <w:r>
        <w:rPr>
          <w:spacing w:val="-68"/>
        </w:rPr>
        <w:t> </w:t>
      </w:r>
      <w:r>
        <w:rPr>
          <w:spacing w:val="-68"/>
        </w:rPr>
      </w:r>
      <w:r>
        <w:rPr/>
        <w:t>也为公司进一步开拓高端市场提供了坚实的基础，提高公司核心竞争力。公司正在采取积极的资本运作，通过</w:t>
      </w:r>
      <w:r>
        <w:rPr>
          <w:rFonts w:ascii="Times New Roman" w:hAnsi="Times New Roman" w:cs="Times New Roman" w:eastAsia="Times New Roman" w:hint="default"/>
        </w:rPr>
        <w:t>“</w:t>
      </w:r>
      <w:r>
        <w:rPr/>
        <w:t>行业整合</w:t>
      </w:r>
      <w:r>
        <w:rPr>
          <w:rFonts w:ascii="Times New Roman" w:hAnsi="Times New Roman" w:cs="Times New Roman" w:eastAsia="Times New Roman" w:hint="default"/>
        </w:rPr>
        <w:t>” </w:t>
      </w:r>
      <w:r>
        <w:rPr/>
        <w:t>提高公司的综合竞争能力。</w:t>
      </w:r>
    </w:p>
    <w:p>
      <w:pPr>
        <w:pStyle w:val="BodyText"/>
        <w:spacing w:line="316" w:lineRule="auto" w:before="22"/>
        <w:ind w:left="656" w:right="190" w:hanging="504"/>
        <w:jc w:val="left"/>
      </w:pPr>
      <w:r>
        <w:rPr/>
        <w:t>③国家产业政策变动风险 自</w:t>
      </w:r>
      <w:r>
        <w:rPr>
          <w:rFonts w:ascii="Times New Roman" w:hAnsi="Times New Roman" w:cs="Times New Roman" w:eastAsia="Times New Roman" w:hint="default"/>
        </w:rPr>
        <w:t>2000</w:t>
      </w:r>
      <w:r>
        <w:rPr/>
        <w:t>年国务院正式颁布《鼓励软件产业和集成电路产业发展的若干政策》（国发</w:t>
      </w:r>
      <w:r>
        <w:rPr>
          <w:rFonts w:ascii="Times New Roman" w:hAnsi="Times New Roman" w:cs="Times New Roman" w:eastAsia="Times New Roman" w:hint="default"/>
        </w:rPr>
        <w:t>[2000]18</w:t>
      </w:r>
      <w:r>
        <w:rPr/>
        <w:t>号）以来，软件和信息技</w:t>
      </w:r>
    </w:p>
    <w:p>
      <w:pPr>
        <w:pStyle w:val="BodyText"/>
        <w:spacing w:line="314" w:lineRule="auto"/>
        <w:ind w:right="90"/>
        <w:jc w:val="left"/>
      </w:pPr>
      <w:r>
        <w:rPr>
          <w:spacing w:val="-2"/>
        </w:rPr>
        <w:t>术服务行业作为国家鼓励发展的战略性、基础性和先导性支柱产业的地位得以确立，软件企业长期以来受益于各级政府的一</w:t>
      </w:r>
      <w:r>
        <w:rPr>
          <w:spacing w:val="-64"/>
        </w:rPr>
        <w:t> </w:t>
      </w:r>
      <w:r>
        <w:rPr>
          <w:spacing w:val="-64"/>
        </w:rPr>
      </w:r>
      <w:r>
        <w:rPr>
          <w:spacing w:val="-2"/>
        </w:rPr>
        <w:t>系列优惠政策。这些政策从税收优惠、软件出口、人才吸引与培养、知识产权保护、行业组织与管理等多方面为软件产业发</w:t>
      </w:r>
      <w:r>
        <w:rPr>
          <w:spacing w:val="-67"/>
        </w:rPr>
        <w:t> </w:t>
      </w:r>
      <w:r>
        <w:rPr>
          <w:spacing w:val="-67"/>
        </w:rPr>
      </w:r>
      <w:r>
        <w:rPr>
          <w:spacing w:val="-4"/>
        </w:rPr>
        <w:t>展提供了政策保障和扶持。</w:t>
      </w:r>
      <w:r>
        <w:rPr>
          <w:rFonts w:ascii="Times New Roman" w:hAnsi="Times New Roman" w:cs="Times New Roman" w:eastAsia="Times New Roman" w:hint="default"/>
          <w:spacing w:val="-4"/>
        </w:rPr>
        <w:t>2011</w:t>
      </w:r>
      <w:r>
        <w:rPr>
          <w:spacing w:val="-4"/>
        </w:rPr>
        <w:t>年国务院颁布了《进一步鼓励软件产业和集成电路产业发展若干政策的通知》（国发〔</w:t>
      </w:r>
      <w:r>
        <w:rPr>
          <w:rFonts w:ascii="Times New Roman" w:hAnsi="Times New Roman" w:cs="Times New Roman" w:eastAsia="Times New Roman" w:hint="default"/>
          <w:spacing w:val="-4"/>
        </w:rPr>
        <w:t>2011</w:t>
      </w:r>
      <w:r>
        <w:rPr>
          <w:spacing w:val="-4"/>
        </w:rPr>
        <w:t>〕</w:t>
      </w:r>
      <w:r>
        <w:rPr>
          <w:spacing w:val="-34"/>
        </w:rPr>
        <w:t> </w:t>
      </w:r>
      <w:r>
        <w:rPr>
          <w:rFonts w:ascii="Times New Roman" w:hAnsi="Times New Roman" w:cs="Times New Roman" w:eastAsia="Times New Roman" w:hint="default"/>
        </w:rPr>
        <w:t>4</w:t>
      </w:r>
      <w:r>
        <w:rPr/>
        <w:t>号），确立了软件产业作为国家战略性新兴产业的地位，并进一步细化了对软件产业在税收优惠、金融支持等方面的政策 </w:t>
      </w:r>
      <w:r>
        <w:rPr>
          <w:spacing w:val="-2"/>
        </w:rPr>
        <w:t>保障和扶持。可以说，我国软件和信息技术服务企业近年来的飞速发展与国家的产业政策扶持息息相关，一旦未来国家对软</w:t>
      </w:r>
      <w:r>
        <w:rPr>
          <w:spacing w:val="-66"/>
        </w:rPr>
        <w:t> </w:t>
      </w:r>
      <w:r>
        <w:rPr>
          <w:spacing w:val="-66"/>
        </w:rPr>
      </w:r>
      <w:r>
        <w:rPr/>
        <w:t>件和信息技术服务行业的产业政策发生不利变化，将有可能对公司的生产经营造成不利影响。</w:t>
      </w:r>
      <w:r>
        <w:rPr>
          <w:spacing w:val="-18"/>
        </w:rPr>
        <w:t> </w:t>
      </w:r>
      <w:r>
        <w:rPr/>
        <w:t>受益于税收政策及当地政府</w:t>
      </w:r>
      <w:r>
        <w:rPr/>
        <w:t> </w:t>
      </w:r>
      <w:r>
        <w:rPr>
          <w:spacing w:val="-2"/>
        </w:rPr>
        <w:t>对软件和信息技术服务业务给予的各种补贴政策，公司在业务规模的扩张和综合实力的增强方面得到了快速提升，同时，随</w:t>
      </w:r>
      <w:r>
        <w:rPr>
          <w:spacing w:val="-63"/>
        </w:rPr>
        <w:t> </w:t>
      </w:r>
      <w:r>
        <w:rPr>
          <w:spacing w:val="-63"/>
        </w:rPr>
      </w:r>
      <w:r>
        <w:rPr>
          <w:spacing w:val="-2"/>
        </w:rPr>
        <w:t>着业务的发展，公司对政策的依赖风险逐年下降，发展动力已转变为依靠公司自身的市场竞争力，随着公司的继续发展，对</w:t>
      </w:r>
      <w:r>
        <w:rPr>
          <w:spacing w:val="-64"/>
        </w:rPr>
        <w:t> </w:t>
      </w:r>
      <w:r>
        <w:rPr>
          <w:spacing w:val="-64"/>
        </w:rPr>
      </w:r>
      <w:r>
        <w:rPr/>
        <w:t>国家产业政策的依赖风险将得到适当的控制。</w:t>
      </w:r>
    </w:p>
    <w:p>
      <w:pPr>
        <w:pStyle w:val="BodyText"/>
        <w:spacing w:line="316" w:lineRule="auto" w:before="20"/>
        <w:ind w:left="656" w:right="181" w:hanging="504"/>
        <w:jc w:val="left"/>
      </w:pPr>
      <w:r>
        <w:rPr/>
        <w:t>④人力成本上升的风险 </w:t>
      </w:r>
      <w:r>
        <w:rPr>
          <w:spacing w:val="-1"/>
        </w:rPr>
        <w:t>作为知识密集和人才密集型企业，公司最主要的经营成本是人力成本。随着中国经济的快速发展，城市生活成本的上</w:t>
      </w:r>
    </w:p>
    <w:p>
      <w:pPr>
        <w:pStyle w:val="BodyText"/>
        <w:spacing w:line="316" w:lineRule="auto" w:before="18"/>
        <w:ind w:right="191"/>
        <w:jc w:val="both"/>
      </w:pPr>
      <w:r>
        <w:rPr>
          <w:spacing w:val="-2"/>
        </w:rPr>
        <w:t>升，社会平均工资逐年递增，尤其是大中城市，具有丰富业务经验的中高端人才工资薪酬呈上升趋势。随着生活水平的提高</w:t>
      </w:r>
      <w:r>
        <w:rPr>
          <w:spacing w:val="-64"/>
        </w:rPr>
        <w:t> </w:t>
      </w:r>
      <w:r>
        <w:rPr>
          <w:spacing w:val="-64"/>
        </w:rPr>
      </w:r>
      <w:r>
        <w:rPr>
          <w:spacing w:val="-2"/>
        </w:rPr>
        <w:t>以及社会工资水平的上涨，公司面临人力成本上升导致利润水平下降的风险。公司将通过扩大业务规模，提高项目外包在业</w:t>
      </w:r>
      <w:r>
        <w:rPr>
          <w:spacing w:val="-63"/>
        </w:rPr>
        <w:t> </w:t>
      </w:r>
      <w:r>
        <w:rPr>
          <w:spacing w:val="-63"/>
        </w:rPr>
      </w:r>
      <w:r>
        <w:rPr/>
        <w:t>务结构中的比例，提高员工利用效率等方法来保障公司利润水平的增长。</w:t>
      </w:r>
    </w:p>
    <w:p>
      <w:pPr>
        <w:pStyle w:val="BodyText"/>
        <w:spacing w:line="240" w:lineRule="auto" w:before="18"/>
        <w:ind w:right="90"/>
        <w:jc w:val="left"/>
      </w:pPr>
      <w:r>
        <w:rPr>
          <w:rFonts w:ascii="Times New Roman" w:hAnsi="Times New Roman" w:cs="Times New Roman" w:eastAsia="Times New Roman" w:hint="default"/>
        </w:rPr>
        <w:t>2</w:t>
      </w:r>
      <w:r>
        <w:rPr/>
        <w:t>．研发及技术风险</w:t>
      </w:r>
    </w:p>
    <w:p>
      <w:pPr>
        <w:pStyle w:val="BodyText"/>
        <w:spacing w:line="316" w:lineRule="auto" w:before="62"/>
        <w:ind w:left="584" w:right="202" w:hanging="432"/>
        <w:jc w:val="left"/>
      </w:pPr>
      <w:r>
        <w:rPr/>
        <w:t>①新产品开发风险 新产品开发对公司的市场竞争力和未来发展具有重要影响。软件和信息技术服务技术发展日新月异，更新换代很快，</w:t>
      </w:r>
    </w:p>
    <w:p>
      <w:pPr>
        <w:pStyle w:val="BodyText"/>
        <w:spacing w:line="316" w:lineRule="auto" w:before="18"/>
        <w:ind w:right="193"/>
        <w:jc w:val="both"/>
      </w:pPr>
      <w:r>
        <w:rPr>
          <w:spacing w:val="-2"/>
        </w:rPr>
        <w:t>公司和其他优秀的软件公司一样，始终利用成熟、先进的技术作为开发和应用平台，但如果公司错误预测软件技术的发展趋</w:t>
      </w:r>
      <w:r>
        <w:rPr>
          <w:spacing w:val="-66"/>
        </w:rPr>
        <w:t> </w:t>
      </w:r>
      <w:r>
        <w:rPr>
          <w:spacing w:val="-66"/>
        </w:rPr>
      </w:r>
      <w:r>
        <w:rPr/>
        <w:t>势，使用落后的技术开发新产品，或新产品开发失败，则会给公司造成较大的影响。</w:t>
      </w:r>
      <w:r>
        <w:rPr>
          <w:spacing w:val="-18"/>
        </w:rPr>
        <w:t> </w:t>
      </w:r>
      <w:r>
        <w:rPr/>
        <w:t>公司将进一步加强对国家政策、行业</w:t>
      </w:r>
      <w:r>
        <w:rPr/>
        <w:t> </w:t>
      </w:r>
      <w:r>
        <w:rPr>
          <w:spacing w:val="-2"/>
        </w:rPr>
        <w:t>政策的研究，进一步加强对市场的调研，收集客户当前和未来的需求信息，做好新产品研发的可行性分析；其次，将进一步</w:t>
      </w:r>
      <w:r>
        <w:rPr>
          <w:spacing w:val="-67"/>
        </w:rPr>
        <w:t> </w:t>
      </w:r>
      <w:r>
        <w:rPr>
          <w:spacing w:val="-67"/>
        </w:rPr>
      </w:r>
      <w:r>
        <w:rPr>
          <w:spacing w:val="-2"/>
        </w:rPr>
        <w:t>完善激励机制，鼓励技术人员知识更新、技术进步和产品创新；同时，公司将继续保持并加大研发投入，扩大研发规模，提</w:t>
      </w:r>
      <w:r>
        <w:rPr>
          <w:spacing w:val="-70"/>
        </w:rPr>
        <w:t> </w:t>
      </w:r>
      <w:r>
        <w:rPr>
          <w:spacing w:val="-70"/>
        </w:rPr>
      </w:r>
      <w:r>
        <w:rPr/>
        <w:t>前研究前瞻性软件技术和行业业务模式，保证公司的技术先进性。</w:t>
      </w:r>
    </w:p>
    <w:p>
      <w:pPr>
        <w:pStyle w:val="BodyText"/>
        <w:spacing w:line="316" w:lineRule="auto" w:before="18"/>
        <w:ind w:left="656" w:right="181" w:hanging="504"/>
        <w:jc w:val="left"/>
      </w:pPr>
      <w:r>
        <w:rPr/>
        <w:t>②核心技术泄密或被侵权的风险 </w:t>
      </w:r>
      <w:r>
        <w:rPr>
          <w:spacing w:val="-1"/>
        </w:rPr>
        <w:t>技术优势是公司在行业中保持竞争优势的最主要因素之一，目前，公司拥有的计算机软件著作权、专利、产品、在研</w:t>
      </w:r>
    </w:p>
    <w:p>
      <w:pPr>
        <w:pStyle w:val="BodyText"/>
        <w:spacing w:line="316" w:lineRule="auto" w:before="18"/>
        <w:ind w:right="191"/>
        <w:jc w:val="both"/>
      </w:pPr>
      <w:r>
        <w:rPr>
          <w:spacing w:val="-2"/>
        </w:rPr>
        <w:t>技术等均属于公司的核心技术，上述核心技术是公司平稳快速发展的基础，如果公司核心技术泄密或被侵权，则会对公司生</w:t>
      </w:r>
      <w:r>
        <w:rPr>
          <w:spacing w:val="-63"/>
        </w:rPr>
        <w:t> </w:t>
      </w:r>
      <w:r>
        <w:rPr>
          <w:spacing w:val="-63"/>
        </w:rPr>
      </w:r>
      <w:r>
        <w:rPr>
          <w:spacing w:val="-2"/>
        </w:rPr>
        <w:t>产经营造成较大负面影响。为控制核心技术泄密，公司在与员工签订劳动合同的同时签订保密协议书，要求员工严格遵守公</w:t>
      </w:r>
      <w:r>
        <w:rPr>
          <w:spacing w:val="-63"/>
        </w:rPr>
        <w:t> </w:t>
      </w:r>
      <w:r>
        <w:rPr>
          <w:spacing w:val="-63"/>
        </w:rPr>
      </w:r>
      <w:r>
        <w:rPr>
          <w:spacing w:val="-2"/>
        </w:rPr>
        <w:t>司制定的保密制度；为防范技术被侵权，公司及时将已开发的技术或产品在国家知识产权管理机构登记，通过法律手段保护</w:t>
      </w:r>
      <w:r>
        <w:rPr>
          <w:spacing w:val="-63"/>
        </w:rPr>
        <w:t> </w:t>
      </w:r>
      <w:r>
        <w:rPr>
          <w:spacing w:val="-63"/>
        </w:rPr>
      </w:r>
      <w:r>
        <w:rPr/>
        <w:t>公司的知识产权。</w:t>
      </w:r>
    </w:p>
    <w:p>
      <w:pPr>
        <w:pStyle w:val="BodyText"/>
        <w:spacing w:line="240" w:lineRule="auto" w:before="18"/>
        <w:ind w:right="90"/>
        <w:jc w:val="left"/>
      </w:pPr>
      <w:r>
        <w:rPr>
          <w:rFonts w:ascii="Times New Roman" w:hAnsi="Times New Roman" w:cs="Times New Roman" w:eastAsia="Times New Roman" w:hint="default"/>
        </w:rPr>
        <w:t>3</w:t>
      </w:r>
      <w:r>
        <w:rPr/>
        <w:t>．管理风险</w:t>
      </w:r>
    </w:p>
    <w:p>
      <w:pPr>
        <w:pStyle w:val="BodyText"/>
        <w:spacing w:line="240" w:lineRule="auto" w:before="62"/>
        <w:ind w:right="90"/>
        <w:jc w:val="left"/>
      </w:pPr>
      <w:r>
        <w:rPr/>
        <w:t>①公司规模扩大引致的管理风险</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1" w:firstLine="504"/>
        <w:jc w:val="both"/>
      </w:pPr>
      <w:r>
        <w:rPr>
          <w:spacing w:val="-1"/>
        </w:rPr>
        <w:t>随着募集资金投资项目的陆续实施以及并购等资本运作，公司的规模将会逐步扩张，而且公司子公司的数量正逐渐增</w:t>
      </w:r>
      <w:r>
        <w:rPr/>
        <w:t> </w:t>
      </w:r>
      <w:r>
        <w:rPr>
          <w:spacing w:val="-2"/>
        </w:rPr>
        <w:t>加，从而对公司现有的管理架构及管理能力形成一定的挑战。公司管理层将面临着公司规模扩大而导致的管理风险。公司通</w:t>
      </w:r>
      <w:r>
        <w:rPr>
          <w:spacing w:val="-63"/>
        </w:rPr>
        <w:t> </w:t>
      </w:r>
      <w:r>
        <w:rPr>
          <w:spacing w:val="-63"/>
        </w:rPr>
      </w:r>
      <w:r>
        <w:rPr>
          <w:spacing w:val="-2"/>
        </w:rPr>
        <w:t>过不断完善细化各项管理制度，引进管理人才，推行科学的管理办法，降低管理风险产生的可能性。对于公司子公司，特别</w:t>
      </w:r>
      <w:r>
        <w:rPr>
          <w:spacing w:val="-67"/>
        </w:rPr>
        <w:t> </w:t>
      </w:r>
      <w:r>
        <w:rPr>
          <w:spacing w:val="-67"/>
        </w:rPr>
      </w:r>
      <w:r>
        <w:rPr/>
        <w:t>是并购吸收的子公司，公司通过不断加强子公司的管理治理，并加强对子公司的内部考核和财务管控，降低管理风险。</w:t>
      </w:r>
    </w:p>
    <w:p>
      <w:pPr>
        <w:pStyle w:val="BodyText"/>
        <w:spacing w:line="316" w:lineRule="auto" w:before="18"/>
        <w:ind w:left="656" w:right="90" w:hanging="504"/>
        <w:jc w:val="left"/>
      </w:pPr>
      <w:r>
        <w:rPr/>
        <w:t>②核心员工流失的管理风险 </w:t>
      </w:r>
      <w:r>
        <w:rPr>
          <w:spacing w:val="-3"/>
        </w:rPr>
        <w:t>公司的属于人才密集型行业，企业发展高度依赖人力资源，近些年来人力资源成本快速上涨，而行业竞争的日趋激烈，</w:t>
      </w:r>
    </w:p>
    <w:p>
      <w:pPr>
        <w:pStyle w:val="BodyText"/>
        <w:spacing w:line="316" w:lineRule="auto" w:before="18"/>
        <w:ind w:right="94"/>
        <w:jc w:val="left"/>
      </w:pPr>
      <w:r>
        <w:rPr/>
        <w:t>对人才的争夺亦趋于白热化，企业间的高薪招聘等因素都为核心员工的流动提供了客观条件。公司为了避免核心人员流失， </w:t>
      </w:r>
      <w:r>
        <w:rPr>
          <w:spacing w:val="-2"/>
        </w:rPr>
        <w:t>稳定员工团队，公司一直重点关注人力资源体系的建设，通过多年的建设和实践已建成一个高效的人力资源体系，包括建立</w:t>
      </w:r>
      <w:r>
        <w:rPr>
          <w:spacing w:val="-63"/>
        </w:rPr>
        <w:t> </w:t>
      </w:r>
      <w:r>
        <w:rPr>
          <w:spacing w:val="-63"/>
        </w:rPr>
      </w:r>
      <w:r>
        <w:rPr/>
        <w:t>以人为本的企业文化、员工职业生涯发展规划、渐进式的培训体系、技术人员任职资格鉴定、科学合理的薪酬及绩效体系、 </w:t>
      </w:r>
      <w:r>
        <w:rPr>
          <w:spacing w:val="-2"/>
        </w:rPr>
        <w:t>优秀人才特别奖励办法等。同时也开拓了多种人才引进渠道，建立系统的人才梯队，强化自身造血的能力以满足企业发展的</w:t>
      </w:r>
      <w:r>
        <w:rPr>
          <w:spacing w:val="-66"/>
        </w:rPr>
        <w:t> </w:t>
      </w:r>
      <w:r>
        <w:rPr>
          <w:spacing w:val="-66"/>
        </w:rPr>
      </w:r>
      <w:r>
        <w:rPr/>
        <w:t>需要。</w:t>
      </w:r>
    </w:p>
    <w:p>
      <w:pPr>
        <w:pStyle w:val="BodyText"/>
        <w:spacing w:line="240" w:lineRule="auto" w:before="18"/>
        <w:ind w:right="90"/>
        <w:jc w:val="left"/>
      </w:pPr>
      <w:r>
        <w:rPr>
          <w:rFonts w:ascii="Times New Roman" w:hAnsi="Times New Roman" w:cs="Times New Roman" w:eastAsia="Times New Roman" w:hint="default"/>
        </w:rPr>
        <w:t>4</w:t>
      </w:r>
      <w:r>
        <w:rPr/>
        <w:t>．财务风险</w:t>
      </w:r>
    </w:p>
    <w:p>
      <w:pPr>
        <w:pStyle w:val="BodyText"/>
        <w:spacing w:line="316" w:lineRule="auto" w:before="62"/>
        <w:ind w:left="584" w:right="202" w:hanging="432"/>
        <w:jc w:val="left"/>
      </w:pPr>
      <w:r>
        <w:rPr/>
        <w:t>①应收账款回收风险 公司开发的软件项目从合同签订到验收需要经历设计、开发、测试和上线试运行阶段，周期较长，且大多项目依据合</w:t>
      </w:r>
    </w:p>
    <w:p>
      <w:pPr>
        <w:pStyle w:val="BodyText"/>
        <w:spacing w:line="316" w:lineRule="auto" w:before="18"/>
        <w:ind w:right="90"/>
        <w:jc w:val="left"/>
      </w:pPr>
      <w:r>
        <w:rPr>
          <w:spacing w:val="-2"/>
        </w:rPr>
        <w:t>同分阶段验收，项目验收与客户付款之间存在时间差，同时，随着新客户的开发和业务规模的扩大，在原有的回款政策不变</w:t>
      </w:r>
      <w:r>
        <w:rPr>
          <w:spacing w:val="-65"/>
        </w:rPr>
        <w:t> </w:t>
      </w:r>
      <w:r>
        <w:rPr>
          <w:spacing w:val="-65"/>
        </w:rPr>
      </w:r>
      <w:r>
        <w:rPr>
          <w:spacing w:val="-2"/>
        </w:rPr>
        <w:t>的情形下，应收账款余额会不断增加，虽然期末应收账款都在结算期内，公司也已按照坏账准备政策提取了坏账准备，但仍</w:t>
      </w:r>
      <w:r>
        <w:rPr>
          <w:spacing w:val="-65"/>
        </w:rPr>
        <w:t> </w:t>
      </w:r>
      <w:r>
        <w:rPr>
          <w:spacing w:val="-65"/>
        </w:rPr>
      </w:r>
      <w:r>
        <w:rPr/>
        <w:t>不排除因客户信用恶化导致坏账准备提取不足和应收款项发生坏账损失的风险。公司不断建立和完善信用审批前的信用调 </w:t>
      </w:r>
      <w:r>
        <w:rPr>
          <w:spacing w:val="-2"/>
        </w:rPr>
        <w:t>查、建立并有效执行了谨慎合理的坏账准备计提政策、严格的应收账款催收制度以及应收账款回收率与销售业绩挂钩的业务</w:t>
      </w:r>
      <w:r>
        <w:rPr>
          <w:spacing w:val="-64"/>
        </w:rPr>
        <w:t> </w:t>
      </w:r>
      <w:r>
        <w:rPr>
          <w:spacing w:val="-64"/>
        </w:rPr>
      </w:r>
      <w:r>
        <w:rPr/>
        <w:t>考核机制，将应收账款发生坏账的风险降低到可承受的水平。</w:t>
      </w:r>
    </w:p>
    <w:p>
      <w:pPr>
        <w:pStyle w:val="BodyText"/>
        <w:spacing w:line="240" w:lineRule="auto" w:before="18"/>
        <w:ind w:right="90"/>
        <w:jc w:val="left"/>
      </w:pPr>
      <w:r>
        <w:rPr/>
        <w:t>②汇率变动风险</w:t>
      </w:r>
    </w:p>
    <w:p>
      <w:pPr>
        <w:pStyle w:val="BodyText"/>
        <w:spacing w:line="316" w:lineRule="auto" w:before="76"/>
        <w:ind w:right="90" w:firstLine="504"/>
        <w:jc w:val="left"/>
      </w:pPr>
      <w:r>
        <w:rPr>
          <w:spacing w:val="-3"/>
        </w:rPr>
        <w:t>国际软件外包业务在公司经营业务中一直占据较大的比重，而公司国际软件外包业务的市场以日本为主体，兼顾欧美，</w:t>
      </w:r>
      <w:r>
        <w:rPr/>
        <w:t> </w:t>
      </w:r>
      <w:r>
        <w:rPr>
          <w:spacing w:val="-2"/>
        </w:rPr>
        <w:t>使得以日元、美元等外汇形式结算的收入保持较高比例，近年来，国际外汇市场汇率大幅波动，直接影响公司外汇收入结算</w:t>
      </w:r>
      <w:r>
        <w:rPr>
          <w:spacing w:val="-65"/>
        </w:rPr>
        <w:t> </w:t>
      </w:r>
      <w:r>
        <w:rPr>
          <w:spacing w:val="-65"/>
        </w:rPr>
      </w:r>
      <w:r>
        <w:rPr>
          <w:spacing w:val="-2"/>
        </w:rPr>
        <w:t>后以人民币计价的会计收入。随着国际经济环境的不断变化，汇率的持续变动产生汇兑损益，从而对公司的财务状况造成影</w:t>
      </w:r>
      <w:r>
        <w:rPr>
          <w:spacing w:val="-63"/>
        </w:rPr>
        <w:t> </w:t>
      </w:r>
      <w:r>
        <w:rPr>
          <w:spacing w:val="-63"/>
        </w:rPr>
      </w:r>
      <w:r>
        <w:rPr>
          <w:spacing w:val="-2"/>
        </w:rPr>
        <w:t>响。不仅如此，人民币升值还将造成国际软件外包项目经营成本上升，减弱公司软件外包服务出口的成本优势，对公司国际</w:t>
      </w:r>
      <w:r>
        <w:rPr>
          <w:spacing w:val="-64"/>
        </w:rPr>
        <w:t> </w:t>
      </w:r>
      <w:r>
        <w:rPr>
          <w:spacing w:val="-64"/>
        </w:rPr>
      </w:r>
      <w:r>
        <w:rPr>
          <w:spacing w:val="-2"/>
        </w:rPr>
        <w:t>业务开拓形成压力。因此，公司存在着因汇率变动而导致公司业绩波动的风险。公司已经针对汇率风险采用相关财务与经营</w:t>
      </w:r>
      <w:r>
        <w:rPr>
          <w:spacing w:val="-66"/>
        </w:rPr>
        <w:t> </w:t>
      </w:r>
      <w:r>
        <w:rPr>
          <w:spacing w:val="-66"/>
        </w:rPr>
      </w:r>
      <w:r>
        <w:rPr>
          <w:spacing w:val="-2"/>
        </w:rPr>
        <w:t>手段予以化解。在财务上，根据公司《远期结售汇业务内控管理制度》，公司签订远期结汇合同锁定汇率，降低公司面临的</w:t>
      </w:r>
      <w:r>
        <w:rPr>
          <w:spacing w:val="-68"/>
        </w:rPr>
        <w:t> </w:t>
      </w:r>
      <w:r>
        <w:rPr>
          <w:spacing w:val="-68"/>
        </w:rPr>
      </w:r>
      <w:r>
        <w:rPr>
          <w:spacing w:val="-2"/>
        </w:rPr>
        <w:t>汇率风险。在经营上，公司一方面通过签订合同时考虑汇率变动因素，加快资金周转速度，减少外汇资金沉淀等方式，降低</w:t>
      </w:r>
      <w:r>
        <w:rPr>
          <w:spacing w:val="-67"/>
        </w:rPr>
        <w:t> </w:t>
      </w:r>
      <w:r>
        <w:rPr>
          <w:spacing w:val="-67"/>
        </w:rPr>
      </w:r>
      <w:r>
        <w:rPr>
          <w:spacing w:val="-2"/>
        </w:rPr>
        <w:t>汇率变动对公司业绩造成的不利影响；另一方面，公司正着手合理布局国际市场，在巩固日本市场的同时，扩大对欧美市场</w:t>
      </w:r>
      <w:r>
        <w:rPr>
          <w:spacing w:val="-64"/>
        </w:rPr>
        <w:t> </w:t>
      </w:r>
      <w:r>
        <w:rPr>
          <w:spacing w:val="-64"/>
        </w:rPr>
      </w:r>
      <w:r>
        <w:rPr/>
        <w:t>和东南亚市场的业务开拓，采用多种货币结算以分散汇率风险。</w:t>
      </w:r>
    </w:p>
    <w:p>
      <w:pPr>
        <w:pStyle w:val="BodyText"/>
        <w:spacing w:line="240" w:lineRule="auto" w:before="18"/>
        <w:ind w:right="90"/>
        <w:jc w:val="left"/>
      </w:pPr>
      <w:r>
        <w:rPr/>
        <w:t>③商誉减值风险</w:t>
      </w:r>
    </w:p>
    <w:p>
      <w:pPr>
        <w:pStyle w:val="BodyText"/>
        <w:spacing w:line="316" w:lineRule="auto" w:before="76"/>
        <w:ind w:right="90" w:firstLine="432"/>
        <w:jc w:val="left"/>
      </w:pPr>
      <w:r>
        <w:rPr/>
        <w:t>根据企业会计准则要求，由于非同一控制下的企业合并形成的商誉，该商誉不作摊销处理，但需在未来年度每年年终 </w:t>
      </w:r>
      <w:r>
        <w:rPr>
          <w:spacing w:val="-2"/>
        </w:rPr>
        <w:t>进行减值测试。如果未来因国家政策变化、金融信息化行业发展不乐观、自身业务下降或者其他因素导致未来经营状况和盈</w:t>
      </w:r>
      <w:r>
        <w:rPr>
          <w:spacing w:val="-63"/>
        </w:rPr>
        <w:t> </w:t>
      </w:r>
      <w:r>
        <w:rPr>
          <w:spacing w:val="-63"/>
        </w:rPr>
      </w:r>
      <w:r>
        <w:rPr>
          <w:spacing w:val="-2"/>
        </w:rPr>
        <w:t>利能力未达预期，则公司存在商誉减值的风险，从而对公司当期损益造成不利影响，若一旦集中计提大额的商誉减值，将对</w:t>
      </w:r>
      <w:r>
        <w:rPr>
          <w:spacing w:val="-65"/>
        </w:rPr>
        <w:t> </w:t>
      </w:r>
      <w:r>
        <w:rPr>
          <w:spacing w:val="-65"/>
        </w:rPr>
      </w:r>
      <w:r>
        <w:rPr>
          <w:spacing w:val="-2"/>
        </w:rPr>
        <w:t>公司盈利水平产生较大的不利影响。公司将建立相应的内控管理制度，每年对商誉进行减值测试。此外公司将以现有金融信</w:t>
      </w:r>
      <w:r>
        <w:rPr>
          <w:spacing w:val="-63"/>
        </w:rPr>
        <w:t> </w:t>
      </w:r>
      <w:r>
        <w:rPr>
          <w:spacing w:val="-63"/>
        </w:rPr>
      </w:r>
      <w:r>
        <w:rPr>
          <w:spacing w:val="-4"/>
        </w:rPr>
        <w:t>息化业务板块为基础，通过和并购标的资产在企业文化、市场、人员、技术、管理等方面的整合，积极发挥标的资产的优势，</w:t>
      </w:r>
      <w:r>
        <w:rPr>
          <w:spacing w:val="-44"/>
        </w:rPr>
        <w:t> </w:t>
      </w:r>
      <w:r>
        <w:rPr>
          <w:spacing w:val="-44"/>
        </w:rPr>
      </w:r>
      <w:r>
        <w:rPr/>
        <w:t>保持标的资产的持续竞争力，将因非同一控制下的企业合并形成的商誉对公司未来业绩的影响降到最低程度。</w:t>
      </w:r>
    </w:p>
    <w:p>
      <w:pPr>
        <w:spacing w:line="240" w:lineRule="auto" w:before="0"/>
        <w:rPr>
          <w:rFonts w:ascii="宋体" w:hAnsi="宋体" w:cs="宋体" w:eastAsia="宋体" w:hint="default"/>
          <w:sz w:val="21"/>
          <w:szCs w:val="21"/>
        </w:rPr>
      </w:pPr>
    </w:p>
    <w:p>
      <w:pPr>
        <w:pStyle w:val="Heading2"/>
        <w:spacing w:line="240" w:lineRule="auto"/>
        <w:ind w:right="90"/>
        <w:jc w:val="left"/>
        <w:rPr>
          <w:b w:val="0"/>
          <w:bCs w:val="0"/>
        </w:rPr>
      </w:pPr>
      <w:bookmarkStart w:name="十、接待调研、沟通、采访等活动情况" w:id="57"/>
      <w:bookmarkEnd w:id="57"/>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详情请见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日巨潮资讯网</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362" w:hRule="exact"/>
        </w:trPr>
        <w:tc>
          <w:tcPr>
            <w:tcW w:w="2179"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详情请见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日巨潮资讯网 公告</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详情请见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日巨潮资讯网 公告</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详情请见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日巨潮资讯 网公告</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详情请见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日巨潮资讯 网公告</w:t>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468"/>
        <w:jc w:val="center"/>
        <w:rPr>
          <w:b w:val="0"/>
          <w:bCs w:val="0"/>
        </w:rPr>
      </w:pPr>
      <w:bookmarkStart w:name="第五节 重要事项" w:id="59"/>
      <w:bookmarkEnd w:id="59"/>
      <w:r>
        <w:rPr>
          <w:b w:val="0"/>
          <w:bCs w:val="0"/>
        </w:rPr>
      </w:r>
      <w:bookmarkStart w:name="_bookmark3" w:id="60"/>
      <w:bookmarkEnd w:id="60"/>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t>报告期内普通股利润分配政策，特别是现金分红政策的制定、执行或调整情况</w:t>
      </w:r>
    </w:p>
    <w:p>
      <w:pPr>
        <w:pStyle w:val="BodyText"/>
        <w:spacing w:line="314" w:lineRule="auto" w:before="117"/>
        <w:ind w:right="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报告期内，公司严格按照《公司章程》中相关利润分配政策和审议程序执行利润分配方案，分红标准和分红比例明确清晰， </w:t>
      </w:r>
      <w:r>
        <w:rPr>
          <w:spacing w:val="-2"/>
        </w:rPr>
        <w:t>相关的决策程序和机制完备。在分配预案拟定和决策时，独立董事尽职履责发表了独立意见。公司以详细公告形式向全体股</w:t>
      </w:r>
      <w:r>
        <w:rPr>
          <w:spacing w:val="-64"/>
        </w:rPr>
        <w:t> </w:t>
      </w:r>
      <w:r>
        <w:rPr>
          <w:spacing w:val="-64"/>
        </w:rPr>
      </w:r>
      <w:r>
        <w:rPr>
          <w:spacing w:val="-2"/>
        </w:rPr>
        <w:t>东发出股东大会通知，并提供网络投票方式，中小股东有充分表达意见和诉求的机会，股东大会审议通过后公司在规定时间</w:t>
      </w:r>
      <w:r>
        <w:rPr>
          <w:spacing w:val="-64"/>
        </w:rPr>
        <w:t> </w:t>
      </w:r>
      <w:r>
        <w:rPr>
          <w:spacing w:val="-64"/>
        </w:rPr>
      </w:r>
      <w:r>
        <w:rPr/>
        <w:t>内实施了权益分派，以充分维护中小股东的合法权益。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日，公司召开第四届董事会第二十七次会议，审议通过了公司</w:t>
      </w:r>
      <w:r>
        <w:rPr>
          <w:rFonts w:ascii="Times New Roman" w:hAnsi="Times New Roman" w:cs="Times New Roman" w:eastAsia="Times New Roman" w:hint="default"/>
        </w:rPr>
        <w:t>2014</w:t>
      </w:r>
      <w:r>
        <w:rPr/>
        <w:t>年度利润分配方案：以公司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的总股本</w:t>
      </w:r>
      <w:r>
        <w:rPr>
          <w:rFonts w:ascii="Times New Roman" w:hAnsi="Times New Roman" w:cs="Times New Roman" w:eastAsia="Times New Roman" w:hint="default"/>
        </w:rPr>
        <w:t>284,616,774</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元人民币（含税），共计派发现金股利</w:t>
      </w:r>
      <w:r>
        <w:rPr>
          <w:rFonts w:ascii="Times New Roman" w:hAnsi="Times New Roman" w:cs="Times New Roman" w:eastAsia="Times New Roman" w:hint="default"/>
        </w:rPr>
        <w:t>28,461,677.40</w:t>
      </w:r>
      <w:r>
        <w:rPr/>
        <w:t>元。</w:t>
      </w:r>
      <w:r>
        <w:rPr>
          <w:spacing w:val="-3"/>
        </w:rPr>
        <w:t>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16</w:t>
      </w:r>
      <w:r>
        <w:rPr>
          <w:spacing w:val="-2"/>
        </w:rPr>
        <w:t>日，公司召开</w:t>
      </w:r>
      <w:r>
        <w:rPr>
          <w:rFonts w:ascii="Times New Roman" w:hAnsi="Times New Roman" w:cs="Times New Roman" w:eastAsia="Times New Roman" w:hint="default"/>
          <w:spacing w:val="-2"/>
        </w:rPr>
        <w:t>2014</w:t>
      </w:r>
      <w:r>
        <w:rPr>
          <w:spacing w:val="-2"/>
        </w:rPr>
        <w:t>年度股东大会，审议通过了公司</w:t>
      </w:r>
      <w:r>
        <w:rPr>
          <w:rFonts w:ascii="Times New Roman" w:hAnsi="Times New Roman" w:cs="Times New Roman" w:eastAsia="Times New Roman" w:hint="default"/>
          <w:spacing w:val="-2"/>
        </w:rPr>
        <w:t>2014</w:t>
      </w:r>
      <w:r>
        <w:rPr>
          <w:spacing w:val="-2"/>
        </w:rPr>
        <w:t>年度利润分配方案。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日，公司在中国证监会</w:t>
      </w:r>
      <w:r>
        <w:rPr>
          <w:spacing w:val="-52"/>
        </w:rPr>
        <w:t> </w:t>
      </w:r>
      <w:r>
        <w:rPr>
          <w:spacing w:val="-52"/>
        </w:rPr>
      </w:r>
      <w:r>
        <w:rPr/>
        <w:t>指定的信息披露网站披露了《</w:t>
      </w:r>
      <w:r>
        <w:rPr>
          <w:rFonts w:ascii="Times New Roman" w:hAnsi="Times New Roman" w:cs="Times New Roman" w:eastAsia="Times New Roman" w:hint="default"/>
        </w:rPr>
        <w:t>2014</w:t>
      </w:r>
      <w:r>
        <w:rPr/>
        <w:t>年年度权益分派实施公告》，本次权益分派股权登记日为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日，除权除息日为</w:t>
      </w:r>
    </w:p>
    <w:p>
      <w:pPr>
        <w:pStyle w:val="BodyText"/>
        <w:spacing w:line="240" w:lineRule="auto" w:before="1"/>
        <w:ind w:left="153" w:right="9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日，公司本次利润分配方案于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日实施完毕。</w:t>
      </w:r>
    </w:p>
    <w:p>
      <w:pPr>
        <w:spacing w:line="240" w:lineRule="auto" w:before="4"/>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0"/>
        <w:jc w:val="left"/>
      </w:pPr>
      <w:r>
        <w:rPr/>
        <w:t>公司报告期利润分配预案及资本公积金转增股本预案与公司章程和分红管理办法等的相关规定一致</w:t>
      </w:r>
    </w:p>
    <w:p>
      <w:pPr>
        <w:pStyle w:val="BodyText"/>
        <w:spacing w:line="350" w:lineRule="auto" w:before="115"/>
        <w:ind w:left="153" w:right="333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5"/>
        <w:gridCol w:w="5862"/>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358,101,350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53,715,202.50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152,586,077.24</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经华普天健会计师事务所（特殊普通合伙）审计，母公司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年年末可供分配利润为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152,586,077.24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元。公司拟以公司现</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w:t>
            </w:r>
            <w:r>
              <w:rPr>
                <w:rFonts w:ascii="宋体" w:hAnsi="宋体" w:cs="宋体" w:eastAsia="宋体" w:hint="default"/>
                <w:spacing w:val="-3"/>
                <w:sz w:val="18"/>
                <w:szCs w:val="18"/>
              </w:rPr>
              <w:t>数</w:t>
            </w:r>
            <w:r>
              <w:rPr>
                <w:rFonts w:ascii="宋体" w:hAnsi="宋体" w:cs="宋体" w:eastAsia="宋体" w:hint="default"/>
                <w:spacing w:val="-56"/>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w:t>
            </w:r>
            <w:r>
              <w:rPr>
                <w:rFonts w:ascii="宋体" w:hAnsi="宋体" w:cs="宋体" w:eastAsia="宋体" w:hint="default"/>
                <w:spacing w:val="-3"/>
                <w:sz w:val="18"/>
                <w:szCs w:val="18"/>
              </w:rPr>
              <w:t>金</w:t>
            </w:r>
            <w:r>
              <w:rPr>
                <w:rFonts w:ascii="宋体" w:hAnsi="宋体" w:cs="宋体" w:eastAsia="宋体" w:hint="default"/>
                <w:sz w:val="18"/>
                <w:szCs w:val="18"/>
              </w:rPr>
              <w:t>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56"/>
                <w:sz w:val="18"/>
                <w:szCs w:val="18"/>
              </w:rPr>
              <w:t>币</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共计派送现金红利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；累计剩余未分配</w:t>
            </w:r>
            <w:r>
              <w:rPr>
                <w:rFonts w:ascii="宋体" w:hAnsi="宋体" w:cs="宋体" w:eastAsia="宋体" w:hint="default"/>
                <w:spacing w:val="2"/>
                <w:sz w:val="18"/>
                <w:szCs w:val="18"/>
              </w:rPr>
              <w:t>利</w:t>
            </w:r>
            <w:r>
              <w:rPr>
                <w:rFonts w:ascii="宋体" w:hAnsi="宋体" w:cs="宋体" w:eastAsia="宋体" w:hint="default"/>
                <w:sz w:val="18"/>
                <w:szCs w:val="18"/>
              </w:rPr>
              <w:t>润</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元，结转至</w:t>
            </w:r>
            <w:r>
              <w:rPr>
                <w:rFonts w:ascii="宋体" w:hAnsi="宋体" w:cs="宋体" w:eastAsia="宋体" w:hint="default"/>
                <w:spacing w:val="-3"/>
                <w:sz w:val="18"/>
                <w:szCs w:val="18"/>
              </w:rPr>
              <w:t>下</w:t>
            </w:r>
            <w:r>
              <w:rPr>
                <w:rFonts w:ascii="宋体" w:hAnsi="宋体" w:cs="宋体" w:eastAsia="宋体" w:hint="default"/>
                <w:sz w:val="18"/>
                <w:szCs w:val="18"/>
              </w:rPr>
              <w:t>年度。</w:t>
            </w:r>
          </w:p>
        </w:tc>
      </w:tr>
    </w:tbl>
    <w:p>
      <w:pPr>
        <w:pStyle w:val="BodyText"/>
        <w:spacing w:line="319" w:lineRule="auto" w:before="49"/>
        <w:ind w:right="184"/>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2012</w:t>
      </w:r>
      <w:r>
        <w:rPr/>
        <w:t>年第一次临时股东大会审议通过了</w:t>
      </w:r>
      <w:r>
        <w:rPr>
          <w:rFonts w:ascii="Times New Roman" w:hAnsi="Times New Roman" w:cs="Times New Roman" w:eastAsia="Times New Roman" w:hint="default"/>
        </w:rPr>
        <w:t>2012</w:t>
      </w:r>
      <w:r>
        <w:rPr/>
        <w:t>年半年度利润分配方案：以公司总股本</w:t>
      </w:r>
      <w:r>
        <w:rPr>
          <w:rFonts w:ascii="Times New Roman" w:hAnsi="Times New Roman" w:cs="Times New Roman" w:eastAsia="Times New Roman" w:hint="default"/>
        </w:rPr>
        <w:t>76,740,000</w:t>
      </w:r>
      <w:r>
        <w:rPr/>
        <w:t>股为</w:t>
      </w:r>
      <w:r>
        <w:rPr>
          <w:spacing w:val="-3"/>
        </w:rPr>
        <w:t> </w:t>
      </w:r>
      <w:r>
        <w:rPr/>
        <w:t>基数，向全体股东按每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1.50</w:t>
      </w:r>
      <w:r>
        <w:rPr/>
        <w:t>元（含税），共分配现金股利</w:t>
      </w:r>
      <w:r>
        <w:rPr>
          <w:rFonts w:ascii="Times New Roman" w:hAnsi="Times New Roman" w:cs="Times New Roman" w:eastAsia="Times New Roman" w:hint="default"/>
        </w:rPr>
        <w:t>11,511,000.00</w:t>
      </w:r>
      <w:r>
        <w:rPr/>
        <w:t>元。上述利润分配方案已于</w:t>
      </w:r>
    </w:p>
    <w:p>
      <w:pPr>
        <w:pStyle w:val="BodyText"/>
        <w:spacing w:line="246" w:lineRule="exact"/>
        <w:ind w:right="9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日实施完毕。</w:t>
      </w:r>
    </w:p>
    <w:p>
      <w:pPr>
        <w:pStyle w:val="BodyText"/>
        <w:spacing w:line="300" w:lineRule="auto" w:before="62"/>
        <w:ind w:left="153" w:right="90" w:hanging="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2012</w:t>
      </w:r>
      <w:r>
        <w:rPr/>
        <w:t>年度股东大会审议通过公司</w:t>
      </w:r>
      <w:r>
        <w:rPr>
          <w:rFonts w:ascii="Times New Roman" w:hAnsi="Times New Roman" w:cs="Times New Roman" w:eastAsia="Times New Roman" w:hint="default"/>
        </w:rPr>
        <w:t>2012</w:t>
      </w:r>
      <w:r>
        <w:rPr/>
        <w:t>年度利润分配方案：经华普天健会计师事务所</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 审计，母公司</w:t>
      </w:r>
      <w:r>
        <w:rPr>
          <w:rFonts w:ascii="Times New Roman" w:hAnsi="Times New Roman" w:cs="Times New Roman" w:eastAsia="Times New Roman" w:hint="default"/>
        </w:rPr>
        <w:t>2012</w:t>
      </w:r>
      <w:r>
        <w:rPr/>
        <w:t>年年初未分配利润为</w:t>
      </w:r>
      <w:r>
        <w:rPr>
          <w:rFonts w:ascii="Times New Roman" w:hAnsi="Times New Roman" w:cs="Times New Roman" w:eastAsia="Times New Roman" w:hint="default"/>
        </w:rPr>
        <w:t>94,997,372.91</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月派发现金股利</w:t>
      </w:r>
      <w:r>
        <w:rPr>
          <w:rFonts w:ascii="Times New Roman" w:hAnsi="Times New Roman" w:cs="Times New Roman" w:eastAsia="Times New Roman" w:hint="default"/>
        </w:rPr>
        <w:t>11,511,000</w:t>
      </w:r>
      <w:r>
        <w:rPr/>
        <w:t>元，</w:t>
      </w:r>
      <w:r>
        <w:rPr>
          <w:rFonts w:ascii="Times New Roman" w:hAnsi="Times New Roman" w:cs="Times New Roman" w:eastAsia="Times New Roman" w:hint="default"/>
        </w:rPr>
        <w:t>2012</w:t>
      </w:r>
      <w:r>
        <w:rPr/>
        <w:t>年度实现净利润为 </w:t>
      </w:r>
      <w:r>
        <w:rPr>
          <w:rFonts w:ascii="Times New Roman" w:hAnsi="Times New Roman" w:cs="Times New Roman" w:eastAsia="Times New Roman" w:hint="default"/>
        </w:rPr>
        <w:t>64,311,439.76</w:t>
      </w:r>
      <w:r>
        <w:rPr/>
        <w:t>元，按实现净利润</w:t>
      </w:r>
      <w:r>
        <w:rPr>
          <w:rFonts w:ascii="Times New Roman" w:hAnsi="Times New Roman" w:cs="Times New Roman" w:eastAsia="Times New Roman" w:hint="default"/>
        </w:rPr>
        <w:t>10%</w:t>
      </w:r>
      <w:r>
        <w:rPr/>
        <w:t>提取法定盈余公积金之后，母公司可供分配利润为</w:t>
      </w:r>
      <w:r>
        <w:rPr>
          <w:rFonts w:ascii="Times New Roman" w:hAnsi="Times New Roman" w:cs="Times New Roman" w:eastAsia="Times New Roman" w:hint="default"/>
        </w:rPr>
        <w:t>141,366,668.69</w:t>
      </w:r>
      <w:r>
        <w:rPr/>
        <w:t>元。公司拟以</w:t>
      </w:r>
      <w:r>
        <w:rPr>
          <w:rFonts w:ascii="Times New Roman" w:hAnsi="Times New Roman" w:cs="Times New Roman" w:eastAsia="Times New Roman" w:hint="default"/>
        </w:rPr>
        <w:t>2012</w:t>
      </w:r>
      <w:r>
        <w:rPr/>
        <w:t>年末 </w:t>
      </w:r>
      <w:r>
        <w:rPr>
          <w:spacing w:val="-2"/>
        </w:rPr>
        <w:t>总股本</w:t>
      </w:r>
      <w:r>
        <w:rPr>
          <w:rFonts w:ascii="Times New Roman" w:hAnsi="Times New Roman" w:cs="Times New Roman" w:eastAsia="Times New Roman" w:hint="default"/>
          <w:spacing w:val="-2"/>
        </w:rPr>
        <w:t>76,740,000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w:t>
      </w:r>
      <w:r>
        <w:rPr>
          <w:spacing w:val="-2"/>
        </w:rPr>
        <w:t>元人民币（含税），共计派送现金红利</w:t>
      </w:r>
      <w:r>
        <w:rPr>
          <w:rFonts w:ascii="Times New Roman" w:hAnsi="Times New Roman" w:cs="Times New Roman" w:eastAsia="Times New Roman" w:hint="default"/>
          <w:spacing w:val="-2"/>
        </w:rPr>
        <w:t>15,348,000</w:t>
      </w:r>
      <w:r>
        <w:rPr>
          <w:spacing w:val="-2"/>
        </w:rPr>
        <w:t>元（含税）；</w:t>
      </w:r>
      <w:r>
        <w:rPr>
          <w:spacing w:val="-50"/>
        </w:rPr>
        <w:t> </w:t>
      </w:r>
      <w:r>
        <w:rPr>
          <w:spacing w:val="-50"/>
        </w:rPr>
      </w:r>
      <w:r>
        <w:rPr/>
        <w:t>累计剩余未分配利润</w:t>
      </w:r>
      <w:r>
        <w:rPr>
          <w:rFonts w:ascii="Times New Roman" w:hAnsi="Times New Roman" w:cs="Times New Roman" w:eastAsia="Times New Roman" w:hint="default"/>
        </w:rPr>
        <w:t>126,018,668.69</w:t>
      </w:r>
      <w:r>
        <w:rPr/>
        <w:t>元，结转至下年度。同时，母公司年末资本公积为</w:t>
      </w:r>
      <w:r>
        <w:rPr>
          <w:rFonts w:ascii="Times New Roman" w:hAnsi="Times New Roman" w:cs="Times New Roman" w:eastAsia="Times New Roman" w:hint="default"/>
        </w:rPr>
        <w:t>417,109,049.73</w:t>
      </w:r>
      <w:r>
        <w:rPr/>
        <w:t>元，以</w:t>
      </w:r>
      <w:r>
        <w:rPr>
          <w:rFonts w:ascii="Times New Roman" w:hAnsi="Times New Roman" w:cs="Times New Roman" w:eastAsia="Times New Roman" w:hint="default"/>
        </w:rPr>
        <w:t>2012</w:t>
      </w:r>
      <w:r>
        <w:rPr/>
        <w:t>年末公司总 </w:t>
      </w:r>
      <w:r>
        <w:rPr>
          <w:spacing w:val="-2"/>
        </w:rPr>
        <w:t>股本</w:t>
      </w:r>
      <w:r>
        <w:rPr>
          <w:rFonts w:ascii="Times New Roman" w:hAnsi="Times New Roman" w:cs="Times New Roman" w:eastAsia="Times New Roman" w:hint="default"/>
          <w:spacing w:val="-2"/>
        </w:rPr>
        <w:t>76,740,000</w:t>
      </w:r>
      <w:r>
        <w:rPr>
          <w:spacing w:val="-2"/>
        </w:rPr>
        <w:t>股为基数，用母公司资本公积向全体股东每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76,740,000</w:t>
      </w:r>
      <w:r>
        <w:rPr>
          <w:spacing w:val="-2"/>
        </w:rPr>
        <w:t>股，转增后公司总股本将增加</w:t>
      </w:r>
      <w:r>
        <w:rPr>
          <w:spacing w:val="-52"/>
        </w:rPr>
        <w:t> </w:t>
      </w:r>
      <w:r>
        <w:rPr>
          <w:spacing w:val="-52"/>
        </w:rPr>
      </w:r>
      <w:r>
        <w:rPr/>
        <w:t>至</w:t>
      </w:r>
      <w:r>
        <w:rPr>
          <w:rFonts w:ascii="Times New Roman" w:hAnsi="Times New Roman" w:cs="Times New Roman" w:eastAsia="Times New Roman" w:hint="default"/>
        </w:rPr>
        <w:t>153,480,000</w:t>
      </w:r>
      <w:r>
        <w:rPr/>
        <w:t>股，转增后母公司资本公积余额为</w:t>
      </w:r>
      <w:r>
        <w:rPr>
          <w:rFonts w:ascii="Times New Roman" w:hAnsi="Times New Roman" w:cs="Times New Roman" w:eastAsia="Times New Roman" w:hint="default"/>
        </w:rPr>
        <w:t>340,369,049.73</w:t>
      </w:r>
      <w:r>
        <w:rPr/>
        <w:t>元。上述利润分配方案已于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日实施完毕。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日，公司</w:t>
      </w:r>
      <w:r>
        <w:rPr>
          <w:rFonts w:ascii="Times New Roman" w:hAnsi="Times New Roman" w:cs="Times New Roman" w:eastAsia="Times New Roman" w:hint="default"/>
          <w:spacing w:val="-2"/>
        </w:rPr>
        <w:t>2013</w:t>
      </w:r>
      <w:r>
        <w:rPr>
          <w:spacing w:val="-2"/>
        </w:rPr>
        <w:t>年度股东大会审议通过了公司</w:t>
      </w:r>
      <w:r>
        <w:rPr>
          <w:rFonts w:ascii="Times New Roman" w:hAnsi="Times New Roman" w:cs="Times New Roman" w:eastAsia="Times New Roman" w:hint="default"/>
          <w:spacing w:val="-2"/>
        </w:rPr>
        <w:t>2013</w:t>
      </w:r>
      <w:r>
        <w:rPr>
          <w:spacing w:val="-2"/>
        </w:rPr>
        <w:t>年度利润分配方案：经华普天健会计师事务所（特殊普通合</w:t>
      </w:r>
      <w:r>
        <w:rPr>
          <w:spacing w:val="-55"/>
        </w:rPr>
        <w:t> </w:t>
      </w:r>
      <w:r>
        <w:rPr>
          <w:spacing w:val="-55"/>
        </w:rPr>
      </w:r>
      <w:r>
        <w:rPr/>
        <w:t>伙）审计，母公司</w:t>
      </w:r>
      <w:r>
        <w:rPr>
          <w:rFonts w:ascii="Times New Roman" w:hAnsi="Times New Roman" w:cs="Times New Roman" w:eastAsia="Times New Roman" w:hint="default"/>
        </w:rPr>
        <w:t>2013</w:t>
      </w:r>
      <w:r>
        <w:rPr/>
        <w:t>年年初未分配利润为</w:t>
      </w:r>
      <w:r>
        <w:rPr>
          <w:rFonts w:ascii="Times New Roman" w:hAnsi="Times New Roman" w:cs="Times New Roman" w:eastAsia="Times New Roman" w:hint="default"/>
        </w:rPr>
        <w:t>141,366,668.69</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月派发现金股利</w:t>
      </w:r>
      <w:r>
        <w:rPr>
          <w:rFonts w:ascii="Times New Roman" w:hAnsi="Times New Roman" w:cs="Times New Roman" w:eastAsia="Times New Roman" w:hint="default"/>
        </w:rPr>
        <w:t>15,348,000</w:t>
      </w:r>
      <w:r>
        <w:rPr/>
        <w:t>元，</w:t>
      </w:r>
      <w:r>
        <w:rPr>
          <w:rFonts w:ascii="Times New Roman" w:hAnsi="Times New Roman" w:cs="Times New Roman" w:eastAsia="Times New Roman" w:hint="default"/>
        </w:rPr>
        <w:t>2013</w:t>
      </w:r>
      <w:r>
        <w:rPr/>
        <w:t>年度实现净利润 为</w:t>
      </w:r>
      <w:r>
        <w:rPr>
          <w:rFonts w:ascii="Times New Roman" w:hAnsi="Times New Roman" w:cs="Times New Roman" w:eastAsia="Times New Roman" w:hint="default"/>
        </w:rPr>
        <w:t>68,722,708.01</w:t>
      </w:r>
      <w:r>
        <w:rPr/>
        <w:t>元，按实现净利润</w:t>
      </w:r>
      <w:r>
        <w:rPr>
          <w:rFonts w:ascii="Times New Roman" w:hAnsi="Times New Roman" w:cs="Times New Roman" w:eastAsia="Times New Roman" w:hint="default"/>
        </w:rPr>
        <w:t>10%</w:t>
      </w:r>
      <w:r>
        <w:rPr/>
        <w:t>提取法定盈余公积金之后，母公司可供分配利润为</w:t>
      </w:r>
      <w:r>
        <w:rPr>
          <w:rFonts w:ascii="Times New Roman" w:hAnsi="Times New Roman" w:cs="Times New Roman" w:eastAsia="Times New Roman" w:hint="default"/>
        </w:rPr>
        <w:t>187,869,105.90</w:t>
      </w:r>
      <w:r>
        <w:rPr/>
        <w:t>元。公司拟以</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spacing w:val="-2"/>
        </w:rPr>
        <w:t>年末总股本</w:t>
      </w:r>
      <w:r>
        <w:rPr>
          <w:rFonts w:ascii="Times New Roman" w:hAnsi="Times New Roman" w:cs="Times New Roman" w:eastAsia="Times New Roman" w:hint="default"/>
          <w:spacing w:val="-2"/>
        </w:rPr>
        <w:t>153,480,000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4</w:t>
      </w:r>
      <w:r>
        <w:rPr>
          <w:spacing w:val="-2"/>
        </w:rPr>
        <w:t>元人民币（含税），共计派送现金红利</w:t>
      </w:r>
      <w:r>
        <w:rPr>
          <w:rFonts w:ascii="Times New Roman" w:hAnsi="Times New Roman" w:cs="Times New Roman" w:eastAsia="Times New Roman" w:hint="default"/>
          <w:spacing w:val="-2"/>
        </w:rPr>
        <w:t>61,392,000</w:t>
      </w:r>
      <w:r>
        <w:rPr>
          <w:spacing w:val="-2"/>
        </w:rPr>
        <w:t>元（含</w:t>
      </w:r>
      <w:r>
        <w:rPr>
          <w:spacing w:val="-51"/>
        </w:rPr>
        <w:t> </w:t>
      </w:r>
      <w:r>
        <w:rPr>
          <w:spacing w:val="-51"/>
        </w:rPr>
      </w:r>
      <w:r>
        <w:rPr/>
        <w:t>税）；累计剩余未分配利润</w:t>
      </w:r>
      <w:r>
        <w:rPr>
          <w:rFonts w:ascii="Times New Roman" w:hAnsi="Times New Roman" w:cs="Times New Roman" w:eastAsia="Times New Roman" w:hint="default"/>
        </w:rPr>
        <w:t>126,477,105.90</w:t>
      </w:r>
      <w:r>
        <w:rPr/>
        <w:t>元，结转至下年度。同时，母公司年末资本公积为</w:t>
      </w:r>
      <w:r>
        <w:rPr>
          <w:rFonts w:ascii="Times New Roman" w:hAnsi="Times New Roman" w:cs="Times New Roman" w:eastAsia="Times New Roman" w:hint="default"/>
        </w:rPr>
        <w:t>340,369,049.73</w:t>
      </w:r>
      <w:r>
        <w:rPr/>
        <w:t>元，以</w:t>
      </w:r>
      <w:r>
        <w:rPr>
          <w:rFonts w:ascii="Times New Roman" w:hAnsi="Times New Roman" w:cs="Times New Roman" w:eastAsia="Times New Roman" w:hint="default"/>
        </w:rPr>
        <w:t>2013</w:t>
      </w:r>
      <w:r>
        <w:rPr/>
        <w:t>年末</w:t>
      </w:r>
      <w:r>
        <w:rPr>
          <w:spacing w:val="-3"/>
        </w:rPr>
        <w:t> </w:t>
      </w:r>
      <w:r>
        <w:rPr>
          <w:spacing w:val="-2"/>
        </w:rPr>
        <w:t>公司总股本</w:t>
      </w:r>
      <w:r>
        <w:rPr>
          <w:rFonts w:ascii="Times New Roman" w:hAnsi="Times New Roman" w:cs="Times New Roman" w:eastAsia="Times New Roman" w:hint="default"/>
          <w:spacing w:val="-2"/>
        </w:rPr>
        <w:t>153,480,000</w:t>
      </w:r>
      <w:r>
        <w:rPr>
          <w:spacing w:val="-2"/>
        </w:rPr>
        <w:t>股为基数，用母公司资本公积向全体股东每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76,740,000</w:t>
      </w:r>
      <w:r>
        <w:rPr>
          <w:spacing w:val="-2"/>
        </w:rPr>
        <w:t>股，转增后公司总股本</w:t>
      </w:r>
      <w:r>
        <w:rPr>
          <w:spacing w:val="-53"/>
        </w:rPr>
        <w:t> </w:t>
      </w:r>
      <w:r>
        <w:rPr>
          <w:spacing w:val="-53"/>
        </w:rPr>
      </w:r>
      <w:r>
        <w:rPr/>
        <w:t>将增加至</w:t>
      </w:r>
      <w:r>
        <w:rPr>
          <w:rFonts w:ascii="Times New Roman" w:hAnsi="Times New Roman" w:cs="Times New Roman" w:eastAsia="Times New Roman" w:hint="default"/>
        </w:rPr>
        <w:t>230,220,000</w:t>
      </w:r>
      <w:r>
        <w:rPr/>
        <w:t>股，转增后母公司资本公积余额为</w:t>
      </w:r>
      <w:r>
        <w:rPr>
          <w:rFonts w:ascii="Times New Roman" w:hAnsi="Times New Roman" w:cs="Times New Roman" w:eastAsia="Times New Roman" w:hint="default"/>
        </w:rPr>
        <w:t>263,629,049.73</w:t>
      </w:r>
      <w:r>
        <w:rPr/>
        <w:t>元。上述利润分配方案已于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日实施完毕。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2014</w:t>
      </w:r>
      <w:r>
        <w:rPr/>
        <w:t>年度股东大会审议通过了公司</w:t>
      </w:r>
      <w:r>
        <w:rPr>
          <w:rFonts w:ascii="Times New Roman" w:hAnsi="Times New Roman" w:cs="Times New Roman" w:eastAsia="Times New Roman" w:hint="default"/>
        </w:rPr>
        <w:t>2014</w:t>
      </w:r>
      <w:r>
        <w:rPr/>
        <w:t>年度利润分配方案：以公司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p>
    <w:p>
      <w:pPr>
        <w:pStyle w:val="BodyText"/>
        <w:spacing w:line="300" w:lineRule="auto" w:before="13"/>
        <w:ind w:left="153" w:right="183"/>
        <w:jc w:val="left"/>
      </w:pPr>
      <w:r>
        <w:rPr>
          <w:rFonts w:ascii="Times New Roman" w:hAnsi="Times New Roman" w:cs="Times New Roman" w:eastAsia="Times New Roman" w:hint="default"/>
        </w:rPr>
        <w:t>284,616,774</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元人民币（含税），共计派发现金股利</w:t>
      </w:r>
      <w:r>
        <w:rPr>
          <w:rFonts w:ascii="Times New Roman" w:hAnsi="Times New Roman" w:cs="Times New Roman" w:eastAsia="Times New Roman" w:hint="default"/>
        </w:rPr>
        <w:t>28,461,677.40</w:t>
      </w:r>
      <w:r>
        <w:rPr/>
        <w:t>元。上述利润 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日实施完毕。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日，公司第五届董事会第二次会议审议通过了公司</w:t>
      </w:r>
      <w:r>
        <w:rPr>
          <w:rFonts w:ascii="Times New Roman" w:hAnsi="Times New Roman" w:cs="Times New Roman" w:eastAsia="Times New Roman" w:hint="default"/>
          <w:spacing w:val="-2"/>
        </w:rPr>
        <w:t>2015</w:t>
      </w:r>
      <w:r>
        <w:rPr>
          <w:spacing w:val="-2"/>
        </w:rPr>
        <w:t>年度利润分配预案：拟以公司现有总股本</w:t>
      </w:r>
      <w:r>
        <w:rPr>
          <w:rFonts w:ascii="Times New Roman" w:hAnsi="Times New Roman" w:cs="Times New Roman" w:eastAsia="Times New Roman" w:hint="default"/>
          <w:spacing w:val="-2"/>
        </w:rPr>
        <w:t>358,101,350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1.50</w:t>
      </w:r>
      <w:r>
        <w:rPr/>
        <w:t>元人民币（含税），共计派送现金红利</w:t>
      </w:r>
      <w:r>
        <w:rPr>
          <w:rFonts w:ascii="Times New Roman" w:hAnsi="Times New Roman" w:cs="Times New Roman" w:eastAsia="Times New Roman" w:hint="default"/>
        </w:rPr>
        <w:t>53,715,202.50</w:t>
      </w:r>
      <w:r>
        <w:rPr/>
        <w:t>元（含税）；累计剩余 未分配利润</w:t>
      </w:r>
      <w:r>
        <w:rPr>
          <w:rFonts w:ascii="Times New Roman" w:hAnsi="Times New Roman" w:cs="Times New Roman" w:eastAsia="Times New Roman" w:hint="default"/>
        </w:rPr>
        <w:t>98,870,874.74</w:t>
      </w:r>
      <w:r>
        <w:rPr/>
        <w:t>元，结转至下年度。上述利润分配方案需经公司股东大会审议批准。</w:t>
      </w:r>
    </w:p>
    <w:p>
      <w:pPr>
        <w:pStyle w:val="BodyText"/>
        <w:spacing w:line="240" w:lineRule="auto" w:before="53"/>
        <w:ind w:left="153" w:right="90"/>
        <w:jc w:val="left"/>
      </w:pPr>
      <w:r>
        <w:rPr/>
        <w:t>公司近三年（包括本报告期）普通股现金分红情况表</w:t>
      </w:r>
    </w:p>
    <w:p>
      <w:pPr>
        <w:pStyle w:val="BodyText"/>
        <w:spacing w:line="240" w:lineRule="auto" w:before="115"/>
        <w:ind w:left="0" w:right="192"/>
        <w:jc w:val="right"/>
      </w:pPr>
      <w:r>
        <w:rPr/>
        <w:t>单位：元</w:t>
      </w:r>
    </w:p>
    <w:p>
      <w:pPr>
        <w:spacing w:line="240" w:lineRule="auto" w:before="6"/>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584"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53,715,202.50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194,690,096.58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28,461,677.40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110,029,056.96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61,392,000.00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77,167,961.05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0"/>
        <w:jc w:val="left"/>
      </w:pPr>
      <w:r>
        <w:rPr/>
        <w:t>公司报告期内盈利且母公司可供普通股股东分配利润为正但未提出普通股现金红利分配预案</w:t>
      </w:r>
    </w:p>
    <w:p>
      <w:pPr>
        <w:pStyle w:val="BodyText"/>
        <w:spacing w:line="240" w:lineRule="auto" w:before="115"/>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left="392" w:right="0"/>
        <w:jc w:val="left"/>
        <w:rPr>
          <w:b w:val="0"/>
          <w:bCs w:val="0"/>
        </w:rPr>
      </w:pPr>
      <w:bookmarkStart w:name="二、承诺事项履行情况" w:id="62"/>
      <w:bookmarkEnd w:id="62"/>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left="392" w:right="0"/>
        <w:jc w:val="left"/>
        <w:rPr>
          <w:b w:val="0"/>
          <w:bCs w:val="0"/>
        </w:rPr>
      </w:pPr>
      <w:bookmarkStart w:name="1、公司、股东、实际控制人、收购人、董事、监事、高级管理人员或其他关联方在报告期" w:id="63"/>
      <w:bookmarkEnd w:id="63"/>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2"/>
      </w:tblGrid>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22"/>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274" w:type="dxa"/>
            <w:tcBorders>
              <w:top w:val="single" w:sz="4" w:space="0" w:color="000000"/>
              <w:left w:val="single" w:sz="13" w:space="0" w:color="D4D4D4"/>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、本次交易完成后，公司承诺在业务、资产、 财务、人员、机构等方面与实际控制人及其关 </w:t>
            </w:r>
            <w:r>
              <w:rPr>
                <w:rFonts w:ascii="宋体" w:hAnsi="宋体" w:cs="宋体" w:eastAsia="宋体" w:hint="default"/>
                <w:spacing w:val="-3"/>
                <w:sz w:val="18"/>
                <w:szCs w:val="18"/>
              </w:rPr>
              <w:t>联方将继续保持独立。</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、本次交易完成后，公</w:t>
            </w:r>
            <w:r>
              <w:rPr>
                <w:rFonts w:ascii="宋体" w:hAnsi="宋体" w:cs="宋体" w:eastAsia="宋体" w:hint="default"/>
                <w:sz w:val="18"/>
                <w:szCs w:val="18"/>
              </w:rPr>
              <w:t> 司与控股股东润和投资、实际控制人周红卫、 姚宁之间也不会形成同业竞争或增加新的关联 交易。</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left="2" w:right="-50"/>
              <w:jc w:val="left"/>
              <w:rPr>
                <w:rFonts w:ascii="宋体" w:hAnsi="宋体" w:cs="宋体" w:eastAsia="宋体" w:hint="default"/>
                <w:sz w:val="20"/>
                <w:szCs w:val="20"/>
              </w:rPr>
            </w:pPr>
            <w:r>
              <w:rPr>
                <w:rFonts w:ascii="宋体" w:hAnsi="宋体" w:cs="宋体" w:eastAsia="宋体" w:hint="default"/>
                <w:position w:val="-18"/>
                <w:sz w:val="20"/>
                <w:szCs w:val="20"/>
              </w:rPr>
              <w:pict>
                <v:group style="width:42pt;height:46.8pt;mso-position-horizontal-relative:char;mso-position-vertical-relative:line" coordorigin="0,0" coordsize="840,936">
                  <v:group style="position:absolute;left:0;top:0;width:840;height:936" coordorigin="0,0" coordsize="840,936">
                    <v:shape style="position:absolute;left:0;top:0;width:840;height:936" coordorigin="0,0" coordsize="840,936" path="m0,936l840,936,840,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截至目 前，承诺 人严格信 守承诺， 未出现违 反上述承 诺的情 况。</w:t>
            </w:r>
          </w:p>
        </w:tc>
      </w:tr>
      <w:tr>
        <w:trPr>
          <w:trHeight w:val="2280" w:hRule="exact"/>
        </w:trPr>
        <w:tc>
          <w:tcPr>
            <w:tcW w:w="1418" w:type="dxa"/>
            <w:vMerge/>
            <w:tcBorders>
              <w:left w:val="single" w:sz="4" w:space="0" w:color="000000"/>
              <w:bottom w:val="nil" w:sz="6" w:space="0" w:color="auto"/>
              <w:right w:val="single" w:sz="4" w:space="0" w:color="000000"/>
            </w:tcBorders>
            <w:shd w:val="clear" w:color="auto" w:fill="D4D4D4"/>
          </w:tcPr>
          <w:p>
            <w:pPr/>
          </w:p>
        </w:tc>
        <w:tc>
          <w:tcPr>
            <w:tcW w:w="1274"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4" w:lineRule="auto"/>
              <w:ind w:left="16" w:right="19"/>
              <w:jc w:val="left"/>
              <w:rPr>
                <w:rFonts w:ascii="宋体" w:hAnsi="宋体" w:cs="宋体" w:eastAsia="宋体" w:hint="default"/>
                <w:sz w:val="18"/>
                <w:szCs w:val="18"/>
              </w:rPr>
            </w:pPr>
            <w:r>
              <w:rPr>
                <w:rFonts w:ascii="宋体" w:hAnsi="宋体" w:cs="宋体" w:eastAsia="宋体" w:hint="default"/>
                <w:spacing w:val="-6"/>
                <w:sz w:val="18"/>
                <w:szCs w:val="18"/>
              </w:rPr>
              <w:t>润和投资、周红</w:t>
            </w:r>
            <w:r>
              <w:rPr>
                <w:rFonts w:ascii="宋体" w:hAnsi="宋体" w:cs="宋体" w:eastAsia="宋体" w:hint="default"/>
                <w:sz w:val="18"/>
                <w:szCs w:val="18"/>
              </w:rPr>
              <w:t> 卫、姚宁</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关于避免同 业竞争、减 少和规范关 联交易的承 诺</w:t>
            </w:r>
          </w:p>
        </w:tc>
        <w:tc>
          <w:tcPr>
            <w:tcW w:w="3684"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（一）避免同业竞争：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本人控股和实际控制的其他企业目前均未 从事与润和软件及其子公司相竞争的业务。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本人保证本公司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 股和实际控制的其他企业未来不会以任何形式 直接或间接地从事与润和软件及其子公司相同 或相似的业务。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本人保证严格遵守 中国证监会、证券交易所有关规章及润和软件 公司章程的规定，与其他股东一样平等的行使 股东权利、履行股东义务，不利用控股股东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 际控制人的地位谋取不当利益，不损害润和软 件和其他股东的合法权益。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人违反上述声明、保证与承诺造成润和软件经 济损失的，承诺人同意赔偿相应损失。</w:t>
            </w:r>
          </w:p>
          <w:p>
            <w:pPr>
              <w:pStyle w:val="TableParagraph"/>
              <w:spacing w:line="312" w:lineRule="auto" w:before="24"/>
              <w:ind w:left="23" w:right="17"/>
              <w:jc w:val="left"/>
              <w:rPr>
                <w:rFonts w:ascii="宋体" w:hAnsi="宋体" w:cs="宋体" w:eastAsia="宋体" w:hint="default"/>
                <w:sz w:val="18"/>
                <w:szCs w:val="18"/>
              </w:rPr>
            </w:pPr>
            <w:r>
              <w:rPr>
                <w:rFonts w:ascii="宋体" w:hAnsi="宋体" w:cs="宋体" w:eastAsia="宋体" w:hint="default"/>
                <w:sz w:val="18"/>
                <w:szCs w:val="18"/>
              </w:rPr>
              <w:t>（二）减少和规范关联交易：</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w:t>
            </w:r>
            <w:r>
              <w:rPr>
                <w:rFonts w:ascii="宋体" w:hAnsi="宋体" w:cs="宋体" w:eastAsia="宋体" w:hint="default"/>
                <w:spacing w:val="-1"/>
                <w:sz w:val="18"/>
                <w:szCs w:val="18"/>
              </w:rPr>
              <w:t>及本公司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本人关联方将不会通过借款、代偿债</w:t>
            </w:r>
            <w:r>
              <w:rPr>
                <w:rFonts w:ascii="宋体" w:hAnsi="宋体" w:cs="宋体" w:eastAsia="宋体" w:hint="default"/>
                <w:sz w:val="18"/>
                <w:szCs w:val="18"/>
              </w:rPr>
              <w:t> 务、代垫款项或者其他方式占用润和软件及其 子公司之资金。</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关联方将采取措施尽量减少与润和软件及其子 公司发生关联交易；若发生必要且不可避免的 </w:t>
            </w:r>
            <w:r>
              <w:rPr>
                <w:rFonts w:ascii="宋体" w:hAnsi="宋体" w:cs="宋体" w:eastAsia="宋体" w:hint="default"/>
                <w:spacing w:val="-4"/>
                <w:sz w:val="18"/>
                <w:szCs w:val="18"/>
              </w:rPr>
              <w:t>关联交易，本公司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本人及本公司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本人关联方将</w:t>
            </w:r>
            <w:r>
              <w:rPr>
                <w:rFonts w:ascii="宋体" w:hAnsi="宋体" w:cs="宋体" w:eastAsia="宋体" w:hint="default"/>
                <w:spacing w:val="-72"/>
                <w:sz w:val="18"/>
                <w:szCs w:val="18"/>
              </w:rPr>
              <w:t> </w:t>
            </w:r>
            <w:r>
              <w:rPr>
                <w:rFonts w:ascii="宋体" w:hAnsi="宋体" w:cs="宋体" w:eastAsia="宋体" w:hint="default"/>
                <w:sz w:val="18"/>
                <w:szCs w:val="18"/>
              </w:rPr>
              <w:t>严格按照法律法规、规范性文件及润和软件公 司制度的规定履行信息披露义务及相关内部决 策程序和回避制度，保证交易条件和价格公正 公允，确保不损害润和软件及其他股东的合法</w:t>
            </w:r>
          </w:p>
        </w:tc>
        <w:tc>
          <w:tcPr>
            <w:tcW w:w="852" w:type="dxa"/>
            <w:vMerge w:val="restart"/>
            <w:tcBorders>
              <w:top w:val="single" w:sz="4" w:space="0" w:color="000000"/>
              <w:left w:val="single" w:sz="4" w:space="0" w:color="000000"/>
              <w:right w:val="single" w:sz="4" w:space="0" w:color="000000"/>
            </w:tcBorders>
          </w:tcPr>
          <w:p>
            <w:pPr>
              <w:pStyle w:val="TableParagraph"/>
              <w:spacing w:line="3568" w:lineRule="exact"/>
              <w:ind w:left="2" w:right="-50"/>
              <w:jc w:val="left"/>
              <w:rPr>
                <w:rFonts w:ascii="宋体" w:hAnsi="宋体" w:cs="宋体" w:eastAsia="宋体" w:hint="default"/>
                <w:sz w:val="20"/>
                <w:szCs w:val="20"/>
              </w:rPr>
            </w:pPr>
            <w:r>
              <w:rPr>
                <w:rFonts w:ascii="宋体" w:hAnsi="宋体" w:cs="宋体" w:eastAsia="宋体" w:hint="default"/>
                <w:position w:val="-70"/>
                <w:sz w:val="20"/>
                <w:szCs w:val="20"/>
              </w:rPr>
              <w:pict>
                <v:group style="width:42pt;height:178.45pt;mso-position-horizontal-relative:char;mso-position-vertical-relative:line" coordorigin="0,0" coordsize="840,3569">
                  <v:group style="position:absolute;left:0;top:0;width:840;height:3569" coordorigin="0,0" coordsize="840,3569">
                    <v:shape style="position:absolute;left:0;top:0;width:840;height:3569" coordorigin="0,0" coordsize="840,3569" path="m0,3569l840,3569,840,0,0,0,0,3569xe" filled="true" fillcolor="#ffffff" stroked="false">
                      <v:path arrowok="t"/>
                      <v:fill type="solid"/>
                    </v:shape>
                  </v:group>
                </v:group>
              </w:pict>
            </w:r>
            <w:r>
              <w:rPr>
                <w:rFonts w:ascii="宋体" w:hAnsi="宋体" w:cs="宋体" w:eastAsia="宋体" w:hint="default"/>
                <w:position w:val="-70"/>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截至目 前，承诺 人严格信 守承诺， 未出现违 反上述承 诺的情 况。</w:t>
            </w:r>
          </w:p>
        </w:tc>
      </w:tr>
      <w:tr>
        <w:trPr>
          <w:trHeight w:val="703" w:hRule="exact"/>
        </w:trPr>
        <w:tc>
          <w:tcPr>
            <w:tcW w:w="14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274" w:type="dxa"/>
            <w:vMerge/>
            <w:tcBorders>
              <w:left w:val="single" w:sz="10" w:space="0" w:color="D4D4D4"/>
              <w:right w:val="single" w:sz="4" w:space="0" w:color="000000"/>
            </w:tcBorders>
          </w:tcPr>
          <w:p>
            <w:pPr/>
          </w:p>
        </w:tc>
        <w:tc>
          <w:tcPr>
            <w:tcW w:w="994" w:type="dxa"/>
            <w:vMerge/>
            <w:tcBorders>
              <w:left w:val="single" w:sz="4" w:space="0" w:color="000000"/>
              <w:right w:val="single" w:sz="4" w:space="0" w:color="000000"/>
            </w:tcBorders>
          </w:tcPr>
          <w:p>
            <w:pPr/>
          </w:p>
        </w:tc>
        <w:tc>
          <w:tcPr>
            <w:tcW w:w="368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4867" w:hRule="exact"/>
        </w:trPr>
        <w:tc>
          <w:tcPr>
            <w:tcW w:w="1418"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4" w:type="dxa"/>
            <w:vMerge/>
            <w:tcBorders>
              <w:left w:val="single" w:sz="10" w:space="0" w:color="D4D4D4"/>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68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r>
        <w:rPr/>
        <w:pict>
          <v:group style="position:absolute;margin-left:411.359985pt;margin-top:660.839966pt;width:42pt;height:100.45pt;mso-position-horizontal-relative:page;mso-position-vertical-relative:page;z-index:-1147720" coordorigin="8227,13217" coordsize="840,2009">
            <v:shape style="position:absolute;left:8227;top:13217;width:840;height:2009" coordorigin="8227,13217" coordsize="840,2009" path="m8227,15226l9067,15226,9067,13217,8227,13217,8227,1522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4"/>
      </w:tblGrid>
      <w:tr>
        <w:trPr>
          <w:trHeight w:val="362"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本人于润和软件本次非公开发行股份募集配套 资金中以现金认购所取得的润和软件股份，自 该股份上市之日起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个月内将不以任何方式 转让，包括但不限于通过证券市场公开转让或 通过协议方式转让，也不由润和软件回购。由 于润和软件送红股，转增股本原因而增持的股 份，亦遵照上述锁定日期进行锁定。如《中华 </w:t>
            </w:r>
            <w:r>
              <w:rPr>
                <w:rFonts w:ascii="宋体" w:hAnsi="宋体" w:cs="宋体" w:eastAsia="宋体" w:hint="default"/>
                <w:spacing w:val="-10"/>
                <w:sz w:val="18"/>
                <w:szCs w:val="18"/>
              </w:rPr>
              <w:t>人民共和国公司法》、《中华人民共和国证券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法》、证券监管部门对本人持有的股份有其他锁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定要求的，本人亦将遵照执行。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人严格信 守承诺， 未出现违 反上述承 诺的情 况。</w:t>
            </w:r>
          </w:p>
        </w:tc>
      </w:tr>
      <w:tr>
        <w:trPr>
          <w:trHeight w:val="3211"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58"/>
              <w:jc w:val="left"/>
              <w:rPr>
                <w:rFonts w:ascii="宋体" w:hAnsi="宋体" w:cs="宋体" w:eastAsia="宋体" w:hint="default"/>
                <w:sz w:val="18"/>
                <w:szCs w:val="18"/>
              </w:rPr>
            </w:pPr>
            <w:r>
              <w:rPr>
                <w:rFonts w:ascii="宋体" w:hAnsi="宋体" w:cs="宋体" w:eastAsia="宋体" w:hint="default"/>
                <w:sz w:val="18"/>
                <w:szCs w:val="18"/>
              </w:rPr>
              <w:t>浙江海宁嘉慧 投资合伙企业</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本企业于润和软件本次非公开发行股份募集配 套资金中以现金认购所取得的润和软件股份， 自该股份上市之日起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个月内将不以任何方 式转让，包括但不限于通过证券市场公开转让 或通过协议方式转让，也不由润和软件回购。 由于润和软件送红股，转增股本原因而增持的 股份，亦遵照上述锁定日期进行锁定。如《中 </w:t>
            </w:r>
            <w:r>
              <w:rPr>
                <w:rFonts w:ascii="宋体" w:hAnsi="宋体" w:cs="宋体" w:eastAsia="宋体" w:hint="default"/>
                <w:spacing w:val="-9"/>
                <w:sz w:val="18"/>
                <w:szCs w:val="18"/>
              </w:rPr>
              <w:t>华人民共和国公司法》、《中华人民共和国证券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法》、证券监管部门对本人持有的股份有其他锁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定要求的，本企业亦将遵照执行。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人严格履 行承诺， 未出现违 反上述承 诺的情形</w:t>
            </w:r>
          </w:p>
        </w:tc>
      </w:tr>
      <w:tr>
        <w:trPr>
          <w:trHeight w:val="2273"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王杰、王拥军、 吴向东、郭小 </w:t>
            </w:r>
            <w:r>
              <w:rPr>
                <w:rFonts w:ascii="宋体" w:hAnsi="宋体" w:cs="宋体" w:eastAsia="宋体" w:hint="default"/>
                <w:spacing w:val="-6"/>
                <w:sz w:val="18"/>
                <w:szCs w:val="18"/>
              </w:rPr>
              <w:t>宇、许峰、吴天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3" w:right="14"/>
              <w:jc w:val="both"/>
              <w:rPr>
                <w:rFonts w:ascii="宋体" w:hAnsi="宋体" w:cs="宋体" w:eastAsia="宋体" w:hint="default"/>
                <w:sz w:val="18"/>
                <w:szCs w:val="18"/>
              </w:rPr>
            </w:pPr>
            <w:r>
              <w:rPr>
                <w:rFonts w:ascii="宋体" w:hAnsi="宋体" w:cs="宋体" w:eastAsia="宋体" w:hint="default"/>
                <w:sz w:val="18"/>
                <w:szCs w:val="18"/>
              </w:rPr>
              <w:t>本人以持有的捷科智诚股权所认购取得的润和 </w:t>
            </w:r>
            <w:r>
              <w:rPr>
                <w:rFonts w:ascii="宋体" w:hAnsi="宋体" w:cs="宋体" w:eastAsia="宋体" w:hint="default"/>
                <w:spacing w:val="-5"/>
                <w:sz w:val="18"/>
                <w:szCs w:val="18"/>
              </w:rPr>
              <w:t>软件股份，自该股份上市之日起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个月内将不 以任何方式转让，包括但不限于通过证券市场 公开转让或通过协议方式转让，因捷科智诚未 实现承诺业绩而由润和软件回购的情形除外。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人严格履 行承诺， 未出现违 反上述承 诺的情形</w:t>
            </w:r>
          </w:p>
        </w:tc>
      </w:tr>
      <w:tr>
        <w:trPr>
          <w:trHeight w:val="4730"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32"/>
              <w:jc w:val="left"/>
              <w:rPr>
                <w:rFonts w:ascii="宋体" w:hAnsi="宋体" w:cs="宋体" w:eastAsia="宋体" w:hint="default"/>
                <w:sz w:val="18"/>
                <w:szCs w:val="18"/>
              </w:rPr>
            </w:pPr>
            <w:r>
              <w:rPr>
                <w:rFonts w:ascii="宋体" w:hAnsi="宋体" w:cs="宋体" w:eastAsia="宋体" w:hint="default"/>
                <w:sz w:val="18"/>
                <w:szCs w:val="18"/>
              </w:rPr>
              <w:t>王杰、王拥军、 吴向东、郭小 </w:t>
            </w:r>
            <w:r>
              <w:rPr>
                <w:rFonts w:ascii="宋体" w:hAnsi="宋体" w:cs="宋体" w:eastAsia="宋体" w:hint="default"/>
                <w:spacing w:val="-6"/>
                <w:sz w:val="18"/>
                <w:szCs w:val="18"/>
              </w:rPr>
              <w:t>宇、吴天波、许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峰</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11" w:right="59"/>
              <w:jc w:val="left"/>
              <w:rPr>
                <w:rFonts w:ascii="宋体" w:hAnsi="宋体" w:cs="宋体" w:eastAsia="宋体" w:hint="default"/>
                <w:sz w:val="18"/>
                <w:szCs w:val="18"/>
              </w:rPr>
            </w:pPr>
            <w:r>
              <w:rPr>
                <w:rFonts w:ascii="宋体" w:hAnsi="宋体" w:cs="宋体" w:eastAsia="宋体" w:hint="default"/>
                <w:sz w:val="18"/>
                <w:szCs w:val="18"/>
              </w:rPr>
              <w:t>关于规范资 金占用行 为、减少和 规范关联交 易的承诺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tabs>
                <w:tab w:pos="3146" w:val="left" w:leader="none"/>
              </w:tabs>
              <w:spacing w:line="312" w:lineRule="auto" w:before="49"/>
              <w:ind w:left="23" w:right="-41"/>
              <w:jc w:val="left"/>
              <w:rPr>
                <w:rFonts w:ascii="宋体" w:hAnsi="宋体" w:cs="宋体" w:eastAsia="宋体" w:hint="default"/>
                <w:sz w:val="18"/>
                <w:szCs w:val="18"/>
              </w:rPr>
            </w:pPr>
            <w:r>
              <w:rPr>
                <w:rFonts w:ascii="宋体" w:hAnsi="宋体" w:cs="宋体" w:eastAsia="宋体" w:hint="default"/>
                <w:spacing w:val="-3"/>
                <w:sz w:val="18"/>
                <w:szCs w:val="18"/>
              </w:rPr>
              <w:t>一、规范资金占用行为：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w:t>
            </w:r>
            <w:r>
              <w:rPr>
                <w:rFonts w:ascii="宋体" w:hAnsi="宋体" w:cs="宋体" w:eastAsia="宋体" w:hint="default"/>
                <w:sz w:val="18"/>
                <w:szCs w:val="18"/>
              </w:rPr>
              <w:t> 日，本人及本人对外投资（包括直接持股、间 </w:t>
            </w:r>
            <w:r>
              <w:rPr>
                <w:rFonts w:ascii="宋体" w:hAnsi="宋体" w:cs="宋体" w:eastAsia="宋体" w:hint="default"/>
                <w:spacing w:val="-8"/>
                <w:sz w:val="18"/>
                <w:szCs w:val="18"/>
              </w:rPr>
              <w:t>接持股或委托持股）、实际控制的企业与捷科智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诚及其子公司之间的非经营性资金往来已全部 清理完毕，不存在纠纷。</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、本承诺出具日后， 本人及本人对外投资、实际控制的企业不会利 用本人的股东身份或职务便利以借款、代偿债 务、代垫款项或者其他方式占用捷科智诚及其 </w:t>
            </w:r>
            <w:r>
              <w:rPr>
                <w:rFonts w:ascii="宋体" w:hAnsi="宋体" w:cs="宋体" w:eastAsia="宋体" w:hint="default"/>
                <w:spacing w:val="-3"/>
                <w:sz w:val="18"/>
                <w:szCs w:val="18"/>
              </w:rPr>
              <w:t>子公司之资金。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、本人保证本人关系密切的家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庭成员（包括配偶、父母及配偶的父母、兄弟 姐妹及其配偶、年满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周岁的子女及其配偶、 配偶的兄弟姐妹和子女配偶的父母等）也遵守 以上承诺。</w:t>
              <w:tab/>
            </w:r>
            <w:r>
              <w:rPr>
                <w:rFonts w:ascii="宋体" w:hAnsi="宋体" w:cs="宋体" w:eastAsia="宋体" w:hint="default"/>
                <w:spacing w:val="-22"/>
                <w:sz w:val="18"/>
                <w:szCs w:val="18"/>
              </w:rPr>
              <w:t>二、减</w:t>
            </w:r>
            <w:r>
              <w:rPr>
                <w:rFonts w:ascii="宋体" w:hAnsi="宋体" w:cs="宋体" w:eastAsia="宋体" w:hint="default"/>
                <w:sz w:val="18"/>
                <w:szCs w:val="18"/>
              </w:rPr>
            </w:r>
          </w:p>
          <w:p>
            <w:pPr>
              <w:pStyle w:val="TableParagraph"/>
              <w:spacing w:line="300" w:lineRule="auto" w:before="22"/>
              <w:ind w:left="23" w:right="17"/>
              <w:jc w:val="left"/>
              <w:rPr>
                <w:rFonts w:ascii="宋体" w:hAnsi="宋体" w:cs="宋体" w:eastAsia="宋体" w:hint="default"/>
                <w:sz w:val="18"/>
                <w:szCs w:val="18"/>
              </w:rPr>
            </w:pPr>
            <w:r>
              <w:rPr>
                <w:rFonts w:ascii="宋体" w:hAnsi="宋体" w:cs="宋体" w:eastAsia="宋体" w:hint="default"/>
                <w:spacing w:val="-3"/>
                <w:sz w:val="18"/>
                <w:szCs w:val="18"/>
              </w:rPr>
              <w:t>少和规范关联交易：</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、本次交易完成后，本人</w:t>
            </w:r>
            <w:r>
              <w:rPr>
                <w:rFonts w:ascii="宋体" w:hAnsi="宋体" w:cs="宋体" w:eastAsia="宋体" w:hint="default"/>
                <w:sz w:val="18"/>
                <w:szCs w:val="18"/>
              </w:rPr>
              <w:t> 及本人对外投资的企业（包括但不限于直接持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08"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pict>
                <v:group style="width:42pt;height:100.45pt;mso-position-horizontal-relative:char;mso-position-vertical-relative:line" coordorigin="0,0" coordsize="840,2009">
                  <v:group style="position:absolute;left:0;top:0;width:840;height:2009" coordorigin="0,0" coordsize="840,2009">
                    <v:shape style="position:absolute;left:0;top:0;width:840;height:2009" coordorigin="0,0" coordsize="840,2009" path="m0,2009l840,2009,840,0,0,0,0,2009xe" filled="true" fillcolor="#ffffff" stroked="false">
                      <v:path arrowok="t"/>
                      <v:fill type="solid"/>
                    </v:shape>
                  </v:group>
                </v:group>
              </w:pict>
            </w:r>
            <w:r>
              <w:rPr>
                <w:rFonts w:ascii="Times New Roman" w:hAnsi="Times New Roman" w:cs="Times New Roman" w:eastAsia="Times New Roman" w:hint="default"/>
                <w:position w:val="-39"/>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人严格履 行承诺， 未出现违 反上述承 诺的情形</w:t>
            </w:r>
          </w:p>
        </w:tc>
      </w:tr>
    </w:tbl>
    <w:p>
      <w:pPr>
        <w:spacing w:after="0" w:line="316" w:lineRule="auto"/>
        <w:jc w:val="left"/>
        <w:rPr>
          <w:rFonts w:ascii="宋体" w:hAnsi="宋体" w:cs="宋体" w:eastAsia="宋体" w:hint="default"/>
          <w:sz w:val="18"/>
          <w:szCs w:val="18"/>
        </w:rPr>
        <w:sectPr>
          <w:pgSz w:w="11910" w:h="16840"/>
          <w:pgMar w:header="745" w:footer="982" w:top="1060" w:bottom="1180" w:left="740" w:right="720"/>
        </w:sectPr>
      </w:pPr>
    </w:p>
    <w:p>
      <w:pPr>
        <w:spacing w:line="240" w:lineRule="auto" w:before="0"/>
        <w:rPr>
          <w:rFonts w:ascii="Times New Roman" w:hAnsi="Times New Roman" w:cs="Times New Roman" w:eastAsia="Times New Roman" w:hint="default"/>
          <w:sz w:val="20"/>
          <w:szCs w:val="20"/>
        </w:rPr>
      </w:pPr>
      <w:r>
        <w:rPr/>
        <w:pict>
          <v:shape style="position:absolute;margin-left:369.243011pt;margin-top:72.47998pt;width:84.15pt;height:485.65pt;mso-position-horizontal-relative:page;mso-position-vertical-relative:page;z-index:-1147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0" w:right="0"/>
                    <w:jc w:val="left"/>
                  </w:pPr>
                  <w:r>
                    <w:rPr/>
                    <w:t>按照公平、</w:t>
                  </w:r>
                </w:p>
              </w:txbxContent>
            </v:textbox>
            <w10:wrap type="none"/>
          </v:shape>
        </w:pict>
      </w:r>
      <w:r>
        <w:rPr/>
        <w:pict>
          <v:group style="position:absolute;margin-left:411.359985pt;margin-top:72.47998pt;width:42pt;height:571pt;mso-position-horizontal-relative:page;mso-position-vertical-relative:page;z-index:-1147672" coordorigin="8227,1450" coordsize="840,11420">
            <v:group style="position:absolute;left:8227;top:1450;width:840;height:9713" coordorigin="8227,1450" coordsize="840,9713">
              <v:shape style="position:absolute;left:8227;top:1450;width:840;height:9713" coordorigin="8227,1450" coordsize="840,9713" path="m8227,11162l9067,11162,9067,1450,8227,1450,8227,11162xe" filled="true" fillcolor="#ffffff" stroked="false">
                <v:path arrowok="t"/>
                <v:fill type="solid"/>
              </v:shape>
            </v:group>
            <v:group style="position:absolute;left:8227;top:11172;width:840;height:1697" coordorigin="8227,11172" coordsize="840,1697">
              <v:shape style="position:absolute;left:8227;top:11172;width:840;height:1697" coordorigin="8227,11172" coordsize="840,1697" path="m8227,12869l9067,12869,9067,11172,8227,11172,8227,12869xe" filled="true" fillcolor="#ffffff" stroked="false">
                <v:path arrowok="t"/>
                <v:fill type="solid"/>
              </v:shape>
            </v:group>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4"/>
      </w:tblGrid>
      <w:tr>
        <w:trPr>
          <w:trHeight w:val="9722"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both"/>
              <w:rPr>
                <w:rFonts w:ascii="宋体" w:hAnsi="宋体" w:cs="宋体" w:eastAsia="宋体" w:hint="default"/>
                <w:sz w:val="18"/>
                <w:szCs w:val="18"/>
              </w:rPr>
            </w:pPr>
            <w:r>
              <w:rPr>
                <w:rFonts w:ascii="宋体" w:hAnsi="宋体" w:cs="宋体" w:eastAsia="宋体" w:hint="default"/>
                <w:spacing w:val="-8"/>
                <w:sz w:val="18"/>
                <w:szCs w:val="18"/>
              </w:rPr>
              <w:t>股、间接持股或委托持股）、实际控制或担任董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事、高级管理人员的企业将尽可能减少与润和 软件及其下属公司（包括但不限于捷科智诚） 的关联交易，不会利用自身作为润和软件股东 之地位谋求与润和软件及其下属公司（包括但 不限于捷科智诚）在业务合作等方面给予优于 市场第三方的权利；不会利用自身作为润和软 件股东之地位谋求与润和软件及其下属公司</w:t>
            </w:r>
          </w:p>
          <w:p>
            <w:pPr>
              <w:pStyle w:val="TableParagraph"/>
              <w:spacing w:line="314"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（包括但不限于捷科智诚）达成交易的优先权 </w:t>
            </w:r>
            <w:r>
              <w:rPr>
                <w:rFonts w:ascii="宋体" w:hAnsi="宋体" w:cs="宋体" w:eastAsia="宋体" w:hint="default"/>
                <w:spacing w:val="-3"/>
                <w:sz w:val="18"/>
                <w:szCs w:val="18"/>
              </w:rPr>
              <w:t>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、若发生必要且不可避免的关联交易，本</w:t>
            </w:r>
            <w:r>
              <w:rPr>
                <w:rFonts w:ascii="宋体" w:hAnsi="宋体" w:cs="宋体" w:eastAsia="宋体" w:hint="default"/>
                <w:sz w:val="18"/>
                <w:szCs w:val="18"/>
              </w:rPr>
              <w:t> 人及本人对外投资的企业（包括但不限于直接 </w:t>
            </w:r>
            <w:r>
              <w:rPr>
                <w:rFonts w:ascii="宋体" w:hAnsi="宋体" w:cs="宋体" w:eastAsia="宋体" w:hint="default"/>
                <w:spacing w:val="-8"/>
                <w:sz w:val="18"/>
                <w:szCs w:val="18"/>
              </w:rPr>
              <w:t>持股、间接持股或委托持股）、实际控制或担任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董事、高级管理人员的企业将与润和软件及其 下属公司（包括但不限于捷科智诚）</w:t>
            </w:r>
            <w:r>
              <w:rPr>
                <w:rFonts w:ascii="宋体" w:hAnsi="宋体" w:cs="宋体" w:eastAsia="宋体" w:hint="default"/>
                <w:sz w:val="18"/>
                <w:szCs w:val="18"/>
              </w:rPr>
              <w:t> 公允、等价有偿等原则依法签订协议，履行合 法程序，并将按照有关法律法规和《江苏润和 软件股份有限公司章程》的规定履行信息披露 义务及相关内部决策程序和回避制度，关联交 易价格依照与无关联关系的独立第三方进行相 同或相似交易时的价格确定，保证关联交易价 格具有公允性，亦不利用该等交易从事任何损 害润和软件及润和软件股东的合法权益的行 </w:t>
            </w:r>
            <w:r>
              <w:rPr>
                <w:rFonts w:ascii="宋体" w:hAnsi="宋体" w:cs="宋体" w:eastAsia="宋体" w:hint="default"/>
                <w:spacing w:val="-3"/>
                <w:sz w:val="18"/>
                <w:szCs w:val="18"/>
              </w:rPr>
              <w:t>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、本人保证将依照《江苏润和软件股份有</w:t>
            </w:r>
            <w:r>
              <w:rPr>
                <w:rFonts w:ascii="宋体" w:hAnsi="宋体" w:cs="宋体" w:eastAsia="宋体" w:hint="default"/>
                <w:sz w:val="18"/>
                <w:szCs w:val="18"/>
              </w:rPr>
              <w:t> 限公司章程》的规定参加股东大会，平等地行 使相应权利，承担相应义务，不利用股东地位 谋取不正当利益，不利用关联交易非法转移润 和软件及其下属子公司（包括但不限于捷科智 诚）的资金、利润，保证不损害润和软件及股 </w:t>
            </w:r>
            <w:r>
              <w:rPr>
                <w:rFonts w:ascii="宋体" w:hAnsi="宋体" w:cs="宋体" w:eastAsia="宋体" w:hint="default"/>
                <w:spacing w:val="-3"/>
                <w:sz w:val="18"/>
                <w:szCs w:val="18"/>
              </w:rPr>
              <w:t>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、若违反上述声明和保证，本</w:t>
            </w:r>
            <w:r>
              <w:rPr>
                <w:rFonts w:ascii="宋体" w:hAnsi="宋体" w:cs="宋体" w:eastAsia="宋体" w:hint="default"/>
                <w:sz w:val="18"/>
                <w:szCs w:val="18"/>
              </w:rPr>
              <w:t> 人将对前述行为给润和软件造成的损失向润和 软件进行赔偿。</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106"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59"/>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、截至本承诺出具之日，本人及本人直接或间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接控制的企业、或直接或间接参与经营管理的 企业未在中华人民共和国（包括香港、澳门及 台湾地区）从事与润和软件及其下属公司（包 括但不限于捷科智诚）相同或相似的业务。</w:t>
            </w:r>
            <w:r>
              <w:rPr>
                <w:rFonts w:ascii="Times New Roman" w:hAnsi="Times New Roman" w:cs="Times New Roman" w:eastAsia="Times New Roman" w:hint="default"/>
                <w:sz w:val="18"/>
                <w:szCs w:val="18"/>
              </w:rPr>
              <w:t>2 </w:t>
            </w:r>
            <w:r>
              <w:rPr>
                <w:rFonts w:ascii="宋体" w:hAnsi="宋体" w:cs="宋体" w:eastAsia="宋体" w:hint="default"/>
                <w:sz w:val="18"/>
                <w:szCs w:val="18"/>
              </w:rPr>
              <w:t>本次交易完成后至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2"/>
                <w:sz w:val="18"/>
                <w:szCs w:val="18"/>
              </w:rPr>
              <w:t>日期间，本</w:t>
            </w:r>
            <w:r>
              <w:rPr>
                <w:rFonts w:ascii="宋体" w:hAnsi="宋体" w:cs="宋体" w:eastAsia="宋体" w:hint="default"/>
                <w:sz w:val="18"/>
                <w:szCs w:val="18"/>
              </w:rPr>
              <w:t> 人及本人直接或间接控制的企业、或直接或间 接参与经营管理的企业不会在中华人民共和国</w:t>
            </w:r>
          </w:p>
          <w:p>
            <w:pPr>
              <w:pStyle w:val="TableParagraph"/>
              <w:spacing w:line="316" w:lineRule="auto" w:before="24"/>
              <w:ind w:left="23"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（包括香港、澳门及台湾地区）从事与润和软 件及其下属公司（包括但不限于捷科智诚）相 同或相似的业务。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、本次交易完成后至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p>
          <w:p>
            <w:pPr>
              <w:pStyle w:val="TableParagraph"/>
              <w:spacing w:line="300" w:lineRule="auto"/>
              <w:ind w:left="23" w:right="4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日期间，本人及本人直接或间接控 制的企业、或直接或间接参与经营管理的企业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人均严格 信守承 诺，未出 现违反上 述承诺的 情况。</w:t>
            </w:r>
          </w:p>
        </w:tc>
      </w:tr>
    </w:tbl>
    <w:p>
      <w:pPr>
        <w:spacing w:after="0" w:line="316" w:lineRule="auto"/>
        <w:jc w:val="left"/>
        <w:rPr>
          <w:rFonts w:ascii="宋体" w:hAnsi="宋体" w:cs="宋体" w:eastAsia="宋体" w:hint="default"/>
          <w:sz w:val="18"/>
          <w:szCs w:val="18"/>
        </w:rPr>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r>
        <w:rPr/>
        <w:pict>
          <v:shape style="position:absolute;margin-left:261.243011pt;margin-top:72.47998pt;width:192.15pt;height:298.45pt;mso-position-horizontal-relative:page;mso-position-vertical-relative:page;z-index:-1147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8"/>
                      <w:szCs w:val="18"/>
                    </w:rPr>
                  </w:pPr>
                </w:p>
                <w:p>
                  <w:pPr>
                    <w:pStyle w:val="BodyText"/>
                    <w:spacing w:line="240" w:lineRule="auto"/>
                    <w:ind w:left="0" w:right="0" w:firstLine="1800"/>
                    <w:jc w:val="left"/>
                  </w:pPr>
                  <w:r>
                    <w:rPr/>
                    <w:t>（含开发服务、</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pStyle w:val="BodyText"/>
                    <w:spacing w:line="240" w:lineRule="auto"/>
                    <w:ind w:left="0" w:right="0"/>
                    <w:jc w:val="left"/>
                  </w:pPr>
                  <w:r>
                    <w:rPr/>
                    <w:t>配偶的兄弟姐妹和子女配偶的父母等）</w:t>
                  </w:r>
                </w:p>
              </w:txbxContent>
            </v:textbox>
            <w10:wrap type="none"/>
          </v:shape>
        </w:pict>
      </w:r>
      <w:r>
        <w:rPr/>
        <w:pict>
          <v:shape style="position:absolute;margin-left:342.243011pt;margin-top:371.399994pt;width:111.15pt;height:178.45pt;mso-position-horizontal-relative:page;mso-position-vertical-relative:page;z-index:-1147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780"/>
                    <w:jc w:val="center"/>
                  </w:pPr>
                  <w:r>
                    <w:rPr/>
                    <w:t>监及董事会秘书）</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0" w:right="600"/>
                    <w:jc w:val="center"/>
                  </w:pPr>
                  <w:r>
                    <w:rPr/>
                    <w:t>（包括总经理、</w:t>
                  </w:r>
                </w:p>
              </w:txbxContent>
            </v:textbox>
            <w10:wrap type="none"/>
          </v:shape>
        </w:pict>
      </w:r>
      <w:r>
        <w:rPr/>
        <w:pict>
          <v:shape style="position:absolute;margin-left:324.243011pt;margin-top:585pt;width:129.15pt;height:178.45pt;mso-position-horizontal-relative:page;mso-position-vertical-relative:page;z-index:-1147600" type="#_x0000_t202" filled="false" stroked="false">
            <v:textbox inset="0,0,0,0">
              <w:txbxContent>
                <w:p>
                  <w:pPr>
                    <w:pStyle w:val="BodyText"/>
                    <w:spacing w:line="240" w:lineRule="auto" w:before="145"/>
                    <w:ind w:left="0" w:right="779"/>
                    <w:jc w:val="right"/>
                  </w:pPr>
                  <w:r>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316" w:lineRule="auto"/>
                    <w:ind w:left="0" w:right="780" w:firstLine="900"/>
                    <w:jc w:val="right"/>
                  </w:pPr>
                  <w:r>
                    <w:rPr/>
                    <w:t>副总经理、 的企业违反上述承诺，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0"/>
                      <w:szCs w:val="20"/>
                    </w:rPr>
                  </w:pPr>
                </w:p>
                <w:p>
                  <w:pPr>
                    <w:pStyle w:val="BodyText"/>
                    <w:spacing w:line="240" w:lineRule="auto"/>
                    <w:ind w:left="0" w:right="780"/>
                    <w:jc w:val="right"/>
                  </w:pPr>
                  <w:r>
                    <w:rPr/>
                    <w:t>母及配偶的父母、</w:t>
                  </w:r>
                </w:p>
              </w:txbxContent>
            </v:textbox>
            <w10:wrap type="none"/>
          </v:shape>
        </w:pict>
      </w:r>
      <w:r>
        <w:rPr/>
        <w:pict>
          <v:group style="position:absolute;margin-left:411.359985pt;margin-top:72.47998pt;width:42pt;height:494.9pt;mso-position-horizontal-relative:page;mso-position-vertical-relative:page;z-index:-1147576" coordorigin="8227,1450" coordsize="840,9898">
            <v:group style="position:absolute;left:8227;top:1450;width:840;height:5969" coordorigin="8227,1450" coordsize="840,5969">
              <v:shape style="position:absolute;left:8227;top:1450;width:840;height:5969" coordorigin="8227,1450" coordsize="840,5969" path="m8227,7418l9067,7418,9067,1450,8227,1450,8227,7418xe" filled="true" fillcolor="#ffffff" stroked="false">
                <v:path arrowok="t"/>
                <v:fill type="solid"/>
              </v:shape>
            </v:group>
            <v:group style="position:absolute;left:8227;top:7428;width:840;height:3569" coordorigin="8227,7428" coordsize="840,3569">
              <v:shape style="position:absolute;left:8227;top:7428;width:840;height:3569" coordorigin="8227,7428" coordsize="840,3569" path="m8227,10997l9067,10997,9067,7428,8227,7428,8227,10997xe" filled="true" fillcolor="#ffffff" stroked="false">
                <v:path arrowok="t"/>
                <v:fill type="solid"/>
              </v:shape>
            </v:group>
            <v:group style="position:absolute;left:8249;top:10997;width:795;height:351" coordorigin="8249,10997" coordsize="795,351">
              <v:shape style="position:absolute;left:8249;top:10997;width:795;height:351" coordorigin="8249,10997" coordsize="795,351" path="m8249,11347l9043,11347,9043,10997,8249,10997,8249,11347xe" filled="true" fillcolor="#ffffff" stroked="false">
                <v:path arrowok="t"/>
                <v:fill type="solid"/>
              </v:shape>
            </v:group>
            <w10:wrap type="none"/>
          </v:group>
        </w:pict>
      </w:r>
      <w:r>
        <w:rPr/>
        <w:pict>
          <v:group style="position:absolute;margin-left:411.359985pt;margin-top:585pt;width:42pt;height:178.45pt;mso-position-horizontal-relative:page;mso-position-vertical-relative:page;z-index:-1147552" coordorigin="8227,11700" coordsize="840,3569">
            <v:shape style="position:absolute;left:8227;top:11700;width:840;height:3569" coordorigin="8227,11700" coordsize="840,3569" path="m8227,15269l9067,15269,9067,11700,8227,11700,8227,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2"/>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不会在中华人民共和国（包括香港、澳门及台</w:t>
            </w:r>
          </w:p>
        </w:tc>
        <w:tc>
          <w:tcPr>
            <w:tcW w:w="852" w:type="dxa"/>
            <w:tcBorders>
              <w:top w:val="single" w:sz="4" w:space="0" w:color="000000"/>
              <w:left w:val="single" w:sz="4" w:space="0" w:color="000000"/>
              <w:bottom w:val="nil" w:sz="6" w:space="0" w:color="auto"/>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湾地区）从事金融业（含银行、保险和证券等</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相关细分）的应用软件开发业务</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自有产品及代理产品的开发和服务）和测试业</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4</w:t>
            </w:r>
            <w:r>
              <w:rPr>
                <w:rFonts w:ascii="宋体" w:hAnsi="宋体" w:cs="宋体" w:eastAsia="宋体" w:hint="default"/>
                <w:sz w:val="18"/>
                <w:szCs w:val="18"/>
              </w:rPr>
              <w:t>、若本人及本人直接或间接控制的企业</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或直接或间接参与经营管理的企业违反上述承</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诺，本人及相关企业将采取包括但不限于停止</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经营产生竞争的业务、将产生竞争的业务纳入</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润和软件或者转让给无关联关系第三方等合法</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方式，以避免同业竞争。</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、本人保证本人关系</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密切的家庭成员（包括配偶、父母及配偶的父</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母、兄弟姐妹及其配偶、年满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周岁的子女及</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其配偶、</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也遵守以上承诺。</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、如违反上述承诺，本人将</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在违反竞业禁止业务当年向上市公司支付违约</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金，违约金数额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本次交易中本人获得的对价</w:t>
            </w:r>
            <w:r>
              <w:rPr>
                <w:rFonts w:ascii="Times New Roman" w:hAnsi="Times New Roman" w:cs="Times New Roman" w:eastAsia="Times New Roman" w:hint="default"/>
                <w:sz w:val="18"/>
                <w:szCs w:val="18"/>
              </w:rPr>
              <w:t>*</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竞业禁止义务未履行年数</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，其中竞业禁止</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义务未履行年数指违反竞业禁止义务当年至</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年的年数。</w:t>
            </w: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、截至本承诺出具之日，本人及本人直接或间</w:t>
            </w:r>
          </w:p>
        </w:tc>
        <w:tc>
          <w:tcPr>
            <w:tcW w:w="85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接控制的企业</w:t>
            </w:r>
            <w:r>
              <w:rPr>
                <w:rFonts w:ascii="宋体" w:hAnsi="宋体" w:cs="宋体" w:eastAsia="宋体" w:hint="default"/>
                <w:spacing w:val="-75"/>
                <w:sz w:val="18"/>
                <w:szCs w:val="18"/>
              </w:rPr>
              <w:t>、</w:t>
            </w:r>
            <w:r>
              <w:rPr>
                <w:rFonts w:ascii="宋体" w:hAnsi="宋体" w:cs="宋体" w:eastAsia="宋体" w:hint="default"/>
                <w:sz w:val="18"/>
                <w:szCs w:val="18"/>
              </w:rPr>
              <w:t>或担任董事或高级管理人</w:t>
            </w:r>
            <w:r>
              <w:rPr>
                <w:rFonts w:ascii="宋体" w:hAnsi="宋体" w:cs="宋体" w:eastAsia="宋体" w:hint="default"/>
                <w:spacing w:val="-75"/>
                <w:sz w:val="18"/>
                <w:szCs w:val="18"/>
              </w:rPr>
              <w:t>员</w:t>
            </w:r>
            <w:r>
              <w:rPr>
                <w:rFonts w:ascii="宋体" w:hAnsi="宋体" w:cs="宋体" w:eastAsia="宋体" w:hint="default"/>
                <w:sz w:val="18"/>
                <w:szCs w:val="18"/>
              </w:rPr>
              <w:t>（包</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括总经理、副总经理、财务总</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的企业在中华人民共和国（包括香港、澳门及</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台湾地区）未从事金融业（含银行、保险和证</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券等相关细分）的应用软件开发业务（含开发</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服务、自有产品及代理产品的开发和服务）和</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测试业务。</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、自本次交易完成之日至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686"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日，本人及本人直接或间接控制的企 </w:t>
            </w:r>
            <w:r>
              <w:rPr>
                <w:rFonts w:ascii="宋体" w:hAnsi="宋体" w:cs="宋体" w:eastAsia="宋体" w:hint="default"/>
                <w:spacing w:val="-3"/>
                <w:sz w:val="18"/>
                <w:szCs w:val="18"/>
              </w:rPr>
              <w:t>业、或担任董事或高级管理人员</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0" w:lineRule="atLeast" w:before="68"/>
              <w:ind w:left="23" w:right="96"/>
              <w:jc w:val="left"/>
              <w:rPr>
                <w:rFonts w:ascii="宋体" w:hAnsi="宋体" w:cs="宋体" w:eastAsia="宋体" w:hint="default"/>
                <w:sz w:val="18"/>
                <w:szCs w:val="18"/>
              </w:rPr>
            </w:pPr>
            <w:r>
              <w:rPr>
                <w:rFonts w:ascii="宋体" w:hAnsi="宋体" w:cs="宋体" w:eastAsia="宋体" w:hint="default"/>
                <w:sz w:val="18"/>
                <w:szCs w:val="18"/>
              </w:rPr>
              <w:t>截至目 前，承诺</w:t>
            </w:r>
          </w:p>
        </w:tc>
      </w:tr>
      <w:tr>
        <w:trPr>
          <w:trHeight w:val="1248"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pacing w:val="-6"/>
                <w:sz w:val="18"/>
                <w:szCs w:val="18"/>
              </w:rPr>
              <w:t>吴向东、吴天波</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3684" w:type="dxa"/>
            <w:tcBorders>
              <w:top w:val="nil" w:sz="6" w:space="0" w:color="auto"/>
              <w:left w:val="single" w:sz="4" w:space="0" w:color="000000"/>
              <w:bottom w:val="nil" w:sz="6" w:space="0" w:color="auto"/>
              <w:right w:val="single" w:sz="13" w:space="0" w:color="FFFFFF"/>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副总经理、财务总监及董事会秘书）的企业在</w:t>
            </w:r>
          </w:p>
          <w:p>
            <w:pPr>
              <w:pStyle w:val="TableParagraph"/>
              <w:spacing w:line="316" w:lineRule="auto" w:before="76"/>
              <w:ind w:left="23" w:right="36"/>
              <w:jc w:val="left"/>
              <w:rPr>
                <w:rFonts w:ascii="宋体" w:hAnsi="宋体" w:cs="宋体" w:eastAsia="宋体" w:hint="default"/>
                <w:sz w:val="18"/>
                <w:szCs w:val="18"/>
              </w:rPr>
            </w:pPr>
            <w:r>
              <w:rPr>
                <w:rFonts w:ascii="宋体" w:hAnsi="宋体" w:cs="宋体" w:eastAsia="宋体" w:hint="default"/>
                <w:spacing w:val="-4"/>
                <w:sz w:val="18"/>
                <w:szCs w:val="18"/>
              </w:rPr>
              <w:t>中华人民共和国（包括香港、澳门及台湾地区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未从事金融业（含银行、保险和证券等相关细 分）的应用软件开发业务（含开发服务、自有</w:t>
            </w:r>
          </w:p>
        </w:tc>
        <w:tc>
          <w:tcPr>
            <w:tcW w:w="852" w:type="dxa"/>
            <w:tcBorders>
              <w:top w:val="nil" w:sz="6" w:space="0" w:color="auto"/>
              <w:left w:val="single" w:sz="13" w:space="0" w:color="FFFFFF"/>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186"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3" w:right="96"/>
              <w:jc w:val="both"/>
              <w:rPr>
                <w:rFonts w:ascii="宋体" w:hAnsi="宋体" w:cs="宋体" w:eastAsia="宋体" w:hint="default"/>
                <w:sz w:val="18"/>
                <w:szCs w:val="18"/>
              </w:rPr>
            </w:pPr>
            <w:r>
              <w:rPr>
                <w:rFonts w:ascii="宋体" w:hAnsi="宋体" w:cs="宋体" w:eastAsia="宋体" w:hint="default"/>
                <w:sz w:val="18"/>
                <w:szCs w:val="18"/>
              </w:rPr>
              <w:t>人严格信 守承诺， 未出现违 反上述承</w:t>
            </w: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产品及代理产品的开发和服务</w:t>
            </w:r>
            <w:r>
              <w:rPr>
                <w:rFonts w:ascii="宋体" w:hAnsi="宋体" w:cs="宋体" w:eastAsia="宋体" w:hint="default"/>
                <w:spacing w:val="-75"/>
                <w:sz w:val="18"/>
                <w:szCs w:val="18"/>
              </w:rPr>
              <w:t>）</w:t>
            </w:r>
            <w:r>
              <w:rPr>
                <w:rFonts w:ascii="宋体" w:hAnsi="宋体" w:cs="宋体" w:eastAsia="宋体" w:hint="default"/>
                <w:sz w:val="18"/>
                <w:szCs w:val="18"/>
              </w:rPr>
              <w:t>和测试业务</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3</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诺的情</w:t>
            </w: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若本人及本人直接或间接控制的企业、或担任</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245"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董事或高级管理人员（包括总经理、</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财务总监及董事会秘书）</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本人及相关企业将采取包括但不限于停止经营</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产生竞争的业务、将产生竞争的业务纳入润和</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软件或者转让给无关联关系第三方等合法方</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式，以避免同业竞争。</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、本人保证本人关系密</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切的家庭成员（包括配偶、父</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兄弟姐妹及其配偶、年满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周岁的子女及其配</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偶、配偶的兄弟姐妹和子女配偶的父母等）也</w:t>
            </w: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r>
        <w:rPr/>
        <w:pict>
          <v:shape style="position:absolute;margin-left:342.23999pt;margin-top:168.599976pt;width:111.15pt;height:226.2pt;mso-position-horizontal-relative:page;mso-position-vertical-relative:page;z-index:-1147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监及董事会秘书）</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636" w:lineRule="auto"/>
                    <w:ind w:left="0" w:right="780" w:firstLine="180"/>
                    <w:jc w:val="left"/>
                  </w:pPr>
                  <w:r>
                    <w:rPr/>
                    <w:t>（包括总经理、 澳门及台湾地区）</w:t>
                  </w:r>
                </w:p>
              </w:txbxContent>
            </v:textbox>
            <w10:wrap type="none"/>
          </v:shape>
        </w:pict>
      </w:r>
      <w:r>
        <w:rPr/>
        <w:pict>
          <v:shape style="position:absolute;margin-left:324.243011pt;margin-top:429.959991pt;width:129.15pt;height:226.2pt;mso-position-horizontal-relative:page;mso-position-vertical-relative:page;z-index:-1147480" type="#_x0000_t202" filled="false" stroked="false">
            <v:textbox inset="0,0,0,0">
              <w:txbxContent>
                <w:p>
                  <w:pPr>
                    <w:pStyle w:val="BodyText"/>
                    <w:spacing w:line="240" w:lineRule="auto" w:before="125"/>
                    <w:ind w:left="360" w:right="0" w:hanging="360"/>
                    <w:jc w:val="left"/>
                  </w:pPr>
                  <w:r>
                    <w:rPr/>
                    <w:t>的企业违反上述承诺，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360" w:right="0"/>
                    <w:jc w:val="left"/>
                  </w:pPr>
                  <w:r>
                    <w:rPr/>
                    <w:t>母及配偶的父母、</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2"/>
      </w:tblGrid>
      <w:tr>
        <w:trPr>
          <w:trHeight w:val="1922"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17"/>
              <w:jc w:val="left"/>
              <w:rPr>
                <w:rFonts w:ascii="宋体" w:hAnsi="宋体" w:cs="宋体" w:eastAsia="宋体" w:hint="default"/>
                <w:sz w:val="18"/>
                <w:szCs w:val="18"/>
              </w:rPr>
            </w:pPr>
            <w:r>
              <w:rPr>
                <w:rFonts w:ascii="宋体" w:hAnsi="宋体" w:cs="宋体" w:eastAsia="宋体" w:hint="default"/>
                <w:spacing w:val="-3"/>
                <w:sz w:val="18"/>
                <w:szCs w:val="18"/>
              </w:rPr>
              <w:t>遵守以上承诺。</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、如违反上述承诺，本人将在</w:t>
            </w:r>
            <w:r>
              <w:rPr>
                <w:rFonts w:ascii="宋体" w:hAnsi="宋体" w:cs="宋体" w:eastAsia="宋体" w:hint="default"/>
                <w:sz w:val="18"/>
                <w:szCs w:val="18"/>
              </w:rPr>
              <w:t> 违反竞业禁止业务当年向上市公司支付违约 金，违约金数额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本次交易中本人获得的对价</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竞业禁止义务未履行年数</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，其中竞业禁止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义务未履行年数指违反竞业禁止义务当年至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年的年数。</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9761"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王拥军、郭小 宇、许峰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、截至本承诺出具之日，本人及本人直接或间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接控制的企业、或担任董事或高级管理人员（包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括总经理、副总经理、财务总</w:t>
            </w:r>
            <w:r>
              <w:rPr>
                <w:rFonts w:ascii="宋体" w:hAnsi="宋体" w:cs="宋体" w:eastAsia="宋体" w:hint="default"/>
                <w:sz w:val="18"/>
                <w:szCs w:val="18"/>
              </w:rPr>
              <w:t> 的企业在中华人民共和国（包括香港、澳门及 台湾地区）未从事金融业（含银行、保险和证 券等相关细分）的应用软件开发业务（含开发 服务、自有产品及代理产品的开发和服务）和 测试业务。</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、自本次交易完成之日至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before="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日，本人及本人直接或间接控制的企 </w:t>
            </w:r>
            <w:r>
              <w:rPr>
                <w:rFonts w:ascii="宋体" w:hAnsi="宋体" w:cs="宋体" w:eastAsia="宋体" w:hint="default"/>
                <w:spacing w:val="-3"/>
                <w:sz w:val="18"/>
                <w:szCs w:val="18"/>
              </w:rPr>
              <w:t>业、或担任董事或高级管理人员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副总经理、财务总监及董事会秘书）的企业在 </w:t>
            </w:r>
            <w:r>
              <w:rPr>
                <w:rFonts w:ascii="宋体" w:hAnsi="宋体" w:cs="宋体" w:eastAsia="宋体" w:hint="default"/>
                <w:spacing w:val="-3"/>
                <w:sz w:val="18"/>
                <w:szCs w:val="18"/>
              </w:rPr>
              <w:t>中华人民共和国（包括香港、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未从事金融业（含银行、保险和证券等相关细 分）的应用软件开发业务（含开发服务、自有 </w:t>
            </w:r>
            <w:r>
              <w:rPr>
                <w:rFonts w:ascii="宋体" w:hAnsi="宋体" w:cs="宋体" w:eastAsia="宋体" w:hint="default"/>
                <w:spacing w:val="-8"/>
                <w:sz w:val="18"/>
                <w:szCs w:val="18"/>
              </w:rPr>
              <w:t>产品及代理产品的开发和服务）和测试业务。</w:t>
            </w:r>
            <w:r>
              <w:rPr>
                <w:rFonts w:ascii="Times New Roman" w:hAnsi="Times New Roman" w:cs="Times New Roman" w:eastAsia="Times New Roman" w:hint="default"/>
                <w:spacing w:val="-8"/>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若本人及本人直接或间接控制的企业、或担任 </w:t>
            </w:r>
            <w:r>
              <w:rPr>
                <w:rFonts w:ascii="宋体" w:hAnsi="宋体" w:cs="宋体" w:eastAsia="宋体" w:hint="default"/>
                <w:spacing w:val="-4"/>
                <w:sz w:val="18"/>
                <w:szCs w:val="18"/>
              </w:rPr>
              <w:t>董事或高级管理人员（包括总经理、副总经理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财务总监及董事会秘书） 本人及相关企业将采取包括但不限于停止经营 产生竞争的业务、将产生竞争的业务纳入润和 软件或者转让给无关联关系第三方等合法方 </w:t>
            </w:r>
            <w:r>
              <w:rPr>
                <w:rFonts w:ascii="宋体" w:hAnsi="宋体" w:cs="宋体" w:eastAsia="宋体" w:hint="default"/>
                <w:spacing w:val="-3"/>
                <w:sz w:val="18"/>
                <w:szCs w:val="18"/>
              </w:rPr>
              <w:t>式，以避免同业竞争。</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、本人保证本人关系密</w:t>
            </w:r>
            <w:r>
              <w:rPr>
                <w:rFonts w:ascii="宋体" w:hAnsi="宋体" w:cs="宋体" w:eastAsia="宋体" w:hint="default"/>
                <w:sz w:val="18"/>
                <w:szCs w:val="18"/>
              </w:rPr>
              <w:t> </w:t>
            </w:r>
            <w:r>
              <w:rPr>
                <w:rFonts w:ascii="宋体" w:hAnsi="宋体" w:cs="宋体" w:eastAsia="宋体" w:hint="default"/>
                <w:spacing w:val="-5"/>
                <w:sz w:val="18"/>
                <w:szCs w:val="18"/>
              </w:rPr>
              <w:t>切的家庭成员（包括配偶、父</w:t>
            </w:r>
            <w:r>
              <w:rPr>
                <w:rFonts w:ascii="宋体" w:hAnsi="宋体" w:cs="宋体" w:eastAsia="宋体" w:hint="default"/>
                <w:sz w:val="18"/>
                <w:szCs w:val="18"/>
              </w:rPr>
              <w:t> </w:t>
            </w:r>
            <w:r>
              <w:rPr>
                <w:rFonts w:ascii="宋体" w:hAnsi="宋体" w:cs="宋体" w:eastAsia="宋体" w:hint="default"/>
                <w:spacing w:val="-6"/>
                <w:sz w:val="18"/>
                <w:szCs w:val="18"/>
              </w:rPr>
              <w:t>兄弟姐妹及其配偶、年满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周岁的子女及其配 偶、配偶的兄弟姐妹和子女配偶的父母等）也 </w:t>
            </w:r>
            <w:r>
              <w:rPr>
                <w:rFonts w:ascii="宋体" w:hAnsi="宋体" w:cs="宋体" w:eastAsia="宋体" w:hint="default"/>
                <w:spacing w:val="-3"/>
                <w:sz w:val="18"/>
                <w:szCs w:val="18"/>
              </w:rPr>
              <w:t>遵守以上承诺。</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、如违反上述承诺，本人将在</w:t>
            </w:r>
            <w:r>
              <w:rPr>
                <w:rFonts w:ascii="宋体" w:hAnsi="宋体" w:cs="宋体" w:eastAsia="宋体" w:hint="default"/>
                <w:sz w:val="18"/>
                <w:szCs w:val="18"/>
              </w:rPr>
              <w:t> 违反竞业禁止业务当年向上市公司支付违约 金，违约金数额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本次交易中本人获得的对价</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竞业禁止义务未履行年数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三分之一，其中竞业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禁止义务未履行年数指违反竞业禁止义务当年 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年的年数。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196" w:lineRule="exact"/>
              <w:ind w:left="-11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03" w:lineRule="exact"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9751" w:lineRule="exact"/>
              <w:ind w:left="2"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4"/>
                <w:sz w:val="20"/>
                <w:szCs w:val="20"/>
              </w:rPr>
              <w:pict>
                <v:group style="width:42pt;height:487.6pt;mso-position-horizontal-relative:char;mso-position-vertical-relative:line" coordorigin="0,0" coordsize="840,9752">
                  <v:group style="position:absolute;left:0;top:0;width:840;height:4524" coordorigin="0,0" coordsize="840,4524">
                    <v:shape style="position:absolute;left:0;top:0;width:840;height:4524" coordorigin="0,0" coordsize="840,4524" path="m0,4524l840,4524,840,0,0,0,0,4524xe" filled="true" fillcolor="#ffffff" stroked="false">
                      <v:path arrowok="t"/>
                      <v:fill type="solid"/>
                    </v:shape>
                  </v:group>
                  <v:group style="position:absolute;left:11;top:4524;width:2;height:704" coordorigin="11,4524" coordsize="2,704">
                    <v:shape style="position:absolute;left:11;top:4524;width:2;height:704" coordorigin="11,4524" coordsize="0,704" path="m11,4524l11,5227e" filled="false" stroked="true" strokeweight="1.08pt" strokecolor="#ffffff">
                      <v:path arrowok="t"/>
                    </v:shape>
                  </v:group>
                  <v:group style="position:absolute;left:0;top:5227;width:840;height:4524" coordorigin="0,5227" coordsize="840,4524">
                    <v:shape style="position:absolute;left:0;top:5227;width:840;height:4524" coordorigin="0,5227" coordsize="840,4524" path="m0,9751l840,9751,840,5227,0,5227,0,9751xe" filled="true" fillcolor="#ffffff" stroked="false">
                      <v:path arrowok="t"/>
                      <v:fill type="solid"/>
                    </v:shape>
                  </v:group>
                  <v:group style="position:absolute;left:22;top:4524;width:795;height:353" coordorigin="22,4524" coordsize="795,353">
                    <v:shape style="position:absolute;left:22;top:4524;width:795;height:353" coordorigin="22,4524" coordsize="795,353" path="m22,4877l816,4877,816,4524,22,4524,22,4877xe" filled="true" fillcolor="#ffffff" stroked="false">
                      <v:path arrowok="t"/>
                      <v:fill type="solid"/>
                    </v:shape>
                  </v:group>
                  <v:group style="position:absolute;left:22;top:4877;width:795;height:351" coordorigin="22,4877" coordsize="795,351">
                    <v:shape style="position:absolute;left:22;top:4877;width:795;height:351" coordorigin="22,4877" coordsize="795,351" path="m22,5227l816,5227,816,4877,22,4877,22,5227xe" filled="true" fillcolor="#ffffff" stroked="false">
                      <v:path arrowok="t"/>
                      <v:fill type="solid"/>
                    </v:shape>
                  </v:group>
                </v:group>
              </w:pict>
            </w:r>
            <w:r>
              <w:rPr>
                <w:rFonts w:ascii="Times New Roman" w:hAnsi="Times New Roman" w:cs="Times New Roman" w:eastAsia="Times New Roman" w:hint="default"/>
                <w:position w:val="-194"/>
                <w:sz w:val="20"/>
                <w:szCs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承诺人严 格信守承 诺，未出 现违反上 述承诺的 情况。</w:t>
            </w:r>
          </w:p>
        </w:tc>
      </w:tr>
      <w:tr>
        <w:trPr>
          <w:trHeight w:val="2234"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32"/>
              <w:jc w:val="both"/>
              <w:rPr>
                <w:rFonts w:ascii="宋体" w:hAnsi="宋体" w:cs="宋体" w:eastAsia="宋体" w:hint="default"/>
                <w:sz w:val="18"/>
                <w:szCs w:val="18"/>
              </w:rPr>
            </w:pPr>
            <w:r>
              <w:rPr>
                <w:rFonts w:ascii="宋体" w:hAnsi="宋体" w:cs="宋体" w:eastAsia="宋体" w:hint="default"/>
                <w:sz w:val="18"/>
                <w:szCs w:val="18"/>
              </w:rPr>
              <w:t>王杰、吴向东、 郭小宇、许峰、 </w:t>
            </w:r>
            <w:r>
              <w:rPr>
                <w:rFonts w:ascii="宋体" w:hAnsi="宋体" w:cs="宋体" w:eastAsia="宋体" w:hint="default"/>
                <w:spacing w:val="-6"/>
                <w:sz w:val="18"/>
                <w:szCs w:val="18"/>
              </w:rPr>
              <w:t>王拥军、吴天波</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1" w:right="5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捷科智诚 </w:t>
            </w:r>
            <w:r>
              <w:rPr>
                <w:rFonts w:ascii="Times New Roman" w:hAnsi="Times New Roman" w:cs="Times New Roman" w:eastAsia="Times New Roman" w:hint="default"/>
                <w:sz w:val="18"/>
                <w:szCs w:val="18"/>
              </w:rPr>
              <w:t>2014 </w:t>
            </w:r>
            <w:r>
              <w:rPr>
                <w:rFonts w:ascii="宋体" w:hAnsi="宋体" w:cs="宋体" w:eastAsia="宋体" w:hint="default"/>
                <w:spacing w:val="-13"/>
                <w:sz w:val="18"/>
                <w:szCs w:val="18"/>
              </w:rPr>
              <w:t>年、</w:t>
            </w:r>
            <w:r>
              <w:rPr>
                <w:rFonts w:ascii="Times New Roman" w:hAnsi="Times New Roman" w:cs="Times New Roman" w:eastAsia="Times New Roman" w:hint="default"/>
                <w:spacing w:val="-13"/>
                <w:sz w:val="18"/>
                <w:szCs w:val="18"/>
              </w:rPr>
              <w:t>2015 </w:t>
            </w:r>
            <w:r>
              <w:rPr>
                <w:rFonts w:ascii="宋体" w:hAnsi="宋体" w:cs="宋体" w:eastAsia="宋体" w:hint="default"/>
                <w:spacing w:val="-13"/>
                <w:sz w:val="18"/>
                <w:szCs w:val="18"/>
              </w:rPr>
              <w:t>年、</w:t>
            </w:r>
            <w:r>
              <w:rPr>
                <w:rFonts w:ascii="Times New Roman" w:hAnsi="Times New Roman" w:cs="Times New Roman" w:eastAsia="Times New Roman" w:hint="default"/>
                <w:spacing w:val="-13"/>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2014-2016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年度简称</w:t>
            </w:r>
            <w:r>
              <w:rPr>
                <w:rFonts w:ascii="Times New Roman" w:hAnsi="Times New Roman" w:cs="Times New Roman" w:eastAsia="Times New Roman" w:hint="default"/>
                <w:sz w:val="18"/>
                <w:szCs w:val="18"/>
              </w:rPr>
              <w:t>“</w:t>
            </w:r>
            <w:r>
              <w:rPr>
                <w:rFonts w:ascii="宋体" w:hAnsi="宋体" w:cs="宋体" w:eastAsia="宋体" w:hint="default"/>
                <w:sz w:val="18"/>
                <w:szCs w:val="18"/>
              </w:rPr>
              <w:t>考核期</w:t>
            </w:r>
            <w:r>
              <w:rPr>
                <w:rFonts w:ascii="Times New Roman" w:hAnsi="Times New Roman" w:cs="Times New Roman" w:eastAsia="Times New Roman" w:hint="default"/>
                <w:sz w:val="18"/>
                <w:szCs w:val="18"/>
              </w:rPr>
              <w:t>”</w:t>
            </w:r>
            <w:r>
              <w:rPr>
                <w:rFonts w:ascii="宋体" w:hAnsi="宋体" w:cs="宋体" w:eastAsia="宋体" w:hint="default"/>
                <w:sz w:val="18"/>
                <w:szCs w:val="18"/>
              </w:rPr>
              <w:t>）经审计的扣除非经常性损 益后的归属于母公司所有者的净利润分别不低 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 </w:t>
            </w:r>
            <w:r>
              <w:rPr>
                <w:rFonts w:ascii="宋体" w:hAnsi="宋体" w:cs="宋体" w:eastAsia="宋体" w:hint="default"/>
                <w:spacing w:val="-6"/>
                <w:sz w:val="18"/>
                <w:szCs w:val="18"/>
              </w:rPr>
              <w:t>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承诺净利润</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），考核期实现扣除非经常性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损益后的归属于母公司所有者的净利润之和不 低于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17,955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万元。如果实现净利润低于上述承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截至目 前，承诺 人严格信 守承诺， 未出现违 反上述承 诺的情</w:t>
            </w:r>
          </w:p>
        </w:tc>
      </w:tr>
    </w:tbl>
    <w:p>
      <w:pPr>
        <w:spacing w:after="0" w:line="316" w:lineRule="auto"/>
        <w:jc w:val="left"/>
        <w:rPr>
          <w:rFonts w:ascii="宋体" w:hAnsi="宋体" w:cs="宋体" w:eastAsia="宋体" w:hint="default"/>
          <w:sz w:val="18"/>
          <w:szCs w:val="18"/>
        </w:rPr>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r>
        <w:rPr/>
        <w:pict>
          <v:group style="position:absolute;margin-left:511.679993pt;margin-top:540.719971pt;width:39.75pt;height:31.2pt;mso-position-horizontal-relative:page;mso-position-vertical-relative:page;z-index:-1147456" coordorigin="10234,10814" coordsize="795,624">
            <v:group style="position:absolute;left:10234;top:10814;width:795;height:312" coordorigin="10234,10814" coordsize="795,312">
              <v:shape style="position:absolute;left:10234;top:10814;width:795;height:312" coordorigin="10234,10814" coordsize="795,312" path="m10234,11126l11028,11126,11028,10814,10234,10814,10234,11126xe" filled="true" fillcolor="#ffffff" stroked="false">
                <v:path arrowok="t"/>
                <v:fill type="solid"/>
              </v:shape>
            </v:group>
            <v:group style="position:absolute;left:10234;top:11126;width:795;height:312" coordorigin="10234,11126" coordsize="795,312">
              <v:shape style="position:absolute;left:10234;top:11126;width:795;height:312" coordorigin="10234,11126" coordsize="795,312" path="m10234,11438l11028,11438,11028,11126,10234,11126,10234,1143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2"/>
      </w:tblGrid>
      <w:tr>
        <w:trPr>
          <w:trHeight w:val="319"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诺净利润，则王杰等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名交易对方将按照签署</w:t>
            </w: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的《江苏润和软件股份有限公司向王杰等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自然人发行股份及支付现金购买资产之盈利补</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偿协议》的约定进行补偿。捷科智诚截至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日经审计的应收账款余额，在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年应收回不低于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。应收账款收回情况以有</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证券从业资格的会计师事务所的</w:t>
            </w: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截至目</w:t>
            </w: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根据《江苏润和软件股份有限公司向王杰等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前，承诺</w:t>
            </w:r>
          </w:p>
        </w:tc>
      </w:tr>
      <w:tr>
        <w:trPr>
          <w:trHeight w:val="1243"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13" w:space="0" w:color="FFFFFF"/>
            </w:tcBorders>
          </w:tcPr>
          <w:p>
            <w:pPr>
              <w:pStyle w:val="TableParagraph"/>
              <w:spacing w:line="316" w:lineRule="auto" w:before="161"/>
              <w:ind w:left="23" w:right="-32"/>
              <w:jc w:val="both"/>
              <w:rPr>
                <w:rFonts w:ascii="宋体" w:hAnsi="宋体" w:cs="宋体" w:eastAsia="宋体" w:hint="default"/>
                <w:sz w:val="18"/>
                <w:szCs w:val="18"/>
              </w:rPr>
            </w:pPr>
            <w:r>
              <w:rPr>
                <w:rFonts w:ascii="宋体" w:hAnsi="宋体" w:cs="宋体" w:eastAsia="宋体" w:hint="default"/>
                <w:sz w:val="18"/>
                <w:szCs w:val="18"/>
              </w:rPr>
              <w:t>王杰、吴向东、 郭小宇、许峰、 吴天波</w:t>
            </w:r>
          </w:p>
        </w:tc>
        <w:tc>
          <w:tcPr>
            <w:tcW w:w="994"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48"/>
              <w:jc w:val="left"/>
              <w:rPr>
                <w:rFonts w:ascii="宋体" w:hAnsi="宋体" w:cs="宋体" w:eastAsia="宋体" w:hint="default"/>
                <w:sz w:val="18"/>
                <w:szCs w:val="18"/>
              </w:rPr>
            </w:pPr>
            <w:r>
              <w:rPr>
                <w:rFonts w:ascii="宋体" w:hAnsi="宋体" w:cs="宋体" w:eastAsia="宋体" w:hint="default"/>
                <w:sz w:val="18"/>
                <w:szCs w:val="18"/>
              </w:rPr>
              <w:t>名自然人发行股份及支付现金购买资产协议 书》约定，交易对方（除王拥军外）应当按照 交易对方及润和软件双方认可的协议模板与标 的公司签订劳动合同及保密协议，服务期应当</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96"/>
              <w:jc w:val="both"/>
              <w:rPr>
                <w:rFonts w:ascii="宋体" w:hAnsi="宋体" w:cs="宋体" w:eastAsia="宋体" w:hint="default"/>
                <w:sz w:val="18"/>
                <w:szCs w:val="18"/>
              </w:rPr>
            </w:pPr>
            <w:r>
              <w:rPr>
                <w:rFonts w:ascii="宋体" w:hAnsi="宋体" w:cs="宋体" w:eastAsia="宋体" w:hint="default"/>
                <w:sz w:val="18"/>
                <w:szCs w:val="18"/>
              </w:rPr>
              <w:t>人严格信 守承诺， 未出现违 反上述承</w:t>
            </w: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至少为本协议生效之日起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诺的情</w:t>
            </w:r>
          </w:p>
        </w:tc>
      </w:tr>
      <w:tr>
        <w:trPr>
          <w:trHeight w:val="353"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51"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在本次交易中取得的润和软件股份，自该股份</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个月内将不以任何方式转让，包</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可以转让所</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括但不限于通过证券市场公开转让或通过协议</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方式转让。自本次交易发行的股份上市之日起</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（包括</w:t>
            </w: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个月起，本企业可以转让在本次交易中认购</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因未完成考</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的润和软件股份的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（包括因未完成考核期</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核期内业绩</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内业绩承诺而被润和软件回购的股份</w:t>
            </w:r>
            <w:r>
              <w:rPr>
                <w:rFonts w:ascii="宋体" w:hAnsi="宋体" w:cs="宋体" w:eastAsia="宋体" w:hint="default"/>
                <w:spacing w:val="-92"/>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本企业</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承诺而被润</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在本次交易中认购的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的公司股份继续锁</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和软件回购</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5"/>
                <w:sz w:val="18"/>
                <w:szCs w:val="18"/>
              </w:rPr>
              <w:t>定。自联创智融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7"/>
                <w:sz w:val="18"/>
                <w:szCs w:val="18"/>
              </w:rPr>
              <w:t> </w:t>
            </w:r>
            <w:r>
              <w:rPr>
                <w:rFonts w:ascii="宋体" w:hAnsi="宋体" w:cs="宋体" w:eastAsia="宋体" w:hint="default"/>
                <w:spacing w:val="-4"/>
                <w:sz w:val="18"/>
                <w:szCs w:val="18"/>
              </w:rPr>
              <w:t>年度专项审核意见或《减</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的股份</w:t>
            </w:r>
            <w:r>
              <w:rPr>
                <w:rFonts w:ascii="宋体" w:hAnsi="宋体" w:cs="宋体" w:eastAsia="宋体" w:hint="default"/>
                <w:spacing w:val="-92"/>
                <w:sz w:val="18"/>
                <w:szCs w:val="18"/>
              </w:rPr>
              <w:t>）</w:t>
            </w:r>
            <w:r>
              <w:rPr>
                <w:rFonts w:ascii="宋体" w:hAnsi="宋体" w:cs="宋体" w:eastAsia="宋体" w:hint="default"/>
                <w:sz w:val="18"/>
                <w:szCs w:val="18"/>
              </w:rPr>
              <w:t>；自</w:t>
            </w:r>
          </w:p>
        </w:tc>
        <w:tc>
          <w:tcPr>
            <w:tcW w:w="852"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58"/>
              <w:jc w:val="left"/>
              <w:rPr>
                <w:rFonts w:ascii="宋体" w:hAnsi="宋体" w:cs="宋体" w:eastAsia="宋体" w:hint="default"/>
                <w:sz w:val="18"/>
                <w:szCs w:val="18"/>
              </w:rPr>
            </w:pPr>
            <w:r>
              <w:rPr>
                <w:rFonts w:ascii="宋体" w:hAnsi="宋体" w:cs="宋体" w:eastAsia="宋体" w:hint="default"/>
                <w:sz w:val="18"/>
                <w:szCs w:val="18"/>
              </w:rPr>
              <w:t>宁波宏创股权 投资合伙企业</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2" w:lineRule="auto" w:before="1"/>
              <w:ind w:left="23" w:right="14"/>
              <w:jc w:val="both"/>
              <w:rPr>
                <w:rFonts w:ascii="宋体" w:hAnsi="宋体" w:cs="宋体" w:eastAsia="宋体" w:hint="default"/>
                <w:sz w:val="18"/>
                <w:szCs w:val="18"/>
              </w:rPr>
            </w:pPr>
            <w:r>
              <w:rPr>
                <w:rFonts w:ascii="宋体" w:hAnsi="宋体" w:cs="宋体" w:eastAsia="宋体" w:hint="default"/>
                <w:spacing w:val="-3"/>
                <w:sz w:val="18"/>
                <w:szCs w:val="18"/>
              </w:rPr>
              <w:t>值测试报告》披露之日起，若（</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）联创智融完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成《盈利补偿协议》约定的利润承诺及减值测 </w:t>
            </w:r>
            <w:r>
              <w:rPr>
                <w:rFonts w:ascii="宋体" w:hAnsi="宋体" w:cs="宋体" w:eastAsia="宋体" w:hint="default"/>
                <w:spacing w:val="-6"/>
                <w:sz w:val="18"/>
                <w:szCs w:val="18"/>
              </w:rPr>
              <w:t>试承诺，则自联创智融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年度专项审核意见 及《减值测试报告》披露之日起本企业可以转 </w:t>
            </w:r>
            <w:r>
              <w:rPr>
                <w:rFonts w:ascii="宋体" w:hAnsi="宋体" w:cs="宋体" w:eastAsia="宋体" w:hint="default"/>
                <w:spacing w:val="-5"/>
                <w:sz w:val="18"/>
                <w:szCs w:val="18"/>
              </w:rPr>
              <w:t>让持有的润和软件剩余全部股份；（</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）联创智</w:t>
            </w:r>
            <w:r>
              <w:rPr>
                <w:rFonts w:ascii="宋体" w:hAnsi="宋体" w:cs="宋体" w:eastAsia="宋体" w:hint="default"/>
                <w:spacing w:val="-76"/>
                <w:sz w:val="18"/>
                <w:szCs w:val="18"/>
              </w:rPr>
              <w:t> </w:t>
            </w:r>
            <w:r>
              <w:rPr>
                <w:rFonts w:ascii="宋体" w:hAnsi="宋体" w:cs="宋体" w:eastAsia="宋体" w:hint="default"/>
                <w:sz w:val="18"/>
                <w:szCs w:val="18"/>
              </w:rPr>
              <w:t>融未能完成《盈利补偿协议》约定的利润承诺 或减值测试承诺，则自按照《盈利补偿协议》 完成补偿之日起本企业可以转让持有的润和软 件剩余全部股份。本次发行的股份上市后还应</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13" w:space="0" w:color="FFFFFF"/>
            </w:tcBorders>
          </w:tcPr>
          <w:p>
            <w:pPr>
              <w:pStyle w:val="TableParagraph"/>
              <w:spacing w:line="314" w:lineRule="auto" w:before="20"/>
              <w:ind w:left="23" w:right="7"/>
              <w:jc w:val="left"/>
              <w:rPr>
                <w:rFonts w:ascii="宋体" w:hAnsi="宋体" w:cs="宋体" w:eastAsia="宋体" w:hint="default"/>
                <w:sz w:val="18"/>
                <w:szCs w:val="18"/>
              </w:rPr>
            </w:pPr>
            <w:r>
              <w:rPr>
                <w:rFonts w:ascii="宋体" w:hAnsi="宋体" w:cs="宋体" w:eastAsia="宋体" w:hint="default"/>
                <w:sz w:val="18"/>
                <w:szCs w:val="18"/>
              </w:rPr>
              <w:t>联创智融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 项审核意见 或《减值测试 报告》披露之 日起，若（</w:t>
            </w:r>
            <w:r>
              <w:rPr>
                <w:rFonts w:ascii="Times New Roman" w:hAnsi="Times New Roman" w:cs="Times New Roman" w:eastAsia="Times New Roman" w:hint="default"/>
                <w:sz w:val="18"/>
                <w:szCs w:val="18"/>
              </w:rPr>
              <w:t>1 </w:t>
            </w:r>
            <w:r>
              <w:rPr>
                <w:rFonts w:ascii="宋体" w:hAnsi="宋体" w:cs="宋体" w:eastAsia="宋体" w:hint="default"/>
                <w:sz w:val="18"/>
                <w:szCs w:val="18"/>
              </w:rPr>
              <w:t>联创智融完 成《盈利补偿 协议》约定的</w:t>
            </w:r>
          </w:p>
        </w:tc>
        <w:tc>
          <w:tcPr>
            <w:tcW w:w="852" w:type="dxa"/>
            <w:tcBorders>
              <w:top w:val="nil" w:sz="6" w:space="0" w:color="auto"/>
              <w:left w:val="single" w:sz="13" w:space="0" w:color="FFFFFF"/>
              <w:bottom w:val="nil" w:sz="6" w:space="0" w:color="auto"/>
              <w:right w:val="single" w:sz="4" w:space="0" w:color="000000"/>
            </w:tcBorders>
          </w:tcPr>
          <w:p>
            <w:pPr>
              <w:pStyle w:val="TableParagraph"/>
              <w:spacing w:line="310" w:lineRule="atLeast" w:before="82"/>
              <w:ind w:left="11" w:right="96"/>
              <w:jc w:val="left"/>
              <w:rPr>
                <w:rFonts w:ascii="宋体" w:hAnsi="宋体" w:cs="宋体" w:eastAsia="宋体" w:hint="default"/>
                <w:sz w:val="18"/>
                <w:szCs w:val="18"/>
              </w:rPr>
            </w:pPr>
            <w:r>
              <w:rPr>
                <w:rFonts w:ascii="宋体" w:hAnsi="宋体" w:cs="宋体" w:eastAsia="宋体" w:hint="default"/>
                <w:sz w:val="18"/>
                <w:szCs w:val="18"/>
              </w:rPr>
              <w:t>截至目 前，承诺 人严格履 行了上述 承诺，未</w:t>
            </w:r>
          </w:p>
          <w:p>
            <w:pPr>
              <w:pStyle w:val="TableParagraph"/>
              <w:spacing w:line="12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11" w:right="0"/>
              <w:jc w:val="left"/>
              <w:rPr>
                <w:rFonts w:ascii="宋体" w:hAnsi="宋体" w:cs="宋体" w:eastAsia="宋体" w:hint="default"/>
                <w:sz w:val="18"/>
                <w:szCs w:val="18"/>
              </w:rPr>
            </w:pPr>
            <w:r>
              <w:rPr>
                <w:rFonts w:ascii="宋体" w:hAnsi="宋体" w:cs="宋体" w:eastAsia="宋体" w:hint="default"/>
                <w:sz w:val="18"/>
                <w:szCs w:val="18"/>
              </w:rPr>
              <w:t>有违反承</w:t>
            </w:r>
          </w:p>
          <w:p>
            <w:pPr>
              <w:pStyle w:val="TableParagraph"/>
              <w:spacing w:line="316" w:lineRule="auto" w:before="76"/>
              <w:ind w:left="11" w:right="276"/>
              <w:jc w:val="left"/>
              <w:rPr>
                <w:rFonts w:ascii="宋体" w:hAnsi="宋体" w:cs="宋体" w:eastAsia="宋体" w:hint="default"/>
                <w:sz w:val="18"/>
                <w:szCs w:val="18"/>
              </w:rPr>
            </w:pPr>
            <w:r>
              <w:rPr>
                <w:rFonts w:ascii="宋体" w:hAnsi="宋体" w:cs="宋体" w:eastAsia="宋体" w:hint="default"/>
                <w:sz w:val="18"/>
                <w:szCs w:val="18"/>
              </w:rPr>
              <w:t>诺的情 况。</w:t>
            </w: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当遵守证券监管部门其他关于股份锁定的要</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利润承诺及</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求，包括但不限于若本企业实际控制人周帮建</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减值测试承</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未来成为润和软件的董事、监事或高级管理人</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诺，则自联创</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员，则本企业在本次交易中认购的润和软件股</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智融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份还应当按照法律法规及证券监管部门关于上</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度专项审核</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市公司董事、监事及高级管理人员股份限售的</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意见及《减值</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要求进行锁定。本次发行结束后，本企业因润</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测试报告》披</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和软件送股、转增股本而取得的新增股份，亦</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露之日起可</w:t>
            </w:r>
          </w:p>
        </w:tc>
        <w:tc>
          <w:tcPr>
            <w:tcW w:w="852"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遵守上述锁定日期安排。</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以转让持有</w:t>
            </w:r>
          </w:p>
        </w:tc>
        <w:tc>
          <w:tcPr>
            <w:tcW w:w="85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的公司剩余</w:t>
            </w: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4"/>
      </w:tblGrid>
      <w:tr>
        <w:trPr>
          <w:trHeight w:val="4418"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全部股份；</w:t>
            </w:r>
          </w:p>
          <w:p>
            <w:pPr>
              <w:pStyle w:val="TableParagraph"/>
              <w:spacing w:line="300" w:lineRule="auto" w:before="76"/>
              <w:ind w:left="23" w:right="10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）联创智 融未能完成</w:t>
            </w:r>
          </w:p>
          <w:p>
            <w:pPr>
              <w:pStyle w:val="TableParagraph"/>
              <w:spacing w:line="316" w:lineRule="auto" w:before="31"/>
              <w:ind w:left="23" w:right="19"/>
              <w:jc w:val="left"/>
              <w:rPr>
                <w:rFonts w:ascii="宋体" w:hAnsi="宋体" w:cs="宋体" w:eastAsia="宋体" w:hint="default"/>
                <w:sz w:val="18"/>
                <w:szCs w:val="18"/>
              </w:rPr>
            </w:pPr>
            <w:r>
              <w:rPr>
                <w:rFonts w:ascii="宋体" w:hAnsi="宋体" w:cs="宋体" w:eastAsia="宋体" w:hint="default"/>
                <w:sz w:val="18"/>
                <w:szCs w:val="18"/>
              </w:rPr>
              <w:t>《盈利补偿 协议》约定的 利润承诺或 减值测试承 诺，则自按照</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《盈利补偿 协议》完成补 偿之日起可 以转让持有 的公司剩余 全部股份。</w:t>
            </w: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南京泰瑞投资 </w:t>
            </w:r>
            <w:r>
              <w:rPr>
                <w:rFonts w:ascii="宋体" w:hAnsi="宋体" w:cs="宋体" w:eastAsia="宋体" w:hint="default"/>
                <w:spacing w:val="-6"/>
                <w:sz w:val="18"/>
                <w:szCs w:val="18"/>
              </w:rPr>
              <w:t>管理中心（有限</w:t>
            </w:r>
            <w:r>
              <w:rPr>
                <w:rFonts w:ascii="宋体" w:hAnsi="宋体" w:cs="宋体" w:eastAsia="宋体" w:hint="default"/>
                <w:sz w:val="18"/>
                <w:szCs w:val="18"/>
              </w:rPr>
              <w:t> </w:t>
            </w:r>
            <w:r>
              <w:rPr>
                <w:rFonts w:ascii="宋体" w:hAnsi="宋体" w:cs="宋体" w:eastAsia="宋体" w:hint="default"/>
                <w:spacing w:val="-14"/>
                <w:sz w:val="18"/>
                <w:szCs w:val="18"/>
              </w:rPr>
              <w:t>合伙）、西藏瑞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华投资发展有 限公司、曹荣、 黄学军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本人于润和软件本次非公开发行股份 募集配套资金中以现金认购所取得的润和软件 </w:t>
            </w:r>
            <w:r>
              <w:rPr>
                <w:rFonts w:ascii="宋体" w:hAnsi="宋体" w:cs="宋体" w:eastAsia="宋体" w:hint="default"/>
                <w:spacing w:val="-5"/>
                <w:sz w:val="18"/>
                <w:szCs w:val="18"/>
              </w:rPr>
              <w:t>股份，自该股份上市之日起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个月内将不以任 何方式转让，包括但不限于通过证券市场公开 转让或通过协议方式转让，也不由润和软件回 购。由于润和软件送红股，转增股本原因而增 持的股份，亦遵照上述锁定日期进行锁定。如</w:t>
            </w:r>
          </w:p>
          <w:p>
            <w:pPr>
              <w:pStyle w:val="TableParagraph"/>
              <w:spacing w:line="316" w:lineRule="auto" w:before="22"/>
              <w:ind w:left="23" w:right="17"/>
              <w:jc w:val="both"/>
              <w:rPr>
                <w:rFonts w:ascii="宋体" w:hAnsi="宋体" w:cs="宋体" w:eastAsia="宋体" w:hint="default"/>
                <w:sz w:val="18"/>
                <w:szCs w:val="18"/>
              </w:rPr>
            </w:pPr>
            <w:r>
              <w:rPr>
                <w:rFonts w:ascii="宋体" w:hAnsi="宋体" w:cs="宋体" w:eastAsia="宋体" w:hint="default"/>
                <w:spacing w:val="-9"/>
                <w:sz w:val="18"/>
                <w:szCs w:val="18"/>
              </w:rPr>
              <w:t>《中华人民共和国公司法》、《中华人民共和国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证券法》、证券监管部门对本企业持有的股份有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其他锁定要求的，本企业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本人亦将遵照执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人严格履 行了上述 承诺，未 有违反承 诺的情 况。</w:t>
            </w:r>
          </w:p>
        </w:tc>
      </w:tr>
      <w:tr>
        <w:trPr>
          <w:trHeight w:val="3211"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曹荣、黄学军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本人于润和软件本次非公开发行股份募集配套 资金中以现金认购所取得的润和软件股份，自 该股份上市之日起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个月内将不以任何方式 转让，包括但不限于通过证券市场公开转让或 通过协议方式转让，也不由润和软件回购。由 于润和软件送红股，转增股本原因而增持的股 份，亦遵照上述锁定日期进行锁定。如《中华 </w:t>
            </w:r>
            <w:r>
              <w:rPr>
                <w:rFonts w:ascii="宋体" w:hAnsi="宋体" w:cs="宋体" w:eastAsia="宋体" w:hint="default"/>
                <w:spacing w:val="-10"/>
                <w:sz w:val="18"/>
                <w:szCs w:val="18"/>
              </w:rPr>
              <w:t>人民共和国公司法》、《中华人民共和国证券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法》、证券监管部门对本人持有的股份有其他锁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定要求的，本人亦将遵照执行。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人严格履 行了上述 承诺，未 有违反承 诺的情 况。</w:t>
            </w:r>
          </w:p>
        </w:tc>
      </w:tr>
      <w:tr>
        <w:trPr>
          <w:trHeight w:val="2858"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宁波宏创股权 投资合伙企业</w:t>
            </w:r>
          </w:p>
          <w:p>
            <w:pPr>
              <w:pStyle w:val="TableParagraph"/>
              <w:spacing w:line="316" w:lineRule="auto" w:before="20"/>
              <w:ind w:left="23" w:right="70"/>
              <w:jc w:val="left"/>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周帮建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309"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考核期</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）实现的经上市</w:t>
            </w:r>
            <w:r>
              <w:rPr>
                <w:rFonts w:ascii="宋体" w:hAnsi="宋体" w:cs="宋体" w:eastAsia="宋体" w:hint="default"/>
                <w:sz w:val="18"/>
                <w:szCs w:val="18"/>
              </w:rPr>
              <w:t> 公司指定具有证券从业资格会计师事务所审计 的扣除非经常性损益后归属于母公司所有者的 净利润分别不低于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16,600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18,800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万元，考核期实现的净利</w:t>
            </w:r>
          </w:p>
          <w:p>
            <w:pPr>
              <w:pStyle w:val="TableParagraph"/>
              <w:spacing w:line="309" w:lineRule="auto" w:before="5"/>
              <w:ind w:left="23" w:right="17"/>
              <w:jc w:val="both"/>
              <w:rPr>
                <w:rFonts w:ascii="宋体" w:hAnsi="宋体" w:cs="宋体" w:eastAsia="宋体" w:hint="default"/>
                <w:sz w:val="18"/>
                <w:szCs w:val="18"/>
              </w:rPr>
            </w:pPr>
            <w:r>
              <w:rPr>
                <w:rFonts w:ascii="宋体" w:hAnsi="宋体" w:cs="宋体" w:eastAsia="宋体" w:hint="default"/>
                <w:sz w:val="18"/>
                <w:szCs w:val="18"/>
              </w:rPr>
              <w:t>润之和不低于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71,000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万元。在考核期内每个会 计年度结束后，如标的公司截至当年度实现的 实际净利润之和未达到截至当年度的承诺净利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人严格履 行了上述 承诺，未 有违反承 诺的情 况。</w:t>
            </w:r>
          </w:p>
        </w:tc>
      </w:tr>
    </w:tbl>
    <w:p>
      <w:pPr>
        <w:spacing w:after="0" w:line="316" w:lineRule="auto"/>
        <w:jc w:val="left"/>
        <w:rPr>
          <w:rFonts w:ascii="宋体" w:hAnsi="宋体" w:cs="宋体" w:eastAsia="宋体" w:hint="default"/>
          <w:sz w:val="18"/>
          <w:szCs w:val="18"/>
        </w:rPr>
        <w:sectPr>
          <w:pgSz w:w="11910" w:h="16840"/>
          <w:pgMar w:header="745" w:footer="982" w:top="1060" w:bottom="1180" w:left="740" w:right="720"/>
        </w:sectPr>
      </w:pPr>
    </w:p>
    <w:p>
      <w:pPr>
        <w:spacing w:line="240" w:lineRule="auto" w:before="0"/>
        <w:rPr>
          <w:rFonts w:ascii="Times New Roman" w:hAnsi="Times New Roman" w:cs="Times New Roman" w:eastAsia="Times New Roman" w:hint="default"/>
          <w:sz w:val="20"/>
          <w:szCs w:val="20"/>
        </w:rPr>
      </w:pPr>
      <w:r>
        <w:rPr/>
        <w:pict>
          <v:shape style="position:absolute;margin-left:405.359985pt;margin-top:72.47998pt;width:48pt;height:329.65pt;mso-position-horizontal-relative:page;mso-position-vertical-relative:page;z-index:-1147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w:t>
                  </w:r>
                </w:p>
              </w:txbxContent>
            </v:textbox>
            <w10:wrap type="none"/>
          </v:shape>
        </w:pict>
      </w:r>
      <w:r>
        <w:rPr/>
        <w:pict>
          <v:group style="position:absolute;margin-left:411.359985pt;margin-top:72.47998pt;width:42pt;height:329.65pt;mso-position-horizontal-relative:page;mso-position-vertical-relative:page;z-index:-1147408" coordorigin="8227,1450" coordsize="840,6593">
            <v:shape style="position:absolute;left:8227;top:1450;width:840;height:6593" coordorigin="8227,1450" coordsize="840,6593" path="m8227,8042l9067,8042,9067,1450,8227,1450,8227,8042xe" filled="true" fillcolor="#ffffff" stroked="false">
              <v:path arrowok="t"/>
              <v:fill type="solid"/>
            </v:shape>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4"/>
      </w:tblGrid>
      <w:tr>
        <w:trPr>
          <w:trHeight w:val="6602"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润之和，则宁波宏创将以交易中取得的上市公 </w:t>
            </w:r>
            <w:r>
              <w:rPr>
                <w:rFonts w:ascii="宋体" w:hAnsi="宋体" w:cs="宋体" w:eastAsia="宋体" w:hint="default"/>
                <w:spacing w:val="-8"/>
                <w:sz w:val="18"/>
                <w:szCs w:val="18"/>
              </w:rPr>
              <w:t>司股份优先补偿，不足部分以现金形式补偿。</w:t>
            </w:r>
            <w:r>
              <w:rPr>
                <w:rFonts w:ascii="Times New Roman" w:hAnsi="Times New Roman" w:cs="Times New Roman" w:eastAsia="Times New Roman" w:hint="default"/>
                <w:spacing w:val="-8"/>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关于应收账款承诺及补偿：标的公司截至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p>
          <w:p>
            <w:pPr>
              <w:pStyle w:val="TableParagraph"/>
              <w:spacing w:line="307" w:lineRule="auto" w:before="5"/>
              <w:ind w:left="23"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日经审计的应收账款余额，在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年应收回不低于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。应收账款收回情况以有 证券从业资格的会计师事务所的专项审核报告 </w:t>
            </w:r>
            <w:r>
              <w:rPr>
                <w:rFonts w:ascii="宋体" w:hAnsi="宋体" w:cs="宋体" w:eastAsia="宋体" w:hint="default"/>
                <w:spacing w:val="-6"/>
                <w:sz w:val="18"/>
                <w:szCs w:val="18"/>
              </w:rPr>
              <w:t>为准。如截至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日，标的公司未</w:t>
            </w:r>
            <w:r>
              <w:rPr>
                <w:rFonts w:ascii="宋体" w:hAnsi="宋体" w:cs="宋体" w:eastAsia="宋体" w:hint="default"/>
                <w:sz w:val="18"/>
                <w:szCs w:val="18"/>
              </w:rPr>
              <w:t> 完成上述应收账款回收指标，则宁波宏创应将 差额部分以现金形式补偿给标的公司，在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p>
          <w:p>
            <w:pPr>
              <w:pStyle w:val="TableParagraph"/>
              <w:spacing w:line="240" w:lineRule="auto" w:before="7"/>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日之前一次性支付完毕。</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、关于减</w:t>
            </w:r>
          </w:p>
          <w:p>
            <w:pPr>
              <w:pStyle w:val="TableParagraph"/>
              <w:spacing w:line="309" w:lineRule="auto" w:before="63"/>
              <w:ind w:left="23" w:right="19"/>
              <w:jc w:val="left"/>
              <w:rPr>
                <w:rFonts w:ascii="宋体" w:hAnsi="宋体" w:cs="宋体" w:eastAsia="宋体" w:hint="default"/>
                <w:sz w:val="18"/>
                <w:szCs w:val="18"/>
              </w:rPr>
            </w:pPr>
            <w:r>
              <w:rPr>
                <w:rFonts w:ascii="宋体" w:hAnsi="宋体" w:cs="宋体" w:eastAsia="宋体" w:hint="default"/>
                <w:spacing w:val="-4"/>
                <w:sz w:val="18"/>
                <w:szCs w:val="18"/>
              </w:rPr>
              <w:t>值测试及补偿：在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年度届满后，由上市公</w:t>
            </w:r>
            <w:r>
              <w:rPr>
                <w:rFonts w:ascii="宋体" w:hAnsi="宋体" w:cs="宋体" w:eastAsia="宋体" w:hint="default"/>
                <w:sz w:val="18"/>
                <w:szCs w:val="18"/>
              </w:rPr>
              <w:t> 司指定的具有证券业务资格的会计师事务所对 标的公司依照中国证监会的规则及要求进行减 值测试，如标的资产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年末减值额 </w:t>
            </w:r>
            <w:r>
              <w:rPr>
                <w:rFonts w:ascii="Times New Roman" w:hAnsi="Times New Roman" w:cs="Times New Roman" w:eastAsia="Times New Roman" w:hint="default"/>
                <w:sz w:val="18"/>
                <w:szCs w:val="18"/>
              </w:rPr>
              <w:t>&gt;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已回 购股份总数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本次股票发行价格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 额，则宁波宏创应当对上市公司另行补偿。</w:t>
            </w:r>
            <w:r>
              <w:rPr>
                <w:rFonts w:ascii="Times New Roman" w:hAnsi="Times New Roman" w:cs="Times New Roman" w:eastAsia="Times New Roman" w:hint="default"/>
                <w:sz w:val="18"/>
                <w:szCs w:val="18"/>
              </w:rPr>
              <w:t>4 </w:t>
            </w:r>
            <w:r>
              <w:rPr>
                <w:rFonts w:ascii="宋体" w:hAnsi="宋体" w:cs="宋体" w:eastAsia="宋体" w:hint="default"/>
                <w:sz w:val="18"/>
                <w:szCs w:val="18"/>
              </w:rPr>
              <w:t>关于联创智融实际控制人承担连带保证责任</w:t>
            </w:r>
            <w:r>
              <w:rPr>
                <w:rFonts w:ascii="Times New Roman" w:hAnsi="Times New Roman" w:cs="Times New Roman" w:eastAsia="Times New Roman" w:hint="default"/>
                <w:sz w:val="18"/>
                <w:szCs w:val="18"/>
              </w:rPr>
              <w:t>: </w:t>
            </w:r>
            <w:r>
              <w:rPr>
                <w:rFonts w:ascii="宋体" w:hAnsi="宋体" w:cs="宋体" w:eastAsia="宋体" w:hint="default"/>
                <w:sz w:val="18"/>
                <w:szCs w:val="18"/>
              </w:rPr>
              <w:t>联创智融实际控制人周帮建承诺，周帮建将督 促宁波宏创按照《盈利补偿协议》的约定进行 股份及现金补偿，并对宁波宏创在《盈利补偿 协议》下的所有补偿责任承担连带保证责任。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宁波宏创股权 投资合伙企业</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江苏高投成长 价值股权投资 </w:t>
            </w:r>
            <w:r>
              <w:rPr>
                <w:rFonts w:ascii="宋体" w:hAnsi="宋体" w:cs="宋体" w:eastAsia="宋体" w:hint="default"/>
                <w:spacing w:val="-6"/>
                <w:sz w:val="18"/>
                <w:szCs w:val="18"/>
              </w:rPr>
              <w:t>合伙企业（有限</w:t>
            </w:r>
            <w:r>
              <w:rPr>
                <w:rFonts w:ascii="宋体" w:hAnsi="宋体" w:cs="宋体" w:eastAsia="宋体" w:hint="default"/>
                <w:sz w:val="18"/>
                <w:szCs w:val="18"/>
              </w:rPr>
              <w:t> </w:t>
            </w:r>
            <w:r>
              <w:rPr>
                <w:rFonts w:ascii="宋体" w:hAnsi="宋体" w:cs="宋体" w:eastAsia="宋体" w:hint="default"/>
                <w:spacing w:val="-14"/>
                <w:sz w:val="18"/>
                <w:szCs w:val="18"/>
              </w:rPr>
              <w:t>合伙）、宁波道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生一股权投资 </w:t>
            </w:r>
            <w:r>
              <w:rPr>
                <w:rFonts w:ascii="宋体" w:hAnsi="宋体" w:cs="宋体" w:eastAsia="宋体" w:hint="default"/>
                <w:spacing w:val="-6"/>
                <w:sz w:val="18"/>
                <w:szCs w:val="18"/>
              </w:rPr>
              <w:t>合伙企业（有限</w:t>
            </w:r>
            <w:r>
              <w:rPr>
                <w:rFonts w:ascii="宋体" w:hAnsi="宋体" w:cs="宋体" w:eastAsia="宋体" w:hint="default"/>
                <w:sz w:val="18"/>
                <w:szCs w:val="18"/>
              </w:rPr>
              <w:t> </w:t>
            </w:r>
            <w:r>
              <w:rPr>
                <w:rFonts w:ascii="宋体" w:hAnsi="宋体" w:cs="宋体" w:eastAsia="宋体" w:hint="default"/>
                <w:spacing w:val="-14"/>
                <w:sz w:val="18"/>
                <w:szCs w:val="18"/>
              </w:rPr>
              <w:t>合伙）、浙江海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宁嘉慧投资合 </w:t>
            </w:r>
            <w:r>
              <w:rPr>
                <w:rFonts w:ascii="宋体" w:hAnsi="宋体" w:cs="宋体" w:eastAsia="宋体" w:hint="default"/>
                <w:spacing w:val="-6"/>
                <w:sz w:val="18"/>
                <w:szCs w:val="18"/>
              </w:rPr>
              <w:t>伙企业（有限合</w:t>
            </w:r>
            <w:r>
              <w:rPr>
                <w:rFonts w:ascii="宋体" w:hAnsi="宋体" w:cs="宋体" w:eastAsia="宋体" w:hint="default"/>
                <w:sz w:val="18"/>
                <w:szCs w:val="18"/>
              </w:rPr>
              <w:t> </w:t>
            </w:r>
            <w:r>
              <w:rPr>
                <w:rFonts w:ascii="宋体" w:hAnsi="宋体" w:cs="宋体" w:eastAsia="宋体" w:hint="default"/>
                <w:spacing w:val="-14"/>
                <w:sz w:val="18"/>
                <w:szCs w:val="18"/>
              </w:rPr>
              <w:t>伙）、山南置立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方投资管理有 </w:t>
            </w:r>
            <w:r>
              <w:rPr>
                <w:rFonts w:ascii="宋体" w:hAnsi="宋体" w:cs="宋体" w:eastAsia="宋体" w:hint="default"/>
                <w:spacing w:val="-6"/>
                <w:sz w:val="18"/>
                <w:szCs w:val="18"/>
              </w:rPr>
              <w:t>限公司、苏州市</w:t>
            </w:r>
            <w:r>
              <w:rPr>
                <w:rFonts w:ascii="宋体" w:hAnsi="宋体" w:cs="宋体" w:eastAsia="宋体" w:hint="default"/>
                <w:sz w:val="18"/>
                <w:szCs w:val="18"/>
              </w:rPr>
              <w:t> 富士莱技术服 </w:t>
            </w:r>
            <w:r>
              <w:rPr>
                <w:rFonts w:ascii="宋体" w:hAnsi="宋体" w:cs="宋体" w:eastAsia="宋体" w:hint="default"/>
                <w:spacing w:val="-6"/>
                <w:sz w:val="18"/>
                <w:szCs w:val="18"/>
              </w:rPr>
              <w:t>务发展中心（有</w:t>
            </w:r>
            <w:r>
              <w:rPr>
                <w:rFonts w:ascii="宋体" w:hAnsi="宋体" w:cs="宋体" w:eastAsia="宋体" w:hint="default"/>
                <w:sz w:val="18"/>
                <w:szCs w:val="18"/>
              </w:rPr>
              <w:t> 限合伙）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59"/>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、自本承诺出具之日至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日期 间，本企业及本企业直接或间接控制的企业、 或直接或间接参与经营管理的企业不会在中华 人民共和国（包括香港、澳门及台湾地区）从 事与润和软件及其下属公司（包括但不限于联 </w:t>
            </w:r>
            <w:r>
              <w:rPr>
                <w:rFonts w:ascii="宋体" w:hAnsi="宋体" w:cs="宋体" w:eastAsia="宋体" w:hint="default"/>
                <w:spacing w:val="-3"/>
                <w:sz w:val="18"/>
                <w:szCs w:val="18"/>
              </w:rPr>
              <w:t>创智融）相同或相似的业务。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、若本企业及本</w:t>
            </w:r>
            <w:r>
              <w:rPr>
                <w:rFonts w:ascii="宋体" w:hAnsi="宋体" w:cs="宋体" w:eastAsia="宋体" w:hint="default"/>
                <w:sz w:val="18"/>
                <w:szCs w:val="18"/>
              </w:rPr>
              <w:t> 企业直接或间接控制的企业、或直接或间接参 与经营管理的企业违反上述承诺，本企业及相 关企业将采取包括但不限于停止经营产生竞争 的业务、将产生竞争的业务纳入润和软件或者 转让给无关联关系第三方等合法方式，以避免 </w:t>
            </w:r>
            <w:r>
              <w:rPr>
                <w:rFonts w:ascii="宋体" w:hAnsi="宋体" w:cs="宋体" w:eastAsia="宋体" w:hint="default"/>
                <w:spacing w:val="-3"/>
                <w:sz w:val="18"/>
                <w:szCs w:val="18"/>
              </w:rPr>
              <w:t>同业竞争。</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、如违反上述承诺，本企业将在违</w:t>
            </w:r>
            <w:r>
              <w:rPr>
                <w:rFonts w:ascii="宋体" w:hAnsi="宋体" w:cs="宋体" w:eastAsia="宋体" w:hint="default"/>
                <w:sz w:val="18"/>
                <w:szCs w:val="18"/>
              </w:rPr>
              <w:t> 反竞业禁止承诺当年向润和软件或联创智融支 </w:t>
            </w:r>
            <w:r>
              <w:rPr>
                <w:rFonts w:ascii="宋体" w:hAnsi="宋体" w:cs="宋体" w:eastAsia="宋体" w:hint="default"/>
                <w:spacing w:val="-4"/>
                <w:sz w:val="18"/>
                <w:szCs w:val="18"/>
              </w:rPr>
              <w:t>付违约金，违约金数额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本次交易中本企业获得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的对价</w:t>
            </w:r>
            <w:r>
              <w:rPr>
                <w:rFonts w:ascii="Times New Roman" w:hAnsi="Times New Roman" w:cs="Times New Roman" w:eastAsia="Times New Roman" w:hint="default"/>
                <w:sz w:val="18"/>
                <w:szCs w:val="18"/>
              </w:rPr>
              <w:t>*</w:t>
            </w:r>
            <w:r>
              <w:rPr>
                <w:rFonts w:ascii="宋体" w:hAnsi="宋体" w:cs="宋体" w:eastAsia="宋体" w:hint="default"/>
                <w:sz w:val="18"/>
                <w:szCs w:val="18"/>
              </w:rPr>
              <w:t>竞业禁止义务未履行年数</w:t>
            </w:r>
            <w:r>
              <w:rPr>
                <w:rFonts w:ascii="Times New Roman" w:hAnsi="Times New Roman" w:cs="Times New Roman" w:eastAsia="Times New Roman" w:hint="default"/>
                <w:sz w:val="18"/>
                <w:szCs w:val="18"/>
              </w:rPr>
              <w:t>*20%</w:t>
            </w:r>
            <w:r>
              <w:rPr>
                <w:rFonts w:ascii="宋体" w:hAnsi="宋体" w:cs="宋体" w:eastAsia="宋体" w:hint="default"/>
                <w:sz w:val="18"/>
                <w:szCs w:val="18"/>
              </w:rPr>
              <w:t>，其中 竞业禁止义务未履行年数指违反竞业禁止义务 当年至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年的年数。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人严格履 行了上述 承诺，未 有违反承 诺的情 况。</w:t>
            </w:r>
          </w:p>
        </w:tc>
      </w:tr>
      <w:tr>
        <w:trPr>
          <w:trHeight w:val="1610"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宁波宏创股权 投资合伙企业</w:t>
            </w:r>
          </w:p>
          <w:p>
            <w:pPr>
              <w:pStyle w:val="TableParagraph"/>
              <w:spacing w:line="316" w:lineRule="auto" w:before="19"/>
              <w:ind w:left="23" w:right="70"/>
              <w:jc w:val="left"/>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江苏高投成长 价值股权投资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关于减少和 规范关联交 易、规范资 金占用行为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
              <w:jc w:val="both"/>
              <w:rPr>
                <w:rFonts w:ascii="宋体" w:hAnsi="宋体" w:cs="宋体" w:eastAsia="宋体" w:hint="default"/>
                <w:sz w:val="18"/>
                <w:szCs w:val="18"/>
              </w:rPr>
            </w:pPr>
            <w:r>
              <w:rPr>
                <w:rFonts w:ascii="宋体" w:hAnsi="宋体" w:cs="宋体" w:eastAsia="宋体" w:hint="default"/>
                <w:spacing w:val="-3"/>
                <w:sz w:val="18"/>
                <w:szCs w:val="18"/>
              </w:rPr>
              <w:t>一、关于减少和规范关联交易的承诺：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交易完成后，本企业及本企业对外投资的企业</w:t>
            </w:r>
          </w:p>
          <w:p>
            <w:pPr>
              <w:pStyle w:val="TableParagraph"/>
              <w:spacing w:line="316" w:lineRule="auto" w:before="31"/>
              <w:ind w:left="23" w:right="17"/>
              <w:jc w:val="both"/>
              <w:rPr>
                <w:rFonts w:ascii="宋体" w:hAnsi="宋体" w:cs="宋体" w:eastAsia="宋体" w:hint="default"/>
                <w:sz w:val="18"/>
                <w:szCs w:val="18"/>
              </w:rPr>
            </w:pPr>
            <w:r>
              <w:rPr>
                <w:rFonts w:ascii="宋体" w:hAnsi="宋体" w:cs="宋体" w:eastAsia="宋体" w:hint="default"/>
                <w:sz w:val="18"/>
                <w:szCs w:val="18"/>
              </w:rPr>
              <w:t>（包括但不限于直接持股、间接持股或委托持 </w:t>
            </w:r>
            <w:r>
              <w:rPr>
                <w:rFonts w:ascii="宋体" w:hAnsi="宋体" w:cs="宋体" w:eastAsia="宋体" w:hint="default"/>
                <w:spacing w:val="-8"/>
                <w:sz w:val="18"/>
                <w:szCs w:val="18"/>
              </w:rPr>
              <w:t>股）、实际控制的企业将尽可能减少与润和软件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及其下属公司（包括但不限于联创智融）的关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人严格履 行了上述 承诺，未</w:t>
            </w:r>
          </w:p>
        </w:tc>
      </w:tr>
    </w:tbl>
    <w:p>
      <w:pPr>
        <w:spacing w:after="0" w:line="316" w:lineRule="auto"/>
        <w:jc w:val="left"/>
        <w:rPr>
          <w:rFonts w:ascii="宋体" w:hAnsi="宋体" w:cs="宋体" w:eastAsia="宋体" w:hint="default"/>
          <w:sz w:val="18"/>
          <w:szCs w:val="18"/>
        </w:rPr>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r>
        <w:rPr/>
        <w:pict>
          <v:shape style="position:absolute;margin-left:306.243011pt;margin-top:72.47998pt;width:147.15pt;height:579.25pt;mso-position-horizontal-relative:page;mso-position-vertical-relative:page;z-index:-1147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360" w:right="0" w:hanging="360"/>
                    <w:jc w:val="left"/>
                  </w:pPr>
                  <w:r>
                    <w:rPr/>
                    <w:t>（包括但不限于联创智融）</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pStyle w:val="BodyText"/>
                    <w:spacing w:line="240" w:lineRule="auto"/>
                    <w:ind w:left="360" w:right="0"/>
                    <w:jc w:val="left"/>
                  </w:pPr>
                  <w:r>
                    <w:rPr/>
                    <w:t>的规定参加股东大会，</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4"/>
      </w:tblGrid>
      <w:tr>
        <w:trPr>
          <w:trHeight w:val="11594"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合伙企业（有限</w:t>
            </w:r>
            <w:r>
              <w:rPr>
                <w:rFonts w:ascii="宋体" w:hAnsi="宋体" w:cs="宋体" w:eastAsia="宋体" w:hint="default"/>
                <w:sz w:val="18"/>
                <w:szCs w:val="18"/>
              </w:rPr>
              <w:t> </w:t>
            </w:r>
            <w:r>
              <w:rPr>
                <w:rFonts w:ascii="宋体" w:hAnsi="宋体" w:cs="宋体" w:eastAsia="宋体" w:hint="default"/>
                <w:spacing w:val="-14"/>
                <w:sz w:val="18"/>
                <w:szCs w:val="18"/>
              </w:rPr>
              <w:t>合伙）、宁波道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生一股权投资 </w:t>
            </w:r>
            <w:r>
              <w:rPr>
                <w:rFonts w:ascii="宋体" w:hAnsi="宋体" w:cs="宋体" w:eastAsia="宋体" w:hint="default"/>
                <w:spacing w:val="-6"/>
                <w:sz w:val="18"/>
                <w:szCs w:val="18"/>
              </w:rPr>
              <w:t>合伙企业（有限</w:t>
            </w:r>
            <w:r>
              <w:rPr>
                <w:rFonts w:ascii="宋体" w:hAnsi="宋体" w:cs="宋体" w:eastAsia="宋体" w:hint="default"/>
                <w:sz w:val="18"/>
                <w:szCs w:val="18"/>
              </w:rPr>
              <w:t> </w:t>
            </w:r>
            <w:r>
              <w:rPr>
                <w:rFonts w:ascii="宋体" w:hAnsi="宋体" w:cs="宋体" w:eastAsia="宋体" w:hint="default"/>
                <w:spacing w:val="-14"/>
                <w:sz w:val="18"/>
                <w:szCs w:val="18"/>
              </w:rPr>
              <w:t>合伙）、浙江海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宁嘉慧投资合 </w:t>
            </w:r>
            <w:r>
              <w:rPr>
                <w:rFonts w:ascii="宋体" w:hAnsi="宋体" w:cs="宋体" w:eastAsia="宋体" w:hint="default"/>
                <w:spacing w:val="-6"/>
                <w:sz w:val="18"/>
                <w:szCs w:val="18"/>
              </w:rPr>
              <w:t>伙企业（有限合</w:t>
            </w:r>
            <w:r>
              <w:rPr>
                <w:rFonts w:ascii="宋体" w:hAnsi="宋体" w:cs="宋体" w:eastAsia="宋体" w:hint="default"/>
                <w:sz w:val="18"/>
                <w:szCs w:val="18"/>
              </w:rPr>
              <w:t> </w:t>
            </w:r>
            <w:r>
              <w:rPr>
                <w:rFonts w:ascii="宋体" w:hAnsi="宋体" w:cs="宋体" w:eastAsia="宋体" w:hint="default"/>
                <w:spacing w:val="-14"/>
                <w:sz w:val="18"/>
                <w:szCs w:val="18"/>
              </w:rPr>
              <w:t>伙）、山南置立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方投资管理有 </w:t>
            </w:r>
            <w:r>
              <w:rPr>
                <w:rFonts w:ascii="宋体" w:hAnsi="宋体" w:cs="宋体" w:eastAsia="宋体" w:hint="default"/>
                <w:spacing w:val="-6"/>
                <w:sz w:val="18"/>
                <w:szCs w:val="18"/>
              </w:rPr>
              <w:t>限公司、苏州市</w:t>
            </w:r>
            <w:r>
              <w:rPr>
                <w:rFonts w:ascii="宋体" w:hAnsi="宋体" w:cs="宋体" w:eastAsia="宋体" w:hint="default"/>
                <w:sz w:val="18"/>
                <w:szCs w:val="18"/>
              </w:rPr>
              <w:t> 富士莱技术服 </w:t>
            </w:r>
            <w:r>
              <w:rPr>
                <w:rFonts w:ascii="宋体" w:hAnsi="宋体" w:cs="宋体" w:eastAsia="宋体" w:hint="default"/>
                <w:spacing w:val="-6"/>
                <w:sz w:val="18"/>
                <w:szCs w:val="18"/>
              </w:rPr>
              <w:t>务发展中心（有</w:t>
            </w:r>
            <w:r>
              <w:rPr>
                <w:rFonts w:ascii="宋体" w:hAnsi="宋体" w:cs="宋体" w:eastAsia="宋体" w:hint="default"/>
                <w:sz w:val="18"/>
                <w:szCs w:val="18"/>
              </w:rPr>
              <w:t> 限合伙）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联交易，不会利用自身作为润和软件股东之地 位谋求与润和软件及其下属公司（包括但不限 于联创智融）在业务合作等方面给予优于市场 </w:t>
            </w:r>
            <w:r>
              <w:rPr>
                <w:rFonts w:ascii="宋体" w:hAnsi="宋体" w:cs="宋体" w:eastAsia="宋体" w:hint="default"/>
                <w:spacing w:val="-3"/>
                <w:sz w:val="18"/>
                <w:szCs w:val="18"/>
              </w:rPr>
              <w:t>第三方的权利或达成交易的优先权利。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、若发</w:t>
            </w:r>
            <w:r>
              <w:rPr>
                <w:rFonts w:ascii="宋体" w:hAnsi="宋体" w:cs="宋体" w:eastAsia="宋体" w:hint="default"/>
                <w:sz w:val="18"/>
                <w:szCs w:val="18"/>
              </w:rPr>
              <w:t> 生必要且不可避免的关联交易，本企业及本企 业对外投资的企业（包括但不限于直接持股、 </w:t>
            </w:r>
            <w:r>
              <w:rPr>
                <w:rFonts w:ascii="宋体" w:hAnsi="宋体" w:cs="宋体" w:eastAsia="宋体" w:hint="default"/>
                <w:spacing w:val="-8"/>
                <w:sz w:val="18"/>
                <w:szCs w:val="18"/>
              </w:rPr>
              <w:t>间接持股或委托持股）、实际控制的企业将与润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和软件及其下属公司 按照公平、公允、等价有偿等原则依法签订协 议，履行合法程序，并将按照有关法律法规和</w:t>
            </w:r>
          </w:p>
          <w:p>
            <w:pPr>
              <w:pStyle w:val="TableParagraph"/>
              <w:spacing w:line="314"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《江苏润和软件股份有限公司章程》的规定履 行信息披露义务及相关内部决策程序和回避制 度，关联交易价格依照与无关联关系的独立第 三方进行相同或相似交易时的价格确定，保证 关联交易价格具有公允性，亦不利用该等交易 从事任何损害润和软件及润和软件股东的合法 </w:t>
            </w:r>
            <w:r>
              <w:rPr>
                <w:rFonts w:ascii="宋体" w:hAnsi="宋体" w:cs="宋体" w:eastAsia="宋体" w:hint="default"/>
                <w:spacing w:val="-3"/>
                <w:sz w:val="18"/>
                <w:szCs w:val="18"/>
              </w:rPr>
              <w:t>权益的行为。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、本企业保证将依照《江苏润和</w:t>
            </w:r>
            <w:r>
              <w:rPr>
                <w:rFonts w:ascii="宋体" w:hAnsi="宋体" w:cs="宋体" w:eastAsia="宋体" w:hint="default"/>
                <w:sz w:val="18"/>
                <w:szCs w:val="18"/>
              </w:rPr>
              <w:t> 软件股份有限公司章程》 平等地行使相应权利，承担相应义务，不利用 股东地位谋取不正当利益，不利用关联交易非 法转移润和软件及其下属子公司（包括但不限 于联创智融）的资金、利润，保证不损害润和 </w:t>
            </w:r>
            <w:r>
              <w:rPr>
                <w:rFonts w:ascii="宋体" w:hAnsi="宋体" w:cs="宋体" w:eastAsia="宋体" w:hint="default"/>
                <w:spacing w:val="-3"/>
                <w:sz w:val="18"/>
                <w:szCs w:val="18"/>
              </w:rPr>
              <w:t>软件及股东的合法权益。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、若违反上述声明和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保证，本企业将对前述行为给润和软件造成的 损失向润和软件进行赔偿。二、关于规范资金 </w:t>
            </w:r>
            <w:r>
              <w:rPr>
                <w:rFonts w:ascii="宋体" w:hAnsi="宋体" w:cs="宋体" w:eastAsia="宋体" w:hint="default"/>
                <w:spacing w:val="-3"/>
                <w:sz w:val="18"/>
                <w:szCs w:val="18"/>
              </w:rPr>
              <w:t>占用行为的承诺：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、截至本承诺出具之日，本</w:t>
            </w:r>
            <w:r>
              <w:rPr>
                <w:rFonts w:ascii="宋体" w:hAnsi="宋体" w:cs="宋体" w:eastAsia="宋体" w:hint="default"/>
                <w:sz w:val="18"/>
                <w:szCs w:val="18"/>
              </w:rPr>
              <w:t> 企业及本企业对外投资（包括直接持股、间接 </w:t>
            </w:r>
            <w:r>
              <w:rPr>
                <w:rFonts w:ascii="宋体" w:hAnsi="宋体" w:cs="宋体" w:eastAsia="宋体" w:hint="default"/>
                <w:spacing w:val="-8"/>
                <w:sz w:val="18"/>
                <w:szCs w:val="18"/>
              </w:rPr>
              <w:t>持股或委托持股）、实际控制的企业与联创智融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及其子公司之间的非经营性资金往来已全部清 </w:t>
            </w:r>
            <w:r>
              <w:rPr>
                <w:rFonts w:ascii="宋体" w:hAnsi="宋体" w:cs="宋体" w:eastAsia="宋体" w:hint="default"/>
                <w:spacing w:val="-3"/>
                <w:sz w:val="18"/>
                <w:szCs w:val="18"/>
              </w:rPr>
              <w:t>理完毕，不存在纠纷。</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、本承诺出具日后，本</w:t>
            </w:r>
            <w:r>
              <w:rPr>
                <w:rFonts w:ascii="宋体" w:hAnsi="宋体" w:cs="宋体" w:eastAsia="宋体" w:hint="default"/>
                <w:sz w:val="18"/>
                <w:szCs w:val="18"/>
              </w:rPr>
              <w:t> 企业及本企业对外投资、实际控制的企业不会 利用本企业的股东身份或职务便利以借款、代 偿债务、代垫款项或者其他方式占用联创智融 </w:t>
            </w:r>
            <w:r>
              <w:rPr>
                <w:rFonts w:ascii="宋体" w:hAnsi="宋体" w:cs="宋体" w:eastAsia="宋体" w:hint="default"/>
                <w:spacing w:val="-3"/>
                <w:sz w:val="18"/>
                <w:szCs w:val="18"/>
              </w:rPr>
              <w:t>及其子公司之资金。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、若未来联创智融因本次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交易完成前的资金占用情形或本企业违反上述 承诺而受到有关主管部门处罚的，本企业将对 联创智融遭受的全部损失予以赔偿。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1584"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1"/>
                <w:sz w:val="20"/>
                <w:szCs w:val="20"/>
              </w:rPr>
              <w:pict>
                <v:group style="width:42pt;height:579.25pt;mso-position-horizontal-relative:char;mso-position-vertical-relative:line" coordorigin="0,0" coordsize="840,11585">
                  <v:group style="position:absolute;left:0;top:0;width:840;height:11585" coordorigin="0,0" coordsize="840,11585">
                    <v:shape style="position:absolute;left:0;top:0;width:840;height:11585" coordorigin="0,0" coordsize="840,11585" path="m0,11585l840,11585,840,0,0,0,0,11585xe" filled="true" fillcolor="#ffffff" stroked="false">
                      <v:path arrowok="t"/>
                      <v:fill type="solid"/>
                    </v:shape>
                  </v:group>
                </v:group>
              </w:pict>
            </w:r>
            <w:r>
              <w:rPr>
                <w:rFonts w:ascii="Times New Roman" w:hAnsi="Times New Roman" w:cs="Times New Roman" w:eastAsia="Times New Roman" w:hint="default"/>
                <w:position w:val="-231"/>
                <w:sz w:val="20"/>
                <w:szCs w:val="20"/>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left"/>
              <w:rPr>
                <w:rFonts w:ascii="宋体" w:hAnsi="宋体" w:cs="宋体" w:eastAsia="宋体" w:hint="default"/>
                <w:sz w:val="18"/>
                <w:szCs w:val="18"/>
              </w:rPr>
            </w:pPr>
            <w:r>
              <w:rPr>
                <w:rFonts w:ascii="宋体" w:hAnsi="宋体" w:cs="宋体" w:eastAsia="宋体" w:hint="default"/>
                <w:sz w:val="18"/>
                <w:szCs w:val="18"/>
              </w:rPr>
              <w:t>有违反承 诺的情 况。</w:t>
            </w:r>
          </w:p>
        </w:tc>
      </w:tr>
      <w:tr>
        <w:trPr>
          <w:trHeight w:val="2234"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、自本承诺出具之日至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日期 间，本人及本人直接或间接控制的企业、或直 接或间接参与经营管理的企业不会在中华人民 共和国（包括香港、澳门及台湾地区）从事与 润和软件及其下属公司（包括但不限于联创智 </w:t>
            </w:r>
            <w:r>
              <w:rPr>
                <w:rFonts w:ascii="宋体" w:hAnsi="宋体" w:cs="宋体" w:eastAsia="宋体" w:hint="default"/>
                <w:spacing w:val="-3"/>
                <w:sz w:val="18"/>
                <w:szCs w:val="18"/>
              </w:rPr>
              <w:t>融）相同或相似的业务。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、若本人及本人直接</w:t>
            </w:r>
            <w:r>
              <w:rPr>
                <w:rFonts w:ascii="宋体" w:hAnsi="宋体" w:cs="宋体" w:eastAsia="宋体" w:hint="default"/>
                <w:sz w:val="18"/>
                <w:szCs w:val="18"/>
              </w:rPr>
              <w:t> 或间接控制的企业、或直接或间接参与经营管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人严格履 行了上述 承诺，未 有违反承 诺的情</w:t>
            </w:r>
          </w:p>
        </w:tc>
      </w:tr>
    </w:tbl>
    <w:p>
      <w:pPr>
        <w:spacing w:after="0" w:line="316" w:lineRule="auto"/>
        <w:jc w:val="left"/>
        <w:rPr>
          <w:rFonts w:ascii="宋体" w:hAnsi="宋体" w:cs="宋体" w:eastAsia="宋体" w:hint="default"/>
          <w:sz w:val="18"/>
          <w:szCs w:val="18"/>
        </w:rPr>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r>
        <w:rPr/>
        <w:pict>
          <v:shape style="position:absolute;margin-left:333.243011pt;margin-top:72.47998pt;width:120.15pt;height:314.05pt;mso-position-horizontal-relative:page;mso-position-vertical-relative:page;z-index:-1147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180" w:right="0"/>
                    <w:jc w:val="left"/>
                  </w:pPr>
                  <w:r>
                    <w:rPr/>
                    <w:t>以避免同业竞争。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316" w:lineRule="auto"/>
                    <w:ind w:left="0" w:right="780" w:firstLine="900"/>
                    <w:jc w:val="left"/>
                  </w:pPr>
                  <w:r>
                    <w:rPr/>
                    <w:t>相冲突、 而主张本承诺无效、</w:t>
                  </w:r>
                </w:p>
              </w:txbxContent>
            </v:textbox>
            <w10:wrap type="none"/>
          </v:shape>
        </w:pict>
      </w:r>
      <w:r>
        <w:rPr/>
        <w:pict>
          <v:group style="position:absolute;margin-left:411.359985pt;margin-top:72.47998pt;width:42pt;height:485.2pt;mso-position-horizontal-relative:page;mso-position-vertical-relative:page;z-index:-1147312" coordorigin="8227,1450" coordsize="840,9704">
            <v:group style="position:absolute;left:8227;top:1450;width:840;height:6281" coordorigin="8227,1450" coordsize="840,6281">
              <v:shape style="position:absolute;left:8227;top:1450;width:840;height:6281" coordorigin="8227,1450" coordsize="840,6281" path="m8227,7730l9067,7730,9067,1450,8227,1450,8227,7730xe" filled="true" fillcolor="#ffffff" stroked="false">
                <v:path arrowok="t"/>
                <v:fill type="solid"/>
              </v:shape>
            </v:group>
            <v:group style="position:absolute;left:8227;top:7740;width:840;height:3413" coordorigin="8227,7740" coordsize="840,3413">
              <v:shape style="position:absolute;left:8227;top:7740;width:840;height:3413" coordorigin="8227,7740" coordsize="840,3413" path="m8227,11153l9067,11153,9067,7740,8227,7740,8227,1115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2"/>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理的企业违反上述承诺，本人及其相关企业将</w:t>
            </w: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采取包括但不限于停止经营产生竞争的业务、</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将产生竞争的业务纳入润和软件或者转让给无</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关联关系第三方等合法方式，</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、本人关系密切的家庭成员（包括配偶、父母</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及配偶的父母、兄弟姐妹及其配偶、年满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周</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岁的子女及其配偶、配偶的兄弟姐妹和子女配</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偶的父母等）也遵守以上承诺。</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、上述关于避</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免同业竞争承诺的约定，是基于本次交易而作</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出的，而不是基于本人和联创智融的劳动合同</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关系而作出的。本人不会以本款约定与《中华</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人民共和国劳动合同法》规定不一致、</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未收取离职补偿金等为由，</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可撤销或者变更。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、如违反上述承诺，本人将</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在违反竞业禁止承诺当年向润和软件或联创智</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融支付违约金</w:t>
            </w:r>
            <w:r>
              <w:rPr>
                <w:rFonts w:ascii="宋体" w:hAnsi="宋体" w:cs="宋体" w:eastAsia="宋体" w:hint="default"/>
                <w:spacing w:val="-72"/>
                <w:sz w:val="18"/>
                <w:szCs w:val="18"/>
              </w:rPr>
              <w:t>，</w:t>
            </w:r>
            <w:r>
              <w:rPr>
                <w:rFonts w:ascii="宋体" w:hAnsi="宋体" w:cs="宋体" w:eastAsia="宋体" w:hint="default"/>
                <w:sz w:val="18"/>
                <w:szCs w:val="18"/>
              </w:rPr>
              <w:t>违约金数额</w:t>
            </w:r>
            <w:r>
              <w:rPr>
                <w:rFonts w:ascii="Times New Roman" w:hAnsi="Times New Roman" w:cs="Times New Roman" w:eastAsia="Times New Roman" w:hint="default"/>
                <w:spacing w:val="-1"/>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次交易中宁波宏</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创股权投资合伙企业（有限合伙）获得的对价</w:t>
            </w:r>
            <w:r>
              <w:rPr>
                <w:rFonts w:ascii="Times New Roman" w:hAnsi="Times New Roman" w:cs="Times New Roman" w:eastAsia="Times New Roman" w:hint="default"/>
                <w:spacing w:val="-3"/>
                <w:sz w:val="18"/>
                <w:szCs w:val="18"/>
              </w:rPr>
              <w:t>*</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竞业禁止义务未履行年数</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，其中竞业禁止</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义务未履行年数指违反竞业禁止义务当年至</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年的年数。</w:t>
            </w: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一、关于减少和规范关联交易的承诺：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w:t>
            </w:r>
          </w:p>
        </w:tc>
        <w:tc>
          <w:tcPr>
            <w:tcW w:w="85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交易完成后，本人及本人对外投资的企业（包</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括但不限于直接持股、间接持股或委托持股</w:t>
            </w:r>
            <w:r>
              <w:rPr>
                <w:rFonts w:ascii="宋体" w:hAnsi="宋体" w:cs="宋体" w:eastAsia="宋体" w:hint="default"/>
                <w:spacing w:val="-92"/>
                <w:sz w:val="18"/>
                <w:szCs w:val="18"/>
              </w:rPr>
              <w:t>）</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实际控制或担任董事、高级管理人员的企业将</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尽可能减少与润和软件及其下属公司（包括但</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不限于联创智融）的关联交易，不会利用本人</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作为润和软件董事之地位或宁波宏创作为润和</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软件股东之地位谋求与润和软件及其下属公司</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（包括但不限于联创智融）在业务合作等方面</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截至目</w:t>
            </w:r>
          </w:p>
        </w:tc>
      </w:tr>
      <w:tr>
        <w:trPr>
          <w:trHeight w:val="187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3" w:right="59"/>
              <w:jc w:val="both"/>
              <w:rPr>
                <w:rFonts w:ascii="宋体" w:hAnsi="宋体" w:cs="宋体" w:eastAsia="宋体" w:hint="default"/>
                <w:sz w:val="18"/>
                <w:szCs w:val="18"/>
              </w:rPr>
            </w:pPr>
            <w:r>
              <w:rPr>
                <w:rFonts w:ascii="宋体" w:hAnsi="宋体" w:cs="宋体" w:eastAsia="宋体" w:hint="default"/>
                <w:sz w:val="18"/>
                <w:szCs w:val="18"/>
              </w:rPr>
              <w:t>关于减少和 规范关联交 易、规范资 金占用行为 的承诺</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4" w:lineRule="auto" w:before="21"/>
              <w:ind w:left="23" w:right="19"/>
              <w:jc w:val="left"/>
              <w:rPr>
                <w:rFonts w:ascii="宋体" w:hAnsi="宋体" w:cs="宋体" w:eastAsia="宋体" w:hint="default"/>
                <w:sz w:val="18"/>
                <w:szCs w:val="18"/>
              </w:rPr>
            </w:pPr>
            <w:r>
              <w:rPr>
                <w:rFonts w:ascii="宋体" w:hAnsi="宋体" w:cs="宋体" w:eastAsia="宋体" w:hint="default"/>
                <w:sz w:val="18"/>
                <w:szCs w:val="18"/>
              </w:rPr>
              <w:t>给予优于市场第三方的权利或达成交易的优先 权利。</w:t>
            </w:r>
            <w:r>
              <w:rPr>
                <w:rFonts w:ascii="Times New Roman" w:hAnsi="Times New Roman" w:cs="Times New Roman" w:eastAsia="Times New Roman" w:hint="default"/>
                <w:sz w:val="18"/>
                <w:szCs w:val="18"/>
              </w:rPr>
              <w:t>2</w:t>
            </w:r>
            <w:r>
              <w:rPr>
                <w:rFonts w:ascii="宋体" w:hAnsi="宋体" w:cs="宋体" w:eastAsia="宋体" w:hint="default"/>
                <w:sz w:val="18"/>
                <w:szCs w:val="18"/>
              </w:rPr>
              <w:t>、若发生必要且不可避免的关联交易 本人及本人对外投资的企业（包括但不限于直 </w:t>
            </w:r>
            <w:r>
              <w:rPr>
                <w:rFonts w:ascii="宋体" w:hAnsi="宋体" w:cs="宋体" w:eastAsia="宋体" w:hint="default"/>
                <w:spacing w:val="-8"/>
                <w:sz w:val="18"/>
                <w:szCs w:val="18"/>
              </w:rPr>
              <w:t>接持股、间接持股或委托持股）、实际控制或担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任董事、高级管理人员的企业将与润和软件及 其下属公司（包括但不限于联创智融）按照公</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4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前，承诺 人严格履 行了上述 承诺，未 有违反承 诺的情</w:t>
            </w:r>
          </w:p>
        </w:tc>
      </w:tr>
      <w:tr>
        <w:trPr>
          <w:trHeight w:val="323"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平、公允、等价有偿等原则依法签订协议，履</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行合法程序，并将按照有关法律法规和《江苏</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润和软件股份有限公司章程》的规定履行信息</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披露义务及相关内部决策程序和回避制度，关</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联交易价格依照与无关联关系的独立第三方进</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行相同或相似交易时的价格确定，保证关联交</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易价格具有公允性，亦不利用该等交易从事任</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何损害润和软件及润和软件股东的合法权益的</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行为。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、本人保证将依照《江苏润和软件股份</w:t>
            </w: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r>
        <w:rPr/>
        <w:pict>
          <v:shape style="position:absolute;margin-left:369.243011pt;margin-top:72.47998pt;width:84.15pt;height:329.65pt;mso-position-horizontal-relative:page;mso-position-vertical-relative:page;z-index:-1147288" type="#_x0000_t202" filled="false" stroked="false">
            <v:textbox inset="0,0,0,0">
              <w:txbxContent>
                <w:p>
                  <w:pPr>
                    <w:pStyle w:val="BodyText"/>
                    <w:spacing w:line="240" w:lineRule="auto" w:before="8"/>
                    <w:ind w:left="0" w:right="0"/>
                    <w:jc w:val="left"/>
                  </w:pPr>
                  <w:r>
                    <w:rPr/>
                    <w:t>股东大会，</w:t>
                  </w:r>
                </w:p>
              </w:txbxContent>
            </v:textbox>
            <w10:wrap type="none"/>
          </v:shape>
        </w:pict>
      </w:r>
      <w:r>
        <w:rPr/>
        <w:pict>
          <v:group style="position:absolute;margin-left:411.359985pt;margin-top:72.47998pt;width:42pt;height:329.65pt;mso-position-horizontal-relative:page;mso-position-vertical-relative:page;z-index:-1147264" coordorigin="8227,1450" coordsize="840,6593">
            <v:shape style="position:absolute;left:8227;top:1450;width:840;height:6593" coordorigin="8227,1450" coordsize="840,6593" path="m8227,8042l9067,8042,9067,1450,8227,1450,8227,8042xe" filled="true" fillcolor="#ffffff" stroked="false">
              <v:path arrowok="t"/>
              <v:fill type="solid"/>
            </v:shape>
            <w10:wrap type="none"/>
          </v:group>
        </w:pict>
      </w:r>
      <w:r>
        <w:rPr/>
        <w:pict>
          <v:group style="position:absolute;margin-left:411.359985pt;margin-top:582.959961pt;width:42pt;height:180.5pt;mso-position-horizontal-relative:page;mso-position-vertical-relative:page;z-index:-1147240" coordorigin="8227,11659" coordsize="840,3610">
            <v:group style="position:absolute;left:8227;top:12012;width:840;height:3257" coordorigin="8227,12012" coordsize="840,3257">
              <v:shape style="position:absolute;left:8227;top:12012;width:840;height:3257" coordorigin="8227,12012" coordsize="840,3257" path="m8227,15269l9067,15269,9067,12012,8227,12012,8227,15269xe" filled="true" fillcolor="#ffffff" stroked="false">
                <v:path arrowok="t"/>
                <v:fill type="solid"/>
              </v:shape>
            </v:group>
            <v:group style="position:absolute;left:8249;top:11659;width:795;height:353" coordorigin="8249,11659" coordsize="795,353">
              <v:shape style="position:absolute;left:8249;top:11659;width:795;height:353" coordorigin="8249,11659" coordsize="795,353" path="m8249,12012l9043,12012,9043,11659,8249,11659,8249,1201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2"/>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有限公司章程》的规定参加董事会、</w:t>
            </w:r>
          </w:p>
        </w:tc>
        <w:tc>
          <w:tcPr>
            <w:tcW w:w="852" w:type="dxa"/>
            <w:tcBorders>
              <w:top w:val="single" w:sz="4" w:space="0" w:color="000000"/>
              <w:left w:val="single" w:sz="4" w:space="0" w:color="000000"/>
              <w:bottom w:val="nil" w:sz="6" w:space="0" w:color="auto"/>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平等地行使相应权利，承担相应义务，不利用</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董事或股东地位谋取不正当利益，不利用关联</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交易非法转移润和软件及其下属子公司（包括</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但不限于联创智融）的资金、利润，保证不损</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害润和软件及股东的合法权益。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声明和保证，本人将对前述行为给润和软件造</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成的损失向润和软件进行赔偿。</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二、关于规范资金占用行为的承诺：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承诺出具之日，本人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本企业及本人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本企业对外</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投资（包括直接持股、间接持股或委托持股</w:t>
            </w:r>
            <w:r>
              <w:rPr>
                <w:rFonts w:ascii="宋体" w:hAnsi="宋体" w:cs="宋体" w:eastAsia="宋体" w:hint="default"/>
                <w:spacing w:val="-92"/>
                <w:sz w:val="18"/>
                <w:szCs w:val="18"/>
              </w:rPr>
              <w:t>）</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实际控制的企业与联创智融及其子公司之间的</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非经营性资金往来已全部清理完毕，不存在纠</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纷。</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、本承诺出具日后，本人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本企业对外投资、实际控制的企业不会利用本</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人的股东身份或职务便利以借款、代偿债务、</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代垫款项或者其他方式占用联创智融及其子公</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司之资金。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、若未来联创智融因本次交易完成</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前的资金占用情形或本人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本企业违反上述承</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诺而受到有关主管部门处罚的，本人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55"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对联创智融遭受的全部损失予以赔偿。</w:t>
            </w: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55"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一、保证润和软件及其下属公司、联创智融及</w:t>
            </w:r>
          </w:p>
        </w:tc>
        <w:tc>
          <w:tcPr>
            <w:tcW w:w="85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其下属公司的人员独立：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后润和软件及其下属公司、联创智融及其下属</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公司的劳动、人事及薪酬管理与本企业及本企</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业控制的其他公司或者其他经济组织等关联方</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之间完全独立。</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．保证本次交易完成后润和软</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件及其下属公司、联创智融及其下属公司的高</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691"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级管理人员均专职在润和软件及其下属公司、 联创智融及其下属公司任职并领取薪酬，不在</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2"/>
              <w:ind w:left="23" w:right="96"/>
              <w:jc w:val="left"/>
              <w:rPr>
                <w:rFonts w:ascii="宋体" w:hAnsi="宋体" w:cs="宋体" w:eastAsia="宋体" w:hint="default"/>
                <w:sz w:val="18"/>
                <w:szCs w:val="18"/>
              </w:rPr>
            </w:pPr>
            <w:r>
              <w:rPr>
                <w:rFonts w:ascii="宋体" w:hAnsi="宋体" w:cs="宋体" w:eastAsia="宋体" w:hint="default"/>
                <w:sz w:val="18"/>
                <w:szCs w:val="18"/>
              </w:rPr>
              <w:t>截至目 前，承诺</w:t>
            </w:r>
          </w:p>
        </w:tc>
      </w:tr>
      <w:tr>
        <w:trPr>
          <w:trHeight w:val="1248"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宁波宏创股权 投资合伙企业</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nil" w:sz="6" w:space="0" w:color="auto"/>
              <w:left w:val="single" w:sz="4" w:space="0" w:color="000000"/>
              <w:bottom w:val="nil" w:sz="6" w:space="0" w:color="auto"/>
              <w:right w:val="single" w:sz="13" w:space="0" w:color="FFFFFF"/>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本企业及本企业控制的其他公司、企业或者其</w:t>
            </w:r>
          </w:p>
          <w:p>
            <w:pPr>
              <w:pStyle w:val="TableParagraph"/>
              <w:spacing w:line="309" w:lineRule="auto" w:before="76"/>
              <w:ind w:left="23" w:right="5"/>
              <w:jc w:val="left"/>
              <w:rPr>
                <w:rFonts w:ascii="宋体" w:hAnsi="宋体" w:cs="宋体" w:eastAsia="宋体" w:hint="default"/>
                <w:sz w:val="18"/>
                <w:szCs w:val="18"/>
              </w:rPr>
            </w:pPr>
            <w:r>
              <w:rPr>
                <w:rFonts w:ascii="宋体" w:hAnsi="宋体" w:cs="宋体" w:eastAsia="宋体" w:hint="default"/>
                <w:sz w:val="18"/>
                <w:szCs w:val="18"/>
              </w:rPr>
              <w:t>他经济组织等关联方担任董事以外的职务。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．保证本次交易完成后不干预润和软件及其下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属公司、联创智融及其下属公司股东（大）会</w:t>
            </w:r>
          </w:p>
        </w:tc>
        <w:tc>
          <w:tcPr>
            <w:tcW w:w="852"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13" w:lineRule="exact" w:before="60"/>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00"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3" w:right="96"/>
              <w:jc w:val="both"/>
              <w:rPr>
                <w:rFonts w:ascii="宋体" w:hAnsi="宋体" w:cs="宋体" w:eastAsia="宋体" w:hint="default"/>
                <w:sz w:val="18"/>
                <w:szCs w:val="18"/>
              </w:rPr>
            </w:pPr>
            <w:r>
              <w:rPr>
                <w:rFonts w:ascii="宋体" w:hAnsi="宋体" w:cs="宋体" w:eastAsia="宋体" w:hint="default"/>
                <w:sz w:val="18"/>
                <w:szCs w:val="18"/>
              </w:rPr>
              <w:t>人严格履 行了上述 承诺，未 有违反承</w:t>
            </w: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董事会行使职权进行人事任免。二、保证润和</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诺的情</w:t>
            </w: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软件及其下属公司、联创智融及其下属公司的</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250"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机构独立：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．保证本次交易完成后润和软件及</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其下属公司、联创智融及其下属公司构建健全</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的公司法人治理结构，拥有独立、完整的组织</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机构。</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．保证本次交易完成后润和软件及其下</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属公司、联创智融及其下属公司的股东（大）</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会、董事会、监事会等依照法律、法规及润和</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软件及其下属公司、联创智融及其下属公司公</w:t>
            </w: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司章程的规定独立行使职权。三、保证润和软</w:t>
            </w: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2"/>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3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件及其下属公司、联创智融及其下属公司的资</w:t>
            </w:r>
          </w:p>
        </w:tc>
        <w:tc>
          <w:tcPr>
            <w:tcW w:w="85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产独立、完整：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．保证本次交易完成后润和软</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件及其下属公司、联创智融及其下属公司拥有</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与生产经营有关的独立、完整的资产。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本次交易完成后润和软件及其下属公司、联创</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智融及其下属公司的经营场所独立于本企业及</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本企业控制的其他公司、企业或者其他经济组</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织等关联方。</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．除正常经营性往来外，保证本</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次交易完成后润和软件及其下属公司、联创智</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融及其下属公司不存在资金、资产被本企业及</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本企业控制的其他公司、企业或者其他经济组</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织等关联方占用的情形。四、保证润和软件及</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其下属公司、联创智融及其下属公司的业务独</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．保证本次交易完成后润和软件及其下属</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公司、联创智融及其下属公司拥有独立开展经</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营活动的相关资质，具有面向市场的独立、自</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主、持续的经营能力。</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．保证本次交易完成后</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本企业及本企业控制的其他公司、企业或者其</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他经济组织等关联方避免从事与润和软件及其</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下属公司、联创智融及其下属公司及其控制的</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其他公司、企业或者其他经济组织具有竞争关</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系的业务。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．保证本次交易完成后本企业及本</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企业控制的其他公司、企业或者其他经济组织</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等关联方减少与润和软件及其下属公司、联创</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智融及其下属公司及其控制的其他公司、企业</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或者其他经济组织的关联交易；对于确有必要</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且无法避免的关联交易，保证按市场原则和公</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允价格进行公平操作，并按相关法律、法规及</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规范性文件的规定履行相关审批程序及信息披</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露义务。五、保证润和软件及其下属公司、联</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创智融及其下属公司的财务独立：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．保证润和</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软件及其下属公司、联创智融及其下属公司本</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次交易完成后分别具备独立的财务部门以及独</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立的财务核算体系，具有规范、独立的财务会</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计制度。</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．保证润和软件及其下属公司、联创</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智融及其下属公司本次交易完成后独立在银行</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开户，不与本企业及本企业控制的其他公司、</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企业或者其他经济组织等关联方共用银行账</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户。</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．保证本次交易完成后润和软件及其下属</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公司、联创智融及其下属公司的财务人员不在</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本企业及本企业控制的其他公司、企业或者其</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他经济组织等关联方兼职。</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．保证本次交易完</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成后润和软件及其下属公司、联创智融及其下</w:t>
            </w:r>
          </w:p>
        </w:tc>
        <w:tc>
          <w:tcPr>
            <w:tcW w:w="85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9"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属公司能够独立做出财务决策，本企业不干预</w:t>
            </w:r>
          </w:p>
        </w:tc>
        <w:tc>
          <w:tcPr>
            <w:tcW w:w="85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r>
        <w:rPr/>
        <w:pict>
          <v:shape style="position:absolute;margin-left:324.243011pt;margin-top:282.239990pt;width:129.15pt;height:210.6pt;mso-position-horizontal-relative:page;mso-position-vertical-relative:page;z-index:-1147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pStyle w:val="BodyText"/>
                    <w:spacing w:line="240" w:lineRule="auto"/>
                    <w:ind w:left="0" w:right="0"/>
                    <w:jc w:val="left"/>
                  </w:pPr>
                  <w:r>
                    <w:rPr/>
                    <w:t>对议案内容进行修改，</w:t>
                  </w:r>
                </w:p>
              </w:txbxContent>
            </v:textbox>
            <w10:wrap type="none"/>
          </v:shape>
        </w:pict>
      </w:r>
      <w:r>
        <w:rPr/>
        <w:pict>
          <v:shape style="position:absolute;margin-left:243.242996pt;margin-top:528.119995pt;width:210.15pt;height:210.6pt;mso-position-horizontal-relative:page;mso-position-vertical-relative:page;z-index:-1147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5"/>
                    <w:ind w:left="0" w:right="0"/>
                    <w:jc w:val="left"/>
                  </w:pPr>
                  <w:r>
                    <w:rPr/>
                    <w:t>监管机构的规定和公司章程规定的前提下，</w:t>
                  </w:r>
                </w:p>
              </w:txbxContent>
            </v:textbox>
            <w10:wrap type="none"/>
          </v:shape>
        </w:pict>
      </w:r>
      <w:r>
        <w:rPr/>
        <w:pict>
          <v:group style="position:absolute;margin-left:411.359985pt;margin-top:528.119995pt;width:42pt;height:230.25pt;mso-position-horizontal-relative:page;mso-position-vertical-relative:page;z-index:-1147144" coordorigin="8227,10562" coordsize="840,4605">
            <v:group style="position:absolute;left:8227;top:10562;width:840;height:4212" coordorigin="8227,10562" coordsize="840,4212">
              <v:shape style="position:absolute;left:8227;top:10562;width:840;height:4212" coordorigin="8227,10562" coordsize="840,4212" path="m8227,14774l9067,14774,9067,10562,8227,10562,8227,14774xe" filled="true" fillcolor="#ffffff" stroked="false">
                <v:path arrowok="t"/>
                <v:fill type="solid"/>
              </v:shape>
            </v:group>
            <v:group style="position:absolute;left:8238;top:14803;width:2;height:353" coordorigin="8238,14803" coordsize="2,353">
              <v:shape style="position:absolute;left:8238;top:14803;width:2;height:353" coordorigin="8238,14803" coordsize="0,353" path="m8238,14803l8238,15156e" filled="false" stroked="true" strokeweight="1.08pt" strokecolor="#ffffff">
                <v:path arrowok="t"/>
              </v:shape>
            </v:group>
            <v:group style="position:absolute;left:8249;top:14803;width:795;height:353" coordorigin="8249,14803" coordsize="795,353">
              <v:shape style="position:absolute;left:8249;top:14803;width:795;height:353" coordorigin="8249,14803" coordsize="795,353" path="m8249,15156l9043,15156,9043,14803,8249,14803,8249,1515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2"/>
      </w:tblGrid>
      <w:tr>
        <w:trPr>
          <w:trHeight w:val="1298"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both"/>
              <w:rPr>
                <w:rFonts w:ascii="宋体" w:hAnsi="宋体" w:cs="宋体" w:eastAsia="宋体" w:hint="default"/>
                <w:sz w:val="18"/>
                <w:szCs w:val="18"/>
              </w:rPr>
            </w:pPr>
            <w:r>
              <w:rPr>
                <w:rFonts w:ascii="宋体" w:hAnsi="宋体" w:cs="宋体" w:eastAsia="宋体" w:hint="default"/>
                <w:sz w:val="18"/>
                <w:szCs w:val="18"/>
              </w:rPr>
              <w:t>润和软件及其下属公司、联创智融及其下属公 </w:t>
            </w:r>
            <w:r>
              <w:rPr>
                <w:rFonts w:ascii="宋体" w:hAnsi="宋体" w:cs="宋体" w:eastAsia="宋体" w:hint="default"/>
                <w:spacing w:val="-3"/>
                <w:sz w:val="18"/>
                <w:szCs w:val="18"/>
              </w:rPr>
              <w:t>司的资金使用。</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．保证本次交易完成后润和软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件及其下属公司、联创智融及其下属公司依法 独立纳税。</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122"/>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9"/>
              <w:jc w:val="left"/>
              <w:rPr>
                <w:rFonts w:ascii="宋体" w:hAnsi="宋体" w:cs="宋体" w:eastAsia="宋体" w:hint="default"/>
                <w:sz w:val="18"/>
                <w:szCs w:val="18"/>
              </w:rPr>
            </w:pPr>
            <w:r>
              <w:rPr>
                <w:rFonts w:ascii="宋体" w:hAnsi="宋体" w:cs="宋体" w:eastAsia="宋体" w:hint="default"/>
                <w:spacing w:val="-6"/>
                <w:sz w:val="18"/>
                <w:szCs w:val="18"/>
              </w:rPr>
              <w:t>润和投资、周红</w:t>
            </w:r>
            <w:r>
              <w:rPr>
                <w:rFonts w:ascii="宋体" w:hAnsi="宋体" w:cs="宋体" w:eastAsia="宋体" w:hint="default"/>
                <w:sz w:val="18"/>
                <w:szCs w:val="18"/>
              </w:rPr>
              <w:t> 卫、姚宁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8"/>
              <w:jc w:val="both"/>
              <w:rPr>
                <w:rFonts w:ascii="宋体" w:hAnsi="宋体" w:cs="宋体" w:eastAsia="宋体" w:hint="default"/>
                <w:sz w:val="18"/>
                <w:szCs w:val="18"/>
              </w:rPr>
            </w:pPr>
            <w:r>
              <w:rPr>
                <w:rFonts w:ascii="宋体" w:hAnsi="宋体" w:cs="宋体" w:eastAsia="宋体" w:hint="default"/>
                <w:sz w:val="18"/>
                <w:szCs w:val="18"/>
              </w:rPr>
              <w:t>自公司股票上市之日起三十六个月内，不转让 或者委托他人管理其直接或间接持有的公司首 次公开发行股票前已持有的股份，也不由公司 回购该部分股份。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行了上述 承诺，未 有违反承 诺的情 况。</w:t>
            </w:r>
          </w:p>
        </w:tc>
      </w:tr>
      <w:tr>
        <w:trPr>
          <w:trHeight w:val="9139"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3" w:right="59"/>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日，周红卫、姚宁签订了《一 </w:t>
            </w:r>
            <w:r>
              <w:rPr>
                <w:rFonts w:ascii="宋体" w:hAnsi="宋体" w:cs="宋体" w:eastAsia="宋体" w:hint="default"/>
                <w:spacing w:val="-8"/>
                <w:sz w:val="18"/>
                <w:szCs w:val="18"/>
              </w:rPr>
              <w:t>致行动人协议》，共同表示在对润和投资、润和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软件重大事项决策前均事先沟通，达成一致意 见后进行表决，协议主要内容如下：①本协议 </w:t>
            </w:r>
            <w:r>
              <w:rPr>
                <w:rFonts w:ascii="宋体" w:hAnsi="宋体" w:cs="宋体" w:eastAsia="宋体" w:hint="default"/>
                <w:spacing w:val="-2"/>
                <w:sz w:val="18"/>
                <w:szCs w:val="18"/>
              </w:rPr>
              <w:t>一方拟向公司（润和投资）和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或股份公司（发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行人）董事会和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或股东大会提出应由董事会和</w:t>
            </w:r>
            <w:r>
              <w:rPr>
                <w:rFonts w:ascii="宋体" w:hAnsi="宋体" w:cs="宋体" w:eastAsia="宋体" w:hint="default"/>
                <w:sz w:val="18"/>
                <w:szCs w:val="18"/>
              </w:rPr>
              <w:t> 或股东大会审议的议案时，应当事先就该议案 内容与另一方进行充分的沟通和交流，如果另 一方对议案内容有异议，在不违反法律法规、 监管机构的规定和公司章程规定的前提下，双 方均应当做出适当让步， 直至双方共同认可议案的内容后，以其中一方 的名义或双方的名义向公司和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或股份公司董 </w:t>
            </w:r>
            <w:r>
              <w:rPr>
                <w:rFonts w:ascii="宋体" w:hAnsi="宋体" w:cs="宋体" w:eastAsia="宋体" w:hint="default"/>
                <w:spacing w:val="-1"/>
                <w:sz w:val="18"/>
                <w:szCs w:val="18"/>
              </w:rPr>
              <w:t>事会和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或股东大会提出相关议案，并对议案做</w:t>
            </w:r>
            <w:r>
              <w:rPr>
                <w:rFonts w:ascii="宋体" w:hAnsi="宋体" w:cs="宋体" w:eastAsia="宋体" w:hint="default"/>
                <w:sz w:val="18"/>
                <w:szCs w:val="18"/>
              </w:rPr>
              <w:t> 出相同的表决意见。②对于非由本协议的一方 </w:t>
            </w:r>
            <w:r>
              <w:rPr>
                <w:rFonts w:ascii="宋体" w:hAnsi="宋体" w:cs="宋体" w:eastAsia="宋体" w:hint="default"/>
                <w:spacing w:val="-1"/>
                <w:sz w:val="18"/>
                <w:szCs w:val="18"/>
              </w:rPr>
              <w:t>或双方提出的议案，在公司和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或股份公司董事</w:t>
            </w:r>
            <w:r>
              <w:rPr>
                <w:rFonts w:ascii="宋体" w:hAnsi="宋体" w:cs="宋体" w:eastAsia="宋体" w:hint="default"/>
                <w:sz w:val="18"/>
                <w:szCs w:val="18"/>
              </w:rPr>
              <w:t> </w:t>
            </w:r>
            <w:r>
              <w:rPr>
                <w:rFonts w:ascii="宋体" w:hAnsi="宋体" w:cs="宋体" w:eastAsia="宋体" w:hint="default"/>
                <w:spacing w:val="-1"/>
                <w:sz w:val="18"/>
                <w:szCs w:val="18"/>
              </w:rPr>
              <w:t>会和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或股东大会召开前，双方应当就待审议的</w:t>
            </w:r>
            <w:r>
              <w:rPr>
                <w:rFonts w:ascii="宋体" w:hAnsi="宋体" w:cs="宋体" w:eastAsia="宋体" w:hint="default"/>
                <w:sz w:val="18"/>
                <w:szCs w:val="18"/>
              </w:rPr>
              <w:t> 议案进行充分的沟通和交流，尽快达成一致意 见，并以自身的名义或一方授权另一方按照形 成的一致意见在公司和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或股份公司董事会和</w:t>
            </w:r>
            <w:r>
              <w:rPr>
                <w:rFonts w:ascii="Times New Roman" w:hAnsi="Times New Roman" w:cs="Times New Roman" w:eastAsia="Times New Roman" w:hint="default"/>
                <w:sz w:val="18"/>
                <w:szCs w:val="18"/>
              </w:rPr>
              <w:t>/ </w:t>
            </w:r>
            <w:r>
              <w:rPr>
                <w:rFonts w:ascii="宋体" w:hAnsi="宋体" w:cs="宋体" w:eastAsia="宋体" w:hint="default"/>
                <w:sz w:val="18"/>
                <w:szCs w:val="18"/>
              </w:rPr>
              <w:t>或股东大会会议上做出相同的表决意见。如果 难以达成一致意见，以多数持股原则处理，即 如对某一议案出现一方拟投同意票，一方拟投 反对或弃权票的情况，在议案内容符合法律法 规、 则双方均应按在公司持股多的一方的意见投 票。③本协议自双方签字之日起生效，有效期 为自本协议签订之日起至公司首次公开发行并 上市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年届满之日。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4212"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pict>
                <v:group style="width:42pt;height:210.6pt;mso-position-horizontal-relative:char;mso-position-vertical-relative:line" coordorigin="0,0" coordsize="840,4212">
                  <v:group style="position:absolute;left:0;top:0;width:840;height:4212" coordorigin="0,0" coordsize="840,4212">
                    <v:shape style="position:absolute;left:0;top:0;width:840;height:4212" coordorigin="0,0" coordsize="840,4212" path="m0,4212l840,4212,840,0,0,0,0,4212xe" filled="true" fillcolor="#ffffff" stroked="false">
                      <v:path arrowok="t"/>
                      <v:fill type="solid"/>
                    </v:shape>
                  </v:group>
                </v:group>
              </w:pict>
            </w:r>
            <w:r>
              <w:rPr>
                <w:rFonts w:ascii="Times New Roman" w:hAnsi="Times New Roman" w:cs="Times New Roman" w:eastAsia="Times New Roman" w:hint="default"/>
                <w:position w:val="-83"/>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截至目 前，承诺 人严格履 行承诺， 未出现违 反上述承 诺的情 况。</w:t>
            </w:r>
          </w:p>
        </w:tc>
      </w:tr>
      <w:tr>
        <w:trPr>
          <w:trHeight w:val="401"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关于避免同</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34"/>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一</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避免同业竞争：</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、作为公司的实际控制人，</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截至目</w:t>
            </w:r>
          </w:p>
        </w:tc>
      </w:tr>
    </w:tbl>
    <w:p>
      <w:pPr>
        <w:spacing w:after="0" w:line="240" w:lineRule="auto"/>
        <w:jc w:val="left"/>
        <w:rPr>
          <w:rFonts w:ascii="宋体" w:hAnsi="宋体" w:cs="宋体" w:eastAsia="宋体" w:hint="default"/>
          <w:sz w:val="18"/>
          <w:szCs w:val="18"/>
        </w:rPr>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4"/>
      </w:tblGrid>
      <w:tr>
        <w:trPr>
          <w:trHeight w:val="9722"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9"/>
              <w:jc w:val="both"/>
              <w:rPr>
                <w:rFonts w:ascii="宋体" w:hAnsi="宋体" w:cs="宋体" w:eastAsia="宋体" w:hint="default"/>
                <w:sz w:val="18"/>
                <w:szCs w:val="18"/>
              </w:rPr>
            </w:pPr>
            <w:r>
              <w:rPr>
                <w:rFonts w:ascii="宋体" w:hAnsi="宋体" w:cs="宋体" w:eastAsia="宋体" w:hint="default"/>
                <w:sz w:val="18"/>
                <w:szCs w:val="18"/>
              </w:rPr>
              <w:t>业竞争、避 免和减少关 联交易的承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周红卫和姚宁及周红卫和姚宁控股和实际控制 下的其他企业目前未从事与公司相竞争的业 务。周红卫和姚宁将对其他控股、实际控制的 企业按本协议进行监督，并行使必要的权力， 促使其遵守本协议。周红卫和姚宁保证周红卫 和姚宁及其控股和实际控制的其他企业不会以 任何形式直接或间接地从事与公司相同或相似 </w:t>
            </w:r>
            <w:r>
              <w:rPr>
                <w:rFonts w:ascii="宋体" w:hAnsi="宋体" w:cs="宋体" w:eastAsia="宋体" w:hint="default"/>
                <w:spacing w:val="-3"/>
                <w:sz w:val="18"/>
                <w:szCs w:val="18"/>
              </w:rPr>
              <w:t>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、在公司审议是否与周红卫和姚宁存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在同业竞争的董事会或股东大会上，周红卫和 姚宁将按规定进行回避，不参与表决。如公司 认定周红卫和姚宁或其控股、实际控制的其他 企业正在或将要从事的业务与公司存在同业竞 争，则周红卫和姚宁将在公司提出异议后自行 或要求相关企业及时转让或终止上述业务或以 获得周红卫和姚宁及证券监管部门共同认可的 其他方式对上述业务进行处理；如公司进一步 提出受让请求，则周红卫和姚宁应无条件按有 证券从业资格的中介机构审计或评估后的公允 </w:t>
            </w:r>
            <w:r>
              <w:rPr>
                <w:rFonts w:ascii="宋体" w:hAnsi="宋体" w:cs="宋体" w:eastAsia="宋体" w:hint="default"/>
                <w:spacing w:val="-5"/>
                <w:sz w:val="18"/>
                <w:szCs w:val="18"/>
              </w:rPr>
              <w:t>价格将上述业务和资产优先转让给公司。</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、周</w:t>
            </w:r>
            <w:r>
              <w:rPr>
                <w:rFonts w:ascii="宋体" w:hAnsi="宋体" w:cs="宋体" w:eastAsia="宋体" w:hint="default"/>
                <w:spacing w:val="-80"/>
                <w:sz w:val="18"/>
                <w:szCs w:val="18"/>
              </w:rPr>
              <w:t> </w:t>
            </w:r>
            <w:r>
              <w:rPr>
                <w:rFonts w:ascii="宋体" w:hAnsi="宋体" w:cs="宋体" w:eastAsia="宋体" w:hint="default"/>
                <w:sz w:val="18"/>
                <w:szCs w:val="18"/>
              </w:rPr>
              <w:t>红卫和姚宁保证严格遵守中国证监会、证券交</w:t>
            </w:r>
            <w:r>
              <w:rPr>
                <w:rFonts w:ascii="宋体" w:hAnsi="宋体" w:cs="宋体" w:eastAsia="宋体" w:hint="default"/>
                <w:sz w:val="18"/>
                <w:szCs w:val="18"/>
              </w:rPr>
              <w:t> 易所有关规章及公司《公司章程》的规定，与 其他股东一样平等的行使股东权利、履行股东 义务，不利用大股东的地位谋取不当利益，不 损害公司和其他股东的合法权益。</w:t>
            </w:r>
          </w:p>
          <w:p>
            <w:pPr>
              <w:pStyle w:val="TableParagraph"/>
              <w:spacing w:line="316" w:lineRule="auto" w:before="19"/>
              <w:ind w:left="23" w:right="17"/>
              <w:jc w:val="both"/>
              <w:rPr>
                <w:rFonts w:ascii="宋体" w:hAnsi="宋体" w:cs="宋体" w:eastAsia="宋体" w:hint="default"/>
                <w:sz w:val="18"/>
                <w:szCs w:val="18"/>
              </w:rPr>
            </w:pPr>
            <w:r>
              <w:rPr>
                <w:rFonts w:ascii="宋体" w:hAnsi="宋体" w:cs="宋体" w:eastAsia="宋体" w:hint="default"/>
                <w:sz w:val="18"/>
                <w:szCs w:val="18"/>
              </w:rPr>
              <w:t>（二）避免和减少关联交易：公司实际控制人 周红卫和姚宁出具了《关于避免和减少关联交 </w:t>
            </w:r>
            <w:r>
              <w:rPr>
                <w:rFonts w:ascii="宋体" w:hAnsi="宋体" w:cs="宋体" w:eastAsia="宋体" w:hint="default"/>
                <w:spacing w:val="-8"/>
                <w:sz w:val="18"/>
                <w:szCs w:val="18"/>
              </w:rPr>
              <w:t>易的承诺书》，承诺将尽可能避免和减少与公司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之间的关联交易。若有关的关联交易为公司日 常经营所必须或者无法避免，承诺方保证该等 关联交易所列之交易条件公允，不损害公司及 股东利益。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left"/>
              <w:rPr>
                <w:rFonts w:ascii="宋体" w:hAnsi="宋体" w:cs="宋体" w:eastAsia="宋体" w:hint="default"/>
                <w:sz w:val="18"/>
                <w:szCs w:val="18"/>
              </w:rPr>
            </w:pPr>
            <w:r>
              <w:rPr>
                <w:rFonts w:ascii="宋体" w:hAnsi="宋体" w:cs="宋体" w:eastAsia="宋体" w:hint="default"/>
                <w:sz w:val="18"/>
                <w:szCs w:val="18"/>
              </w:rPr>
              <w:t>前，承诺 人严格履 行承诺， 未出现违 反上述承 诺的情 况。</w:t>
            </w:r>
          </w:p>
        </w:tc>
      </w:tr>
      <w:tr>
        <w:trPr>
          <w:trHeight w:val="4106"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关于避免同 业竞争、避 免和减少关 联交易的承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避免同业竞争：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、作为公司的控股股东，</w:t>
            </w:r>
            <w:r>
              <w:rPr>
                <w:rFonts w:ascii="宋体" w:hAnsi="宋体" w:cs="宋体" w:eastAsia="宋体" w:hint="default"/>
                <w:w w:val="99"/>
                <w:sz w:val="18"/>
                <w:szCs w:val="18"/>
              </w:rPr>
              <w:t> </w:t>
            </w:r>
            <w:r>
              <w:rPr>
                <w:rFonts w:ascii="宋体" w:hAnsi="宋体" w:cs="宋体" w:eastAsia="宋体" w:hint="default"/>
                <w:sz w:val="18"/>
                <w:szCs w:val="18"/>
              </w:rPr>
              <w:t>润和投资及润和投资控股和实际控制下的其他</w:t>
            </w:r>
            <w:r>
              <w:rPr>
                <w:rFonts w:ascii="宋体" w:hAnsi="宋体" w:cs="宋体" w:eastAsia="宋体" w:hint="default"/>
                <w:w w:val="99"/>
                <w:sz w:val="18"/>
                <w:szCs w:val="18"/>
              </w:rPr>
              <w:t> </w:t>
            </w:r>
            <w:r>
              <w:rPr>
                <w:rFonts w:ascii="宋体" w:hAnsi="宋体" w:cs="宋体" w:eastAsia="宋体" w:hint="default"/>
                <w:sz w:val="18"/>
                <w:szCs w:val="18"/>
              </w:rPr>
              <w:t>企业目前未从事与公司相竞争的业务。润和投</w:t>
            </w:r>
            <w:r>
              <w:rPr>
                <w:rFonts w:ascii="宋体" w:hAnsi="宋体" w:cs="宋体" w:eastAsia="宋体" w:hint="default"/>
                <w:w w:val="99"/>
                <w:sz w:val="18"/>
                <w:szCs w:val="18"/>
              </w:rPr>
              <w:t> </w:t>
            </w:r>
            <w:r>
              <w:rPr>
                <w:rFonts w:ascii="宋体" w:hAnsi="宋体" w:cs="宋体" w:eastAsia="宋体" w:hint="default"/>
                <w:sz w:val="18"/>
                <w:szCs w:val="18"/>
              </w:rPr>
              <w:t>资将对其他控股、实际控制的企业按本协议进</w:t>
            </w:r>
            <w:r>
              <w:rPr>
                <w:rFonts w:ascii="宋体" w:hAnsi="宋体" w:cs="宋体" w:eastAsia="宋体" w:hint="default"/>
                <w:w w:val="99"/>
                <w:sz w:val="18"/>
                <w:szCs w:val="18"/>
              </w:rPr>
              <w:t> </w:t>
            </w:r>
            <w:r>
              <w:rPr>
                <w:rFonts w:ascii="宋体" w:hAnsi="宋体" w:cs="宋体" w:eastAsia="宋体" w:hint="default"/>
                <w:sz w:val="18"/>
                <w:szCs w:val="18"/>
              </w:rPr>
              <w:t>行监督，并行使必要的权力，促使其遵守本协</w:t>
            </w:r>
            <w:r>
              <w:rPr>
                <w:rFonts w:ascii="宋体" w:hAnsi="宋体" w:cs="宋体" w:eastAsia="宋体" w:hint="default"/>
                <w:w w:val="99"/>
                <w:sz w:val="18"/>
                <w:szCs w:val="18"/>
              </w:rPr>
              <w:t> </w:t>
            </w:r>
            <w:r>
              <w:rPr>
                <w:rFonts w:ascii="宋体" w:hAnsi="宋体" w:cs="宋体" w:eastAsia="宋体" w:hint="default"/>
                <w:sz w:val="18"/>
                <w:szCs w:val="18"/>
              </w:rPr>
              <w:t>议。润和投资保证润和投资及其控股和实际控</w:t>
            </w:r>
            <w:r>
              <w:rPr>
                <w:rFonts w:ascii="宋体" w:hAnsi="宋体" w:cs="宋体" w:eastAsia="宋体" w:hint="default"/>
                <w:w w:val="99"/>
                <w:sz w:val="18"/>
                <w:szCs w:val="18"/>
              </w:rPr>
              <w:t> </w:t>
            </w:r>
            <w:r>
              <w:rPr>
                <w:rFonts w:ascii="宋体" w:hAnsi="宋体" w:cs="宋体" w:eastAsia="宋体" w:hint="default"/>
                <w:sz w:val="18"/>
                <w:szCs w:val="18"/>
              </w:rPr>
              <w:t>制的其他企业不会以任何形式直接或间接地从</w:t>
            </w:r>
            <w:r>
              <w:rPr>
                <w:rFonts w:ascii="宋体" w:hAnsi="宋体" w:cs="宋体" w:eastAsia="宋体" w:hint="default"/>
                <w:w w:val="99"/>
                <w:sz w:val="18"/>
                <w:szCs w:val="18"/>
              </w:rPr>
              <w:t> </w:t>
            </w:r>
            <w:r>
              <w:rPr>
                <w:rFonts w:ascii="宋体" w:hAnsi="宋体" w:cs="宋体" w:eastAsia="宋体" w:hint="default"/>
                <w:spacing w:val="-3"/>
                <w:sz w:val="18"/>
                <w:szCs w:val="18"/>
              </w:rPr>
              <w:t>事与公司相同或相似的业务。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、在公司审议是</w:t>
            </w:r>
            <w:r>
              <w:rPr>
                <w:rFonts w:ascii="宋体" w:hAnsi="宋体" w:cs="宋体" w:eastAsia="宋体" w:hint="default"/>
                <w:w w:val="99"/>
                <w:sz w:val="18"/>
                <w:szCs w:val="18"/>
              </w:rPr>
              <w:t> </w:t>
            </w:r>
            <w:r>
              <w:rPr>
                <w:rFonts w:ascii="宋体" w:hAnsi="宋体" w:cs="宋体" w:eastAsia="宋体" w:hint="default"/>
                <w:sz w:val="18"/>
                <w:szCs w:val="18"/>
              </w:rPr>
              <w:t>否与润和投资存在同业竞争的董事会或股东大</w:t>
            </w:r>
            <w:r>
              <w:rPr>
                <w:rFonts w:ascii="宋体" w:hAnsi="宋体" w:cs="宋体" w:eastAsia="宋体" w:hint="default"/>
                <w:w w:val="99"/>
                <w:sz w:val="18"/>
                <w:szCs w:val="18"/>
              </w:rPr>
              <w:t> </w:t>
            </w:r>
            <w:r>
              <w:rPr>
                <w:rFonts w:ascii="宋体" w:hAnsi="宋体" w:cs="宋体" w:eastAsia="宋体" w:hint="default"/>
                <w:sz w:val="18"/>
                <w:szCs w:val="18"/>
              </w:rPr>
              <w:t>会上，润和投资将按规定进行回避，不参与表</w:t>
            </w:r>
            <w:r>
              <w:rPr>
                <w:rFonts w:ascii="宋体" w:hAnsi="宋体" w:cs="宋体" w:eastAsia="宋体" w:hint="default"/>
                <w:w w:val="99"/>
                <w:sz w:val="18"/>
                <w:szCs w:val="18"/>
              </w:rPr>
              <w:t> </w:t>
            </w:r>
            <w:r>
              <w:rPr>
                <w:rFonts w:ascii="宋体" w:hAnsi="宋体" w:cs="宋体" w:eastAsia="宋体" w:hint="default"/>
                <w:sz w:val="18"/>
                <w:szCs w:val="18"/>
              </w:rPr>
              <w:t>决。如公司认定润和投资或其控股、实际控制</w:t>
            </w:r>
            <w:r>
              <w:rPr>
                <w:rFonts w:ascii="宋体" w:hAnsi="宋体" w:cs="宋体" w:eastAsia="宋体" w:hint="default"/>
                <w:w w:val="99"/>
                <w:sz w:val="18"/>
                <w:szCs w:val="18"/>
              </w:rPr>
              <w:t> </w:t>
            </w:r>
            <w:r>
              <w:rPr>
                <w:rFonts w:ascii="宋体" w:hAnsi="宋体" w:cs="宋体" w:eastAsia="宋体" w:hint="default"/>
                <w:sz w:val="18"/>
                <w:szCs w:val="18"/>
              </w:rPr>
              <w:t>的其他企业正在或将要从事的业务与公司存在</w:t>
            </w:r>
            <w:r>
              <w:rPr>
                <w:rFonts w:ascii="宋体" w:hAnsi="宋体" w:cs="宋体" w:eastAsia="宋体" w:hint="default"/>
                <w:w w:val="99"/>
                <w:sz w:val="18"/>
                <w:szCs w:val="18"/>
              </w:rPr>
              <w:t> </w:t>
            </w:r>
            <w:r>
              <w:rPr>
                <w:rFonts w:ascii="宋体" w:hAnsi="宋体" w:cs="宋体" w:eastAsia="宋体" w:hint="default"/>
                <w:sz w:val="18"/>
                <w:szCs w:val="18"/>
              </w:rPr>
              <w:t>同业竞争，则润和投资将在公司提出异议后自</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截至目 前，承诺 人严格履 行承诺， 未出现违 反上述承 诺的情 况。</w:t>
            </w:r>
          </w:p>
        </w:tc>
      </w:tr>
    </w:tbl>
    <w:p>
      <w:pPr>
        <w:spacing w:after="0" w:line="316" w:lineRule="auto"/>
        <w:jc w:val="left"/>
        <w:rPr>
          <w:rFonts w:ascii="宋体" w:hAnsi="宋体" w:cs="宋体" w:eastAsia="宋体" w:hint="default"/>
          <w:sz w:val="18"/>
          <w:szCs w:val="18"/>
        </w:rPr>
        <w:sectPr>
          <w:pgSz w:w="11910" w:h="16840"/>
          <w:pgMar w:header="745" w:footer="982" w:top="1060" w:bottom="1180" w:left="740" w:right="720"/>
        </w:sectPr>
      </w:pPr>
    </w:p>
    <w:p>
      <w:pPr>
        <w:spacing w:line="240" w:lineRule="auto" w:before="0"/>
        <w:rPr>
          <w:rFonts w:ascii="Times New Roman" w:hAnsi="Times New Roman" w:cs="Times New Roman" w:eastAsia="Times New Roman" w:hint="default"/>
          <w:sz w:val="20"/>
          <w:szCs w:val="20"/>
        </w:rPr>
      </w:pPr>
      <w:r>
        <w:rPr/>
        <w:pict>
          <v:shape style="position:absolute;margin-left:153.360001pt;margin-top:598.799988pt;width:73.2pt;height:54.6pt;mso-position-horizontal-relative:page;mso-position-vertical-relative:page;z-index:-1147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8"/>
                      <w:szCs w:val="18"/>
                    </w:rPr>
                  </w:pPr>
                </w:p>
                <w:p>
                  <w:pPr>
                    <w:pStyle w:val="BodyText"/>
                    <w:spacing w:line="240" w:lineRule="auto"/>
                    <w:ind w:left="0" w:right="0"/>
                    <w:jc w:val="left"/>
                  </w:pPr>
                  <w:r>
                    <w:rPr/>
                    <w:t>孙强、</w:t>
                  </w:r>
                </w:p>
              </w:txbxContent>
            </v:textbox>
            <w10:wrap type="none"/>
          </v:shape>
        </w:pict>
      </w:r>
      <w:r>
        <w:rPr/>
        <w:pict>
          <v:shape style="position:absolute;margin-left:153.360001pt;margin-top:688.559998pt;width:73.2pt;height:54.6pt;mso-position-horizontal-relative:page;mso-position-vertical-relative:page;z-index:-1147048" type="#_x0000_t202" filled="false" stroked="false">
            <v:textbox inset="0,0,0,0">
              <w:txbxContent>
                <w:p>
                  <w:pPr>
                    <w:pStyle w:val="BodyText"/>
                    <w:spacing w:line="205" w:lineRule="exact"/>
                    <w:ind w:left="0" w:right="0"/>
                    <w:jc w:val="left"/>
                  </w:pPr>
                  <w:r>
                    <w:rPr/>
                    <w:t>吴昊、</w:t>
                  </w:r>
                </w:p>
              </w:txbxContent>
            </v:textbox>
            <w10:wrap type="none"/>
          </v:shape>
        </w:pict>
      </w:r>
      <w:r>
        <w:rPr/>
        <w:pict>
          <v:group style="position:absolute;margin-left:411.359985pt;margin-top:533.880005pt;width:42pt;height:64.45pt;mso-position-horizontal-relative:page;mso-position-vertical-relative:page;z-index:-1147024" coordorigin="8227,10678" coordsize="840,1289">
            <v:group style="position:absolute;left:8227;top:11030;width:840;height:936" coordorigin="8227,11030" coordsize="840,936">
              <v:shape style="position:absolute;left:8227;top:11030;width:840;height:936" coordorigin="8227,11030" coordsize="840,936" path="m8227,11966l9067,11966,9067,11030,8227,11030,8227,11966xe" filled="true" fillcolor="#ffffff" stroked="false">
                <v:path arrowok="t"/>
                <v:fill type="solid"/>
              </v:shape>
            </v:group>
            <v:group style="position:absolute;left:8249;top:10678;width:795;height:353" coordorigin="8249,10678" coordsize="795,353">
              <v:shape style="position:absolute;left:8249;top:10678;width:795;height:353" coordorigin="8249,10678" coordsize="795,353" path="m8249,11030l9043,11030,9043,10678,8249,10678,8249,1103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2"/>
      </w:tblGrid>
      <w:tr>
        <w:trPr>
          <w:trHeight w:val="5354"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both"/>
              <w:rPr>
                <w:rFonts w:ascii="宋体" w:hAnsi="宋体" w:cs="宋体" w:eastAsia="宋体" w:hint="default"/>
                <w:sz w:val="18"/>
                <w:szCs w:val="18"/>
              </w:rPr>
            </w:pPr>
            <w:r>
              <w:rPr>
                <w:rFonts w:ascii="宋体" w:hAnsi="宋体" w:cs="宋体" w:eastAsia="宋体" w:hint="default"/>
                <w:sz w:val="18"/>
                <w:szCs w:val="18"/>
              </w:rPr>
              <w:t>行或要求相关企业及时转让或终止上述业务或 以获得润和投资及证券监管部门共同认可的其 他方式对上述业务进行处理；如公司进一步提 出受让请求，则润和投资应无条件按有证券从 业资格的中介机构审计或评估后的公允价格将 </w:t>
            </w:r>
            <w:r>
              <w:rPr>
                <w:rFonts w:ascii="宋体" w:hAnsi="宋体" w:cs="宋体" w:eastAsia="宋体" w:hint="default"/>
                <w:spacing w:val="-3"/>
                <w:sz w:val="18"/>
                <w:szCs w:val="18"/>
              </w:rPr>
              <w:t>上述业务和资产优先转让给公司。</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、润和投资</w:t>
            </w:r>
            <w:r>
              <w:rPr>
                <w:rFonts w:ascii="宋体" w:hAnsi="宋体" w:cs="宋体" w:eastAsia="宋体" w:hint="default"/>
                <w:sz w:val="18"/>
                <w:szCs w:val="18"/>
              </w:rPr>
              <w:t> 保证严格遵守中国证监会、证券交易所有关规 章及公司《公司章程》的规定，与其他股东一 样平等的行使股东权利、履行股东义务，不利 用大股东的地位谋取不当利益，不损害公司和 其他股东的合法权益。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（二）避免和减少关联交易：润和投资出具了</w:t>
            </w:r>
          </w:p>
          <w:p>
            <w:pPr>
              <w:pStyle w:val="TableParagraph"/>
              <w:spacing w:line="316" w:lineRule="auto" w:before="76"/>
              <w:ind w:left="23" w:right="19"/>
              <w:jc w:val="both"/>
              <w:rPr>
                <w:rFonts w:ascii="宋体" w:hAnsi="宋体" w:cs="宋体" w:eastAsia="宋体" w:hint="default"/>
                <w:sz w:val="18"/>
                <w:szCs w:val="18"/>
              </w:rPr>
            </w:pPr>
            <w:r>
              <w:rPr>
                <w:rFonts w:ascii="宋体" w:hAnsi="宋体" w:cs="宋体" w:eastAsia="宋体" w:hint="default"/>
                <w:spacing w:val="-8"/>
                <w:sz w:val="18"/>
                <w:szCs w:val="18"/>
              </w:rPr>
              <w:t>《关于避免和减少关联交易的承诺书》，承诺将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尽可能避免和减少与公司之间的关联交易。若 有关的关联交易为公司日常经营所必须或者无 法避免，承诺方保证该等关联交易所列之交易 条件公允，不损害公司及股东利益。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若公司在执行社会保障法律法规及缴纳住房公 积金方面，经有关主管部门认定需为员工补缴 保险金或住房公积金，或受到主管部门处罚， 或任何利益相关方以任何方式提出权利要求且 该等要求获有关主管部门支持，润和投资将无 条件全额承担相关补缴、处罚款项、利益相关 方提出的赔偿或补偿，以及发行人因此所支付 的相关费用。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截至目 前，承诺 人严格履 行承诺， 未出现违 反上述承 诺的情 况。</w:t>
            </w:r>
          </w:p>
        </w:tc>
      </w:tr>
      <w:tr>
        <w:trPr>
          <w:trHeight w:val="2587"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3" w:right="36"/>
              <w:jc w:val="left"/>
              <w:rPr>
                <w:rFonts w:ascii="宋体" w:hAnsi="宋体" w:cs="宋体" w:eastAsia="宋体" w:hint="default"/>
                <w:sz w:val="18"/>
                <w:szCs w:val="18"/>
              </w:rPr>
            </w:pPr>
            <w:r>
              <w:rPr>
                <w:rFonts w:ascii="宋体" w:hAnsi="宋体" w:cs="宋体" w:eastAsia="宋体" w:hint="default"/>
                <w:sz w:val="18"/>
                <w:szCs w:val="18"/>
              </w:rPr>
              <w:t>公司承诺不为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年限制性股票激励计划的 激励对象获取有关权益工具提供贷款以及其他 </w:t>
            </w:r>
            <w:r>
              <w:rPr>
                <w:rFonts w:ascii="宋体" w:hAnsi="宋体" w:cs="宋体" w:eastAsia="宋体" w:hint="default"/>
                <w:spacing w:val="-3"/>
                <w:sz w:val="18"/>
                <w:szCs w:val="18"/>
              </w:rPr>
              <w:t>任何形式的财务资助，包括为其贷款提供担保</w:t>
            </w:r>
          </w:p>
        </w:tc>
        <w:tc>
          <w:tcPr>
            <w:tcW w:w="85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03" w:lineRule="exact"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截至目 前，承诺 人严格履 行承诺， 未出现违 反上述承 诺的情 况。</w:t>
            </w:r>
          </w:p>
        </w:tc>
      </w:tr>
      <w:tr>
        <w:trPr>
          <w:trHeight w:val="2897" w:hRule="exact"/>
        </w:trPr>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6"/>
                <w:sz w:val="18"/>
                <w:szCs w:val="18"/>
              </w:rPr>
              <w:t>润和投资、周红</w:t>
            </w:r>
            <w:r>
              <w:rPr>
                <w:rFonts w:ascii="宋体" w:hAnsi="宋体" w:cs="宋体" w:eastAsia="宋体" w:hint="default"/>
                <w:sz w:val="18"/>
                <w:szCs w:val="18"/>
              </w:rPr>
              <w:t> </w:t>
            </w:r>
            <w:r>
              <w:rPr>
                <w:rFonts w:ascii="宋体" w:hAnsi="宋体" w:cs="宋体" w:eastAsia="宋体" w:hint="default"/>
                <w:spacing w:val="-13"/>
                <w:sz w:val="18"/>
                <w:szCs w:val="18"/>
              </w:rPr>
              <w:t>卫、姚宁、</w:t>
            </w:r>
            <w:r>
              <w:rPr>
                <w:rFonts w:ascii="宋体" w:hAnsi="宋体" w:cs="宋体" w:eastAsia="宋体" w:hint="default"/>
                <w:sz w:val="18"/>
                <w:szCs w:val="18"/>
              </w:rPr>
              <w:t> 马玉峰、黄维 </w:t>
            </w:r>
            <w:r>
              <w:rPr>
                <w:rFonts w:ascii="宋体" w:hAnsi="宋体" w:cs="宋体" w:eastAsia="宋体" w:hint="default"/>
                <w:spacing w:val="-6"/>
                <w:sz w:val="18"/>
                <w:szCs w:val="18"/>
              </w:rPr>
              <w:t>江、朱祖龙、钟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峻、周庆、</w:t>
            </w:r>
            <w:r>
              <w:rPr>
                <w:rFonts w:ascii="宋体" w:hAnsi="宋体" w:cs="宋体" w:eastAsia="宋体" w:hint="default"/>
                <w:sz w:val="18"/>
                <w:szCs w:val="18"/>
              </w:rPr>
              <w:t> 廉智慧、陈斌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49.1pt;height:54.6pt;mso-position-horizontal-relative:char;mso-position-vertical-relative:line" coordorigin="0,0" coordsize="982,1092">
                  <v:group style="position:absolute;left:0;top:0;width:982;height:1092" coordorigin="0,0" coordsize="982,1092">
                    <v:shape style="position:absolute;left:0;top:0;width:982;height:1092" coordorigin="0,0" coordsize="982,1092" path="m0,1092l982,1092,982,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股份增持及 限售承诺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109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49.1pt;height:54.6pt;mso-position-horizontal-relative:char;mso-position-vertical-relative:line" coordorigin="0,0" coordsize="982,1092">
                  <v:group style="position:absolute;left:0;top:0;width:982;height:1092" coordorigin="0,0" coordsize="982,1092">
                    <v:shape style="position:absolute;left:0;top:0;width:982;height:1092" coordorigin="0,0" coordsize="982,1092" path="m0,1092l982,1092,982,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z w:val="18"/>
                <w:szCs w:val="18"/>
              </w:rPr>
              <w:t>公司控股股东、实际控制人及董事（独立董事 </w:t>
            </w:r>
            <w:r>
              <w:rPr>
                <w:rFonts w:ascii="宋体" w:hAnsi="宋体" w:cs="宋体" w:eastAsia="宋体" w:hint="default"/>
                <w:spacing w:val="-8"/>
                <w:sz w:val="18"/>
                <w:szCs w:val="18"/>
              </w:rPr>
              <w:t>除外）、监事、高级管理人员拟计划在未来三个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月内，通过合法有效的方式在二级市场增持公 司股票，并积极鼓励公司核心员工增持公司股 票</w:t>
            </w:r>
            <w:r>
              <w:rPr>
                <w:rFonts w:ascii="Times New Roman" w:hAnsi="Times New Roman" w:cs="Times New Roman" w:eastAsia="Times New Roman" w:hint="default"/>
                <w:sz w:val="18"/>
                <w:szCs w:val="18"/>
              </w:rPr>
              <w:t>,</w:t>
            </w:r>
            <w:r>
              <w:rPr>
                <w:rFonts w:ascii="宋体" w:hAnsi="宋体" w:cs="宋体" w:eastAsia="宋体" w:hint="default"/>
                <w:sz w:val="18"/>
                <w:szCs w:val="18"/>
              </w:rPr>
              <w:t>合计增持金额不低于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万元人民币，增 持所需的资金来源为其自筹获得。本次增持计 划的参与人均承诺在增持计划完成后的六个月 内不减持所持有的公司股份。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行了上述 承诺，未 有违反承 诺的情 况。</w:t>
            </w:r>
          </w:p>
        </w:tc>
      </w:tr>
      <w:tr>
        <w:trPr>
          <w:trHeight w:val="362"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润和投资、周红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公司控股股东、实际控制人、持股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该承诺已</w:t>
            </w:r>
          </w:p>
        </w:tc>
      </w:tr>
    </w:tbl>
    <w:p>
      <w:pPr>
        <w:spacing w:after="0" w:line="240" w:lineRule="auto"/>
        <w:jc w:val="left"/>
        <w:rPr>
          <w:rFonts w:ascii="宋体" w:hAnsi="宋体" w:cs="宋体" w:eastAsia="宋体" w:hint="default"/>
          <w:sz w:val="18"/>
          <w:szCs w:val="18"/>
        </w:rPr>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274"/>
        <w:gridCol w:w="994"/>
        <w:gridCol w:w="3684"/>
        <w:gridCol w:w="852"/>
        <w:gridCol w:w="1133"/>
        <w:gridCol w:w="852"/>
      </w:tblGrid>
      <w:tr>
        <w:trPr>
          <w:trHeight w:val="2546" w:hRule="exact"/>
        </w:trPr>
        <w:tc>
          <w:tcPr>
            <w:tcW w:w="1418"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8"/>
              <w:ind w:left="23" w:right="-40"/>
              <w:jc w:val="left"/>
              <w:rPr>
                <w:rFonts w:ascii="宋体" w:hAnsi="宋体" w:cs="宋体" w:eastAsia="宋体" w:hint="default"/>
                <w:sz w:val="18"/>
                <w:szCs w:val="18"/>
              </w:rPr>
            </w:pPr>
            <w:r>
              <w:rPr>
                <w:rFonts w:ascii="宋体" w:hAnsi="宋体" w:cs="宋体" w:eastAsia="宋体" w:hint="default"/>
                <w:spacing w:val="-21"/>
                <w:sz w:val="18"/>
                <w:szCs w:val="18"/>
              </w:rPr>
              <w:t>卫、姚宁、王杰、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宁波宏创、孙</w:t>
            </w:r>
            <w:r>
              <w:rPr>
                <w:rFonts w:ascii="宋体" w:hAnsi="宋体" w:cs="宋体" w:eastAsia="宋体" w:hint="default"/>
                <w:sz w:val="18"/>
                <w:szCs w:val="18"/>
              </w:rPr>
              <w:t> </w:t>
            </w:r>
            <w:r>
              <w:rPr>
                <w:rFonts w:ascii="宋体" w:hAnsi="宋体" w:cs="宋体" w:eastAsia="宋体" w:hint="default"/>
                <w:spacing w:val="-6"/>
                <w:sz w:val="18"/>
                <w:szCs w:val="18"/>
              </w:rPr>
              <w:t>强、马玉峰、黄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维江、朱祖龙、 钟峻、张顺颐、 杜宁宁、洪磊、 </w:t>
            </w:r>
            <w:r>
              <w:rPr>
                <w:rFonts w:ascii="宋体" w:hAnsi="宋体" w:cs="宋体" w:eastAsia="宋体" w:hint="default"/>
                <w:spacing w:val="-6"/>
                <w:sz w:val="18"/>
                <w:szCs w:val="18"/>
              </w:rPr>
              <w:t>骆威、周庆、吴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昊、廉智慧</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8"/>
              <w:ind w:left="17" w:right="0"/>
              <w:jc w:val="left"/>
              <w:rPr>
                <w:rFonts w:ascii="宋体" w:hAnsi="宋体" w:cs="宋体" w:eastAsia="宋体" w:hint="default"/>
                <w:sz w:val="18"/>
                <w:szCs w:val="18"/>
              </w:rPr>
            </w:pPr>
            <w:r>
              <w:rPr>
                <w:rFonts w:ascii="宋体" w:hAnsi="宋体" w:cs="宋体" w:eastAsia="宋体" w:hint="default"/>
                <w:sz w:val="18"/>
                <w:szCs w:val="18"/>
              </w:rPr>
              <w:t>诺</w:t>
            </w:r>
          </w:p>
          <w:p>
            <w:pPr>
              <w:pStyle w:val="TableParagraph"/>
              <w:spacing w:line="352" w:lineRule="exact"/>
              <w:ind w:left="18"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6.8pt;height:17.650pt;mso-position-horizontal-relative:char;mso-position-vertical-relative:line" coordorigin="0,0" coordsize="936,353">
                  <v:group style="position:absolute;left:0;top:0;width:936;height:353" coordorigin="0,0" coordsize="936,353">
                    <v:shape style="position:absolute;left:0;top:0;width:936;height:353" coordorigin="0,0" coordsize="936,353" path="m0,353l936,353,93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8"/>
              <w:jc w:val="both"/>
              <w:rPr>
                <w:rFonts w:ascii="宋体" w:hAnsi="宋体" w:cs="宋体" w:eastAsia="宋体" w:hint="default"/>
                <w:sz w:val="18"/>
                <w:szCs w:val="18"/>
              </w:rPr>
            </w:pPr>
            <w:r>
              <w:rPr>
                <w:rFonts w:ascii="宋体" w:hAnsi="宋体" w:cs="宋体" w:eastAsia="宋体" w:hint="default"/>
                <w:sz w:val="18"/>
                <w:szCs w:val="18"/>
              </w:rPr>
              <w:t>东以及董事、监事和高级管理人员承诺：自公 告之日起未来六个月内，不通过二级市场减持 公司股份。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left"/>
              <w:rPr>
                <w:rFonts w:ascii="宋体" w:hAnsi="宋体" w:cs="宋体" w:eastAsia="宋体" w:hint="default"/>
                <w:sz w:val="18"/>
                <w:szCs w:val="18"/>
              </w:rPr>
            </w:pPr>
            <w:r>
              <w:rPr>
                <w:rFonts w:ascii="宋体" w:hAnsi="宋体" w:cs="宋体" w:eastAsia="宋体" w:hint="default"/>
                <w:sz w:val="18"/>
                <w:szCs w:val="18"/>
              </w:rPr>
              <w:t>履行完 毕，承诺 人严格履 行了上述 承诺，未 有违反承 诺的情 况。</w:t>
            </w:r>
          </w:p>
        </w:tc>
      </w:tr>
      <w:tr>
        <w:trPr>
          <w:trHeight w:val="4457"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利润分配承 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利润分配承诺：公司每年以现金方式分配的利 润不少于当年实现的可分配利润的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；对于 公司当年的利润分配计划，公司董事会应当在 定期报告中披露当年未分配利润的使用计划、 安排或原则。公司董事会未做出年度现金利润 分配预案或年度现金利润分配比例不足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的，应当在定期报告中披露原因、公司留存资 金的使用计划和安排，该等年度现金利润分配 方案须经董事会审议、监事会审核后提交股东 大会审议；股东大会审议该等年度现金利润分 配方案时，公司应当提供网络投票表决方式为 社会公众股东参加股东大会提供便利；对于该 等年度现金利润分配方案，独立董事应当发表 独立意见。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6"/>
              <w:jc w:val="left"/>
              <w:rPr>
                <w:rFonts w:ascii="宋体" w:hAnsi="宋体" w:cs="宋体" w:eastAsia="宋体" w:hint="default"/>
                <w:sz w:val="18"/>
                <w:szCs w:val="18"/>
              </w:rPr>
            </w:pPr>
            <w:r>
              <w:rPr>
                <w:rFonts w:ascii="宋体" w:hAnsi="宋体" w:cs="宋体" w:eastAsia="宋体" w:hint="default"/>
                <w:sz w:val="18"/>
                <w:szCs w:val="18"/>
              </w:rPr>
              <w:t>截至目 前，承诺 人严格履 行了上述 承诺，未 有违反承 诺的情 况。</w:t>
            </w:r>
          </w:p>
        </w:tc>
      </w:tr>
      <w:tr>
        <w:trPr>
          <w:trHeight w:val="2587" w:hRule="exact"/>
        </w:trPr>
        <w:tc>
          <w:tcPr>
            <w:tcW w:w="1418"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3" w:right="-41"/>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年第二次临时股东大会审议批准， 公司使用剩余超募资金永久补充流动资金，公 司承诺：在本次使用超募资金永久补充流动资 金后十二个月内不进行证券投资、委托理财、 衍生品投资、创业投资等高风险投资以及为他 人提供财务资助。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42pt;height:46.8pt;mso-position-horizontal-relative:char;mso-position-vertical-relative:line" coordorigin="0,0" coordsize="840,936">
                  <v:group style="position:absolute;left:0;top:0;width:840;height:936" coordorigin="0,0" coordsize="840,936">
                    <v:shape style="position:absolute;left:0;top:0;width:840;height:936" coordorigin="0,0" coordsize="840,936" path="m0,936l840,936,840,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截至目 前，承诺 人严格履 行承诺， 未出现违 反上述承 诺的情 况。</w:t>
            </w:r>
          </w:p>
        </w:tc>
      </w:tr>
      <w:tr>
        <w:trPr>
          <w:trHeight w:val="2897"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年第一次临时股东大会审议批准，公</w:t>
            </w:r>
          </w:p>
          <w:p>
            <w:pPr>
              <w:pStyle w:val="TableParagraph"/>
              <w:spacing w:line="312" w:lineRule="auto" w:before="63"/>
              <w:ind w:left="23" w:right="48"/>
              <w:jc w:val="both"/>
              <w:rPr>
                <w:rFonts w:ascii="宋体" w:hAnsi="宋体" w:cs="宋体" w:eastAsia="宋体" w:hint="default"/>
                <w:sz w:val="18"/>
                <w:szCs w:val="18"/>
              </w:rPr>
            </w:pPr>
            <w:r>
              <w:rPr>
                <w:rFonts w:ascii="宋体" w:hAnsi="宋体" w:cs="宋体" w:eastAsia="宋体" w:hint="default"/>
                <w:sz w:val="18"/>
                <w:szCs w:val="18"/>
              </w:rPr>
              <w:t>司使用部分超募资金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 资金，公司承诺：在永久补充流动资金后十二 个月内不进行证券投资、委托理财、衍生品投 资、创业投资等高风险投资。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行了上述 承诺，未 有违反承 诺的情 况。</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7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0"/>
                <w:sz w:val="18"/>
                <w:szCs w:val="18"/>
              </w:rPr>
              <w:t>行完毕的，应当详</w:t>
            </w:r>
          </w:p>
        </w:tc>
        <w:tc>
          <w:tcPr>
            <w:tcW w:w="87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2" w:top="1060" w:bottom="1180" w:left="740" w:right="7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1317"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510.85pt;height:65.9pt;mso-position-horizontal-relative:char;mso-position-vertical-relative:line" coordorigin="0,0" coordsize="10217,1318">
            <v:group style="position:absolute;left:22;top:14;width:2;height:1289" coordorigin="22,14" coordsize="2,1289">
              <v:shape style="position:absolute;left:22;top:14;width:2;height:1289" coordorigin="22,14" coordsize="0,1289" path="m22,14l22,1303e" filled="false" stroked="true" strokeweight="1.2pt" strokecolor="#d4d4d4">
                <v:path arrowok="t"/>
              </v:shape>
            </v:group>
            <v:group style="position:absolute;left:1406;top:14;width:2;height:1289" coordorigin="1406,14" coordsize="2,1289">
              <v:shape style="position:absolute;left:1406;top:14;width:2;height:1289" coordorigin="1406,14" coordsize="0,1289" path="m1406,14l1406,1303e" filled="false" stroked="true" strokeweight="1.2pt" strokecolor="#d4d4d4">
                <v:path arrowok="t"/>
              </v:shape>
            </v:group>
            <v:group style="position:absolute;left:34;top:14;width:1361;height:312" coordorigin="34,14" coordsize="1361,312">
              <v:shape style="position:absolute;left:34;top:14;width:1361;height:312" coordorigin="34,14" coordsize="1361,312" path="m34,326l1394,326,1394,14,34,14,34,326xe" filled="true" fillcolor="#d4d4d4" stroked="false">
                <v:path arrowok="t"/>
                <v:fill type="solid"/>
              </v:shape>
            </v:group>
            <v:group style="position:absolute;left:34;top:326;width:1361;height:312" coordorigin="34,326" coordsize="1361,312">
              <v:shape style="position:absolute;left:34;top:326;width:1361;height:312" coordorigin="34,326" coordsize="1361,312" path="m34,638l1394,638,1394,326,34,326,34,638xe" filled="true" fillcolor="#d4d4d4" stroked="false">
                <v:path arrowok="t"/>
                <v:fill type="solid"/>
              </v:shape>
            </v:group>
            <v:group style="position:absolute;left:34;top:638;width:1361;height:312" coordorigin="34,638" coordsize="1361,312">
              <v:shape style="position:absolute;left:34;top:638;width:1361;height:312" coordorigin="34,638" coordsize="1361,312" path="m34,950l1394,950,1394,638,34,638,34,950xe" filled="true" fillcolor="#d4d4d4" stroked="false">
                <v:path arrowok="t"/>
                <v:fill type="solid"/>
              </v:shape>
            </v:group>
            <v:group style="position:absolute;left:34;top:950;width:1361;height:353" coordorigin="34,950" coordsize="1361,353">
              <v:shape style="position:absolute;left:34;top:950;width:1361;height:353" coordorigin="34,950" coordsize="1361,353" path="m34,1303l1394,1303,1394,950,34,950,34,1303xe" filled="true" fillcolor="#d4d4d4" stroked="false">
                <v:path arrowok="t"/>
                <v:fill type="solid"/>
              </v:shape>
            </v:group>
            <v:group style="position:absolute;left:10;top:10;width:1409;height:2" coordorigin="10,10" coordsize="1409,2">
              <v:shape style="position:absolute;left:10;top:10;width:1409;height:2" coordorigin="10,10" coordsize="1409,0" path="m10,10l1418,10e" filled="false" stroked="true" strokeweight=".481pt" strokecolor="#000000">
                <v:path arrowok="t"/>
              </v:shape>
            </v:group>
            <v:group style="position:absolute;left:1428;top:10;width:8780;height:2" coordorigin="1428,10" coordsize="8780,2">
              <v:shape style="position:absolute;left:1428;top:10;width:8780;height:2" coordorigin="1428,10" coordsize="8780,0" path="m1428,10l10207,10e" filled="false" stroked="true" strokeweight=".481pt" strokecolor="#000000">
                <v:path arrowok="t"/>
              </v:shape>
            </v:group>
            <v:group style="position:absolute;left:5;top:5;width:2;height:1309" coordorigin="5,5" coordsize="2,1309">
              <v:shape style="position:absolute;left:5;top:5;width:2;height:1309" coordorigin="5,5" coordsize="0,1309" path="m5,5l5,1313e" filled="false" stroked="true" strokeweight=".481pt" strokecolor="#000000">
                <v:path arrowok="t"/>
              </v:shape>
            </v:group>
            <v:group style="position:absolute;left:10;top:1308;width:1409;height:2" coordorigin="10,1308" coordsize="1409,2">
              <v:shape style="position:absolute;left:10;top:1308;width:1409;height:2" coordorigin="10,1308" coordsize="1409,0" path="m10,1308l1418,1308e" filled="false" stroked="true" strokeweight=".48pt" strokecolor="#000000">
                <v:path arrowok="t"/>
              </v:shape>
            </v:group>
            <v:group style="position:absolute;left:1423;top:5;width:2;height:1309" coordorigin="1423,5" coordsize="2,1309">
              <v:shape style="position:absolute;left:1423;top:5;width:2;height:1309" coordorigin="1423,5" coordsize="0,1309" path="m1423,5l1423,1313e" filled="false" stroked="true" strokeweight=".481pt" strokecolor="#000000">
                <v:path arrowok="t"/>
              </v:shape>
            </v:group>
            <v:group style="position:absolute;left:1428;top:1308;width:8780;height:2" coordorigin="1428,1308" coordsize="8780,2">
              <v:shape style="position:absolute;left:1428;top:1308;width:8780;height:2" coordorigin="1428,1308" coordsize="8780,0" path="m1428,1308l10207,1308e" filled="false" stroked="true" strokeweight=".48pt" strokecolor="#000000">
                <v:path arrowok="t"/>
              </v:shape>
            </v:group>
            <v:group style="position:absolute;left:10212;top:5;width:2;height:1309" coordorigin="10212,5" coordsize="2,1309">
              <v:shape style="position:absolute;left:10212;top:5;width:2;height:1309" coordorigin="10212,5" coordsize="0,1309" path="m10212,5l10212,1313e" filled="false" stroked="true" strokeweight=".48pt" strokecolor="#000000">
                <v:path arrowok="t"/>
              </v:shape>
              <v:shape style="position:absolute;left:5;top:10;width:1419;height:1299" type="#_x0000_t202" filled="false" stroked="false">
                <v:textbox inset="0,0,0,0">
                  <w:txbxContent>
                    <w:p>
                      <w:pPr>
                        <w:spacing w:line="316" w:lineRule="auto" w:before="13"/>
                        <w:ind w:left="28" w:right="127" w:firstLine="0"/>
                        <w:jc w:val="both"/>
                        <w:rPr>
                          <w:rFonts w:ascii="宋体" w:hAnsi="宋体" w:cs="宋体" w:eastAsia="宋体" w:hint="default"/>
                          <w:sz w:val="18"/>
                          <w:szCs w:val="18"/>
                        </w:rPr>
                      </w:pPr>
                      <w:r>
                        <w:rPr>
                          <w:rFonts w:ascii="宋体" w:hAnsi="宋体" w:cs="宋体" w:eastAsia="宋体" w:hint="default"/>
                          <w:sz w:val="18"/>
                          <w:szCs w:val="18"/>
                        </w:rPr>
                        <w:t>细说明未完成履 行的具体原因及 下一步的工作计 划</w:t>
                      </w:r>
                    </w:p>
                  </w:txbxContent>
                </v:textbox>
                <w10:wrap type="none"/>
              </v:shape>
            </v:group>
          </v:group>
        </w:pict>
      </w:r>
      <w:r>
        <w:rPr>
          <w:rFonts w:ascii="Times New Roman" w:hAnsi="Times New Roman" w:cs="Times New Roman" w:eastAsia="Times New Roman" w:hint="default"/>
          <w:position w:val="-25"/>
          <w:sz w:val="20"/>
          <w:szCs w:val="20"/>
        </w:rPr>
      </w:r>
    </w:p>
    <w:p>
      <w:pPr>
        <w:spacing w:line="240" w:lineRule="auto" w:before="6"/>
        <w:rPr>
          <w:rFonts w:ascii="Times New Roman" w:hAnsi="Times New Roman" w:cs="Times New Roman" w:eastAsia="Times New Roman" w:hint="default"/>
          <w:sz w:val="21"/>
          <w:szCs w:val="21"/>
        </w:rPr>
      </w:pPr>
    </w:p>
    <w:p>
      <w:pPr>
        <w:pStyle w:val="Heading3"/>
        <w:spacing w:line="259" w:lineRule="auto" w:before="36"/>
        <w:ind w:left="392"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0"/>
        <w:jc w:val="left"/>
        <w:rPr>
          <w:b w:val="0"/>
          <w:bCs w:val="0"/>
        </w:rPr>
      </w:pPr>
      <w:bookmarkStart w:name="三、控股股东及其关联方对上市公司的非经营性占用资金情况" w:id="65"/>
      <w:bookmarkEnd w:id="65"/>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392" w:right="42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left="392" w:right="0"/>
        <w:jc w:val="left"/>
        <w:rPr>
          <w:b w:val="0"/>
          <w:bCs w:val="0"/>
        </w:rPr>
      </w:pPr>
      <w:bookmarkStart w:name="四、董事会对最近一期“非标准审计报告”相关情况的说明" w:id="66"/>
      <w:bookmarkEnd w:id="6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392"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0"/>
        <w:jc w:val="left"/>
        <w:rPr>
          <w:b w:val="0"/>
          <w:bCs w:val="0"/>
        </w:rPr>
      </w:pPr>
      <w:bookmarkStart w:name="六、董事会关于报告期会计政策、会计估计变更或重大会计差错更正的说明" w:id="68"/>
      <w:bookmarkEnd w:id="68"/>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0"/>
        <w:jc w:val="left"/>
        <w:rPr>
          <w:b w:val="0"/>
          <w:bCs w:val="0"/>
        </w:rPr>
      </w:pPr>
      <w:bookmarkStart w:name="七、与上年度财务报告相比，合并报表范围发生变化的情况说明" w:id="69"/>
      <w:bookmarkEnd w:id="69"/>
      <w:r>
        <w:rPr>
          <w:b w:val="0"/>
          <w:bCs w:val="0"/>
        </w:rPr>
      </w: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392" w:right="6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具体情况详见第十节、八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7"/>
          <w:szCs w:val="17"/>
        </w:rPr>
      </w:pPr>
    </w:p>
    <w:p>
      <w:pPr>
        <w:pStyle w:val="Heading2"/>
        <w:spacing w:line="240" w:lineRule="auto"/>
        <w:ind w:left="392" w:right="0"/>
        <w:jc w:val="left"/>
        <w:rPr>
          <w:b w:val="0"/>
          <w:bCs w:val="0"/>
        </w:rPr>
      </w:pPr>
      <w:bookmarkStart w:name="八、聘任、解聘会计师事务所情况" w:id="70"/>
      <w:bookmarkEnd w:id="70"/>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92"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方长顺、褚诗炜、周晓飞</w:t>
            </w:r>
          </w:p>
        </w:tc>
      </w:tr>
    </w:tbl>
    <w:p>
      <w:pPr>
        <w:pStyle w:val="BodyText"/>
        <w:spacing w:line="240" w:lineRule="auto" w:before="49"/>
        <w:ind w:left="392" w:right="0"/>
        <w:jc w:val="left"/>
      </w:pPr>
      <w:r>
        <w:rPr/>
        <w:t>是否改聘会计师事务所</w:t>
      </w:r>
    </w:p>
    <w:p>
      <w:pPr>
        <w:pStyle w:val="BodyText"/>
        <w:spacing w:line="338" w:lineRule="auto" w:before="117"/>
        <w:ind w:left="392" w:right="55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740" w:right="740"/>
        </w:sectPr>
      </w:pPr>
    </w:p>
    <w:p>
      <w:pPr>
        <w:spacing w:line="240" w:lineRule="auto" w:before="8"/>
        <w:rPr>
          <w:rFonts w:ascii="宋体" w:hAnsi="宋体" w:cs="宋体" w:eastAsia="宋体" w:hint="default"/>
          <w:sz w:val="23"/>
          <w:szCs w:val="23"/>
        </w:rPr>
      </w:pPr>
    </w:p>
    <w:p>
      <w:pPr>
        <w:pStyle w:val="Heading2"/>
        <w:spacing w:line="240" w:lineRule="auto" w:before="26"/>
        <w:ind w:right="90"/>
        <w:jc w:val="left"/>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bookmarkStart w:name="十、破产重整相关事项" w:id="72"/>
      <w:bookmarkEnd w:id="72"/>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90"/>
        <w:jc w:val="left"/>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90"/>
        <w:jc w:val="left"/>
        <w:rPr>
          <w:b w:val="0"/>
          <w:bCs w:val="0"/>
        </w:rPr>
      </w:pPr>
      <w:bookmarkStart w:name="十二、处罚及整改情况" w:id="74"/>
      <w:bookmarkEnd w:id="74"/>
      <w:r>
        <w:rPr>
          <w:b w:val="0"/>
          <w:bCs w:val="0"/>
        </w:rPr>
      </w: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9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90"/>
        <w:jc w:val="left"/>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一、已履行的相关审批程序及总体情况</w:t>
      </w:r>
    </w:p>
    <w:p>
      <w:pPr>
        <w:pStyle w:val="BodyText"/>
        <w:spacing w:line="300" w:lineRule="auto"/>
        <w:ind w:left="153" w:right="90" w:hanging="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日，公司召开第四届董事会第十九次会议，审议并通过了《关于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 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年限制性股票激励计划考核管理办法</w:t>
      </w:r>
      <w:r>
        <w:rPr>
          <w:rFonts w:ascii="Times New Roman" w:hAnsi="Times New Roman" w:cs="Times New Roman" w:eastAsia="Times New Roman" w:hint="default"/>
        </w:rPr>
        <w:t>&gt; </w:t>
      </w:r>
      <w:r>
        <w:rPr>
          <w:spacing w:val="-4"/>
        </w:rPr>
        <w:t>的议案》、《关于提请股东大会授权董事会办理公司</w:t>
      </w:r>
      <w:r>
        <w:rPr>
          <w:rFonts w:ascii="Times New Roman" w:hAnsi="Times New Roman" w:cs="Times New Roman" w:eastAsia="Times New Roman" w:hint="default"/>
          <w:spacing w:val="-4"/>
        </w:rPr>
        <w:t>2014</w:t>
      </w:r>
      <w:r>
        <w:rPr>
          <w:spacing w:val="-4"/>
        </w:rPr>
        <w:t>年限制性股票激励计划相关事宜的议案》等本次激励计划相关议案；</w:t>
      </w:r>
      <w:r>
        <w:rPr>
          <w:spacing w:val="-40"/>
        </w:rPr>
        <w:t> </w:t>
      </w:r>
      <w:r>
        <w:rPr>
          <w:spacing w:val="-40"/>
        </w:rPr>
      </w:r>
      <w:r>
        <w:rPr/>
        <w:t>同日，公司召开第四届监事会第十五次会议，审议并通过了《关于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w:t>
      </w:r>
    </w:p>
    <w:p>
      <w:pPr>
        <w:pStyle w:val="BodyText"/>
        <w:spacing w:line="304" w:lineRule="auto" w:before="13"/>
        <w:ind w:left="153" w:right="148"/>
        <w:jc w:val="left"/>
      </w:pPr>
      <w:r>
        <w:rPr/>
        <w:t>（草案）</w:t>
      </w:r>
      <w:r>
        <w:rPr>
          <w:rFonts w:ascii="Times New Roman" w:hAnsi="Times New Roman" w:cs="Times New Roman" w:eastAsia="Times New Roman" w:hint="default"/>
        </w:rPr>
        <w:t>&gt;</w:t>
      </w:r>
      <w:r>
        <w:rPr/>
        <w:t>及其摘要的议案》、《关于核实</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年限制性股票激励计划激励对象名单</w:t>
      </w:r>
      <w:r>
        <w:rPr>
          <w:rFonts w:ascii="Times New Roman" w:hAnsi="Times New Roman" w:cs="Times New Roman" w:eastAsia="Times New Roman" w:hint="default"/>
        </w:rPr>
        <w:t>&gt;</w:t>
      </w:r>
      <w:r>
        <w:rPr/>
        <w:t>的议案》 和《关于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年限制性股票激励计划考核管理办法</w:t>
      </w:r>
      <w:r>
        <w:rPr>
          <w:rFonts w:ascii="Times New Roman" w:hAnsi="Times New Roman" w:cs="Times New Roman" w:eastAsia="Times New Roman" w:hint="default"/>
        </w:rPr>
        <w:t>&gt;</w:t>
      </w:r>
      <w:r>
        <w:rPr/>
        <w:t>的议案》。公司独立董事对上述事项发表 了一致同意的独立意见。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日，公司召开第四届董事会第二十次会议，审议并通过了《关于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 股票激励计划（草案修订稿）</w:t>
      </w:r>
      <w:r>
        <w:rPr>
          <w:rFonts w:ascii="Times New Roman" w:hAnsi="Times New Roman" w:cs="Times New Roman" w:eastAsia="Times New Roman" w:hint="default"/>
        </w:rPr>
        <w:t>&gt;</w:t>
      </w:r>
      <w:r>
        <w:rPr/>
        <w:t>及其摘要的议案》；同日，公司召开第四届监事会第十六次会议，审议并通过了《关于</w:t>
      </w:r>
      <w:r>
        <w:rPr>
          <w:rFonts w:ascii="Times New Roman" w:hAnsi="Times New Roman" w:cs="Times New Roman" w:eastAsia="Times New Roman" w:hint="default"/>
        </w:rPr>
        <w:t>&lt;</w:t>
      </w:r>
      <w:r>
        <w:rPr/>
        <w:t>江 苏润和软件股份有限公司</w:t>
      </w:r>
      <w:r>
        <w:rPr>
          <w:rFonts w:ascii="Times New Roman" w:hAnsi="Times New Roman" w:cs="Times New Roman" w:eastAsia="Times New Roman" w:hint="default"/>
        </w:rPr>
        <w:t>2014</w:t>
      </w:r>
      <w:r>
        <w:rPr/>
        <w:t>年限制性股票激励计划（草案修订稿）</w:t>
      </w:r>
      <w:r>
        <w:rPr>
          <w:rFonts w:ascii="Times New Roman" w:hAnsi="Times New Roman" w:cs="Times New Roman" w:eastAsia="Times New Roman" w:hint="default"/>
        </w:rPr>
        <w:t>&gt;</w:t>
      </w:r>
      <w:r>
        <w:rPr/>
        <w:t>及其摘要的议案》和《关于核实</w:t>
      </w:r>
      <w:r>
        <w:rPr>
          <w:rFonts w:ascii="Times New Roman" w:hAnsi="Times New Roman" w:cs="Times New Roman" w:eastAsia="Times New Roman" w:hint="default"/>
        </w:rPr>
        <w:t>&lt;</w:t>
      </w:r>
      <w:r>
        <w:rPr/>
        <w:t>江苏润和软件股份 有限公司</w:t>
      </w:r>
      <w:r>
        <w:rPr>
          <w:rFonts w:ascii="Times New Roman" w:hAnsi="Times New Roman" w:cs="Times New Roman" w:eastAsia="Times New Roman" w:hint="default"/>
        </w:rPr>
        <w:t>2014</w:t>
      </w:r>
      <w:r>
        <w:rPr/>
        <w:t>年限制性股票激励计划激励对象名单（调整后）</w:t>
      </w:r>
      <w:r>
        <w:rPr>
          <w:rFonts w:ascii="Times New Roman" w:hAnsi="Times New Roman" w:cs="Times New Roman" w:eastAsia="Times New Roman" w:hint="default"/>
        </w:rPr>
        <w:t>&gt;</w:t>
      </w:r>
      <w:r>
        <w:rPr/>
        <w:t>的议案》。公司独立董事对上述事项发表了一致同意的独立 意见。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日，公司向中国证监会报送《关于限制性股票激励计划备案申请文件》，并于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日获悉中国证监 </w:t>
      </w:r>
      <w:r>
        <w:rPr>
          <w:spacing w:val="-2"/>
        </w:rPr>
        <w:t>会对限制性股票激励计划确认无异议并进行了备案，同日公司对外披露了《关于</w:t>
      </w:r>
      <w:r>
        <w:rPr>
          <w:rFonts w:ascii="Times New Roman" w:hAnsi="Times New Roman" w:cs="Times New Roman" w:eastAsia="Times New Roman" w:hint="default"/>
          <w:spacing w:val="-2"/>
        </w:rPr>
        <w:t>2014</w:t>
      </w:r>
      <w:r>
        <w:rPr>
          <w:spacing w:val="-2"/>
        </w:rPr>
        <w:t>年限制性股票激励计划获得中国证监会</w:t>
      </w:r>
      <w:r>
        <w:rPr>
          <w:spacing w:val="-62"/>
        </w:rPr>
        <w:t> </w:t>
      </w:r>
      <w:r>
        <w:rPr>
          <w:spacing w:val="-62"/>
        </w:rPr>
      </w:r>
      <w:r>
        <w:rPr/>
        <w:t>备案无异议公告》。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日，公司召开</w:t>
      </w:r>
      <w:r>
        <w:rPr>
          <w:rFonts w:ascii="Times New Roman" w:hAnsi="Times New Roman" w:cs="Times New Roman" w:eastAsia="Times New Roman" w:hint="default"/>
        </w:rPr>
        <w:t>2014</w:t>
      </w:r>
      <w:r>
        <w:rPr/>
        <w:t>年第五次临时股东大会，审议并通过了《关于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 性股票激励计划（草案修订稿）</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年限制性股票激励计划考核</w:t>
      </w:r>
    </w:p>
    <w:p>
      <w:pPr>
        <w:spacing w:after="0" w:line="304"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4" w:lineRule="auto" w:before="44"/>
        <w:ind w:right="91"/>
        <w:jc w:val="left"/>
      </w:pPr>
      <w:r>
        <w:rPr/>
        <w:t>管理办法</w:t>
      </w:r>
      <w:r>
        <w:rPr>
          <w:rFonts w:ascii="Times New Roman" w:hAnsi="Times New Roman" w:cs="Times New Roman" w:eastAsia="Times New Roman" w:hint="default"/>
        </w:rPr>
        <w:t>&gt;</w:t>
      </w:r>
      <w:r>
        <w:rPr/>
        <w:t>的议案》、《关于提请股东大会授权董事会办理公司</w:t>
      </w:r>
      <w:r>
        <w:rPr>
          <w:rFonts w:ascii="Times New Roman" w:hAnsi="Times New Roman" w:cs="Times New Roman" w:eastAsia="Times New Roman" w:hint="default"/>
        </w:rPr>
        <w:t>2014</w:t>
      </w:r>
      <w:r>
        <w:rPr/>
        <w:t>年限制性股票激励计划相关事宜的议案》等本次激励计 划相关议案。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日，公司召开第四届董事会第二十三次会议，审议并通过了《关于调整公司</w:t>
      </w:r>
      <w:r>
        <w:rPr>
          <w:rFonts w:ascii="Times New Roman" w:hAnsi="Times New Roman" w:cs="Times New Roman" w:eastAsia="Times New Roman" w:hint="default"/>
          <w:spacing w:val="-2"/>
        </w:rPr>
        <w:t>2014</w:t>
      </w:r>
      <w:r>
        <w:rPr>
          <w:spacing w:val="-2"/>
        </w:rPr>
        <w:t>年限制性股票激励计划授予</w:t>
      </w:r>
      <w:r>
        <w:rPr>
          <w:spacing w:val="-59"/>
        </w:rPr>
        <w:t> </w:t>
      </w:r>
      <w:r>
        <w:rPr>
          <w:spacing w:val="-59"/>
        </w:rPr>
      </w:r>
      <w:r>
        <w:rPr>
          <w:spacing w:val="-2"/>
        </w:rPr>
        <w:t>对象和授予数量的议案》和《关于向激励对象授予限制性股票的议案》；同日，公司召开第四届监事会第十九次会议，审议</w:t>
      </w:r>
      <w:r>
        <w:rPr>
          <w:spacing w:val="-68"/>
        </w:rPr>
        <w:t> </w:t>
      </w:r>
      <w:r>
        <w:rPr>
          <w:spacing w:val="-68"/>
        </w:rPr>
      </w:r>
      <w:r>
        <w:rPr>
          <w:spacing w:val="-2"/>
        </w:rPr>
        <w:t>并通过了《关于调整公司</w:t>
      </w:r>
      <w:r>
        <w:rPr>
          <w:rFonts w:ascii="Times New Roman" w:hAnsi="Times New Roman" w:cs="Times New Roman" w:eastAsia="Times New Roman" w:hint="default"/>
          <w:spacing w:val="-2"/>
        </w:rPr>
        <w:t>2014</w:t>
      </w:r>
      <w:r>
        <w:rPr>
          <w:spacing w:val="-2"/>
        </w:rPr>
        <w:t>年限制性股票激励计划授予对象和授予数量的议案》。公司独立董事对上述事项发表了一致同</w:t>
      </w:r>
      <w:r>
        <w:rPr>
          <w:spacing w:val="-64"/>
        </w:rPr>
        <w:t> </w:t>
      </w:r>
      <w:r>
        <w:rPr>
          <w:spacing w:val="-64"/>
        </w:rPr>
      </w:r>
      <w:r>
        <w:rPr/>
        <w:t>意的独立意见。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日，公司召开第四届董事会第二十四次会议，审议并通过了《关于调整公司</w:t>
      </w:r>
      <w:r>
        <w:rPr>
          <w:rFonts w:ascii="Times New Roman" w:hAnsi="Times New Roman" w:cs="Times New Roman" w:eastAsia="Times New Roman" w:hint="default"/>
        </w:rPr>
        <w:t>2014</w:t>
      </w:r>
      <w:r>
        <w:rPr/>
        <w:t>年限制性股票激励计划授 </w:t>
      </w:r>
      <w:r>
        <w:rPr>
          <w:spacing w:val="-2"/>
        </w:rPr>
        <w:t>予对象和授予数量的议案》；同日，公司召开第四届监事会第二十次会议，审议并通过了《关于调整公司</w:t>
      </w:r>
      <w:r>
        <w:rPr>
          <w:rFonts w:ascii="Times New Roman" w:hAnsi="Times New Roman" w:cs="Times New Roman" w:eastAsia="Times New Roman" w:hint="default"/>
          <w:spacing w:val="-2"/>
        </w:rPr>
        <w:t>2014</w:t>
      </w:r>
      <w:r>
        <w:rPr>
          <w:spacing w:val="-2"/>
        </w:rPr>
        <w:t>年限制性股票</w:t>
      </w:r>
      <w:r>
        <w:rPr>
          <w:spacing w:val="-65"/>
        </w:rPr>
        <w:t> </w:t>
      </w:r>
      <w:r>
        <w:rPr>
          <w:spacing w:val="-65"/>
        </w:rPr>
      </w:r>
      <w:r>
        <w:rPr/>
        <w:t>激励计划授予对象和授予数量的议案》。公司独立董事对上述事项发表了一致同意的独立意见。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日，公司完成了</w:t>
      </w:r>
      <w:r>
        <w:rPr>
          <w:rFonts w:ascii="Times New Roman" w:hAnsi="Times New Roman" w:cs="Times New Roman" w:eastAsia="Times New Roman" w:hint="default"/>
          <w:spacing w:val="-2"/>
        </w:rPr>
        <w:t>2014</w:t>
      </w:r>
      <w:r>
        <w:rPr>
          <w:spacing w:val="-2"/>
        </w:rPr>
        <w:t>年限制性股票的首次授予登记工作。首次授予股票</w:t>
      </w:r>
      <w:r>
        <w:rPr>
          <w:rFonts w:ascii="Times New Roman" w:hAnsi="Times New Roman" w:cs="Times New Roman" w:eastAsia="Times New Roman" w:hint="default"/>
          <w:spacing w:val="-2"/>
        </w:rPr>
        <w:t>1,095.00</w:t>
      </w:r>
      <w:r>
        <w:rPr>
          <w:spacing w:val="-2"/>
        </w:rPr>
        <w:t>万股，占激励计划草案摘要</w:t>
      </w:r>
      <w:r>
        <w:rPr>
          <w:spacing w:val="-53"/>
        </w:rPr>
        <w:t> </w:t>
      </w:r>
      <w:r>
        <w:rPr>
          <w:spacing w:val="-53"/>
        </w:rPr>
      </w:r>
      <w:r>
        <w:rPr/>
        <w:t>公告日公司股本总数的</w:t>
      </w:r>
      <w:r>
        <w:rPr>
          <w:rFonts w:ascii="Times New Roman" w:hAnsi="Times New Roman" w:cs="Times New Roman" w:eastAsia="Times New Roman" w:hint="default"/>
        </w:rPr>
        <w:t>4.00%</w:t>
      </w:r>
      <w:r>
        <w:rPr/>
        <w:t>，首次授予的激励对象共计</w:t>
      </w:r>
      <w:r>
        <w:rPr>
          <w:rFonts w:ascii="Times New Roman" w:hAnsi="Times New Roman" w:cs="Times New Roman" w:eastAsia="Times New Roman" w:hint="default"/>
        </w:rPr>
        <w:t>300</w:t>
      </w:r>
      <w:r>
        <w:rPr/>
        <w:t>人，授予价格</w:t>
      </w:r>
      <w:r>
        <w:rPr>
          <w:rFonts w:ascii="Times New Roman" w:hAnsi="Times New Roman" w:cs="Times New Roman" w:eastAsia="Times New Roman" w:hint="default"/>
        </w:rPr>
        <w:t>9.99</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日，首次授予股 份的上市日期为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日，公司召开第四届董事会第三十二次会议，审议并通过了《关于回购注销</w:t>
      </w:r>
      <w:r>
        <w:rPr>
          <w:rFonts w:ascii="Times New Roman" w:hAnsi="Times New Roman" w:cs="Times New Roman" w:eastAsia="Times New Roman" w:hint="default"/>
          <w:spacing w:val="-2"/>
        </w:rPr>
        <w:t>2014</w:t>
      </w:r>
      <w:r>
        <w:rPr>
          <w:spacing w:val="-2"/>
        </w:rPr>
        <w:t>年限制性股票激励计划部分</w:t>
      </w:r>
      <w:r>
        <w:rPr>
          <w:spacing w:val="-59"/>
        </w:rPr>
        <w:t> </w:t>
      </w:r>
      <w:r>
        <w:rPr>
          <w:spacing w:val="-59"/>
        </w:rPr>
      </w:r>
      <w:r>
        <w:rPr>
          <w:spacing w:val="-2"/>
        </w:rPr>
        <w:t>已获授但尚未解锁的限制性股票的议案》。鉴于公司《激励计划（草案修订稿）》原激励对象张传位、范蕾、孙明志、王继</w:t>
      </w:r>
      <w:r>
        <w:rPr>
          <w:spacing w:val="-66"/>
        </w:rPr>
        <w:t> </w:t>
      </w:r>
      <w:r>
        <w:rPr>
          <w:spacing w:val="-66"/>
        </w:rPr>
      </w:r>
      <w:r>
        <w:rPr>
          <w:spacing w:val="-2"/>
        </w:rPr>
        <w:t>伟、王莹、顾进峰、蒋新星、吴茵、戴岱、涂庆红、陈立菲共计</w:t>
      </w:r>
      <w:r>
        <w:rPr>
          <w:rFonts w:ascii="Times New Roman" w:hAnsi="Times New Roman" w:cs="Times New Roman" w:eastAsia="Times New Roman" w:hint="default"/>
          <w:spacing w:val="-2"/>
        </w:rPr>
        <w:t>11</w:t>
      </w:r>
      <w:r>
        <w:rPr>
          <w:spacing w:val="-2"/>
        </w:rPr>
        <w:t>人已离职，根据《激励计划（草案修订稿）》的规定和股</w:t>
      </w:r>
      <w:r>
        <w:rPr>
          <w:spacing w:val="-70"/>
        </w:rPr>
        <w:t> </w:t>
      </w:r>
      <w:r>
        <w:rPr>
          <w:spacing w:val="-70"/>
        </w:rPr>
      </w:r>
      <w:r>
        <w:rPr/>
        <w:t>东大会的授权，公司董事会同意取消上述</w:t>
      </w:r>
      <w:r>
        <w:rPr>
          <w:rFonts w:ascii="Times New Roman" w:hAnsi="Times New Roman" w:cs="Times New Roman" w:eastAsia="Times New Roman" w:hint="default"/>
        </w:rPr>
        <w:t>11</w:t>
      </w:r>
      <w:r>
        <w:rPr/>
        <w:t>人的激励对象资格并回购注销其已获授权但尚未解锁的全部限制性股票共计 </w:t>
      </w:r>
      <w:r>
        <w:rPr>
          <w:rFonts w:ascii="Times New Roman" w:hAnsi="Times New Roman" w:cs="Times New Roman" w:eastAsia="Times New Roman" w:hint="default"/>
        </w:rPr>
        <w:t>185,000</w:t>
      </w:r>
      <w:r>
        <w:rPr/>
        <w:t>股。监事会对已不符合公司限制性股票激励计划规定的激励对象及回购注销的限制性股票数量、价格进行了审核， 同意回购注销</w:t>
      </w:r>
      <w:r>
        <w:rPr>
          <w:rFonts w:ascii="Times New Roman" w:hAnsi="Times New Roman" w:cs="Times New Roman" w:eastAsia="Times New Roman" w:hint="default"/>
        </w:rPr>
        <w:t>185,000</w:t>
      </w:r>
      <w:r>
        <w:rPr/>
        <w:t>股限制性股票。公司独立董事对此发表了独立意见，律师出具了法律意见书。 </w:t>
      </w:r>
      <w:r>
        <w:rPr>
          <w:rFonts w:ascii="Times New Roman" w:hAnsi="Times New Roman" w:cs="Times New Roman" w:eastAsia="Times New Roman" w:hint="default"/>
          <w:spacing w:val="-3"/>
        </w:rPr>
        <w:t>9</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9</w:t>
      </w:r>
      <w:r>
        <w:rPr>
          <w:spacing w:val="-3"/>
        </w:rPr>
        <w:t>日，公司召开第四届董事会第三十七次会议，审议并通过了《关于向激励对象授予预留限制性股票的议案》；</w:t>
      </w:r>
      <w:r>
        <w:rPr/>
        <w:t> 同日，公司召开第四届监事会第二十六次会议，审议并通过了《关于核实</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 励计划预留股票激励对象名单</w:t>
      </w:r>
      <w:r>
        <w:rPr>
          <w:rFonts w:ascii="Times New Roman" w:hAnsi="Times New Roman" w:cs="Times New Roman" w:eastAsia="Times New Roman" w:hint="default"/>
        </w:rPr>
        <w:t>&gt;</w:t>
      </w:r>
      <w:r>
        <w:rPr/>
        <w:t>的议案》。公司独立董事对上述事项发表了一致同意的独立意见。 </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日，公司召开第四届董事会第三十九次会议，审议并通过了《关于回购注销</w:t>
      </w:r>
      <w:r>
        <w:rPr>
          <w:rFonts w:ascii="Times New Roman" w:hAnsi="Times New Roman" w:cs="Times New Roman" w:eastAsia="Times New Roman" w:hint="default"/>
          <w:spacing w:val="-2"/>
        </w:rPr>
        <w:t>2014</w:t>
      </w:r>
      <w:r>
        <w:rPr>
          <w:spacing w:val="-2"/>
        </w:rPr>
        <w:t>年限制性股票激励计划部</w:t>
      </w:r>
      <w:r>
        <w:rPr>
          <w:spacing w:val="-58"/>
        </w:rPr>
        <w:t> </w:t>
      </w:r>
      <w:r>
        <w:rPr>
          <w:spacing w:val="-58"/>
        </w:rPr>
      </w:r>
      <w:r>
        <w:rPr>
          <w:spacing w:val="-2"/>
        </w:rPr>
        <w:t>分已获授但尚未解锁的限制性股票的议案》和《关于</w:t>
      </w:r>
      <w:r>
        <w:rPr>
          <w:rFonts w:ascii="Times New Roman" w:hAnsi="Times New Roman" w:cs="Times New Roman" w:eastAsia="Times New Roman" w:hint="default"/>
          <w:spacing w:val="-2"/>
        </w:rPr>
        <w:t>2014</w:t>
      </w:r>
      <w:r>
        <w:rPr>
          <w:spacing w:val="-2"/>
        </w:rPr>
        <w:t>年限制性股票激励计划第一个解锁期条件成就可解锁的议案》。鉴</w:t>
      </w:r>
      <w:r>
        <w:rPr>
          <w:spacing w:val="-63"/>
        </w:rPr>
        <w:t> </w:t>
      </w:r>
      <w:r>
        <w:rPr>
          <w:spacing w:val="-63"/>
        </w:rPr>
      </w:r>
      <w:r>
        <w:rPr/>
        <w:t>于公司《激励计划（草案修订稿）》原激励对象杨凡、张峥、韩孝阳、邓一波共计</w:t>
      </w:r>
      <w:r>
        <w:rPr>
          <w:rFonts w:ascii="Times New Roman" w:hAnsi="Times New Roman" w:cs="Times New Roman" w:eastAsia="Times New Roman" w:hint="default"/>
        </w:rPr>
        <w:t>4</w:t>
      </w:r>
      <w:r>
        <w:rPr/>
        <w:t>人因个人原因已离职，原激励对象杨斌 与公司协商解除劳动合同，激励对象强征因在第一个解锁期的个人绩效考核结果为</w:t>
      </w:r>
      <w:r>
        <w:rPr>
          <w:rFonts w:ascii="Times New Roman" w:hAnsi="Times New Roman" w:cs="Times New Roman" w:eastAsia="Times New Roman" w:hint="default"/>
        </w:rPr>
        <w:t>E</w:t>
      </w:r>
      <w:r>
        <w:rPr/>
        <w:t>，根据《激励计划（草案修订稿）》的 </w:t>
      </w:r>
      <w:r>
        <w:rPr>
          <w:spacing w:val="-2"/>
        </w:rPr>
        <w:t>规定和股东大会的授权，公司董事会同意：（</w:t>
      </w:r>
      <w:r>
        <w:rPr>
          <w:rFonts w:ascii="Times New Roman" w:hAnsi="Times New Roman" w:cs="Times New Roman" w:eastAsia="Times New Roman" w:hint="default"/>
          <w:spacing w:val="-2"/>
        </w:rPr>
        <w:t>1</w:t>
      </w:r>
      <w:r>
        <w:rPr>
          <w:spacing w:val="-2"/>
        </w:rPr>
        <w:t>）取消杨凡、张峥、韩孝阳、邓一波</w:t>
      </w:r>
      <w:r>
        <w:rPr>
          <w:rFonts w:ascii="Times New Roman" w:hAnsi="Times New Roman" w:cs="Times New Roman" w:eastAsia="Times New Roman" w:hint="default"/>
          <w:spacing w:val="-2"/>
        </w:rPr>
        <w:t>4</w:t>
      </w:r>
      <w:r>
        <w:rPr>
          <w:spacing w:val="-2"/>
        </w:rPr>
        <w:t>人的激励对象资格并回购注销其已获授</w:t>
      </w:r>
      <w:r>
        <w:rPr>
          <w:spacing w:val="-67"/>
        </w:rPr>
        <w:t> </w:t>
      </w:r>
      <w:r>
        <w:rPr/>
        <w:t>权但尚未解锁的全部限制性股票共计</w:t>
      </w:r>
      <w:r>
        <w:rPr>
          <w:rFonts w:ascii="Times New Roman" w:hAnsi="Times New Roman" w:cs="Times New Roman" w:eastAsia="Times New Roman" w:hint="default"/>
        </w:rPr>
        <w:t>60,000</w:t>
      </w:r>
      <w:r>
        <w:rPr/>
        <w:t>股；（</w:t>
      </w:r>
      <w:r>
        <w:rPr>
          <w:rFonts w:ascii="Times New Roman" w:hAnsi="Times New Roman" w:cs="Times New Roman" w:eastAsia="Times New Roman" w:hint="default"/>
        </w:rPr>
        <w:t>2</w:t>
      </w:r>
      <w:r>
        <w:rPr/>
        <w:t>）将激励对象杨斌已满足解锁条件的</w:t>
      </w:r>
      <w:r>
        <w:rPr>
          <w:rFonts w:ascii="Times New Roman" w:hAnsi="Times New Roman" w:cs="Times New Roman" w:eastAsia="Times New Roman" w:hint="default"/>
        </w:rPr>
        <w:t>3,000</w:t>
      </w:r>
      <w:r>
        <w:rPr/>
        <w:t>股限制性股票根据考核结果解 锁，并将其剩余</w:t>
      </w:r>
      <w:r>
        <w:rPr>
          <w:rFonts w:ascii="Times New Roman" w:hAnsi="Times New Roman" w:cs="Times New Roman" w:eastAsia="Times New Roman" w:hint="default"/>
        </w:rPr>
        <w:t>7,000</w:t>
      </w:r>
      <w:r>
        <w:rPr/>
        <w:t>股已获授权但尚未解锁的限制性股票由公司回购后予以注销；（</w:t>
      </w:r>
      <w:r>
        <w:rPr>
          <w:rFonts w:ascii="Times New Roman" w:hAnsi="Times New Roman" w:cs="Times New Roman" w:eastAsia="Times New Roman" w:hint="default"/>
        </w:rPr>
        <w:t>3</w:t>
      </w:r>
      <w:r>
        <w:rPr/>
        <w:t>）将激励对象强征已获授但尚未解锁 的</w:t>
      </w:r>
      <w:r>
        <w:rPr>
          <w:rFonts w:ascii="Times New Roman" w:hAnsi="Times New Roman" w:cs="Times New Roman" w:eastAsia="Times New Roman" w:hint="default"/>
        </w:rPr>
        <w:t>2014</w:t>
      </w:r>
      <w:r>
        <w:rPr/>
        <w:t>年限制性股票</w:t>
      </w:r>
      <w:r>
        <w:rPr>
          <w:rFonts w:ascii="Times New Roman" w:hAnsi="Times New Roman" w:cs="Times New Roman" w:eastAsia="Times New Roman" w:hint="default"/>
        </w:rPr>
        <w:t>7,500</w:t>
      </w:r>
      <w:r>
        <w:rPr/>
        <w:t>股进行回购注销；（</w:t>
      </w:r>
      <w:r>
        <w:rPr>
          <w:rFonts w:ascii="Times New Roman" w:hAnsi="Times New Roman" w:cs="Times New Roman" w:eastAsia="Times New Roman" w:hint="default"/>
        </w:rPr>
        <w:t>4</w:t>
      </w:r>
      <w:r>
        <w:rPr/>
        <w:t>）其余</w:t>
      </w:r>
      <w:r>
        <w:rPr>
          <w:rFonts w:ascii="Times New Roman" w:hAnsi="Times New Roman" w:cs="Times New Roman" w:eastAsia="Times New Roman" w:hint="default"/>
        </w:rPr>
        <w:t>284</w:t>
      </w:r>
      <w:r>
        <w:rPr/>
        <w:t>名激励对象在第一个解锁期的个人绩效考核结果均达到完全解锁 条件，可解锁激励对象的主体资格合法、有效，同意公司对</w:t>
      </w:r>
      <w:r>
        <w:rPr>
          <w:rFonts w:ascii="Times New Roman" w:hAnsi="Times New Roman" w:cs="Times New Roman" w:eastAsia="Times New Roman" w:hint="default"/>
        </w:rPr>
        <w:t>284</w:t>
      </w:r>
      <w:r>
        <w:rPr/>
        <w:t>名激励对象在《激励计划（草案修订稿）》规定的第一个解 锁期内解锁。监事会对上述事项进行了核查，独立董事对此发表了独立意见，律师出具了法律意见书。 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23</w:t>
      </w:r>
      <w:r>
        <w:rPr/>
        <w:t>日和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日在中国证监会指定的创业板信息披露网站公告。</w:t>
      </w:r>
    </w:p>
    <w:p>
      <w:pPr>
        <w:pStyle w:val="BodyText"/>
        <w:spacing w:line="307" w:lineRule="auto" w:before="9"/>
        <w:ind w:left="153" w:right="90"/>
        <w:jc w:val="left"/>
      </w:pPr>
      <w:r>
        <w:rPr/>
        <w:t>二、对公司经营业绩的影响 </w:t>
      </w:r>
      <w:r>
        <w:rPr>
          <w:spacing w:val="-2"/>
        </w:rPr>
        <w:t>按照《企业会计准则第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股份支付》的规定，公司限制性股票的授予对公司相关年度的财务状况和经营成果将产生一</w:t>
      </w:r>
      <w:r>
        <w:rPr>
          <w:spacing w:val="-66"/>
        </w:rPr>
        <w:t> </w:t>
      </w:r>
      <w:r>
        <w:rPr>
          <w:spacing w:val="-66"/>
        </w:rPr>
      </w:r>
      <w:r>
        <w:rPr>
          <w:spacing w:val="-3"/>
        </w:rPr>
        <w:t>定的影响。经测算，公司</w:t>
      </w:r>
      <w:r>
        <w:rPr>
          <w:rFonts w:ascii="Times New Roman" w:hAnsi="Times New Roman" w:cs="Times New Roman" w:eastAsia="Times New Roman" w:hint="default"/>
          <w:spacing w:val="-3"/>
        </w:rPr>
        <w:t>2014</w:t>
      </w:r>
      <w:r>
        <w:rPr>
          <w:spacing w:val="-3"/>
        </w:rPr>
        <w:t>年限制性股票激励计划首次授予的总成本为</w:t>
      </w:r>
      <w:r>
        <w:rPr>
          <w:rFonts w:ascii="Times New Roman" w:hAnsi="Times New Roman" w:cs="Times New Roman" w:eastAsia="Times New Roman" w:hint="default"/>
          <w:spacing w:val="-3"/>
        </w:rPr>
        <w:t>4635.36</w:t>
      </w:r>
      <w:r>
        <w:rPr>
          <w:spacing w:val="-3"/>
        </w:rPr>
        <w:t>万元，其中</w:t>
      </w:r>
      <w:r>
        <w:rPr>
          <w:rFonts w:ascii="Times New Roman" w:hAnsi="Times New Roman" w:cs="Times New Roman" w:eastAsia="Times New Roman" w:hint="default"/>
          <w:spacing w:val="-3"/>
        </w:rPr>
        <w:t>2014</w:t>
      </w:r>
      <w:r>
        <w:rPr>
          <w:spacing w:val="-3"/>
        </w:rPr>
        <w:t>年成本摊销费用</w:t>
      </w:r>
      <w:r>
        <w:rPr>
          <w:rFonts w:ascii="Times New Roman" w:hAnsi="Times New Roman" w:cs="Times New Roman" w:eastAsia="Times New Roman" w:hint="default"/>
          <w:spacing w:val="-3"/>
        </w:rPr>
        <w:t>183.77</w:t>
      </w:r>
      <w:r>
        <w:rPr>
          <w:spacing w:val="-3"/>
        </w:rPr>
        <w:t>万元，</w:t>
      </w:r>
      <w:r>
        <w:rPr>
          <w:spacing w:val="-78"/>
        </w:rPr>
        <w:t> </w:t>
      </w:r>
      <w:r>
        <w:rPr>
          <w:spacing w:val="-78"/>
        </w:rPr>
      </w:r>
      <w:r>
        <w:rPr>
          <w:rFonts w:ascii="Times New Roman" w:hAnsi="Times New Roman" w:cs="Times New Roman" w:eastAsia="Times New Roman" w:hint="default"/>
        </w:rPr>
        <w:t>2015</w:t>
      </w:r>
      <w:r>
        <w:rPr/>
        <w:t>年成本摊销费用</w:t>
      </w:r>
      <w:r>
        <w:rPr>
          <w:rFonts w:ascii="Times New Roman" w:hAnsi="Times New Roman" w:cs="Times New Roman" w:eastAsia="Times New Roman" w:hint="default"/>
        </w:rPr>
        <w:t>3,180.29 </w:t>
      </w:r>
      <w:r>
        <w:rPr/>
        <w:t>万元，</w:t>
      </w:r>
      <w:r>
        <w:rPr>
          <w:rFonts w:ascii="Times New Roman" w:hAnsi="Times New Roman" w:cs="Times New Roman" w:eastAsia="Times New Roman" w:hint="default"/>
        </w:rPr>
        <w:t>2016</w:t>
      </w:r>
      <w:r>
        <w:rPr/>
        <w:t>年成本摊销费用</w:t>
      </w:r>
      <w:r>
        <w:rPr>
          <w:rFonts w:ascii="Times New Roman" w:hAnsi="Times New Roman" w:cs="Times New Roman" w:eastAsia="Times New Roman" w:hint="default"/>
        </w:rPr>
        <w:t>973.10 </w:t>
      </w:r>
      <w:r>
        <w:rPr/>
        <w:t>万元，</w:t>
      </w:r>
      <w:r>
        <w:rPr>
          <w:rFonts w:ascii="Times New Roman" w:hAnsi="Times New Roman" w:cs="Times New Roman" w:eastAsia="Times New Roman" w:hint="default"/>
        </w:rPr>
        <w:t>2017</w:t>
      </w:r>
      <w:r>
        <w:rPr/>
        <w:t>年成本摊销费用</w:t>
      </w:r>
      <w:r>
        <w:rPr>
          <w:rFonts w:ascii="Times New Roman" w:hAnsi="Times New Roman" w:cs="Times New Roman" w:eastAsia="Times New Roman" w:hint="default"/>
        </w:rPr>
        <w:t>298.20</w:t>
      </w:r>
      <w:r>
        <w:rPr>
          <w:rFonts w:ascii="Times New Roman" w:hAnsi="Times New Roman" w:cs="Times New Roman" w:eastAsia="Times New Roman" w:hint="default"/>
          <w:spacing w:val="26"/>
        </w:rPr>
        <w:t> </w:t>
      </w:r>
      <w:r>
        <w:rPr/>
        <w:t>万元。公司</w:t>
      </w:r>
      <w:r>
        <w:rPr>
          <w:rFonts w:ascii="Times New Roman" w:hAnsi="Times New Roman" w:cs="Times New Roman" w:eastAsia="Times New Roman" w:hint="default"/>
        </w:rPr>
        <w:t>2014</w:t>
      </w:r>
      <w:r>
        <w:rPr/>
        <w:t>年限制</w:t>
      </w:r>
      <w:r>
        <w:rPr>
          <w:spacing w:val="-3"/>
        </w:rPr>
        <w:t> </w:t>
      </w:r>
      <w:r>
        <w:rPr/>
        <w:t>性股票激励计划</w:t>
      </w:r>
      <w:r>
        <w:rPr/>
        <w:t> 预留授予的总成本为</w:t>
      </w:r>
      <w:r>
        <w:rPr>
          <w:rFonts w:ascii="Times New Roman" w:hAnsi="Times New Roman" w:cs="Times New Roman" w:eastAsia="Times New Roman" w:hint="default"/>
        </w:rPr>
        <w:t>415.17</w:t>
      </w:r>
      <w:r>
        <w:rPr/>
        <w:t>万元，其中</w:t>
      </w:r>
      <w:r>
        <w:rPr>
          <w:rFonts w:ascii="Times New Roman" w:hAnsi="Times New Roman" w:cs="Times New Roman" w:eastAsia="Times New Roman" w:hint="default"/>
        </w:rPr>
        <w:t>2015</w:t>
      </w:r>
      <w:r>
        <w:rPr/>
        <w:t>年成本摊销费用</w:t>
      </w:r>
      <w:r>
        <w:rPr>
          <w:rFonts w:ascii="Times New Roman" w:hAnsi="Times New Roman" w:cs="Times New Roman" w:eastAsia="Times New Roman" w:hint="default"/>
        </w:rPr>
        <w:t>56.08</w:t>
      </w:r>
      <w:r>
        <w:rPr/>
        <w:t>万元，</w:t>
      </w:r>
      <w:r>
        <w:rPr>
          <w:rFonts w:ascii="Times New Roman" w:hAnsi="Times New Roman" w:cs="Times New Roman" w:eastAsia="Times New Roman" w:hint="default"/>
        </w:rPr>
        <w:t>2016</w:t>
      </w:r>
      <w:r>
        <w:rPr/>
        <w:t>年成本摊销费用</w:t>
      </w:r>
      <w:r>
        <w:rPr>
          <w:rFonts w:ascii="Times New Roman" w:hAnsi="Times New Roman" w:cs="Times New Roman" w:eastAsia="Times New Roman" w:hint="default"/>
        </w:rPr>
        <w:t>349.29</w:t>
      </w:r>
      <w:r>
        <w:rPr/>
        <w:t>万元，</w:t>
      </w:r>
      <w:r>
        <w:rPr>
          <w:rFonts w:ascii="Times New Roman" w:hAnsi="Times New Roman" w:cs="Times New Roman" w:eastAsia="Times New Roman" w:hint="default"/>
        </w:rPr>
        <w:t>2017</w:t>
      </w:r>
      <w:r>
        <w:rPr/>
        <w:t>年成本摊销费 用</w:t>
      </w:r>
      <w:r>
        <w:rPr>
          <w:rFonts w:ascii="Times New Roman" w:hAnsi="Times New Roman" w:cs="Times New Roman" w:eastAsia="Times New Roman" w:hint="default"/>
        </w:rPr>
        <w:t>9.80</w:t>
      </w:r>
      <w:r>
        <w:rPr/>
        <w:t>万元。上述授予限制性股票激励计划的成本将在经常性损益中列支，对公司财务状况和经营成果的影响最终结果以会 计师事务所出具的年度审计报告为准。 以上具体内容请分别详见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日在中国证监会指定的创业板信息披露网站公告。</w:t>
      </w:r>
    </w:p>
    <w:p>
      <w:pPr>
        <w:spacing w:after="0" w:line="307"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重大关联交易" w:id="77"/>
      <w:bookmarkEnd w:id="77"/>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799"/>
        <w:gridCol w:w="799"/>
        <w:gridCol w:w="797"/>
        <w:gridCol w:w="797"/>
        <w:gridCol w:w="799"/>
        <w:gridCol w:w="794"/>
        <w:gridCol w:w="797"/>
        <w:gridCol w:w="797"/>
        <w:gridCol w:w="797"/>
        <w:gridCol w:w="794"/>
      </w:tblGrid>
      <w:tr>
        <w:trPr>
          <w:trHeight w:val="1025" w:hRule="exact"/>
        </w:trPr>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6" w:right="3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34"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2"/>
                <w:sz w:val="18"/>
                <w:szCs w:val="18"/>
              </w:rPr>
              <w:t>值（万元）</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5"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7"/>
                <w:sz w:val="18"/>
                <w:szCs w:val="18"/>
              </w:rPr>
              <w:t>值（万元</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95"/>
              <w:jc w:val="both"/>
              <w:rPr>
                <w:rFonts w:ascii="宋体" w:hAnsi="宋体" w:cs="宋体" w:eastAsia="宋体" w:hint="default"/>
                <w:sz w:val="18"/>
                <w:szCs w:val="18"/>
              </w:rPr>
            </w:pPr>
            <w:r>
              <w:rPr>
                <w:rFonts w:ascii="宋体" w:hAnsi="宋体" w:cs="宋体" w:eastAsia="宋体" w:hint="default"/>
                <w:sz w:val="18"/>
                <w:szCs w:val="18"/>
              </w:rPr>
              <w:t>南京润宏 置业有限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75"/>
              <w:jc w:val="both"/>
              <w:rPr>
                <w:rFonts w:ascii="宋体" w:hAnsi="宋体" w:cs="宋体" w:eastAsia="宋体" w:hint="default"/>
                <w:sz w:val="18"/>
                <w:szCs w:val="18"/>
              </w:rPr>
            </w:pPr>
            <w:r>
              <w:rPr>
                <w:rFonts w:ascii="宋体" w:hAnsi="宋体" w:cs="宋体" w:eastAsia="宋体" w:hint="default"/>
                <w:sz w:val="18"/>
                <w:szCs w:val="18"/>
              </w:rPr>
              <w:t>控股股 东子公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评估价格 为主要参 考依据， 交易各方 协商最终 转让价 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15,948.48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20,386.13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20,386.13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5,477.71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2">
              <w:r>
                <w:rPr>
                  <w:rFonts w:ascii="Times New Roman" w:hAnsi="Times New Roman" w:cs="Times New Roman" w:eastAsia="Times New Roman" w:hint="default"/>
                  <w:sz w:val="18"/>
                  <w:szCs w:val="18"/>
                </w:rPr>
                <w:t>http://ww</w:t>
              </w:r>
            </w:hyperlink>
          </w:p>
          <w:p>
            <w:pPr>
              <w:pStyle w:val="TableParagraph"/>
              <w:spacing w:line="362" w:lineRule="auto" w:before="23"/>
              <w:ind w:left="23" w:right="90"/>
              <w:jc w:val="left"/>
              <w:rPr>
                <w:rFonts w:ascii="Times New Roman" w:hAnsi="Times New Roman" w:cs="Times New Roman" w:eastAsia="Times New Roman" w:hint="default"/>
                <w:sz w:val="18"/>
                <w:szCs w:val="18"/>
              </w:rPr>
            </w:pPr>
            <w:r>
              <w:rPr>
                <w:rFonts w:ascii="Times New Roman"/>
                <w:spacing w:val="-2"/>
                <w:sz w:val="18"/>
              </w:rPr>
              <w:t>w.cninfo.</w:t>
            </w:r>
            <w:r>
              <w:rPr>
                <w:rFonts w:ascii="Times New Roman"/>
                <w:spacing w:val="-43"/>
                <w:sz w:val="18"/>
              </w:rPr>
              <w:t> </w:t>
            </w:r>
            <w:r>
              <w:rPr>
                <w:rFonts w:ascii="Times New Roman"/>
                <w:spacing w:val="-43"/>
                <w:sz w:val="18"/>
              </w:rPr>
            </w:r>
            <w:r>
              <w:rPr>
                <w:rFonts w:ascii="Times New Roman"/>
                <w:sz w:val="18"/>
              </w:rPr>
              <w:t>com.cn</w:t>
            </w:r>
          </w:p>
        </w:tc>
      </w:tr>
      <w:tr>
        <w:trPr>
          <w:trHeight w:val="713" w:hRule="exact"/>
        </w:trPr>
        <w:tc>
          <w:tcPr>
            <w:tcW w:w="319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该交易增加净利润 </w:t>
            </w:r>
            <w:r>
              <w:rPr>
                <w:rFonts w:ascii="Times New Roman" w:hAnsi="Times New Roman" w:cs="Times New Roman" w:eastAsia="Times New Roman" w:hint="default"/>
                <w:sz w:val="18"/>
                <w:szCs w:val="18"/>
              </w:rPr>
              <w:t>5477.71  </w:t>
            </w:r>
            <w:r>
              <w:rPr>
                <w:rFonts w:ascii="宋体" w:hAnsi="宋体" w:cs="宋体" w:eastAsia="宋体" w:hint="default"/>
                <w:sz w:val="18"/>
                <w:szCs w:val="18"/>
              </w:rPr>
              <w:t>万元，增加资产 </w:t>
            </w:r>
            <w:r>
              <w:rPr>
                <w:rFonts w:ascii="Times New Roman" w:hAnsi="Times New Roman" w:cs="Times New Roman" w:eastAsia="Times New Roman" w:hint="default"/>
                <w:sz w:val="18"/>
                <w:szCs w:val="18"/>
              </w:rPr>
              <w:t>7303.62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r>
      <w:tr>
        <w:trPr>
          <w:trHeight w:val="715" w:hRule="exact"/>
        </w:trPr>
        <w:tc>
          <w:tcPr>
            <w:tcW w:w="319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是否存在非经营性关联债权债务往来</w:t>
      </w:r>
    </w:p>
    <w:p>
      <w:pPr>
        <w:pStyle w:val="BodyText"/>
        <w:spacing w:line="338" w:lineRule="auto" w:before="41"/>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合同及其履行情况" w:id="83"/>
      <w:bookmarkEnd w:id="83"/>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1）担保情况" w:id="89"/>
      <w:bookmarkEnd w:id="89"/>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3"/>
        <w:gridCol w:w="1034"/>
        <w:gridCol w:w="1049"/>
        <w:gridCol w:w="792"/>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6"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江苏开拓信息与系统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江苏润和南京软件外 包园投资有限公司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北京捷科智诚科技有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13" w:space="0" w:color="D4D4D4"/>
              <w:bottom w:val="single" w:sz="4" w:space="0" w:color="000000"/>
              <w:right w:val="single" w:sz="4" w:space="0" w:color="000000"/>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8"/>
        <w:gridCol w:w="936"/>
        <w:gridCol w:w="1304"/>
        <w:gridCol w:w="1030"/>
        <w:gridCol w:w="1057"/>
        <w:gridCol w:w="1066"/>
        <w:gridCol w:w="774"/>
        <w:gridCol w:w="788"/>
      </w:tblGrid>
      <w:tr>
        <w:trPr>
          <w:trHeight w:val="720"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0"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40,000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 w:right="74"/>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8"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19,000</w:t>
            </w:r>
          </w:p>
        </w:tc>
      </w:tr>
      <w:tr>
        <w:trPr>
          <w:trHeight w:val="391"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4D4D4"/>
          </w:tcPr>
          <w:p>
            <w:pPr/>
          </w:p>
        </w:tc>
        <w:tc>
          <w:tcPr>
            <w:tcW w:w="89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vMerge w:val="restart"/>
            <w:tcBorders>
              <w:top w:val="single" w:sz="4" w:space="0" w:color="000000"/>
              <w:left w:val="single" w:sz="4" w:space="0" w:color="000000"/>
              <w:right w:val="single" w:sz="4" w:space="0" w:color="000000"/>
            </w:tcBorders>
            <w:shd w:val="clear" w:color="auto" w:fill="D4D4D4"/>
          </w:tcPr>
          <w:p>
            <w:pPr/>
          </w:p>
        </w:tc>
        <w:tc>
          <w:tcPr>
            <w:tcW w:w="1304" w:type="dxa"/>
            <w:tcBorders>
              <w:top w:val="single" w:sz="4" w:space="0" w:color="000000"/>
              <w:left w:val="single" w:sz="4" w:space="0" w:color="000000"/>
              <w:bottom w:val="nil" w:sz="6" w:space="0" w:color="auto"/>
              <w:right w:val="single" w:sz="4" w:space="0" w:color="000000"/>
            </w:tcBorders>
            <w:shd w:val="clear" w:color="auto" w:fill="D4D4D4"/>
          </w:tcPr>
          <w:p>
            <w:pPr/>
          </w:p>
        </w:tc>
        <w:tc>
          <w:tcPr>
            <w:tcW w:w="1030" w:type="dxa"/>
            <w:tcBorders>
              <w:top w:val="single" w:sz="4" w:space="0" w:color="000000"/>
              <w:left w:val="single" w:sz="4" w:space="0" w:color="000000"/>
              <w:bottom w:val="nil" w:sz="6" w:space="0" w:color="auto"/>
              <w:right w:val="single" w:sz="4" w:space="0" w:color="000000"/>
            </w:tcBorders>
            <w:shd w:val="clear" w:color="auto" w:fill="D4D4D4"/>
          </w:tcPr>
          <w:p>
            <w:pPr/>
          </w:p>
        </w:tc>
        <w:tc>
          <w:tcPr>
            <w:tcW w:w="1057" w:type="dxa"/>
            <w:vMerge w:val="restart"/>
            <w:tcBorders>
              <w:top w:val="single" w:sz="4" w:space="0" w:color="000000"/>
              <w:left w:val="single" w:sz="4" w:space="0" w:color="000000"/>
              <w:right w:val="single" w:sz="4" w:space="0" w:color="000000"/>
            </w:tcBorders>
            <w:shd w:val="clear" w:color="auto" w:fill="D4D4D4"/>
          </w:tcPr>
          <w:p>
            <w:pPr/>
          </w:p>
        </w:tc>
        <w:tc>
          <w:tcPr>
            <w:tcW w:w="1066" w:type="dxa"/>
            <w:vMerge w:val="restart"/>
            <w:tcBorders>
              <w:top w:val="single" w:sz="4" w:space="0" w:color="000000"/>
              <w:left w:val="single" w:sz="4" w:space="0" w:color="000000"/>
              <w:right w:val="single" w:sz="4" w:space="0" w:color="000000"/>
            </w:tcBorders>
            <w:shd w:val="clear" w:color="auto" w:fill="D4D4D4"/>
          </w:tcPr>
          <w:p>
            <w:pPr/>
          </w:p>
        </w:tc>
        <w:tc>
          <w:tcPr>
            <w:tcW w:w="774" w:type="dxa"/>
            <w:tcBorders>
              <w:top w:val="single" w:sz="4" w:space="0" w:color="000000"/>
              <w:left w:val="single" w:sz="4" w:space="0" w:color="000000"/>
              <w:bottom w:val="nil" w:sz="6" w:space="0" w:color="auto"/>
              <w:right w:val="single" w:sz="4" w:space="0" w:color="000000"/>
            </w:tcBorders>
            <w:shd w:val="clear" w:color="auto" w:fill="D4D4D4"/>
          </w:tcPr>
          <w:p>
            <w:pPr/>
          </w:p>
        </w:tc>
        <w:tc>
          <w:tcPr>
            <w:tcW w:w="78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4D4D4"/>
          </w:tcPr>
          <w:p>
            <w:pPr/>
          </w:p>
        </w:tc>
        <w:tc>
          <w:tcPr>
            <w:tcW w:w="898" w:type="dxa"/>
            <w:vMerge/>
            <w:tcBorders>
              <w:left w:val="single" w:sz="4" w:space="0" w:color="000000"/>
              <w:right w:val="single" w:sz="4" w:space="0" w:color="000000"/>
            </w:tcBorders>
            <w:shd w:val="clear" w:color="auto" w:fill="D4D4D4"/>
          </w:tcPr>
          <w:p>
            <w:pPr/>
          </w:p>
        </w:tc>
        <w:tc>
          <w:tcPr>
            <w:tcW w:w="936" w:type="dxa"/>
            <w:vMerge/>
            <w:tcBorders>
              <w:left w:val="single" w:sz="4" w:space="0" w:color="000000"/>
              <w:bottom w:val="nil" w:sz="6" w:space="0" w:color="auto"/>
              <w:right w:val="single" w:sz="4" w:space="0" w:color="000000"/>
            </w:tcBorders>
            <w:shd w:val="clear" w:color="auto" w:fill="D4D4D4"/>
          </w:tcPr>
          <w:p>
            <w:pPr/>
          </w:p>
        </w:tc>
        <w:tc>
          <w:tcPr>
            <w:tcW w:w="130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3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23"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7" w:type="dxa"/>
            <w:vMerge/>
            <w:tcBorders>
              <w:left w:val="single" w:sz="4" w:space="0" w:color="000000"/>
              <w:bottom w:val="nil" w:sz="6" w:space="0" w:color="auto"/>
              <w:right w:val="single" w:sz="4" w:space="0" w:color="000000"/>
            </w:tcBorders>
            <w:shd w:val="clear" w:color="auto" w:fill="D4D4D4"/>
          </w:tcPr>
          <w:p>
            <w:pPr/>
          </w:p>
        </w:tc>
        <w:tc>
          <w:tcPr>
            <w:tcW w:w="1066" w:type="dxa"/>
            <w:vMerge/>
            <w:tcBorders>
              <w:left w:val="single" w:sz="4" w:space="0" w:color="000000"/>
              <w:bottom w:val="nil" w:sz="6" w:space="0" w:color="auto"/>
              <w:right w:val="single" w:sz="4" w:space="0" w:color="000000"/>
            </w:tcBorders>
            <w:shd w:val="clear" w:color="auto" w:fill="D4D4D4"/>
          </w:tcPr>
          <w:p>
            <w:pPr/>
          </w:p>
        </w:tc>
        <w:tc>
          <w:tcPr>
            <w:tcW w:w="77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8" w:type="dxa"/>
            <w:vMerge/>
            <w:tcBorders>
              <w:left w:val="single" w:sz="4" w:space="0" w:color="000000"/>
              <w:right w:val="single" w:sz="4" w:space="0" w:color="000000"/>
            </w:tcBorders>
            <w:shd w:val="clear" w:color="auto" w:fill="D4D4D4"/>
          </w:tcPr>
          <w:p>
            <w:pPr/>
          </w:p>
        </w:tc>
        <w:tc>
          <w:tcPr>
            <w:tcW w:w="93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vMerge/>
            <w:tcBorders>
              <w:left w:val="single" w:sz="4" w:space="0" w:color="000000"/>
              <w:right w:val="single" w:sz="4" w:space="0" w:color="000000"/>
            </w:tcBorders>
            <w:shd w:val="clear" w:color="auto" w:fill="D4D4D4"/>
          </w:tcPr>
          <w:p>
            <w:pPr/>
          </w:p>
        </w:tc>
        <w:tc>
          <w:tcPr>
            <w:tcW w:w="1030" w:type="dxa"/>
            <w:vMerge/>
            <w:tcBorders>
              <w:left w:val="single" w:sz="4" w:space="0" w:color="000000"/>
              <w:right w:val="single" w:sz="4" w:space="0" w:color="000000"/>
            </w:tcBorders>
            <w:shd w:val="clear" w:color="auto" w:fill="D4D4D4"/>
          </w:tcPr>
          <w:p>
            <w:pPr/>
          </w:p>
        </w:tc>
        <w:tc>
          <w:tcPr>
            <w:tcW w:w="105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4D4D4"/>
          </w:tcPr>
          <w:p>
            <w:pPr/>
          </w:p>
        </w:tc>
        <w:tc>
          <w:tcPr>
            <w:tcW w:w="788" w:type="dxa"/>
            <w:vMerge/>
            <w:tcBorders>
              <w:left w:val="single" w:sz="4" w:space="0" w:color="000000"/>
              <w:right w:val="single" w:sz="4" w:space="0" w:color="000000"/>
            </w:tcBorders>
            <w:shd w:val="clear" w:color="auto" w:fill="D4D4D4"/>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4D4D4"/>
          </w:tcPr>
          <w:p>
            <w:pPr/>
          </w:p>
        </w:tc>
        <w:tc>
          <w:tcPr>
            <w:tcW w:w="898" w:type="dxa"/>
            <w:vMerge/>
            <w:tcBorders>
              <w:left w:val="single" w:sz="4" w:space="0" w:color="000000"/>
              <w:right w:val="single" w:sz="4" w:space="0" w:color="000000"/>
            </w:tcBorders>
            <w:shd w:val="clear" w:color="auto" w:fill="D4D4D4"/>
          </w:tcPr>
          <w:p>
            <w:pPr/>
          </w:p>
        </w:tc>
        <w:tc>
          <w:tcPr>
            <w:tcW w:w="936" w:type="dxa"/>
            <w:vMerge w:val="restart"/>
            <w:tcBorders>
              <w:top w:val="nil" w:sz="6" w:space="0" w:color="auto"/>
              <w:left w:val="single" w:sz="4" w:space="0" w:color="000000"/>
              <w:right w:val="single" w:sz="4" w:space="0" w:color="000000"/>
            </w:tcBorders>
            <w:shd w:val="clear" w:color="auto" w:fill="D4D4D4"/>
          </w:tcPr>
          <w:p>
            <w:pPr/>
          </w:p>
        </w:tc>
        <w:tc>
          <w:tcPr>
            <w:tcW w:w="1304" w:type="dxa"/>
            <w:vMerge/>
            <w:tcBorders>
              <w:left w:val="single" w:sz="4" w:space="0" w:color="000000"/>
              <w:bottom w:val="nil" w:sz="6" w:space="0" w:color="auto"/>
              <w:right w:val="single" w:sz="4" w:space="0" w:color="000000"/>
            </w:tcBorders>
            <w:shd w:val="clear" w:color="auto" w:fill="D4D4D4"/>
          </w:tcPr>
          <w:p>
            <w:pPr/>
          </w:p>
        </w:tc>
        <w:tc>
          <w:tcPr>
            <w:tcW w:w="1030" w:type="dxa"/>
            <w:vMerge/>
            <w:tcBorders>
              <w:left w:val="single" w:sz="4" w:space="0" w:color="000000"/>
              <w:bottom w:val="nil" w:sz="6" w:space="0" w:color="auto"/>
              <w:right w:val="single" w:sz="4" w:space="0" w:color="000000"/>
            </w:tcBorders>
            <w:shd w:val="clear" w:color="auto" w:fill="D4D4D4"/>
          </w:tcPr>
          <w:p>
            <w:pPr/>
          </w:p>
        </w:tc>
        <w:tc>
          <w:tcPr>
            <w:tcW w:w="1057" w:type="dxa"/>
            <w:vMerge w:val="restart"/>
            <w:tcBorders>
              <w:top w:val="nil" w:sz="6" w:space="0" w:color="auto"/>
              <w:left w:val="single" w:sz="4" w:space="0" w:color="000000"/>
              <w:right w:val="single" w:sz="4" w:space="0" w:color="000000"/>
            </w:tcBorders>
            <w:shd w:val="clear" w:color="auto" w:fill="D4D4D4"/>
          </w:tcPr>
          <w:p>
            <w:pPr/>
          </w:p>
        </w:tc>
        <w:tc>
          <w:tcPr>
            <w:tcW w:w="1066" w:type="dxa"/>
            <w:vMerge w:val="restart"/>
            <w:tcBorders>
              <w:top w:val="nil" w:sz="6" w:space="0" w:color="auto"/>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88" w:type="dxa"/>
            <w:vMerge/>
            <w:tcBorders>
              <w:left w:val="single" w:sz="4" w:space="0" w:color="000000"/>
              <w:bottom w:val="nil" w:sz="6" w:space="0" w:color="auto"/>
              <w:right w:val="single" w:sz="4" w:space="0" w:color="000000"/>
            </w:tcBorders>
            <w:shd w:val="clear" w:color="auto" w:fill="D4D4D4"/>
          </w:tcPr>
          <w:p>
            <w:pPr/>
          </w:p>
        </w:tc>
      </w:tr>
      <w:tr>
        <w:trPr>
          <w:trHeight w:val="162" w:hRule="exact"/>
        </w:trPr>
        <w:tc>
          <w:tcPr>
            <w:tcW w:w="1709" w:type="dxa"/>
            <w:vMerge/>
            <w:tcBorders>
              <w:left w:val="single" w:sz="4" w:space="0" w:color="000000"/>
              <w:bottom w:val="single" w:sz="4" w:space="0" w:color="000000"/>
              <w:right w:val="single" w:sz="4" w:space="0" w:color="000000"/>
            </w:tcBorders>
            <w:shd w:val="clear" w:color="auto" w:fill="D4D4D4"/>
          </w:tcPr>
          <w:p>
            <w:pPr/>
          </w:p>
        </w:tc>
        <w:tc>
          <w:tcPr>
            <w:tcW w:w="898"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130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30"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7" w:type="dxa"/>
            <w:vMerge/>
            <w:tcBorders>
              <w:left w:val="single" w:sz="4" w:space="0" w:color="000000"/>
              <w:bottom w:val="single" w:sz="4" w:space="0" w:color="000000"/>
              <w:right w:val="single" w:sz="4" w:space="0" w:color="000000"/>
            </w:tcBorders>
            <w:shd w:val="clear" w:color="auto" w:fill="D4D4D4"/>
          </w:tcPr>
          <w:p>
            <w:pPr/>
          </w:p>
        </w:tc>
        <w:tc>
          <w:tcPr>
            <w:tcW w:w="1066"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8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7"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0" w:type="dxa"/>
            <w:gridSpan w:val="2"/>
            <w:tcBorders>
              <w:top w:val="single" w:sz="4" w:space="0" w:color="000000"/>
              <w:left w:val="single" w:sz="13" w:space="0" w:color="D4D4D4"/>
              <w:bottom w:val="single" w:sz="4" w:space="0" w:color="000000"/>
              <w:right w:val="single" w:sz="10" w:space="0" w:color="D4D4D4"/>
            </w:tcBorders>
          </w:tcPr>
          <w:p>
            <w:pP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20" w:right="74"/>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8"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0"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40,000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0" w:right="74"/>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8"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19,000</w:t>
            </w:r>
          </w:p>
        </w:tc>
      </w:tr>
      <w:tr>
        <w:trPr>
          <w:trHeight w:val="408"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5.96%</w:t>
            </w:r>
          </w:p>
        </w:tc>
      </w:tr>
      <w:tr>
        <w:trPr>
          <w:trHeight w:val="391"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3"/>
              <w:ind w:left="1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5"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5"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18,000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5"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5"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50"/>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违规对外担保情况" w:id="90"/>
      <w:bookmarkEnd w:id="90"/>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公司报告期不存在其他重大合同。</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十七、其他重大事项的说明" w:id="95"/>
      <w:bookmarkEnd w:id="95"/>
      <w:r>
        <w:rPr>
          <w:b w:val="0"/>
          <w:bCs w:val="0"/>
        </w:rPr>
      </w: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left="153" w:right="93" w:hanging="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日，公司实际控制人之一周红卫先生将其持有的本公司有限售条件流通股</w:t>
      </w:r>
      <w:r>
        <w:rPr>
          <w:rFonts w:ascii="Times New Roman" w:hAnsi="Times New Roman" w:cs="Times New Roman" w:eastAsia="Times New Roman" w:hint="default"/>
        </w:rPr>
        <w:t>540,000</w:t>
      </w:r>
      <w:r>
        <w:rPr/>
        <w:t>股以股票质押式回购补充质 押的方式质押给国联证券股份有限公司。以上具体内容请详见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日在中国证监会指定的创业板信息披露网站公告。 </w:t>
      </w:r>
      <w:r>
        <w:rPr>
          <w:rFonts w:ascii="Times New Roman" w:hAnsi="Times New Roman" w:cs="Times New Roman" w:eastAsia="Times New Roman" w:hint="default"/>
        </w:rPr>
        <w:t>2.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日，公司控股股东润和投资将其持有的本公司有限售条件流通股</w:t>
      </w:r>
      <w:r>
        <w:rPr>
          <w:rFonts w:ascii="Times New Roman" w:hAnsi="Times New Roman" w:cs="Times New Roman" w:eastAsia="Times New Roman" w:hint="default"/>
          <w:spacing w:val="-2"/>
        </w:rPr>
        <w:t>16,500,000</w:t>
      </w:r>
      <w:r>
        <w:rPr>
          <w:spacing w:val="-2"/>
        </w:rPr>
        <w:t>股质押给东吴证券股份有限公司办</w:t>
      </w:r>
      <w:r>
        <w:rPr>
          <w:spacing w:val="-58"/>
        </w:rPr>
        <w:t> </w:t>
      </w:r>
      <w:r>
        <w:rPr>
          <w:spacing w:val="-58"/>
        </w:rPr>
      </w:r>
      <w:r>
        <w:rPr>
          <w:spacing w:val="-2"/>
        </w:rPr>
        <w:t>理股票质押式回购交易。</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日和</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日，润和投资分别将质押给华创证券有限责任公司的本公司有限售条件流通股</w:t>
      </w:r>
      <w:r>
        <w:rPr>
          <w:spacing w:val="-61"/>
        </w:rPr>
        <w:t> </w:t>
      </w:r>
      <w:r>
        <w:rPr>
          <w:spacing w:val="-61"/>
        </w:rPr>
      </w:r>
      <w:r>
        <w:rPr/>
        <w:t>各</w:t>
      </w:r>
      <w:r>
        <w:rPr>
          <w:rFonts w:ascii="Times New Roman" w:hAnsi="Times New Roman" w:cs="Times New Roman" w:eastAsia="Times New Roman" w:hint="default"/>
        </w:rPr>
        <w:t>10,500,000</w:t>
      </w:r>
      <w:r>
        <w:rPr/>
        <w:t>股解除质押。</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日和</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日，润和投资分别将其持有的本公司有限售条件流通股</w:t>
      </w:r>
      <w:r>
        <w:rPr>
          <w:rFonts w:ascii="Times New Roman" w:hAnsi="Times New Roman" w:cs="Times New Roman" w:eastAsia="Times New Roman" w:hint="default"/>
        </w:rPr>
        <w:t>4,820,000 </w:t>
      </w:r>
      <w:r>
        <w:rPr/>
        <w:t>股、</w:t>
      </w:r>
      <w:r>
        <w:rPr>
          <w:rFonts w:ascii="Times New Roman" w:hAnsi="Times New Roman" w:cs="Times New Roman" w:eastAsia="Times New Roman" w:hint="default"/>
        </w:rPr>
        <w:t>5,550,000</w:t>
      </w:r>
      <w:r>
        <w:rPr/>
        <w:t>股和</w:t>
      </w:r>
      <w:r>
        <w:rPr>
          <w:rFonts w:ascii="Times New Roman" w:hAnsi="Times New Roman" w:cs="Times New Roman" w:eastAsia="Times New Roman" w:hint="default"/>
        </w:rPr>
        <w:t>5,300,000</w:t>
      </w:r>
      <w:r>
        <w:rPr/>
        <w:t>股质押给山西证券股份有限公司办理股票质押式回购交易。</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日，润和投资将其质押 </w:t>
      </w:r>
      <w:r>
        <w:rPr>
          <w:spacing w:val="-2"/>
        </w:rPr>
        <w:t>给华泰证券股份有限公司的本公司有限受条件流通股</w:t>
      </w:r>
      <w:r>
        <w:rPr>
          <w:rFonts w:ascii="Times New Roman" w:hAnsi="Times New Roman" w:cs="Times New Roman" w:eastAsia="Times New Roman" w:hint="default"/>
          <w:spacing w:val="-2"/>
        </w:rPr>
        <w:t>10,700,000</w:t>
      </w:r>
      <w:r>
        <w:rPr>
          <w:spacing w:val="-2"/>
        </w:rPr>
        <w:t>股解除质押。</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25</w:t>
      </w:r>
      <w:r>
        <w:rPr>
          <w:spacing w:val="-2"/>
        </w:rPr>
        <w:t>日，润和投资分别将其持有的本公</w:t>
      </w:r>
      <w:r>
        <w:rPr>
          <w:spacing w:val="-55"/>
        </w:rPr>
        <w:t> </w:t>
      </w:r>
      <w:r>
        <w:rPr>
          <w:spacing w:val="-55"/>
        </w:rPr>
      </w:r>
      <w:r>
        <w:rPr/>
        <w:t>司有限售条件流通股</w:t>
      </w:r>
      <w:r>
        <w:rPr>
          <w:rFonts w:ascii="Times New Roman" w:hAnsi="Times New Roman" w:cs="Times New Roman" w:eastAsia="Times New Roman" w:hint="default"/>
        </w:rPr>
        <w:t>700,000</w:t>
      </w:r>
      <w:r>
        <w:rPr/>
        <w:t>股和</w:t>
      </w:r>
      <w:r>
        <w:rPr>
          <w:rFonts w:ascii="Times New Roman" w:hAnsi="Times New Roman" w:cs="Times New Roman" w:eastAsia="Times New Roman" w:hint="default"/>
        </w:rPr>
        <w:t>3,500,000</w:t>
      </w:r>
      <w:r>
        <w:rPr/>
        <w:t>股质押给山西证券股份有限公司办理股票质押式回购交易。</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日，润和 投资将其持有的本公司有限售条件流通股</w:t>
      </w:r>
      <w:r>
        <w:rPr>
          <w:rFonts w:ascii="Times New Roman" w:hAnsi="Times New Roman" w:cs="Times New Roman" w:eastAsia="Times New Roman" w:hint="default"/>
        </w:rPr>
        <w:t>9,020,000</w:t>
      </w:r>
      <w:r>
        <w:rPr/>
        <w:t>股质押给华泰证券股份有限公司办理股票质押式回购交易。</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 </w:t>
      </w:r>
      <w:r>
        <w:rPr/>
        <w:t>日，润和投资将其于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日质押给华泰证券股份有限公司的本公司有限售条件流通股</w:t>
      </w:r>
      <w:r>
        <w:rPr>
          <w:rFonts w:ascii="Times New Roman" w:hAnsi="Times New Roman" w:cs="Times New Roman" w:eastAsia="Times New Roman" w:hint="default"/>
        </w:rPr>
        <w:t>14,300,000</w:t>
      </w:r>
      <w:r>
        <w:rPr/>
        <w:t>解除质押。</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16</w:t>
      </w:r>
      <w:r>
        <w:rPr/>
        <w:t>日，润和投资将其持有的本公司有限售条件流通股</w:t>
      </w:r>
      <w:r>
        <w:rPr>
          <w:rFonts w:ascii="Times New Roman" w:hAnsi="Times New Roman" w:cs="Times New Roman" w:eastAsia="Times New Roman" w:hint="default"/>
        </w:rPr>
        <w:t>800,000</w:t>
      </w:r>
      <w:r>
        <w:rPr/>
        <w:t>股质押给山西证券股份有限公司办理股票质押式回购交易。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日，润和投资将其持有的本公司有限售条件流通股</w:t>
      </w:r>
      <w:r>
        <w:rPr>
          <w:rFonts w:ascii="Times New Roman" w:hAnsi="Times New Roman" w:cs="Times New Roman" w:eastAsia="Times New Roman" w:hint="default"/>
        </w:rPr>
        <w:t>8,300,000</w:t>
      </w:r>
      <w:r>
        <w:rPr/>
        <w:t>股质押给山西证券股份有限公司办理股票质押式回 购交易。</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日，润和投资将其持有的本公司有限售条件流通股</w:t>
      </w:r>
      <w:r>
        <w:rPr>
          <w:rFonts w:ascii="Times New Roman" w:hAnsi="Times New Roman" w:cs="Times New Roman" w:eastAsia="Times New Roman" w:hint="default"/>
        </w:rPr>
        <w:t>6,000,000</w:t>
      </w:r>
      <w:r>
        <w:rPr/>
        <w:t>股质押给华创证券有限责任公司。</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日，润和投资将其于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日质押给华泰证券股份有限公司的本公司有限售条件流通股</w:t>
      </w:r>
      <w:r>
        <w:rPr>
          <w:rFonts w:ascii="Times New Roman" w:hAnsi="Times New Roman" w:cs="Times New Roman" w:eastAsia="Times New Roman" w:hint="default"/>
        </w:rPr>
        <w:t>9,020,000</w:t>
      </w:r>
      <w:r>
        <w:rPr/>
        <w:t>解除质押。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日，润和投资将其持有的本公司有限售条件流通股</w:t>
      </w:r>
      <w:r>
        <w:rPr>
          <w:rFonts w:ascii="Times New Roman" w:hAnsi="Times New Roman" w:cs="Times New Roman" w:eastAsia="Times New Roman" w:hint="default"/>
          <w:spacing w:val="-2"/>
        </w:rPr>
        <w:t>11,000,000</w:t>
      </w:r>
      <w:r>
        <w:rPr>
          <w:spacing w:val="-2"/>
        </w:rPr>
        <w:t>股质押给华福证券有限责任公司办理股票质押式回</w:t>
      </w:r>
      <w:r>
        <w:rPr>
          <w:spacing w:val="-55"/>
        </w:rPr>
        <w:t> </w:t>
      </w:r>
      <w:r>
        <w:rPr>
          <w:spacing w:val="-55"/>
        </w:rPr>
      </w:r>
      <w:r>
        <w:rPr>
          <w:spacing w:val="-3"/>
        </w:rPr>
        <w:t>购交易。</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10</w:t>
      </w:r>
      <w:r>
        <w:rPr>
          <w:spacing w:val="-3"/>
        </w:rPr>
        <w:t>日，润和投资将其于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25</w:t>
      </w:r>
      <w:r>
        <w:rPr>
          <w:spacing w:val="-3"/>
        </w:rPr>
        <w:t>日质押给山西证券股份有限公司的本公司有限售条件流通股</w:t>
      </w:r>
      <w:r>
        <w:rPr>
          <w:rFonts w:ascii="Times New Roman" w:hAnsi="Times New Roman" w:cs="Times New Roman" w:eastAsia="Times New Roman" w:hint="default"/>
          <w:spacing w:val="-3"/>
        </w:rPr>
        <w:t>4,200,000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股中的</w:t>
      </w:r>
      <w:r>
        <w:rPr>
          <w:rFonts w:ascii="Times New Roman" w:hAnsi="Times New Roman" w:cs="Times New Roman" w:eastAsia="Times New Roman" w:hint="default"/>
        </w:rPr>
        <w:t>1,600,000</w:t>
      </w:r>
      <w:r>
        <w:rPr/>
        <w:t>股和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日质押给山西证券股份有限公司的本公司有限售条件流通股</w:t>
      </w:r>
      <w:r>
        <w:rPr>
          <w:rFonts w:ascii="Times New Roman" w:hAnsi="Times New Roman" w:cs="Times New Roman" w:eastAsia="Times New Roman" w:hint="default"/>
        </w:rPr>
        <w:t>800,000</w:t>
      </w:r>
      <w:r>
        <w:rPr/>
        <w:t>股解除质押。</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16</w:t>
      </w:r>
      <w:r>
        <w:rPr/>
        <w:t>日，润和投资将其持有的本公司有限售条件流通股</w:t>
      </w:r>
      <w:r>
        <w:rPr>
          <w:rFonts w:ascii="Times New Roman" w:hAnsi="Times New Roman" w:cs="Times New Roman" w:eastAsia="Times New Roman" w:hint="default"/>
        </w:rPr>
        <w:t>2,430,000</w:t>
      </w:r>
      <w:r>
        <w:rPr/>
        <w:t>股质押给山西证券股份有限公司办理股票质押式回购交易。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日，润和投资将其于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日质押给东吴证券股份有限公司的本公司有限售条件流通股</w:t>
      </w:r>
      <w:r>
        <w:rPr>
          <w:rFonts w:ascii="Times New Roman" w:hAnsi="Times New Roman" w:cs="Times New Roman" w:eastAsia="Times New Roman" w:hint="default"/>
        </w:rPr>
        <w:t>16,500,000</w:t>
      </w:r>
      <w:r>
        <w:rPr/>
        <w:t>股解除 </w:t>
      </w:r>
      <w:r>
        <w:rPr>
          <w:spacing w:val="-2"/>
        </w:rPr>
        <w:t>质押。</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25</w:t>
      </w:r>
      <w:r>
        <w:rPr>
          <w:spacing w:val="-2"/>
        </w:rPr>
        <w:t>日，润和投资润和投资将其持有的本公司有限售条件流通股</w:t>
      </w:r>
      <w:r>
        <w:rPr>
          <w:rFonts w:ascii="Times New Roman" w:hAnsi="Times New Roman" w:cs="Times New Roman" w:eastAsia="Times New Roman" w:hint="default"/>
          <w:spacing w:val="-2"/>
        </w:rPr>
        <w:t>15,000,000</w:t>
      </w:r>
      <w:r>
        <w:rPr>
          <w:spacing w:val="-2"/>
        </w:rPr>
        <w:t>股质押给东吴证券股份有限公司办</w:t>
      </w:r>
      <w:r>
        <w:rPr>
          <w:spacing w:val="-55"/>
        </w:rPr>
        <w:t> </w:t>
      </w:r>
      <w:r>
        <w:rPr>
          <w:spacing w:val="-55"/>
        </w:rPr>
      </w:r>
      <w:r>
        <w:rPr/>
        <w:t>理股票质押式回购交易。 </w:t>
      </w:r>
      <w:r>
        <w:rPr>
          <w:spacing w:val="-4"/>
        </w:rPr>
        <w:t>以上具体内容请详见</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26</w:t>
      </w:r>
      <w:r>
        <w:rPr>
          <w:spacing w:val="-4"/>
        </w:rPr>
        <w:t>日、</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7</w:t>
      </w:r>
      <w:r>
        <w:rPr>
          <w:spacing w:val="-4"/>
        </w:rPr>
        <w:t>日、</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13</w:t>
      </w:r>
      <w:r>
        <w:rPr>
          <w:spacing w:val="-4"/>
        </w:rPr>
        <w:t>日、</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22</w:t>
      </w:r>
      <w:r>
        <w:rPr>
          <w:spacing w:val="-4"/>
        </w:rPr>
        <w:t>日、</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8</w:t>
      </w:r>
      <w:r>
        <w:rPr>
          <w:spacing w:val="-4"/>
        </w:rPr>
        <w:t>日、</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10</w:t>
      </w:r>
      <w:r>
        <w:rPr>
          <w:spacing w:val="-4"/>
        </w:rPr>
        <w:t>日、</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日在中国证监会指定的创业板信息披露网站 公告。</w:t>
      </w:r>
    </w:p>
    <w:p>
      <w:pPr>
        <w:pStyle w:val="BodyText"/>
        <w:spacing w:line="300" w:lineRule="auto" w:before="31"/>
        <w:ind w:left="155" w:right="19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w:t>
      </w:r>
      <w:r>
        <w:rPr>
          <w:rFonts w:ascii="Times New Roman" w:hAnsi="Times New Roman" w:cs="Times New Roman" w:eastAsia="Times New Roman" w:hint="default"/>
        </w:rPr>
        <w:t>2015</w:t>
      </w:r>
      <w:r>
        <w:rPr/>
        <w:t>年第一次临时股东大会审议通过《关于选举公司第四届董事会非独立董事的议案》，同意选举 </w:t>
      </w:r>
      <w:r>
        <w:rPr>
          <w:spacing w:val="-2"/>
        </w:rPr>
        <w:t>钟峻先生担任公司非独立董事，任期自</w:t>
      </w:r>
      <w:r>
        <w:rPr>
          <w:rFonts w:ascii="Times New Roman" w:hAnsi="Times New Roman" w:cs="Times New Roman" w:eastAsia="Times New Roman" w:hint="default"/>
          <w:spacing w:val="-2"/>
        </w:rPr>
        <w:t>2015</w:t>
      </w:r>
      <w:r>
        <w:rPr>
          <w:spacing w:val="-2"/>
        </w:rPr>
        <w:t>年第一次临时股东大会选举通过之日起至公司第四届董事会届满时止。以上具体</w:t>
      </w:r>
      <w:r>
        <w:rPr>
          <w:spacing w:val="-62"/>
        </w:rPr>
        <w:t> </w:t>
      </w:r>
      <w:r>
        <w:rPr>
          <w:spacing w:val="-62"/>
        </w:rPr>
      </w:r>
      <w:r>
        <w:rPr/>
        <w:t>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日在中国证监会指定的创业板信息披露网站公告。</w:t>
      </w:r>
    </w:p>
    <w:p>
      <w:pPr>
        <w:pStyle w:val="BodyText"/>
        <w:spacing w:line="304" w:lineRule="auto" w:before="13"/>
        <w:ind w:left="155" w:right="18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日公司召开</w:t>
      </w:r>
      <w:r>
        <w:rPr>
          <w:rFonts w:ascii="Times New Roman" w:hAnsi="Times New Roman" w:cs="Times New Roman" w:eastAsia="Times New Roman" w:hint="default"/>
        </w:rPr>
        <w:t>2015</w:t>
      </w:r>
      <w:r>
        <w:rPr/>
        <w:t>年第一次临时股东大会，审议通过了《关于选举公司第四届董事会独立董事的议案》，选举 洪磊先生和骆威先生为公司第四届董事会独立董事，任期自公司股东大会选举产生之日起至第四届董事会届满时止。</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日公司召开第四届董事会第二十六次会议，审议通过了《关于补选公司第四届董事会专门委员会委员的议案》，补 选洪磊先生担任公司第四届董事会审计委员会主任委员、提名委员会委员及薪酬与考核委员会委员。以上具体内容请详见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日在中国证监会指定的创业板信息披露网站公告。</w:t>
      </w:r>
    </w:p>
    <w:p>
      <w:pPr>
        <w:pStyle w:val="BodyText"/>
        <w:spacing w:line="300" w:lineRule="auto" w:before="9"/>
        <w:ind w:left="155" w:right="19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公司</w:t>
      </w:r>
      <w:r>
        <w:rPr>
          <w:rFonts w:ascii="Times New Roman" w:hAnsi="Times New Roman" w:cs="Times New Roman" w:eastAsia="Times New Roman" w:hint="default"/>
        </w:rPr>
        <w:t>2015</w:t>
      </w:r>
      <w:r>
        <w:rPr/>
        <w:t>年第一次临时股东大会审议通过了《关于变更公司经营范围并修订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相应条款的议案》。公司已取得 </w:t>
      </w:r>
      <w:r>
        <w:rPr>
          <w:spacing w:val="-2"/>
        </w:rPr>
        <w:t>了江苏省工商行政管理局颁发的《营业执照》，完成了工商变更登记手续。以上具体内容请详见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日在中国证监会</w:t>
      </w:r>
      <w:r>
        <w:rPr>
          <w:spacing w:val="-63"/>
        </w:rPr>
        <w:t> </w:t>
      </w:r>
      <w:r>
        <w:rPr>
          <w:spacing w:val="-63"/>
        </w:rPr>
      </w:r>
      <w:r>
        <w:rPr/>
        <w:t>指定的创业板信息披露网站公告。</w:t>
      </w:r>
    </w:p>
    <w:p>
      <w:pPr>
        <w:pStyle w:val="BodyText"/>
        <w:spacing w:line="309" w:lineRule="auto" w:before="33"/>
        <w:ind w:right="173" w:hanging="1"/>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日召开第四届董事会第二十七次会议，审议通过了《关于选举公司第四届董事会副董事长的议案》， </w:t>
      </w:r>
      <w:r>
        <w:rPr>
          <w:spacing w:val="-2"/>
        </w:rPr>
        <w:t>董事会同意选举姚宁先生为第四届董事会副董事长，任期自第四届董事会第二十七次会议审议通过之日起至第四届董事会任</w:t>
      </w:r>
      <w:r>
        <w:rPr>
          <w:spacing w:val="-65"/>
        </w:rPr>
        <w:t> </w:t>
      </w:r>
      <w:r>
        <w:rPr>
          <w:spacing w:val="-65"/>
        </w:rPr>
      </w:r>
      <w:r>
        <w:rPr/>
        <w:t>期届满时止。以上具体内容请详见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日在中国证监会指定的创业板信息披露网站公告。</w:t>
      </w:r>
    </w:p>
    <w:p>
      <w:pPr>
        <w:spacing w:after="0" w:line="309"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200"/>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公司第四届董事会第二十八次会议和</w:t>
      </w:r>
      <w:r>
        <w:rPr>
          <w:rFonts w:ascii="Times New Roman" w:hAnsi="Times New Roman" w:cs="Times New Roman" w:eastAsia="Times New Roman" w:hint="default"/>
        </w:rPr>
        <w:t>2015</w:t>
      </w:r>
      <w:r>
        <w:rPr/>
        <w:t>年第二次临时股东大会审议通过了《关于公司使用剩余超募资金永久补充流动 资金的议案》，同意公司使用剩余超募资金</w:t>
      </w:r>
      <w:r>
        <w:rPr>
          <w:rFonts w:ascii="Times New Roman" w:hAnsi="Times New Roman" w:cs="Times New Roman" w:eastAsia="Times New Roman" w:hint="default"/>
        </w:rPr>
        <w:t>46,210,648.46</w:t>
      </w:r>
      <w:r>
        <w:rPr/>
        <w:t>元（含截至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日超募资金专户利息收入）及超募资金专 户后期利息收入用于永久补充流动资金。以上具体内容请详见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日在中国证监会指定的创业板信 息披露网站公告。</w:t>
      </w:r>
    </w:p>
    <w:p>
      <w:pPr>
        <w:pStyle w:val="BodyText"/>
        <w:spacing w:line="304" w:lineRule="auto" w:before="31"/>
        <w:ind w:right="87"/>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6"/>
        </w:rPr>
        <w:t> </w:t>
      </w:r>
      <w:r>
        <w:rPr/>
        <w:t>公司与杭州亚细亚集创科技有限公司和王敏的买卖合同纠纷，经南京市雨花台区人民法院开庭审理，公司收到南京市雨 </w:t>
      </w:r>
      <w:r>
        <w:rPr>
          <w:spacing w:val="-2"/>
        </w:rPr>
        <w:t>花台区人民法院（</w:t>
      </w:r>
      <w:r>
        <w:rPr>
          <w:rFonts w:ascii="Times New Roman" w:hAnsi="Times New Roman" w:cs="Times New Roman" w:eastAsia="Times New Roman" w:hint="default"/>
          <w:spacing w:val="-2"/>
        </w:rPr>
        <w:t>2014</w:t>
      </w:r>
      <w:r>
        <w:rPr>
          <w:spacing w:val="-2"/>
        </w:rPr>
        <w:t>）雨商初字第</w:t>
      </w:r>
      <w:r>
        <w:rPr>
          <w:rFonts w:ascii="Times New Roman" w:hAnsi="Times New Roman" w:cs="Times New Roman" w:eastAsia="Times New Roman" w:hint="default"/>
          <w:spacing w:val="-2"/>
        </w:rPr>
        <w:t>414</w:t>
      </w:r>
      <w:r>
        <w:rPr>
          <w:spacing w:val="-2"/>
        </w:rPr>
        <w:t>号民事判决书。以上具体内容请详见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日在中国证监会指定的创业板信息</w:t>
      </w:r>
      <w:r>
        <w:rPr>
          <w:spacing w:val="-60"/>
        </w:rPr>
        <w:t> </w:t>
      </w:r>
      <w:r>
        <w:rPr>
          <w:spacing w:val="-60"/>
        </w:rPr>
      </w:r>
      <w:r>
        <w:rPr/>
        <w:t>披露网站公告。 </w:t>
      </w:r>
      <w:r>
        <w:rPr>
          <w:rFonts w:ascii="Times New Roman" w:hAnsi="Times New Roman" w:cs="Times New Roman" w:eastAsia="Times New Roman" w:hint="default"/>
        </w:rPr>
        <w:t>9.</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日召开的第四届董事会第三十次会议审议通过了《关于公司转让持有的江苏中晟智源科技产业有限公司 股权的议案》，同意公司将持有的中晟智源</w:t>
      </w:r>
      <w:r>
        <w:rPr>
          <w:rFonts w:ascii="Times New Roman" w:hAnsi="Times New Roman" w:cs="Times New Roman" w:eastAsia="Times New Roman" w:hint="default"/>
        </w:rPr>
        <w:t>23.08%</w:t>
      </w:r>
      <w:r>
        <w:rPr/>
        <w:t>的股权以</w:t>
      </w:r>
      <w:r>
        <w:rPr>
          <w:rFonts w:ascii="Times New Roman" w:hAnsi="Times New Roman" w:cs="Times New Roman" w:eastAsia="Times New Roman" w:hint="default"/>
        </w:rPr>
        <w:t>24,867,123.29</w:t>
      </w:r>
      <w:r>
        <w:rPr>
          <w:rFonts w:ascii="Times New Roman" w:hAnsi="Times New Roman" w:cs="Times New Roman" w:eastAsia="Times New Roman" w:hint="default"/>
          <w:spacing w:val="-8"/>
        </w:rPr>
        <w:t> </w:t>
      </w:r>
      <w:r>
        <w:rPr/>
        <w:t>元的价格转让给江苏海鑫投资有限公司。转让后， 公司将不再持有中晟智源的股权。以上具体内容请详见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日在中国证监会指定的创业板信息披露网站公告。</w:t>
      </w:r>
    </w:p>
    <w:p>
      <w:pPr>
        <w:pStyle w:val="BodyText"/>
        <w:spacing w:line="240" w:lineRule="auto" w:before="9"/>
        <w:ind w:left="153" w:right="9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日发布了《关于维护公司股价稳定方案的公告》。</w:t>
      </w:r>
    </w:p>
    <w:p>
      <w:pPr>
        <w:pStyle w:val="BodyText"/>
        <w:spacing w:line="300" w:lineRule="auto" w:before="62"/>
        <w:ind w:left="153" w:right="90" w:firstLine="288"/>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15</w:t>
      </w:r>
      <w:r>
        <w:rPr>
          <w:spacing w:val="-1"/>
        </w:rPr>
        <w:t>日，公司实际控制人之一周红卫通过深圳证券交易所证券交易系统在二级市场买入增持公司股票</w:t>
      </w:r>
      <w:r>
        <w:rPr>
          <w:rFonts w:ascii="Times New Roman" w:hAnsi="Times New Roman" w:cs="Times New Roman" w:eastAsia="Times New Roman" w:hint="default"/>
          <w:spacing w:val="-1"/>
        </w:rPr>
        <w:t>100,000</w:t>
      </w:r>
      <w:r>
        <w:rPr>
          <w:spacing w:val="-1"/>
        </w:rPr>
        <w:t>股，</w:t>
      </w:r>
      <w:r>
        <w:rPr/>
        <w:t> 占公司总股本的</w:t>
      </w:r>
      <w:r>
        <w:rPr>
          <w:rFonts w:ascii="Times New Roman" w:hAnsi="Times New Roman" w:cs="Times New Roman" w:eastAsia="Times New Roman" w:hint="default"/>
        </w:rPr>
        <w:t>0.0351%</w:t>
      </w:r>
      <w:r>
        <w:rPr/>
        <w:t>，成交均价为</w:t>
      </w:r>
      <w:r>
        <w:rPr>
          <w:rFonts w:ascii="Times New Roman" w:hAnsi="Times New Roman" w:cs="Times New Roman" w:eastAsia="Times New Roman" w:hint="default"/>
        </w:rPr>
        <w:t>44.57</w:t>
      </w:r>
      <w:r>
        <w:rPr/>
        <w:t>元</w:t>
      </w:r>
      <w:r>
        <w:rPr>
          <w:rFonts w:ascii="Times New Roman" w:hAnsi="Times New Roman" w:cs="Times New Roman" w:eastAsia="Times New Roman" w:hint="default"/>
        </w:rPr>
        <w:t>/</w:t>
      </w:r>
      <w:r>
        <w:rPr/>
        <w:t>股，增持金额</w:t>
      </w:r>
      <w:r>
        <w:rPr>
          <w:rFonts w:ascii="Times New Roman" w:hAnsi="Times New Roman" w:cs="Times New Roman" w:eastAsia="Times New Roman" w:hint="default"/>
        </w:rPr>
        <w:t>4,457,000</w:t>
      </w:r>
      <w:r>
        <w:rPr/>
        <w:t>元。</w:t>
      </w:r>
    </w:p>
    <w:p>
      <w:pPr>
        <w:pStyle w:val="BodyText"/>
        <w:spacing w:line="300" w:lineRule="auto" w:before="13"/>
        <w:ind w:left="153" w:right="184"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日，公司实际控制人之一周红卫通过深圳证券交易所证券交易系统在二级市场以</w:t>
      </w:r>
      <w:r>
        <w:rPr>
          <w:rFonts w:ascii="Times New Roman" w:hAnsi="Times New Roman" w:cs="Times New Roman" w:eastAsia="Times New Roman" w:hint="default"/>
        </w:rPr>
        <w:t>4,533,870</w:t>
      </w:r>
      <w:r>
        <w:rPr/>
        <w:t>元自筹资金增持 </w:t>
      </w:r>
      <w:r>
        <w:rPr>
          <w:spacing w:val="-1"/>
        </w:rPr>
        <w:t>公司股份</w:t>
      </w:r>
      <w:r>
        <w:rPr>
          <w:rFonts w:ascii="Times New Roman" w:hAnsi="Times New Roman" w:cs="Times New Roman" w:eastAsia="Times New Roman" w:hint="default"/>
          <w:spacing w:val="-1"/>
        </w:rPr>
        <w:t>107,000</w:t>
      </w:r>
      <w:r>
        <w:rPr>
          <w:spacing w:val="-1"/>
        </w:rPr>
        <w:t>股，占公司总股本的</w:t>
      </w:r>
      <w:r>
        <w:rPr>
          <w:rFonts w:ascii="Times New Roman" w:hAnsi="Times New Roman" w:cs="Times New Roman" w:eastAsia="Times New Roman" w:hint="default"/>
          <w:spacing w:val="-1"/>
        </w:rPr>
        <w:t>0.0376%</w:t>
      </w:r>
      <w:r>
        <w:rPr>
          <w:spacing w:val="-1"/>
        </w:rPr>
        <w:t>；公司实际控制人之一姚宁先生于通过深圳证券交易所证券交易系统在二级市</w:t>
      </w:r>
      <w:r>
        <w:rPr/>
        <w:t> 场以</w:t>
      </w:r>
      <w:r>
        <w:rPr>
          <w:rFonts w:ascii="Times New Roman" w:hAnsi="Times New Roman" w:cs="Times New Roman" w:eastAsia="Times New Roman" w:hint="default"/>
        </w:rPr>
        <w:t>4,496,879</w:t>
      </w:r>
      <w:r>
        <w:rPr/>
        <w:t>元自筹资金增持公司股份</w:t>
      </w:r>
      <w:r>
        <w:rPr>
          <w:rFonts w:ascii="Times New Roman" w:hAnsi="Times New Roman" w:cs="Times New Roman" w:eastAsia="Times New Roman" w:hint="default"/>
        </w:rPr>
        <w:t>109,000</w:t>
      </w:r>
      <w:r>
        <w:rPr/>
        <w:t>股，占公司总股本的</w:t>
      </w:r>
      <w:r>
        <w:rPr>
          <w:rFonts w:ascii="Times New Roman" w:hAnsi="Times New Roman" w:cs="Times New Roman" w:eastAsia="Times New Roman" w:hint="default"/>
        </w:rPr>
        <w:t>0.0383%</w:t>
      </w:r>
      <w:r>
        <w:rPr/>
        <w:t>；公司持股</w:t>
      </w:r>
      <w:r>
        <w:rPr>
          <w:rFonts w:ascii="Times New Roman" w:hAnsi="Times New Roman" w:cs="Times New Roman" w:eastAsia="Times New Roman" w:hint="default"/>
        </w:rPr>
        <w:t>5%</w:t>
      </w:r>
      <w:r>
        <w:rPr/>
        <w:t>以上大股东王杰先生于通过深圳 证券交易所证券交易系统在二级市场以</w:t>
      </w:r>
      <w:r>
        <w:rPr>
          <w:rFonts w:ascii="Times New Roman" w:hAnsi="Times New Roman" w:cs="Times New Roman" w:eastAsia="Times New Roman" w:hint="default"/>
        </w:rPr>
        <w:t>10,016,564</w:t>
      </w:r>
      <w:r>
        <w:rPr/>
        <w:t>元自筹资金增持公司股份</w:t>
      </w:r>
      <w:r>
        <w:rPr>
          <w:rFonts w:ascii="Times New Roman" w:hAnsi="Times New Roman" w:cs="Times New Roman" w:eastAsia="Times New Roman" w:hint="default"/>
        </w:rPr>
        <w:t>240,000</w:t>
      </w:r>
      <w:r>
        <w:rPr/>
        <w:t>股，占公司总股本的</w:t>
      </w:r>
      <w:r>
        <w:rPr>
          <w:rFonts w:ascii="Times New Roman" w:hAnsi="Times New Roman" w:cs="Times New Roman" w:eastAsia="Times New Roman" w:hint="default"/>
        </w:rPr>
        <w:t>0.0843%</w:t>
      </w:r>
      <w:r>
        <w:rPr/>
        <w:t>。</w:t>
      </w:r>
    </w:p>
    <w:p>
      <w:pPr>
        <w:pStyle w:val="BodyText"/>
        <w:spacing w:line="300" w:lineRule="auto" w:before="13"/>
        <w:ind w:left="153" w:right="220"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日，公司董监高及核心管理人员</w:t>
      </w:r>
      <w:r>
        <w:rPr>
          <w:rFonts w:ascii="Times New Roman" w:hAnsi="Times New Roman" w:cs="Times New Roman" w:eastAsia="Times New Roman" w:hint="default"/>
        </w:rPr>
        <w:t>8</w:t>
      </w:r>
      <w:r>
        <w:rPr/>
        <w:t>人通过以</w:t>
      </w:r>
      <w:r>
        <w:rPr>
          <w:rFonts w:ascii="Times New Roman" w:hAnsi="Times New Roman" w:cs="Times New Roman" w:eastAsia="Times New Roman" w:hint="default"/>
        </w:rPr>
        <w:t>6,701,454.08</w:t>
      </w:r>
      <w:r>
        <w:rPr/>
        <w:t>元自筹资金认购道通期货经纪有限公司成立的</w:t>
      </w:r>
      <w:r>
        <w:rPr>
          <w:rFonts w:ascii="Times New Roman" w:hAnsi="Times New Roman" w:cs="Times New Roman" w:eastAsia="Times New Roman" w:hint="default"/>
        </w:rPr>
        <w:t>“</w:t>
      </w:r>
      <w:r>
        <w:rPr/>
        <w:t>道通 润丰</w:t>
      </w:r>
      <w:r>
        <w:rPr>
          <w:rFonts w:ascii="Times New Roman" w:hAnsi="Times New Roman" w:cs="Times New Roman" w:eastAsia="Times New Roman" w:hint="default"/>
        </w:rPr>
        <w:t>1</w:t>
      </w:r>
      <w:r>
        <w:rPr/>
        <w:t>号资产管理计划</w:t>
      </w:r>
      <w:r>
        <w:rPr>
          <w:rFonts w:ascii="Times New Roman" w:hAnsi="Times New Roman" w:cs="Times New Roman" w:eastAsia="Times New Roman" w:hint="default"/>
        </w:rPr>
        <w:t>”</w:t>
      </w:r>
      <w:r>
        <w:rPr/>
        <w:t>增持公司股份共计</w:t>
      </w:r>
      <w:r>
        <w:rPr>
          <w:rFonts w:ascii="Times New Roman" w:hAnsi="Times New Roman" w:cs="Times New Roman" w:eastAsia="Times New Roman" w:hint="default"/>
        </w:rPr>
        <w:t>247,040</w:t>
      </w:r>
      <w:r>
        <w:rPr/>
        <w:t>股，占公司总股本的</w:t>
      </w:r>
      <w:r>
        <w:rPr>
          <w:rFonts w:ascii="Times New Roman" w:hAnsi="Times New Roman" w:cs="Times New Roman" w:eastAsia="Times New Roman" w:hint="default"/>
        </w:rPr>
        <w:t>0.0994%</w:t>
      </w:r>
      <w:r>
        <w:rPr/>
        <w:t>。</w:t>
      </w:r>
    </w:p>
    <w:p>
      <w:pPr>
        <w:pStyle w:val="BodyText"/>
        <w:spacing w:line="300" w:lineRule="auto" w:before="13"/>
        <w:ind w:left="153" w:right="220"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日，公司董监高及核心管理人员</w:t>
      </w:r>
      <w:r>
        <w:rPr>
          <w:rFonts w:ascii="Times New Roman" w:hAnsi="Times New Roman" w:cs="Times New Roman" w:eastAsia="Times New Roman" w:hint="default"/>
        </w:rPr>
        <w:t>8</w:t>
      </w:r>
      <w:r>
        <w:rPr/>
        <w:t>人通过以</w:t>
      </w:r>
      <w:r>
        <w:rPr>
          <w:rFonts w:ascii="Times New Roman" w:hAnsi="Times New Roman" w:cs="Times New Roman" w:eastAsia="Times New Roman" w:hint="default"/>
        </w:rPr>
        <w:t>7,564,693.50</w:t>
      </w:r>
      <w:r>
        <w:rPr/>
        <w:t>元自筹资金认购道通期货经纪有限公司成立的</w:t>
      </w:r>
      <w:r>
        <w:rPr>
          <w:rFonts w:ascii="Times New Roman" w:hAnsi="Times New Roman" w:cs="Times New Roman" w:eastAsia="Times New Roman" w:hint="default"/>
        </w:rPr>
        <w:t>“</w:t>
      </w:r>
      <w:r>
        <w:rPr/>
        <w:t>道通 润丰</w:t>
      </w:r>
      <w:r>
        <w:rPr>
          <w:rFonts w:ascii="Times New Roman" w:hAnsi="Times New Roman" w:cs="Times New Roman" w:eastAsia="Times New Roman" w:hint="default"/>
        </w:rPr>
        <w:t>1</w:t>
      </w:r>
      <w:r>
        <w:rPr/>
        <w:t>号资产管理计划</w:t>
      </w:r>
      <w:r>
        <w:rPr>
          <w:rFonts w:ascii="Times New Roman" w:hAnsi="Times New Roman" w:cs="Times New Roman" w:eastAsia="Times New Roman" w:hint="default"/>
        </w:rPr>
        <w:t>”</w:t>
      </w:r>
      <w:r>
        <w:rPr/>
        <w:t>增持公司股份共计</w:t>
      </w:r>
      <w:r>
        <w:rPr>
          <w:rFonts w:ascii="Times New Roman" w:hAnsi="Times New Roman" w:cs="Times New Roman" w:eastAsia="Times New Roman" w:hint="default"/>
        </w:rPr>
        <w:t>253,500</w:t>
      </w:r>
      <w:r>
        <w:rPr/>
        <w:t>股，占公司总股本的</w:t>
      </w:r>
      <w:r>
        <w:rPr>
          <w:rFonts w:ascii="Times New Roman" w:hAnsi="Times New Roman" w:cs="Times New Roman" w:eastAsia="Times New Roman" w:hint="default"/>
        </w:rPr>
        <w:t>0.1020%</w:t>
      </w:r>
      <w:r>
        <w:rPr/>
        <w:t>。</w:t>
      </w:r>
    </w:p>
    <w:p>
      <w:pPr>
        <w:pStyle w:val="BodyText"/>
        <w:spacing w:line="300" w:lineRule="auto" w:before="13"/>
        <w:ind w:left="153" w:right="90" w:firstLine="288"/>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日，公司董监高及核心管理人员</w:t>
      </w:r>
      <w:r>
        <w:rPr>
          <w:rFonts w:ascii="Times New Roman" w:hAnsi="Times New Roman" w:cs="Times New Roman" w:eastAsia="Times New Roman" w:hint="default"/>
          <w:spacing w:val="-1"/>
        </w:rPr>
        <w:t>8</w:t>
      </w:r>
      <w:r>
        <w:rPr>
          <w:spacing w:val="-1"/>
        </w:rPr>
        <w:t>人通过以</w:t>
      </w:r>
      <w:r>
        <w:rPr>
          <w:rFonts w:ascii="Times New Roman" w:hAnsi="Times New Roman" w:cs="Times New Roman" w:eastAsia="Times New Roman" w:hint="default"/>
          <w:spacing w:val="-1"/>
        </w:rPr>
        <w:t>4,998,096.80</w:t>
      </w:r>
      <w:r>
        <w:rPr>
          <w:spacing w:val="-1"/>
        </w:rPr>
        <w:t>元自筹资金认购道通期货经纪有限公司成立的</w:t>
      </w:r>
      <w:r>
        <w:rPr>
          <w:rFonts w:ascii="Times New Roman" w:hAnsi="Times New Roman" w:cs="Times New Roman" w:eastAsia="Times New Roman" w:hint="default"/>
          <w:spacing w:val="-1"/>
        </w:rPr>
        <w:t>“</w:t>
      </w:r>
      <w:r>
        <w:rPr>
          <w:spacing w:val="-1"/>
        </w:rPr>
        <w:t>道通润</w:t>
      </w:r>
      <w:r>
        <w:rPr/>
        <w:t> 丰</w:t>
      </w:r>
      <w:r>
        <w:rPr>
          <w:rFonts w:ascii="Times New Roman" w:hAnsi="Times New Roman" w:cs="Times New Roman" w:eastAsia="Times New Roman" w:hint="default"/>
        </w:rPr>
        <w:t>1</w:t>
      </w:r>
      <w:r>
        <w:rPr/>
        <w:t>号资产管理计划</w:t>
      </w:r>
      <w:r>
        <w:rPr>
          <w:rFonts w:ascii="Times New Roman" w:hAnsi="Times New Roman" w:cs="Times New Roman" w:eastAsia="Times New Roman" w:hint="default"/>
        </w:rPr>
        <w:t>”</w:t>
      </w:r>
      <w:r>
        <w:rPr/>
        <w:t>增持公司股份共计</w:t>
      </w:r>
      <w:r>
        <w:rPr>
          <w:rFonts w:ascii="Times New Roman" w:hAnsi="Times New Roman" w:cs="Times New Roman" w:eastAsia="Times New Roman" w:hint="default"/>
        </w:rPr>
        <w:t>199,800</w:t>
      </w:r>
      <w:r>
        <w:rPr/>
        <w:t>股，占公司总股本的</w:t>
      </w:r>
      <w:r>
        <w:rPr>
          <w:rFonts w:ascii="Times New Roman" w:hAnsi="Times New Roman" w:cs="Times New Roman" w:eastAsia="Times New Roman" w:hint="default"/>
        </w:rPr>
        <w:t>0.0702%</w:t>
      </w:r>
      <w:r>
        <w:rPr/>
        <w:t>。</w:t>
      </w:r>
    </w:p>
    <w:p>
      <w:pPr>
        <w:pStyle w:val="BodyText"/>
        <w:spacing w:line="300" w:lineRule="auto" w:before="13"/>
        <w:ind w:left="153" w:right="220"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日，公司董监高及核心管理人员</w:t>
      </w:r>
      <w:r>
        <w:rPr>
          <w:rFonts w:ascii="Times New Roman" w:hAnsi="Times New Roman" w:cs="Times New Roman" w:eastAsia="Times New Roman" w:hint="default"/>
        </w:rPr>
        <w:t>8</w:t>
      </w:r>
      <w:r>
        <w:rPr/>
        <w:t>人通过以</w:t>
      </w:r>
      <w:r>
        <w:rPr>
          <w:rFonts w:ascii="Times New Roman" w:hAnsi="Times New Roman" w:cs="Times New Roman" w:eastAsia="Times New Roman" w:hint="default"/>
        </w:rPr>
        <w:t>2,597,753.00</w:t>
      </w:r>
      <w:r>
        <w:rPr/>
        <w:t>元自筹资金认购道通期货经纪有限公司成立的</w:t>
      </w:r>
      <w:r>
        <w:rPr>
          <w:rFonts w:ascii="Times New Roman" w:hAnsi="Times New Roman" w:cs="Times New Roman" w:eastAsia="Times New Roman" w:hint="default"/>
        </w:rPr>
        <w:t>“</w:t>
      </w:r>
      <w:r>
        <w:rPr/>
        <w:t>道通 润丰</w:t>
      </w:r>
      <w:r>
        <w:rPr>
          <w:rFonts w:ascii="Times New Roman" w:hAnsi="Times New Roman" w:cs="Times New Roman" w:eastAsia="Times New Roman" w:hint="default"/>
        </w:rPr>
        <w:t>1</w:t>
      </w:r>
      <w:r>
        <w:rPr/>
        <w:t>号资产管理计划</w:t>
      </w:r>
      <w:r>
        <w:rPr>
          <w:rFonts w:ascii="Times New Roman" w:hAnsi="Times New Roman" w:cs="Times New Roman" w:eastAsia="Times New Roman" w:hint="default"/>
        </w:rPr>
        <w:t>”</w:t>
      </w:r>
      <w:r>
        <w:rPr/>
        <w:t>增持公司股份共计</w:t>
      </w:r>
      <w:r>
        <w:rPr>
          <w:rFonts w:ascii="Times New Roman" w:hAnsi="Times New Roman" w:cs="Times New Roman" w:eastAsia="Times New Roman" w:hint="default"/>
        </w:rPr>
        <w:t>89,900</w:t>
      </w:r>
      <w:r>
        <w:rPr/>
        <w:t>股，占公司总股本的</w:t>
      </w:r>
      <w:r>
        <w:rPr>
          <w:rFonts w:ascii="Times New Roman" w:hAnsi="Times New Roman" w:cs="Times New Roman" w:eastAsia="Times New Roman" w:hint="default"/>
        </w:rPr>
        <w:t>0.0316%</w:t>
      </w:r>
      <w:r>
        <w:rPr/>
        <w:t>。</w:t>
      </w:r>
    </w:p>
    <w:p>
      <w:pPr>
        <w:pStyle w:val="BodyText"/>
        <w:spacing w:line="300" w:lineRule="auto" w:before="13"/>
        <w:ind w:left="153" w:right="220"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日，公司董监高及核心管理人员</w:t>
      </w:r>
      <w:r>
        <w:rPr>
          <w:rFonts w:ascii="Times New Roman" w:hAnsi="Times New Roman" w:cs="Times New Roman" w:eastAsia="Times New Roman" w:hint="default"/>
        </w:rPr>
        <w:t>8</w:t>
      </w:r>
      <w:r>
        <w:rPr/>
        <w:t>人通过以</w:t>
      </w:r>
      <w:r>
        <w:rPr>
          <w:rFonts w:ascii="Times New Roman" w:hAnsi="Times New Roman" w:cs="Times New Roman" w:eastAsia="Times New Roman" w:hint="default"/>
        </w:rPr>
        <w:t>2,699,918.00</w:t>
      </w:r>
      <w:r>
        <w:rPr/>
        <w:t>元自筹资金认购道通期货经纪有限公司成立的</w:t>
      </w:r>
      <w:r>
        <w:rPr>
          <w:rFonts w:ascii="Times New Roman" w:hAnsi="Times New Roman" w:cs="Times New Roman" w:eastAsia="Times New Roman" w:hint="default"/>
        </w:rPr>
        <w:t>“</w:t>
      </w:r>
      <w:r>
        <w:rPr/>
        <w:t>道通 润丰</w:t>
      </w:r>
      <w:r>
        <w:rPr>
          <w:rFonts w:ascii="Times New Roman" w:hAnsi="Times New Roman" w:cs="Times New Roman" w:eastAsia="Times New Roman" w:hint="default"/>
        </w:rPr>
        <w:t>1</w:t>
      </w:r>
      <w:r>
        <w:rPr/>
        <w:t>号资产管理计划</w:t>
      </w:r>
      <w:r>
        <w:rPr>
          <w:rFonts w:ascii="Times New Roman" w:hAnsi="Times New Roman" w:cs="Times New Roman" w:eastAsia="Times New Roman" w:hint="default"/>
        </w:rPr>
        <w:t>”</w:t>
      </w:r>
      <w:r>
        <w:rPr/>
        <w:t>增持公司股份共计</w:t>
      </w:r>
      <w:r>
        <w:rPr>
          <w:rFonts w:ascii="Times New Roman" w:hAnsi="Times New Roman" w:cs="Times New Roman" w:eastAsia="Times New Roman" w:hint="default"/>
        </w:rPr>
        <w:t>109,200</w:t>
      </w:r>
      <w:r>
        <w:rPr/>
        <w:t>股，占公司总股本的</w:t>
      </w:r>
      <w:r>
        <w:rPr>
          <w:rFonts w:ascii="Times New Roman" w:hAnsi="Times New Roman" w:cs="Times New Roman" w:eastAsia="Times New Roman" w:hint="default"/>
        </w:rPr>
        <w:t>0.0384%</w:t>
      </w:r>
      <w:r>
        <w:rPr/>
        <w:t>。</w:t>
      </w:r>
    </w:p>
    <w:p>
      <w:pPr>
        <w:pStyle w:val="BodyText"/>
        <w:spacing w:line="300" w:lineRule="auto" w:before="13"/>
        <w:ind w:left="153" w:right="220"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日，公司董监高及核心管理人员</w:t>
      </w:r>
      <w:r>
        <w:rPr>
          <w:rFonts w:ascii="Times New Roman" w:hAnsi="Times New Roman" w:cs="Times New Roman" w:eastAsia="Times New Roman" w:hint="default"/>
        </w:rPr>
        <w:t>8</w:t>
      </w:r>
      <w:r>
        <w:rPr/>
        <w:t>人通过以</w:t>
      </w:r>
      <w:r>
        <w:rPr>
          <w:rFonts w:ascii="Times New Roman" w:hAnsi="Times New Roman" w:cs="Times New Roman" w:eastAsia="Times New Roman" w:hint="default"/>
        </w:rPr>
        <w:t>5,434,965.00</w:t>
      </w:r>
      <w:r>
        <w:rPr/>
        <w:t>元自筹资金认购道通期货经纪有限公司成立的</w:t>
      </w:r>
      <w:r>
        <w:rPr>
          <w:rFonts w:ascii="Times New Roman" w:hAnsi="Times New Roman" w:cs="Times New Roman" w:eastAsia="Times New Roman" w:hint="default"/>
        </w:rPr>
        <w:t>“</w:t>
      </w:r>
      <w:r>
        <w:rPr/>
        <w:t>道通 润丰</w:t>
      </w:r>
      <w:r>
        <w:rPr>
          <w:rFonts w:ascii="Times New Roman" w:hAnsi="Times New Roman" w:cs="Times New Roman" w:eastAsia="Times New Roman" w:hint="default"/>
        </w:rPr>
        <w:t>1</w:t>
      </w:r>
      <w:r>
        <w:rPr/>
        <w:t>号资产管理计划</w:t>
      </w:r>
      <w:r>
        <w:rPr>
          <w:rFonts w:ascii="Times New Roman" w:hAnsi="Times New Roman" w:cs="Times New Roman" w:eastAsia="Times New Roman" w:hint="default"/>
        </w:rPr>
        <w:t>”</w:t>
      </w:r>
      <w:r>
        <w:rPr/>
        <w:t>增持公司股份共计</w:t>
      </w:r>
      <w:r>
        <w:rPr>
          <w:rFonts w:ascii="Times New Roman" w:hAnsi="Times New Roman" w:cs="Times New Roman" w:eastAsia="Times New Roman" w:hint="default"/>
        </w:rPr>
        <w:t>170,600</w:t>
      </w:r>
      <w:r>
        <w:rPr/>
        <w:t>股，占公司总股本的</w:t>
      </w:r>
      <w:r>
        <w:rPr>
          <w:rFonts w:ascii="Times New Roman" w:hAnsi="Times New Roman" w:cs="Times New Roman" w:eastAsia="Times New Roman" w:hint="default"/>
        </w:rPr>
        <w:t>0.0599%</w:t>
      </w:r>
      <w:r>
        <w:rPr/>
        <w:t>。</w:t>
      </w:r>
    </w:p>
    <w:p>
      <w:pPr>
        <w:pStyle w:val="BodyText"/>
        <w:spacing w:line="316" w:lineRule="auto" w:before="13"/>
        <w:ind w:left="441" w:right="255"/>
        <w:jc w:val="left"/>
        <w:rPr>
          <w:rFonts w:ascii="Times New Roman" w:hAnsi="Times New Roman" w:cs="Times New Roman" w:eastAsia="Times New Roman" w:hint="default"/>
        </w:rPr>
      </w:pPr>
      <w:r>
        <w:rPr/>
        <w:t>截至报告期，公司《关于维护公司股价稳定方案的公告》中的增持承诺已履行完毕。 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p>
    <w:p>
      <w:pPr>
        <w:pStyle w:val="BodyText"/>
        <w:spacing w:line="248" w:lineRule="exact"/>
        <w:ind w:left="153" w:right="90"/>
        <w:jc w:val="left"/>
      </w:pP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日在中国证监会指定的创业板信息披露网站公告。</w:t>
      </w:r>
    </w:p>
    <w:p>
      <w:pPr>
        <w:pStyle w:val="BodyText"/>
        <w:spacing w:line="300" w:lineRule="auto" w:before="62"/>
        <w:ind w:left="154" w:right="161" w:hanging="1"/>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22"/>
        </w:rPr>
        <w:t> </w:t>
      </w:r>
      <w:r>
        <w:rPr/>
        <w:t>公司因筹划重大资产重组事项自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日开市起停牌。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日，公司召开第四届董事会第二十八次会议， </w:t>
      </w:r>
      <w:r>
        <w:rPr>
          <w:spacing w:val="-2"/>
        </w:rPr>
        <w:t>审议并通过了本次重大资产重组事项的相关议案，公司已于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日开市起复牌。本次重大资产重组事项已获</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5"/>
        </w:rPr>
        <w:t> </w:t>
      </w:r>
      <w:r>
        <w:rPr/>
        <w:t>月</w:t>
      </w:r>
      <w:r>
        <w:rPr>
          <w:rFonts w:ascii="Times New Roman" w:hAnsi="Times New Roman" w:cs="Times New Roman" w:eastAsia="Times New Roman" w:hint="default"/>
        </w:rPr>
        <w:t>8</w:t>
      </w:r>
      <w:r>
        <w:rPr/>
        <w:t>日召开的公司第二次临时股东大会审议通过，并获中国证监会上市公司并购重组委员会</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59</w:t>
      </w:r>
      <w:r>
        <w:rPr/>
        <w:t>次工作会议无条件通</w:t>
      </w:r>
      <w:r>
        <w:rPr>
          <w:spacing w:val="-87"/>
        </w:rPr>
        <w:t> </w:t>
      </w:r>
      <w:r>
        <w:rPr>
          <w:spacing w:val="-2"/>
        </w:rPr>
        <w:t>过核准。公司于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日收到《关于核准江苏润和软件股份有限公司向宁波宏创股权投资合伙企业（有限合伙）发行股</w:t>
      </w:r>
      <w:r>
        <w:rPr>
          <w:spacing w:val="-61"/>
        </w:rPr>
        <w:t> </w:t>
      </w:r>
      <w:r>
        <w:rPr>
          <w:spacing w:val="-61"/>
        </w:rPr>
      </w:r>
      <w:r>
        <w:rPr/>
        <w:t>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[2015]1856</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。联创智融于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日完成了标的资产过户的相关工商 </w:t>
      </w:r>
      <w:r>
        <w:rPr>
          <w:spacing w:val="-2"/>
        </w:rPr>
        <w:t>变更登记手续。公司新增股份</w:t>
      </w:r>
      <w:r>
        <w:rPr>
          <w:rFonts w:ascii="Times New Roman" w:hAnsi="Times New Roman" w:cs="Times New Roman" w:eastAsia="Times New Roman" w:hint="default"/>
          <w:spacing w:val="-2"/>
        </w:rPr>
        <w:t>72,664,076</w:t>
      </w:r>
      <w:r>
        <w:rPr>
          <w:spacing w:val="-2"/>
        </w:rPr>
        <w:t>股已于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日在中国证券登记结算有限责任公司深圳分公司办理完毕股份登</w:t>
      </w:r>
      <w:r>
        <w:rPr>
          <w:spacing w:val="-56"/>
        </w:rPr>
        <w:t> </w:t>
      </w:r>
      <w:r>
        <w:rPr>
          <w:spacing w:val="-56"/>
        </w:rPr>
      </w:r>
      <w:r>
        <w:rPr/>
        <w:t>记申请手续，并已于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日上市。</w:t>
      </w:r>
    </w:p>
    <w:p>
      <w:pPr>
        <w:pStyle w:val="BodyText"/>
        <w:spacing w:line="300" w:lineRule="auto" w:before="15"/>
        <w:ind w:left="153" w:right="90" w:firstLine="287"/>
        <w:jc w:val="left"/>
      </w:pPr>
      <w:r>
        <w:rPr>
          <w:spacing w:val="-2"/>
        </w:rPr>
        <w:t>以上具体内容请详见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w:t>
      </w:r>
      <w:r>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日在中国证监会指定的创业板信息披露网站公告。</w:t>
      </w:r>
    </w:p>
    <w:p>
      <w:pPr>
        <w:pStyle w:val="BodyText"/>
        <w:spacing w:line="240" w:lineRule="auto" w:before="13"/>
        <w:ind w:left="153"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日，公司首发前限售股</w:t>
      </w:r>
      <w:r>
        <w:rPr>
          <w:rFonts w:ascii="Times New Roman" w:hAnsi="Times New Roman" w:cs="Times New Roman" w:eastAsia="Times New Roman" w:hint="default"/>
        </w:rPr>
        <w:t>92,583,000</w:t>
      </w:r>
      <w:r>
        <w:rPr/>
        <w:t>股解除限售。本次申请解除股份限售的股东人数为</w:t>
      </w:r>
      <w:r>
        <w:rPr>
          <w:rFonts w:ascii="Times New Roman" w:hAnsi="Times New Roman" w:cs="Times New Roman" w:eastAsia="Times New Roman" w:hint="default"/>
        </w:rPr>
        <w:t>3</w:t>
      </w:r>
      <w:r>
        <w:rPr/>
        <w:t>人，分别为润和投资、</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90" w:hanging="1"/>
        <w:jc w:val="left"/>
      </w:pPr>
      <w:r>
        <w:rPr>
          <w:spacing w:val="-1"/>
        </w:rPr>
        <w:t>周红卫、姚宁，解除限售股份数量共计</w:t>
      </w:r>
      <w:r>
        <w:rPr>
          <w:rFonts w:ascii="Times New Roman" w:hAnsi="Times New Roman" w:cs="Times New Roman" w:eastAsia="Times New Roman" w:hint="default"/>
          <w:spacing w:val="-1"/>
        </w:rPr>
        <w:t>92,583,000</w:t>
      </w:r>
      <w:r>
        <w:rPr>
          <w:spacing w:val="-1"/>
        </w:rPr>
        <w:t>股，占公司股本总额的</w:t>
      </w:r>
      <w:r>
        <w:rPr>
          <w:rFonts w:ascii="Times New Roman" w:hAnsi="Times New Roman" w:cs="Times New Roman" w:eastAsia="Times New Roman" w:hint="default"/>
          <w:spacing w:val="-1"/>
        </w:rPr>
        <w:t>25.91%</w:t>
      </w:r>
      <w:r>
        <w:rPr>
          <w:spacing w:val="-1"/>
        </w:rPr>
        <w:t>。以上具体内容请详见</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9</w:t>
      </w:r>
      <w:r>
        <w:rPr>
          <w:spacing w:val="-1"/>
        </w:rPr>
        <w:t>日在中国</w:t>
      </w:r>
      <w:r>
        <w:rPr>
          <w:spacing w:val="-41"/>
        </w:rPr>
        <w:t> </w:t>
      </w:r>
      <w:r>
        <w:rPr>
          <w:spacing w:val="-41"/>
        </w:rPr>
      </w:r>
      <w:r>
        <w:rPr/>
        <w:t>证监会指定的创业板信息披露网站公告。</w:t>
      </w:r>
    </w:p>
    <w:p>
      <w:pPr>
        <w:pStyle w:val="BodyText"/>
        <w:spacing w:line="300" w:lineRule="auto" w:before="31"/>
        <w:ind w:right="90"/>
        <w:jc w:val="left"/>
      </w:pPr>
      <w:r>
        <w:rPr>
          <w:rFonts w:ascii="Times New Roman" w:hAnsi="Times New Roman" w:cs="Times New Roman" w:eastAsia="Times New Roman" w:hint="default"/>
        </w:rPr>
        <w:t>12.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日，公司收到董事黄维江先生提交的书面辞职报告。黄维江先生因个人原因请求辞去公司董事职务，辞职报</w:t>
      </w:r>
      <w:r>
        <w:rPr>
          <w:spacing w:val="-64"/>
        </w:rPr>
        <w:t> </w:t>
      </w:r>
      <w:r>
        <w:rPr>
          <w:spacing w:val="-64"/>
        </w:rPr>
      </w:r>
      <w:r>
        <w:rPr/>
        <w:t>告自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日送达公司董事会时起生效，辞职务后将不再担任公司任何职务。</w:t>
      </w:r>
    </w:p>
    <w:p>
      <w:pPr>
        <w:pStyle w:val="BodyText"/>
        <w:spacing w:line="300" w:lineRule="auto" w:before="13"/>
        <w:ind w:right="184"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日，公司收到公司副董事长兼高级副总裁姚宁先生提交的书面辞职报告。姚宁先生因个人原因请求辞去公 司高级副总裁职务，辞职报告自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日送达公司董事会时起生效。姚宁先生在辞去高级副总裁职务后，将继续担任 公司副董事长职务。</w:t>
      </w:r>
    </w:p>
    <w:p>
      <w:pPr>
        <w:pStyle w:val="BodyText"/>
        <w:spacing w:line="240" w:lineRule="auto" w:before="31"/>
        <w:ind w:left="368" w:right="90"/>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日在中国证监会指定的创业板信息披露网站公告。</w:t>
      </w:r>
    </w:p>
    <w:p>
      <w:pPr>
        <w:pStyle w:val="BodyText"/>
        <w:spacing w:line="300" w:lineRule="auto" w:before="62"/>
        <w:ind w:right="145"/>
        <w:jc w:val="both"/>
      </w:pPr>
      <w:r>
        <w:rPr>
          <w:rFonts w:ascii="Times New Roman" w:hAnsi="Times New Roman" w:cs="Times New Roman" w:eastAsia="Times New Roman" w:hint="default"/>
        </w:rPr>
        <w:t>13. </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8</w:t>
      </w:r>
      <w:r>
        <w:rPr>
          <w:spacing w:val="-4"/>
        </w:rPr>
        <w:t>日，公司召开第四届董事会第三十四次会议，审议通过了《关于选举公司第四届董事会非独立董事的议案》，</w:t>
      </w:r>
      <w:r>
        <w:rPr>
          <w:spacing w:val="-81"/>
        </w:rPr>
        <w:t> </w:t>
      </w:r>
      <w:r>
        <w:rPr>
          <w:spacing w:val="-81"/>
        </w:rPr>
      </w:r>
      <w:r>
        <w:rPr>
          <w:spacing w:val="-2"/>
        </w:rPr>
        <w:t>同意选举周帮建先生为公司第四届董事会董事。独立董事就上述事项发表了一致同意的独立意见。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日，公司召</w:t>
      </w:r>
      <w:r>
        <w:rPr>
          <w:spacing w:val="-62"/>
        </w:rPr>
        <w:t> </w:t>
      </w:r>
      <w:r>
        <w:rPr>
          <w:spacing w:val="-62"/>
        </w:rPr>
      </w:r>
      <w:r>
        <w:rPr/>
        <w:t>开</w:t>
      </w:r>
      <w:r>
        <w:rPr>
          <w:rFonts w:ascii="Times New Roman" w:hAnsi="Times New Roman" w:cs="Times New Roman" w:eastAsia="Times New Roman" w:hint="default"/>
        </w:rPr>
        <w:t>2015</w:t>
      </w:r>
      <w:r>
        <w:rPr/>
        <w:t>年第四次临时股东大会，审议通过了上述事项。</w:t>
      </w:r>
    </w:p>
    <w:p>
      <w:pPr>
        <w:pStyle w:val="BodyText"/>
        <w:spacing w:line="309" w:lineRule="auto" w:before="13"/>
        <w:ind w:right="193" w:firstLine="216"/>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8</w:t>
      </w:r>
      <w:r>
        <w:rPr>
          <w:spacing w:val="-1"/>
        </w:rPr>
        <w:t>日，公司召开第四届董事会第三十四次会议，审议通过了《关于聘任公司高级副总裁的议案》，同意聘任陈</w:t>
      </w:r>
      <w:r>
        <w:rPr/>
        <w:t> </w:t>
      </w:r>
      <w:r>
        <w:rPr>
          <w:spacing w:val="-2"/>
        </w:rPr>
        <w:t>斌先生担任公司高级副总裁，任期自第四届董事会三十四次会议审议通过之日起至第四届董事会任期届满时止。独立董事就</w:t>
      </w:r>
      <w:r>
        <w:rPr>
          <w:spacing w:val="-64"/>
        </w:rPr>
        <w:t> </w:t>
      </w:r>
      <w:r>
        <w:rPr>
          <w:spacing w:val="-64"/>
        </w:rPr>
      </w:r>
      <w:r>
        <w:rPr/>
        <w:t>上述事项发表了一致同意的独立意见。</w:t>
      </w:r>
    </w:p>
    <w:p>
      <w:pPr>
        <w:pStyle w:val="BodyText"/>
        <w:spacing w:line="300" w:lineRule="auto" w:before="24"/>
        <w:ind w:right="184" w:firstLine="216"/>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日在中国证监会指定的创业板信息披露网站公告。 </w:t>
      </w:r>
      <w:r>
        <w:rPr>
          <w:rFonts w:ascii="Times New Roman" w:hAnsi="Times New Roman" w:cs="Times New Roman" w:eastAsia="Times New Roman" w:hint="default"/>
          <w:spacing w:val="-1"/>
        </w:rPr>
        <w:t>14.2015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日，公司召开的第四届董事会第三十八次会议审议通过了《关于公司收购上海云角信息技术有限公司部分股</w:t>
      </w:r>
      <w:r>
        <w:rPr>
          <w:spacing w:val="-73"/>
        </w:rPr>
        <w:t> </w:t>
      </w:r>
      <w:r>
        <w:rPr>
          <w:spacing w:val="-73"/>
        </w:rPr>
      </w:r>
      <w:r>
        <w:rPr/>
        <w:t>权并增资的议案》，独立董事发表了同意意见。以上具体内容请详见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日在中国证监会指定的创业板信息披露网 站公告。</w:t>
      </w:r>
    </w:p>
    <w:p>
      <w:pPr>
        <w:pStyle w:val="BodyText"/>
        <w:spacing w:line="300" w:lineRule="auto" w:before="31"/>
        <w:ind w:right="193"/>
        <w:jc w:val="both"/>
      </w:pP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日，公司收到南京市金融发展办公室下发的《中标通知书》，确定公司为主发起人的招投标团队在本次南 </w:t>
      </w:r>
      <w:r>
        <w:rPr>
          <w:spacing w:val="-2"/>
        </w:rPr>
        <w:t>京市互联网科技小额贷款公司招标活动中正式中标。以上具体内容请详见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日在中国证监会指定的创业板信息披</w:t>
      </w:r>
      <w:r>
        <w:rPr>
          <w:spacing w:val="-60"/>
        </w:rPr>
        <w:t> </w:t>
      </w:r>
      <w:r>
        <w:rPr>
          <w:spacing w:val="-60"/>
        </w:rPr>
      </w:r>
      <w:r>
        <w:rPr/>
        <w:t>露网站公告。</w:t>
      </w:r>
    </w:p>
    <w:p>
      <w:pPr>
        <w:pStyle w:val="BodyText"/>
        <w:spacing w:line="304" w:lineRule="auto" w:before="31"/>
        <w:ind w:right="184"/>
        <w:jc w:val="left"/>
      </w:pPr>
      <w:r>
        <w:rPr>
          <w:rFonts w:ascii="Times New Roman" w:hAnsi="Times New Roman" w:cs="Times New Roman" w:eastAsia="Times New Roman" w:hint="default"/>
        </w:rPr>
        <w:t>16.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日，公司召开第四届董事会第四十次会议，审议通过了《关于公司增资参股苏州博纳讯动软件有限公司的议</w:t>
      </w:r>
      <w:r>
        <w:rPr>
          <w:spacing w:val="-64"/>
        </w:rPr>
        <w:t> </w:t>
      </w:r>
      <w:r>
        <w:rPr>
          <w:spacing w:val="-64"/>
        </w:rPr>
      </w:r>
      <w:r>
        <w:rPr/>
        <w:t>案》。公司以自有资金共计</w:t>
      </w:r>
      <w:r>
        <w:rPr>
          <w:rFonts w:ascii="Times New Roman" w:hAnsi="Times New Roman" w:cs="Times New Roman" w:eastAsia="Times New Roman" w:hint="default"/>
        </w:rPr>
        <w:t>1,650</w:t>
      </w:r>
      <w:r>
        <w:rPr/>
        <w:t>万元人民币向博纳讯动增资。本次增资完成后，公司将持有博纳讯动</w:t>
      </w:r>
      <w:r>
        <w:rPr>
          <w:rFonts w:ascii="Times New Roman" w:hAnsi="Times New Roman" w:cs="Times New Roman" w:eastAsia="Times New Roman" w:hint="default"/>
        </w:rPr>
        <w:t>15%</w:t>
      </w:r>
      <w:r>
        <w:rPr/>
        <w:t>的股权，博纳讯 动成为公司的参股子公司。独立董事发表了同意意见。以上具体内容请详见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日在中国证监会指定的创业板信息 披露网站公告。 </w:t>
      </w:r>
      <w:r>
        <w:rPr>
          <w:rFonts w:ascii="Times New Roman" w:hAnsi="Times New Roman" w:cs="Times New Roman" w:eastAsia="Times New Roman" w:hint="default"/>
          <w:spacing w:val="-1"/>
        </w:rPr>
        <w:t>17.2016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w:t>
      </w:r>
      <w:r>
        <w:rPr>
          <w:spacing w:val="-1"/>
        </w:rPr>
        <w:t>日，公司与阿里云计算有限公司正式签订《战略合作框架协议》，建立金融行业战略合作伙伴关系。以上具</w:t>
      </w:r>
      <w:r>
        <w:rPr>
          <w:spacing w:val="-76"/>
        </w:rPr>
        <w:t> </w:t>
      </w:r>
      <w:r>
        <w:rPr>
          <w:spacing w:val="-76"/>
        </w:rPr>
      </w:r>
      <w:r>
        <w:rPr/>
        <w:t>体内容请详见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日在中国证监会指定的创业板信息披露网站公告。</w:t>
      </w:r>
    </w:p>
    <w:p>
      <w:pPr>
        <w:pStyle w:val="BodyText"/>
        <w:spacing w:line="300" w:lineRule="auto" w:before="9"/>
        <w:ind w:left="153" w:right="187" w:hanging="1"/>
        <w:jc w:val="left"/>
      </w:pP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日，公司召开第四届董事会第四十一次会议，审议通过了《关于公司参与发起设立互联网财产保险公司的议 案》。公司计划使用自有资金出资</w:t>
      </w:r>
      <w:r>
        <w:rPr>
          <w:rFonts w:ascii="Times New Roman" w:hAnsi="Times New Roman" w:cs="Times New Roman" w:eastAsia="Times New Roman" w:hint="default"/>
        </w:rPr>
        <w:t>1.5</w:t>
      </w:r>
      <w:r>
        <w:rPr/>
        <w:t>亿元人民币，参与发起设立新一站在线财产保险股份有限公司（暂定名）。新一站在 线财险公司注册资本拟定为</w:t>
      </w:r>
      <w:r>
        <w:rPr>
          <w:rFonts w:ascii="Times New Roman" w:hAnsi="Times New Roman" w:cs="Times New Roman" w:eastAsia="Times New Roman" w:hint="default"/>
        </w:rPr>
        <w:t>10</w:t>
      </w:r>
      <w:r>
        <w:rPr/>
        <w:t>亿元人民币，其中公司以货币出资</w:t>
      </w:r>
      <w:r>
        <w:rPr>
          <w:rFonts w:ascii="Times New Roman" w:hAnsi="Times New Roman" w:cs="Times New Roman" w:eastAsia="Times New Roman" w:hint="default"/>
        </w:rPr>
        <w:t>1.5</w:t>
      </w:r>
      <w:r>
        <w:rPr/>
        <w:t>亿元人民币，出资后公司拟占新一站在线财险公司注册 资本的</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日，公司召开</w:t>
      </w:r>
      <w:r>
        <w:rPr>
          <w:rFonts w:ascii="Times New Roman" w:hAnsi="Times New Roman" w:cs="Times New Roman" w:eastAsia="Times New Roman" w:hint="default"/>
        </w:rPr>
        <w:t>2016</w:t>
      </w:r>
      <w:r>
        <w:rPr/>
        <w:t>年第一次临时股东大会，审议通过了上述事项。以上具体内容请详见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1</w:t>
      </w:r>
      <w:r>
        <w:rPr/>
        <w:t>日和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日在中国证监会指定的创业板信息披露网站公告。</w:t>
      </w:r>
    </w:p>
    <w:p>
      <w:pPr>
        <w:pStyle w:val="BodyText"/>
        <w:spacing w:line="304" w:lineRule="auto" w:before="13"/>
        <w:ind w:left="153" w:right="90" w:hanging="1"/>
        <w:jc w:val="left"/>
      </w:pPr>
      <w:r>
        <w:rPr>
          <w:rFonts w:ascii="Times New Roman" w:hAnsi="Times New Roman" w:cs="Times New Roman" w:eastAsia="Times New Roman" w:hint="default"/>
        </w:rPr>
        <w:t>19.</w:t>
      </w:r>
      <w:r>
        <w:rPr>
          <w:rFonts w:ascii="Times New Roman" w:hAnsi="Times New Roman" w:cs="Times New Roman" w:eastAsia="Times New Roman" w:hint="default"/>
          <w:spacing w:val="17"/>
        </w:rPr>
        <w:t> </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日收到公司独立董事骆威先生提交的书面辞职报告。骆威先生因个人原因，申请辞去公司独立董事职 </w:t>
      </w:r>
      <w:r>
        <w:rPr>
          <w:spacing w:val="-2"/>
        </w:rPr>
        <w:t>务，辞职报告将在公司股东大会选举产生新任独立董事填补其空缺后生效。骆威先生辞职后将不在公司担任任何职务。以上</w:t>
      </w:r>
      <w:r>
        <w:rPr>
          <w:spacing w:val="-64"/>
        </w:rPr>
        <w:t> </w:t>
      </w:r>
      <w:r>
        <w:rPr>
          <w:spacing w:val="-64"/>
        </w:rPr>
      </w:r>
      <w:r>
        <w:rPr/>
        <w:t>具体内容请详见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日在中国证监会指定的创业板信息披露网站公告。 </w:t>
      </w:r>
      <w:r>
        <w:rPr>
          <w:rFonts w:ascii="Times New Roman" w:hAnsi="Times New Roman" w:cs="Times New Roman" w:eastAsia="Times New Roman" w:hint="default"/>
        </w:rPr>
        <w:t>20</w:t>
      </w:r>
      <w:r>
        <w:rPr/>
        <w:t>、鉴于公司第四届董事会、监事会任期届满，公司于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日召开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年第二次临时股东大会，审议通过了董事 </w:t>
      </w:r>
      <w:r>
        <w:rPr>
          <w:spacing w:val="-2"/>
        </w:rPr>
        <w:t>会、监事会换届选举的相关议案，并于同日下午召开第五届董事会第一次会议审议通过了聘任高级管理人员的相关议案。以</w:t>
      </w:r>
      <w:r>
        <w:rPr>
          <w:spacing w:val="-64"/>
        </w:rPr>
        <w:t> </w:t>
      </w:r>
      <w:r>
        <w:rPr>
          <w:spacing w:val="-64"/>
        </w:rPr>
      </w:r>
      <w:r>
        <w:rPr/>
        <w:t>上具体内容请详见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日在中国证监会指定的创业板信息披露网站公告。 </w:t>
      </w:r>
      <w:r>
        <w:rPr>
          <w:rFonts w:ascii="Times New Roman" w:hAnsi="Times New Roman" w:cs="Times New Roman" w:eastAsia="Times New Roman" w:hint="default"/>
        </w:rPr>
        <w:t>21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日，公司召开第五届董事会第二次会议审议通过了《关于变更公司注册资本并修改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 公司注册资本由人民币</w:t>
      </w:r>
      <w:r>
        <w:rPr>
          <w:rFonts w:ascii="Times New Roman" w:hAnsi="Times New Roman" w:cs="Times New Roman" w:eastAsia="Times New Roman" w:hint="default"/>
        </w:rPr>
        <w:t>35,709.5850</w:t>
      </w:r>
      <w:r>
        <w:rPr/>
        <w:t>万元变更为人民</w:t>
      </w:r>
      <w:r>
        <w:rPr>
          <w:spacing w:val="-24"/>
        </w:rPr>
        <w:t> </w:t>
      </w:r>
      <w:r>
        <w:rPr/>
        <w:t>币</w:t>
      </w:r>
      <w:r>
        <w:rPr>
          <w:rFonts w:ascii="Times New Roman" w:hAnsi="Times New Roman" w:cs="Times New Roman" w:eastAsia="Times New Roman" w:hint="default"/>
        </w:rPr>
        <w:t>35,810.1350</w:t>
      </w:r>
      <w:r>
        <w:rPr/>
        <w:t>万元，公司总股本由</w:t>
      </w:r>
      <w:r>
        <w:rPr>
          <w:rFonts w:ascii="Times New Roman" w:hAnsi="Times New Roman" w:cs="Times New Roman" w:eastAsia="Times New Roman" w:hint="default"/>
        </w:rPr>
        <w:t>35,709.5850</w:t>
      </w:r>
      <w:r>
        <w:rPr/>
        <w:t>万股变更为</w:t>
      </w:r>
      <w:r>
        <w:rPr>
          <w:rFonts w:ascii="Times New Roman" w:hAnsi="Times New Roman" w:cs="Times New Roman" w:eastAsia="Times New Roman" w:hint="default"/>
        </w:rPr>
        <w:t>35,810.1350</w:t>
      </w:r>
      <w:r>
        <w:rPr/>
        <w:t>万 </w:t>
      </w:r>
      <w:r>
        <w:rPr>
          <w:spacing w:val="-2"/>
        </w:rPr>
        <w:t>股。本议案尚需公司股东大会审议通过。以上具体内容请详见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日在中国证监会指定的创业板信息披露网站公告。</w:t>
      </w:r>
    </w:p>
    <w:p>
      <w:pPr>
        <w:spacing w:after="0" w:line="304"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八、公司子公司重大事项" w:id="96"/>
      <w:bookmarkEnd w:id="96"/>
      <w:r>
        <w:rPr>
          <w:b w:val="0"/>
          <w:bCs w:val="0"/>
        </w:rPr>
      </w:r>
      <w:r>
        <w:rPr/>
        <w:t>十八、公司子公司重大事项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21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日，公司全资子公司捷科智诚因业务发展需要，将注册地址由</w:t>
      </w:r>
      <w:r>
        <w:rPr>
          <w:rFonts w:ascii="Times New Roman" w:hAnsi="Times New Roman" w:cs="Times New Roman" w:eastAsia="Times New Roman" w:hint="default"/>
        </w:rPr>
        <w:t>“</w:t>
      </w:r>
      <w:r>
        <w:rPr/>
        <w:t>北京市海淀区西三环北路</w:t>
      </w:r>
      <w:r>
        <w:rPr>
          <w:rFonts w:ascii="Times New Roman" w:hAnsi="Times New Roman" w:cs="Times New Roman" w:eastAsia="Times New Roman" w:hint="default"/>
        </w:rPr>
        <w:t>89</w:t>
      </w:r>
      <w:r>
        <w:rPr/>
        <w:t>号</w:t>
      </w:r>
      <w:r>
        <w:rPr>
          <w:rFonts w:ascii="Times New Roman" w:hAnsi="Times New Roman" w:cs="Times New Roman" w:eastAsia="Times New Roman" w:hint="default"/>
        </w:rPr>
        <w:t>3</w:t>
      </w:r>
      <w:r>
        <w:rPr/>
        <w:t>层</w:t>
      </w:r>
      <w:r>
        <w:rPr>
          <w:rFonts w:ascii="Times New Roman" w:hAnsi="Times New Roman" w:cs="Times New Roman" w:eastAsia="Times New Roman" w:hint="default"/>
        </w:rPr>
        <w:t>310A</w:t>
      </w:r>
      <w:r>
        <w:rPr/>
        <w:t>室</w:t>
      </w:r>
      <w:r>
        <w:rPr>
          <w:rFonts w:ascii="Times New Roman" w:hAnsi="Times New Roman" w:cs="Times New Roman" w:eastAsia="Times New Roman" w:hint="default"/>
        </w:rPr>
        <w:t>”</w:t>
      </w:r>
      <w:r>
        <w:rPr/>
        <w:t>变 更为</w:t>
      </w:r>
      <w:r>
        <w:rPr>
          <w:rFonts w:ascii="Times New Roman" w:hAnsi="Times New Roman" w:cs="Times New Roman" w:eastAsia="Times New Roman" w:hint="default"/>
        </w:rPr>
        <w:t>“</w:t>
      </w:r>
      <w:r>
        <w:rPr/>
        <w:t>北京市海淀区西三环北路</w:t>
      </w:r>
      <w:r>
        <w:rPr>
          <w:rFonts w:ascii="Times New Roman" w:hAnsi="Times New Roman" w:cs="Times New Roman" w:eastAsia="Times New Roman" w:hint="default"/>
        </w:rPr>
        <w:t>89</w:t>
      </w:r>
      <w:r>
        <w:rPr/>
        <w:t>号</w:t>
      </w:r>
      <w:r>
        <w:rPr>
          <w:rFonts w:ascii="Times New Roman" w:hAnsi="Times New Roman" w:cs="Times New Roman" w:eastAsia="Times New Roman" w:hint="default"/>
        </w:rPr>
        <w:t>7</w:t>
      </w:r>
      <w:r>
        <w:rPr/>
        <w:t>层</w:t>
      </w:r>
      <w:r>
        <w:rPr>
          <w:rFonts w:ascii="Times New Roman" w:hAnsi="Times New Roman" w:cs="Times New Roman" w:eastAsia="Times New Roman" w:hint="default"/>
        </w:rPr>
        <w:t>A-05</w:t>
      </w:r>
      <w:r>
        <w:rPr/>
        <w:t>室</w:t>
      </w:r>
      <w:r>
        <w:rPr>
          <w:rFonts w:ascii="Times New Roman" w:hAnsi="Times New Roman" w:cs="Times New Roman" w:eastAsia="Times New Roman" w:hint="default"/>
        </w:rPr>
        <w:t>”</w:t>
      </w:r>
      <w:r>
        <w:rPr/>
        <w:t>。上述变更已完成相关工商变更登记手续，并取得了北京市工商行政管理局</w:t>
      </w:r>
      <w:r>
        <w:rPr>
          <w:w w:val="99"/>
        </w:rPr>
        <w:t> </w:t>
      </w:r>
      <w:r>
        <w:rPr/>
        <w:t>海淀分局颁发的《企业法人营业执照》。</w:t>
      </w:r>
    </w:p>
    <w:p>
      <w:pPr>
        <w:pStyle w:val="BodyText"/>
        <w:spacing w:line="240" w:lineRule="auto" w:before="31"/>
        <w:ind w:left="441" w:right="9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日，因业务发展需要，捷科智诚的经营范围作出相应变更。</w:t>
      </w:r>
    </w:p>
    <w:p>
      <w:pPr>
        <w:pStyle w:val="BodyText"/>
        <w:spacing w:line="300" w:lineRule="auto" w:before="62"/>
        <w:ind w:left="153" w:right="174" w:firstLine="287"/>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日，公司召开的第四届董事会第三十八次会议审议通过了《关于同意公司全资子公司北京捷科智诚科技有 限公司购买福州捷科智诚信息科技有限公司</w:t>
      </w:r>
      <w:r>
        <w:rPr>
          <w:rFonts w:ascii="Times New Roman" w:hAnsi="Times New Roman" w:cs="Times New Roman" w:eastAsia="Times New Roman" w:hint="default"/>
        </w:rPr>
        <w:t>45%</w:t>
      </w:r>
      <w:r>
        <w:rPr/>
        <w:t>股权的议案》，同意捷科智诚以自有资金共计人民币</w:t>
      </w:r>
      <w:r>
        <w:rPr>
          <w:spacing w:val="-48"/>
        </w:rPr>
        <w:t> </w:t>
      </w:r>
      <w:r>
        <w:rPr>
          <w:rFonts w:ascii="Times New Roman" w:hAnsi="Times New Roman" w:cs="Times New Roman" w:eastAsia="Times New Roman" w:hint="default"/>
        </w:rPr>
        <w:t>1,350</w:t>
      </w:r>
      <w:r>
        <w:rPr>
          <w:rFonts w:ascii="Times New Roman" w:hAnsi="Times New Roman" w:cs="Times New Roman" w:eastAsia="Times New Roman" w:hint="default"/>
          <w:spacing w:val="-3"/>
        </w:rPr>
        <w:t> </w:t>
      </w:r>
      <w:r>
        <w:rPr/>
        <w:t>万元购买福州捷 科</w:t>
      </w:r>
      <w:r>
        <w:rPr>
          <w:rFonts w:ascii="Times New Roman" w:hAnsi="Times New Roman" w:cs="Times New Roman" w:eastAsia="Times New Roman" w:hint="default"/>
        </w:rPr>
        <w:t>45%</w:t>
      </w:r>
      <w:r>
        <w:rPr/>
        <w:t>的股权。独立董事发表了同意意见。交易完成后，福州捷科为捷科智诚的全资子公司。</w:t>
      </w:r>
    </w:p>
    <w:p>
      <w:pPr>
        <w:pStyle w:val="BodyText"/>
        <w:spacing w:line="300" w:lineRule="auto" w:before="13"/>
        <w:ind w:left="153" w:right="165" w:firstLine="288"/>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日在中国证监会指定的创业板信息披露网站公告。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公司全资子公司西安润和取得了由陕西省科学技术厅、陕西省财政厅、陕西省国家税务局、陕西省地方税务局联合颁发 的《高新技术企业证书》。以上具体内容请详见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日在中国证监会指定的创业板信息披露网站公告。 </w:t>
      </w:r>
      <w:r>
        <w:rPr>
          <w:rFonts w:ascii="Times New Roman" w:hAnsi="Times New Roman" w:cs="Times New Roman" w:eastAsia="Times New Roman" w:hint="default"/>
        </w:rPr>
        <w:t>3.2015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日，公司第四届董事会第二十六次会议审议通过了《关于同意北京润和汇智信息技术有限公司投资设立子公 司的议案》。同意公司全资子公司北京润和以自有资金</w:t>
      </w:r>
      <w:r>
        <w:rPr>
          <w:rFonts w:ascii="Times New Roman" w:hAnsi="Times New Roman" w:cs="Times New Roman" w:eastAsia="Times New Roman" w:hint="default"/>
        </w:rPr>
        <w:t>500</w:t>
      </w:r>
      <w:r>
        <w:rPr/>
        <w:t>万元人民币在深圳设立子公司。深圳孙公司已经完成了设立登记 手续，并取得了深圳市市场监督管理局颁发的《企业法人营业执照》。以上具体内容请详见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日在中国证监会指定的创业板信息披露网站公告。</w:t>
      </w:r>
    </w:p>
    <w:p>
      <w:pPr>
        <w:pStyle w:val="BodyText"/>
        <w:spacing w:line="300" w:lineRule="auto" w:before="31"/>
        <w:ind w:left="153" w:right="191"/>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公司全资子公司上海润和因经营需要，对注册地址进行了变更，由原先的</w:t>
      </w:r>
      <w:r>
        <w:rPr>
          <w:rFonts w:ascii="Times New Roman" w:hAnsi="Times New Roman" w:cs="Times New Roman" w:eastAsia="Times New Roman" w:hint="default"/>
        </w:rPr>
        <w:t>“</w:t>
      </w:r>
      <w:r>
        <w:rPr/>
        <w:t>上海市徐汇区中山南二路</w:t>
      </w:r>
      <w:r>
        <w:rPr>
          <w:rFonts w:ascii="Times New Roman" w:hAnsi="Times New Roman" w:cs="Times New Roman" w:eastAsia="Times New Roman" w:hint="default"/>
        </w:rPr>
        <w:t>923</w:t>
      </w:r>
      <w:r>
        <w:rPr/>
        <w:t>号底层</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271</w:t>
      </w:r>
      <w:r>
        <w:rPr/>
        <w:t>室</w:t>
      </w:r>
      <w:r>
        <w:rPr>
          <w:rFonts w:ascii="Times New Roman" w:hAnsi="Times New Roman" w:cs="Times New Roman" w:eastAsia="Times New Roman" w:hint="default"/>
        </w:rPr>
        <w:t>” </w:t>
      </w:r>
      <w:r>
        <w:rPr>
          <w:spacing w:val="-2"/>
        </w:rPr>
        <w:t>变更为</w:t>
      </w:r>
      <w:r>
        <w:rPr>
          <w:rFonts w:ascii="Times New Roman" w:hAnsi="Times New Roman" w:cs="Times New Roman" w:eastAsia="Times New Roman" w:hint="default"/>
          <w:spacing w:val="-2"/>
        </w:rPr>
        <w:t>“</w:t>
      </w:r>
      <w:r>
        <w:rPr>
          <w:spacing w:val="-2"/>
        </w:rPr>
        <w:t>上海市徐汇区钦州路</w:t>
      </w:r>
      <w:r>
        <w:rPr>
          <w:rFonts w:ascii="Times New Roman" w:hAnsi="Times New Roman" w:cs="Times New Roman" w:eastAsia="Times New Roman" w:hint="default"/>
          <w:spacing w:val="-2"/>
        </w:rPr>
        <w:t>100</w:t>
      </w:r>
      <w:r>
        <w:rPr>
          <w:spacing w:val="-2"/>
        </w:rPr>
        <w:t>号</w:t>
      </w:r>
      <w:r>
        <w:rPr>
          <w:rFonts w:ascii="Times New Roman" w:hAnsi="Times New Roman" w:cs="Times New Roman" w:eastAsia="Times New Roman" w:hint="default"/>
          <w:spacing w:val="-2"/>
        </w:rPr>
        <w:t>1</w:t>
      </w:r>
      <w:r>
        <w:rPr>
          <w:spacing w:val="-2"/>
        </w:rPr>
        <w:t>号楼</w:t>
      </w:r>
      <w:r>
        <w:rPr>
          <w:rFonts w:ascii="Times New Roman" w:hAnsi="Times New Roman" w:cs="Times New Roman" w:eastAsia="Times New Roman" w:hint="default"/>
          <w:spacing w:val="-2"/>
        </w:rPr>
        <w:t>1004</w:t>
      </w:r>
      <w:r>
        <w:rPr>
          <w:spacing w:val="-2"/>
        </w:rPr>
        <w:t>室</w:t>
      </w:r>
      <w:r>
        <w:rPr>
          <w:rFonts w:ascii="Times New Roman" w:hAnsi="Times New Roman" w:cs="Times New Roman" w:eastAsia="Times New Roman" w:hint="default"/>
          <w:spacing w:val="-2"/>
        </w:rPr>
        <w:t>”</w:t>
      </w:r>
      <w:r>
        <w:rPr>
          <w:spacing w:val="-2"/>
        </w:rPr>
        <w:t>。以上具体内容请详见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日在中国证监会指定的创业板信息披露网</w:t>
      </w:r>
      <w:r>
        <w:rPr>
          <w:spacing w:val="-35"/>
        </w:rPr>
        <w:t> </w:t>
      </w:r>
      <w:r>
        <w:rPr>
          <w:spacing w:val="-35"/>
        </w:rPr>
      </w:r>
      <w:r>
        <w:rPr/>
        <w:t>站公告。</w:t>
      </w:r>
    </w:p>
    <w:p>
      <w:pPr>
        <w:pStyle w:val="BodyText"/>
        <w:spacing w:line="300" w:lineRule="auto" w:before="31"/>
        <w:ind w:left="154" w:right="191" w:hanging="1"/>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日召开了第四届董事会第二十七次会议，审议通过了《关于同意北京润和汇智信息技术有限公司投资 参股北京信思成信息技术有限公司的议案》，同意北京润和以自有资金</w:t>
      </w:r>
      <w:r>
        <w:rPr>
          <w:rFonts w:ascii="Times New Roman" w:hAnsi="Times New Roman" w:cs="Times New Roman" w:eastAsia="Times New Roman" w:hint="default"/>
        </w:rPr>
        <w:t>200</w:t>
      </w:r>
      <w:r>
        <w:rPr/>
        <w:t>万元人民币投资参股信思成，增资完成后，北京 润和将持有信思成</w:t>
      </w:r>
      <w:r>
        <w:rPr>
          <w:rFonts w:ascii="Times New Roman" w:hAnsi="Times New Roman" w:cs="Times New Roman" w:eastAsia="Times New Roman" w:hint="default"/>
        </w:rPr>
        <w:t>19.5%</w:t>
      </w:r>
      <w:r>
        <w:rPr/>
        <w:t>的股权。以上具体内容请详见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日在中国证监会指定的创业板信息披露网站公告。</w:t>
      </w:r>
    </w:p>
    <w:p>
      <w:pPr>
        <w:pStyle w:val="BodyText"/>
        <w:spacing w:line="300" w:lineRule="auto" w:before="13"/>
        <w:ind w:left="154" w:right="191" w:hanging="1"/>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日召开的第四届董事会第二十九次会议审议通过了《关于公司资设立香港全资子公司的议案》，同意 公司以自有资金</w:t>
      </w:r>
      <w:r>
        <w:rPr>
          <w:rFonts w:ascii="Times New Roman" w:hAnsi="Times New Roman" w:cs="Times New Roman" w:eastAsia="Times New Roman" w:hint="default"/>
        </w:rPr>
        <w:t>300</w:t>
      </w:r>
      <w:r>
        <w:rPr/>
        <w:t>万元港币在香港设立全资子公司。经境内及香港有关部门审批，公司在香港设立的全资子公司已于</w:t>
      </w:r>
      <w:r>
        <w:rPr>
          <w:rFonts w:ascii="Times New Roman" w:hAnsi="Times New Roman" w:cs="Times New Roman" w:eastAsia="Times New Roman" w:hint="default"/>
        </w:rPr>
        <w:t>2015 </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日完成了注册登记手续。以上具体内容请详见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日在中国证监会指定的创业板信息披露网</w:t>
      </w:r>
      <w:r>
        <w:rPr>
          <w:spacing w:val="-57"/>
        </w:rPr>
        <w:t> </w:t>
      </w:r>
      <w:r>
        <w:rPr>
          <w:spacing w:val="-57"/>
        </w:rPr>
      </w:r>
      <w:r>
        <w:rPr/>
        <w:t>站公告。</w:t>
      </w:r>
    </w:p>
    <w:p>
      <w:pPr>
        <w:pStyle w:val="BodyText"/>
        <w:spacing w:line="307" w:lineRule="auto" w:before="31"/>
        <w:ind w:left="154" w:right="190" w:hanging="1"/>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日召开的第四届董事会第二十九次会议审议通过了《关于同意全资子公司签订精装修工程施工合同的 </w:t>
      </w:r>
      <w:r>
        <w:rPr>
          <w:spacing w:val="-2"/>
        </w:rPr>
        <w:t>议案》，同意全资子公司外包园公司对润和国际软件外包研发总部基地进行精装修，并授权外包园公司在精装修工程总金额</w:t>
      </w:r>
      <w:r>
        <w:rPr>
          <w:spacing w:val="-67"/>
        </w:rPr>
        <w:t> </w:t>
      </w:r>
      <w:r>
        <w:rPr>
          <w:spacing w:val="-67"/>
        </w:rPr>
      </w:r>
      <w:r>
        <w:rPr/>
        <w:t>不超过</w:t>
      </w:r>
      <w:r>
        <w:rPr>
          <w:rFonts w:ascii="Times New Roman" w:hAnsi="Times New Roman" w:cs="Times New Roman" w:eastAsia="Times New Roman" w:hint="default"/>
        </w:rPr>
        <w:t>1.2</w:t>
      </w:r>
      <w:r>
        <w:rPr/>
        <w:t>亿元人民币的范围内办理上述事宜并签订精装修工程施工合同等文件，授权期限自本次董事会审议通过之日起</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个月内有效。以上具体内容请详见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日在中国证监会指定的创业板信息披露网站公告。</w:t>
      </w:r>
    </w:p>
    <w:p>
      <w:pPr>
        <w:pStyle w:val="BodyText"/>
        <w:spacing w:line="300" w:lineRule="auto" w:before="7"/>
        <w:ind w:left="155" w:right="192" w:hanging="1"/>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公司全资子公司外包园公司因业务发展需要，其注册地址由</w:t>
      </w:r>
      <w:r>
        <w:rPr>
          <w:rFonts w:ascii="Times New Roman" w:hAnsi="Times New Roman" w:cs="Times New Roman" w:eastAsia="Times New Roman" w:hint="default"/>
        </w:rPr>
        <w:t>“</w:t>
      </w:r>
      <w:r>
        <w:rPr/>
        <w:t>南京市雨花台区阅城大道</w:t>
      </w:r>
      <w:r>
        <w:rPr>
          <w:rFonts w:ascii="Times New Roman" w:hAnsi="Times New Roman" w:cs="Times New Roman" w:eastAsia="Times New Roman" w:hint="default"/>
        </w:rPr>
        <w:t>26</w:t>
      </w:r>
      <w:r>
        <w:rPr/>
        <w:t>号丰盛科技园</w:t>
      </w:r>
      <w:r>
        <w:rPr>
          <w:rFonts w:ascii="Times New Roman" w:hAnsi="Times New Roman" w:cs="Times New Roman" w:eastAsia="Times New Roman" w:hint="default"/>
        </w:rPr>
        <w:t>F</w:t>
      </w:r>
      <w:r>
        <w:rPr/>
        <w:t>区</w:t>
      </w:r>
      <w:r>
        <w:rPr>
          <w:rFonts w:ascii="Times New Roman" w:hAnsi="Times New Roman" w:cs="Times New Roman" w:eastAsia="Times New Roman" w:hint="default"/>
        </w:rPr>
        <w:t>02</w:t>
      </w:r>
      <w:r>
        <w:rPr/>
        <w:t>栋</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509</w:t>
      </w:r>
      <w:r>
        <w:rPr/>
        <w:t>室</w:t>
      </w:r>
      <w:r>
        <w:rPr>
          <w:rFonts w:ascii="Times New Roman" w:hAnsi="Times New Roman" w:cs="Times New Roman" w:eastAsia="Times New Roman" w:hint="default"/>
        </w:rPr>
        <w:t>” </w:t>
      </w:r>
      <w:r>
        <w:rPr/>
        <w:t>变更为</w:t>
      </w:r>
      <w:r>
        <w:rPr>
          <w:rFonts w:ascii="Times New Roman" w:hAnsi="Times New Roman" w:cs="Times New Roman" w:eastAsia="Times New Roman" w:hint="default"/>
        </w:rPr>
        <w:t>“</w:t>
      </w:r>
      <w:r>
        <w:rPr/>
        <w:t>南京市雨花台区软件大道</w:t>
      </w:r>
      <w:r>
        <w:rPr>
          <w:rFonts w:ascii="Times New Roman" w:hAnsi="Times New Roman" w:cs="Times New Roman" w:eastAsia="Times New Roman" w:hint="default"/>
        </w:rPr>
        <w:t>168</w:t>
      </w:r>
      <w:r>
        <w:rPr/>
        <w:t>号</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101</w:t>
      </w:r>
      <w:r>
        <w:rPr/>
        <w:t>室</w:t>
      </w:r>
      <w:r>
        <w:rPr>
          <w:rFonts w:ascii="Times New Roman" w:hAnsi="Times New Roman" w:cs="Times New Roman" w:eastAsia="Times New Roman" w:hint="default"/>
        </w:rPr>
        <w:t>”</w:t>
      </w:r>
      <w:r>
        <w:rPr/>
        <w:t>，并已完成了相关工商变更登记手续，取得了南京市工商行政管理局换发 的《营业执照》。以上具体内容请详见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日在中国证监会指定的创业板信息披露网站公告。</w:t>
      </w:r>
    </w:p>
    <w:p>
      <w:pPr>
        <w:pStyle w:val="BodyText"/>
        <w:spacing w:line="300" w:lineRule="auto" w:before="13"/>
        <w:ind w:left="155" w:right="197"/>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日，公司控股子公司润和数码与其全资子公司深圳数码签订了《股权转让协议》，将润和数码持有的其全资 子公司新加坡数码</w:t>
      </w:r>
      <w:r>
        <w:rPr>
          <w:rFonts w:ascii="Times New Roman" w:hAnsi="Times New Roman" w:cs="Times New Roman" w:eastAsia="Times New Roman" w:hint="default"/>
        </w:rPr>
        <w:t>100%</w:t>
      </w:r>
      <w:r>
        <w:rPr/>
        <w:t>的股权以</w:t>
      </w:r>
      <w:r>
        <w:rPr>
          <w:rFonts w:ascii="Times New Roman" w:hAnsi="Times New Roman" w:cs="Times New Roman" w:eastAsia="Times New Roman" w:hint="default"/>
        </w:rPr>
        <w:t>22</w:t>
      </w:r>
      <w:r>
        <w:rPr/>
        <w:t>万美元的价格转让给深圳数码。转让后，润和数码不再直接持有新加坡数码的股权，但 间接持有新加坡数码</w:t>
      </w:r>
      <w:r>
        <w:rPr>
          <w:rFonts w:ascii="Times New Roman" w:hAnsi="Times New Roman" w:cs="Times New Roman" w:eastAsia="Times New Roman" w:hint="default"/>
        </w:rPr>
        <w:t>100%</w:t>
      </w:r>
      <w:r>
        <w:rPr/>
        <w:t>的股权。</w:t>
      </w:r>
    </w:p>
    <w:p>
      <w:pPr>
        <w:pStyle w:val="BodyText"/>
        <w:spacing w:line="300" w:lineRule="auto" w:before="13"/>
        <w:ind w:left="155" w:right="111"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日，公司与</w:t>
      </w:r>
      <w:r>
        <w:rPr>
          <w:rFonts w:ascii="Times New Roman" w:hAnsi="Times New Roman" w:cs="Times New Roman" w:eastAsia="Times New Roman" w:hint="default"/>
        </w:rPr>
        <w:t>MMAX COMMUNICATIONS</w:t>
      </w:r>
      <w:r>
        <w:rPr>
          <w:rFonts w:ascii="Times New Roman" w:hAnsi="Times New Roman" w:cs="Times New Roman" w:eastAsia="Times New Roman" w:hint="default"/>
          <w:spacing w:val="-3"/>
        </w:rPr>
        <w:t> </w:t>
      </w:r>
      <w:r>
        <w:rPr>
          <w:rFonts w:ascii="Times New Roman" w:hAnsi="Times New Roman" w:cs="Times New Roman" w:eastAsia="Times New Roman" w:hint="default"/>
        </w:rPr>
        <w:t>PTE.LTD.</w:t>
      </w:r>
      <w:r>
        <w:rPr/>
        <w:t>签署了《南京润和数码有限公司股权转让协议》，公司 将持有的润和数码全部</w:t>
      </w:r>
      <w:r>
        <w:rPr>
          <w:rFonts w:ascii="Times New Roman" w:hAnsi="Times New Roman" w:cs="Times New Roman" w:eastAsia="Times New Roman" w:hint="default"/>
        </w:rPr>
        <w:t>55%</w:t>
      </w:r>
      <w:r>
        <w:rPr/>
        <w:t>的股权以原出资额</w:t>
      </w:r>
      <w:r>
        <w:rPr>
          <w:rFonts w:ascii="Times New Roman" w:hAnsi="Times New Roman" w:cs="Times New Roman" w:eastAsia="Times New Roman" w:hint="default"/>
        </w:rPr>
        <w:t>82.5</w:t>
      </w:r>
      <w:r>
        <w:rPr/>
        <w:t>万美元转让给 </w:t>
      </w:r>
      <w:r>
        <w:rPr>
          <w:rFonts w:ascii="Times New Roman" w:hAnsi="Times New Roman" w:cs="Times New Roman" w:eastAsia="Times New Roman" w:hint="default"/>
        </w:rPr>
        <w:t>MMAX</w:t>
      </w:r>
      <w:r>
        <w:rPr>
          <w:rFonts w:ascii="Times New Roman" w:hAnsi="Times New Roman" w:cs="Times New Roman" w:eastAsia="Times New Roman" w:hint="default"/>
          <w:spacing w:val="-30"/>
        </w:rPr>
        <w:t> </w:t>
      </w:r>
      <w:r>
        <w:rPr>
          <w:rFonts w:ascii="Times New Roman" w:hAnsi="Times New Roman" w:cs="Times New Roman" w:eastAsia="Times New Roman" w:hint="default"/>
        </w:rPr>
        <w:t>COMMUNICATIONSPTE.LTD.</w:t>
      </w:r>
      <w:r>
        <w:rPr/>
        <w:t>。本次交易完成后， 公司不再持有润和数码的股权。</w:t>
      </w:r>
    </w:p>
    <w:p>
      <w:pPr>
        <w:pStyle w:val="BodyText"/>
        <w:spacing w:line="300" w:lineRule="auto" w:before="31"/>
        <w:ind w:left="155" w:right="90" w:firstLine="287"/>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日在中国证监会指定的创业板信息披露网站公告。 </w:t>
      </w:r>
      <w:r>
        <w:rPr>
          <w:rFonts w:ascii="Times New Roman" w:hAnsi="Times New Roman" w:cs="Times New Roman" w:eastAsia="Times New Roman" w:hint="default"/>
        </w:rPr>
        <w:t>10.2015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日，公司召开第四届董事会第三十四次会议，审议通过了《关于同意全资子公司江苏润和南京软件外包园投 </w:t>
      </w:r>
      <w:r>
        <w:rPr>
          <w:spacing w:val="-2"/>
        </w:rPr>
        <w:t>资有限公司投资设立子公司的议案》，同意公司全资子公司外包园公司在南京投资设立子公司外包园置业。</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w:t>
      </w:r>
      <w:r>
        <w:rPr>
          <w:spacing w:val="-63"/>
        </w:rPr>
        <w:t> </w:t>
      </w:r>
      <w:r>
        <w:rPr/>
        <w:t>该事项完成工商设立登记手续，并取得了南京市工商行政管理局颁发的《营业执照》。</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4" w:lineRule="auto" w:before="44"/>
        <w:ind w:right="90"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日，公司召开第四届董事会第三十八次会议和第四届监事会第二十七次会议，审议通过了《关于同意公司 全资子公司江苏润和南京软件外包园投资有限公司向南京润宏置业有限公司转让江苏润和南京软件外包园置业有限公司 </w:t>
      </w:r>
      <w:r>
        <w:rPr>
          <w:rFonts w:ascii="Times New Roman" w:hAnsi="Times New Roman" w:cs="Times New Roman" w:eastAsia="Times New Roman" w:hint="default"/>
        </w:rPr>
        <w:t>100%</w:t>
      </w:r>
      <w:r>
        <w:rPr/>
        <w:t>股权暨关联交易的议案》，同意公司全资子公司外包园公司与润宏置业签署了关于外包园置业的股权转让协议，外包 园公司拟将其持有的外包园置业</w:t>
      </w:r>
      <w:r>
        <w:rPr>
          <w:rFonts w:ascii="Times New Roman" w:hAnsi="Times New Roman" w:cs="Times New Roman" w:eastAsia="Times New Roman" w:hint="default"/>
        </w:rPr>
        <w:t>100%</w:t>
      </w:r>
      <w:r>
        <w:rPr/>
        <w:t>的股权转让给润宏置业，转让对价为</w:t>
      </w:r>
      <w:r>
        <w:rPr>
          <w:rFonts w:ascii="Times New Roman" w:hAnsi="Times New Roman" w:cs="Times New Roman" w:eastAsia="Times New Roman" w:hint="default"/>
        </w:rPr>
        <w:t>20,386.13</w:t>
      </w:r>
      <w:r>
        <w:rPr/>
        <w:t>万元。独立董事对该事项做出了事前认 </w:t>
      </w:r>
      <w:r>
        <w:rPr>
          <w:spacing w:val="-2"/>
        </w:rPr>
        <w:t>可并发表了一致同意的独立意见。公司保荐机构中信证券股份有限公司出具了核查意见，同意上述关联交易。</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rFonts w:ascii="Times New Roman" w:hAnsi="Times New Roman" w:cs="Times New Roman" w:eastAsia="Times New Roman" w:hint="default"/>
          <w:spacing w:val="-11"/>
        </w:rPr>
        <w:t> </w:t>
      </w:r>
      <w:r>
        <w:rPr/>
        <w:t>日，公司</w:t>
      </w:r>
      <w:r>
        <w:rPr>
          <w:rFonts w:ascii="Times New Roman" w:hAnsi="Times New Roman" w:cs="Times New Roman" w:eastAsia="Times New Roman" w:hint="default"/>
        </w:rPr>
        <w:t>2015</w:t>
      </w:r>
      <w:r>
        <w:rPr/>
        <w:t>年第五次临时股东大会审议通过了该项议案。</w:t>
      </w:r>
    </w:p>
    <w:p>
      <w:pPr>
        <w:pStyle w:val="BodyText"/>
        <w:spacing w:line="300" w:lineRule="auto" w:before="9"/>
        <w:ind w:right="90" w:firstLine="288"/>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日在中国证监会指定的创业板信息披露网站公告。 </w:t>
      </w:r>
      <w:r>
        <w:rPr>
          <w:rFonts w:ascii="Times New Roman" w:hAnsi="Times New Roman" w:cs="Times New Roman" w:eastAsia="Times New Roman" w:hint="default"/>
        </w:rPr>
        <w:t>11.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日，公司召开第四届董事会第三十五次会议，审议通过了《关于同意全资子公司投资设立子公司的议案》，</w:t>
      </w:r>
      <w:r>
        <w:rPr>
          <w:spacing w:val="-67"/>
        </w:rPr>
        <w:t> </w:t>
      </w:r>
      <w:r>
        <w:rPr>
          <w:spacing w:val="-67"/>
        </w:rPr>
      </w:r>
      <w:r>
        <w:rPr/>
        <w:t>同意公司全资子公司联创智融以自有资金</w:t>
      </w:r>
      <w:r>
        <w:rPr>
          <w:rFonts w:ascii="Times New Roman" w:hAnsi="Times New Roman" w:cs="Times New Roman" w:eastAsia="Times New Roman" w:hint="default"/>
        </w:rPr>
        <w:t>200</w:t>
      </w:r>
      <w:r>
        <w:rPr/>
        <w:t>万元人民币进行出资，在云南省昆明市设立全资子公司。</w:t>
      </w:r>
    </w:p>
    <w:p>
      <w:pPr>
        <w:pStyle w:val="BodyText"/>
        <w:spacing w:line="300" w:lineRule="auto" w:before="13"/>
        <w:ind w:right="90" w:firstLine="288"/>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日，公司召开第四届董事会第三十八次会议，审议通过了《关于同意全资子公司投资设立子公司的议案》，</w:t>
      </w:r>
      <w:r>
        <w:rPr/>
        <w:t> 同意联创智融拟以自有资金</w:t>
      </w:r>
      <w:r>
        <w:rPr>
          <w:rFonts w:ascii="Times New Roman" w:hAnsi="Times New Roman" w:cs="Times New Roman" w:eastAsia="Times New Roman" w:hint="default"/>
        </w:rPr>
        <w:t>200</w:t>
      </w:r>
      <w:r>
        <w:rPr/>
        <w:t>万元人民币进行出资，在广东省广州市设立全资子公司。</w:t>
      </w:r>
    </w:p>
    <w:p>
      <w:pPr>
        <w:pStyle w:val="BodyText"/>
        <w:spacing w:line="300" w:lineRule="auto" w:before="13"/>
        <w:ind w:right="183" w:firstLine="288"/>
        <w:jc w:val="left"/>
      </w:pPr>
      <w:r>
        <w:rPr/>
        <w:t>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日在中国证监会指定的创业板信息披露网站公告。 </w:t>
      </w:r>
      <w:r>
        <w:rPr>
          <w:rFonts w:ascii="Times New Roman" w:hAnsi="Times New Roman" w:cs="Times New Roman" w:eastAsia="Times New Roman" w:hint="default"/>
          <w:spacing w:val="-4"/>
        </w:rPr>
        <w:t>12.2015</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4</w:t>
      </w:r>
      <w:r>
        <w:rPr>
          <w:spacing w:val="-4"/>
        </w:rPr>
        <w:t>日，公司召开的第四届董事会第三十六次会议审议通过了《关于公司收购上海菲耐得信息科技有限公司</w:t>
      </w:r>
      <w:r>
        <w:rPr>
          <w:spacing w:val="25"/>
        </w:rPr>
        <w:t> </w:t>
      </w:r>
      <w:r>
        <w:rPr>
          <w:rFonts w:ascii="Times New Roman" w:hAnsi="Times New Roman" w:cs="Times New Roman" w:eastAsia="Times New Roman" w:hint="default"/>
        </w:rPr>
        <w:t>100%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2"/>
        </w:rPr>
        <w:t>股权的议案》，独立董事发表了同意意见。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日，公司全资子公司上海菲耐得信息科技有限公司完成工商变更登</w:t>
      </w:r>
      <w:r>
        <w:rPr>
          <w:spacing w:val="-59"/>
        </w:rPr>
        <w:t> </w:t>
      </w:r>
      <w:r>
        <w:rPr>
          <w:spacing w:val="-59"/>
        </w:rPr>
      </w:r>
      <w:r>
        <w:rPr/>
        <w:t>记。以上具体内容请详见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日在中国证监会指定的创业板信息披露网站公告。 </w:t>
      </w:r>
      <w:r>
        <w:rPr>
          <w:rFonts w:ascii="Times New Roman" w:hAnsi="Times New Roman" w:cs="Times New Roman" w:eastAsia="Times New Roman" w:hint="default"/>
          <w:spacing w:val="-1"/>
        </w:rPr>
        <w:t>13.2016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日，公司召开第四届董事会第四十次会议，审议通过了《关于公司投资设立广州控股子公司的议案》。公司</w:t>
      </w:r>
      <w:r>
        <w:rPr>
          <w:spacing w:val="-76"/>
        </w:rPr>
        <w:t> </w:t>
      </w:r>
      <w:r>
        <w:rPr>
          <w:spacing w:val="-76"/>
        </w:rPr>
      </w:r>
      <w:r>
        <w:rPr>
          <w:spacing w:val="-1"/>
        </w:rPr>
        <w:t>以自有资金</w:t>
      </w:r>
      <w:r>
        <w:rPr>
          <w:rFonts w:ascii="Times New Roman" w:hAnsi="Times New Roman" w:cs="Times New Roman" w:eastAsia="Times New Roman" w:hint="default"/>
          <w:spacing w:val="-1"/>
        </w:rPr>
        <w:t>510</w:t>
      </w:r>
      <w:r>
        <w:rPr>
          <w:spacing w:val="-1"/>
        </w:rPr>
        <w:t>万元出资，持有广州子公司</w:t>
      </w:r>
      <w:r>
        <w:rPr>
          <w:rFonts w:ascii="Times New Roman" w:hAnsi="Times New Roman" w:cs="Times New Roman" w:eastAsia="Times New Roman" w:hint="default"/>
          <w:spacing w:val="-1"/>
        </w:rPr>
        <w:t>51%</w:t>
      </w:r>
      <w:r>
        <w:rPr>
          <w:spacing w:val="-1"/>
        </w:rPr>
        <w:t>的股权。广州控股子公司已完成工商设立登记。以上具体内容请详见</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11</w:t>
      </w:r>
      <w:r>
        <w:rPr/>
        <w:t>日和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日在中国证监会指定的创业板信息披露网站公告。</w:t>
      </w:r>
    </w:p>
    <w:p>
      <w:pPr>
        <w:pStyle w:val="BodyText"/>
        <w:spacing w:line="300" w:lineRule="auto" w:before="13"/>
        <w:ind w:right="256" w:firstLine="288"/>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日，公司召开第四届董事会第四十次会议，审议通过了《关于公司投资设立上海全资子公司的议案》。公 司以自有资金</w:t>
      </w:r>
      <w:r>
        <w:rPr>
          <w:rFonts w:ascii="Times New Roman" w:hAnsi="Times New Roman" w:cs="Times New Roman" w:eastAsia="Times New Roman" w:hint="default"/>
        </w:rPr>
        <w:t>1</w:t>
      </w:r>
      <w:r>
        <w:rPr/>
        <w:t>亿元出资，持有上海子公司</w:t>
      </w:r>
      <w:r>
        <w:rPr>
          <w:rFonts w:ascii="Times New Roman" w:hAnsi="Times New Roman" w:cs="Times New Roman" w:eastAsia="Times New Roman" w:hint="default"/>
        </w:rPr>
        <w:t>100%</w:t>
      </w:r>
      <w:r>
        <w:rPr/>
        <w:t>的股权。</w:t>
      </w:r>
    </w:p>
    <w:p>
      <w:pPr>
        <w:pStyle w:val="BodyText"/>
        <w:spacing w:line="300" w:lineRule="auto" w:before="13"/>
        <w:ind w:right="184" w:firstLine="360"/>
        <w:jc w:val="left"/>
      </w:pPr>
      <w:r>
        <w:rPr/>
        <w:t>以上具体内容请详见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日在中国证监会指定的创业板信息披露网站公告。 </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日，公司召开第四届董事会第四十一次会议，审议通过了《关于公司向全资子公司北京联创智融信息技术有</w:t>
      </w:r>
      <w:r>
        <w:rPr>
          <w:spacing w:val="-61"/>
        </w:rPr>
        <w:t> </w:t>
      </w:r>
      <w:r>
        <w:rPr>
          <w:spacing w:val="-61"/>
        </w:rPr>
      </w:r>
      <w:r>
        <w:rPr/>
        <w:t>限公司增资的议案》，公司以自有资金</w:t>
      </w:r>
      <w:r>
        <w:rPr>
          <w:rFonts w:ascii="Times New Roman" w:hAnsi="Times New Roman" w:cs="Times New Roman" w:eastAsia="Times New Roman" w:hint="default"/>
        </w:rPr>
        <w:t>2000</w:t>
      </w:r>
      <w:r>
        <w:rPr/>
        <w:t>万元对全资子公司联创智融进行增资，同时，联创智融以其截至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w:t>
      </w:r>
    </w:p>
    <w:p>
      <w:pPr>
        <w:pStyle w:val="BodyText"/>
        <w:spacing w:line="240" w:lineRule="auto" w:before="13"/>
        <w:ind w:right="0"/>
        <w:jc w:val="both"/>
      </w:pPr>
      <w:r>
        <w:rPr>
          <w:rFonts w:ascii="Times New Roman" w:hAnsi="Times New Roman" w:cs="Times New Roman" w:eastAsia="Times New Roman" w:hint="default"/>
        </w:rPr>
        <w:t>31  </w:t>
      </w:r>
      <w:r>
        <w:rPr/>
        <w:t>日的账面资本公积金余额</w:t>
      </w:r>
      <w:r>
        <w:rPr>
          <w:spacing w:val="-43"/>
        </w:rPr>
        <w:t> </w:t>
      </w:r>
      <w:r>
        <w:rPr>
          <w:rFonts w:ascii="Times New Roman" w:hAnsi="Times New Roman" w:cs="Times New Roman" w:eastAsia="Times New Roman" w:hint="default"/>
        </w:rPr>
        <w:t>7,280.8054</w:t>
      </w:r>
      <w:r>
        <w:rPr/>
        <w:t>万元人民币全部转增实收资本。本次增资完成后，联创智融的注册资本将增至</w:t>
      </w:r>
    </w:p>
    <w:p>
      <w:pPr>
        <w:pStyle w:val="BodyText"/>
        <w:spacing w:line="240" w:lineRule="auto" w:before="62"/>
        <w:ind w:right="0"/>
        <w:jc w:val="both"/>
        <w:rPr>
          <w:rFonts w:ascii="Times New Roman" w:hAnsi="Times New Roman" w:cs="Times New Roman" w:eastAsia="Times New Roman" w:hint="default"/>
        </w:rPr>
      </w:pPr>
      <w:r>
        <w:rPr>
          <w:rFonts w:ascii="Times New Roman" w:hAnsi="Times New Roman" w:cs="Times New Roman" w:eastAsia="Times New Roman" w:hint="default"/>
        </w:rPr>
        <w:t>10,397.50 </w:t>
      </w:r>
      <w:r>
        <w:rPr>
          <w:spacing w:val="-3"/>
        </w:rPr>
        <w:t>万元人民币，公司持有其</w:t>
      </w:r>
      <w:r>
        <w:rPr>
          <w:spacing w:val="-77"/>
        </w:rPr>
        <w:t> </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日，联创智融完成工商变更登记手续，注册资本增至</w:t>
      </w:r>
      <w:r>
        <w:rPr>
          <w:rFonts w:ascii="Times New Roman" w:hAnsi="Times New Roman" w:cs="Times New Roman" w:eastAsia="Times New Roman" w:hint="default"/>
        </w:rPr>
        <w:t>10,397.50</w:t>
      </w:r>
    </w:p>
    <w:p>
      <w:pPr>
        <w:pStyle w:val="BodyText"/>
        <w:spacing w:line="240" w:lineRule="auto" w:before="62"/>
        <w:ind w:right="0"/>
        <w:jc w:val="both"/>
      </w:pPr>
      <w:r>
        <w:rPr/>
        <w:t>万元人民币。以上具体内容请详见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日在中国证监会指定的创业板信息披露网站公告。</w:t>
      </w:r>
    </w:p>
    <w:p>
      <w:pPr>
        <w:pStyle w:val="BodyText"/>
        <w:spacing w:line="300" w:lineRule="auto" w:before="62"/>
        <w:ind w:left="153" w:right="207" w:hanging="1"/>
        <w:jc w:val="both"/>
      </w:pP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t>公司全资子公司北京润和因业务发展需要，将注册地址由</w:t>
      </w:r>
      <w:r>
        <w:rPr>
          <w:rFonts w:ascii="Times New Roman" w:hAnsi="Times New Roman" w:cs="Times New Roman" w:eastAsia="Times New Roman" w:hint="default"/>
        </w:rPr>
        <w:t>“</w:t>
      </w:r>
      <w:r>
        <w:rPr/>
        <w:t>北京市海淀区北三环西路</w:t>
      </w:r>
      <w:r>
        <w:rPr>
          <w:rFonts w:ascii="Times New Roman" w:hAnsi="Times New Roman" w:cs="Times New Roman" w:eastAsia="Times New Roman" w:hint="default"/>
        </w:rPr>
        <w:t>99</w:t>
      </w:r>
      <w:r>
        <w:rPr/>
        <w:t>号院</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10</w:t>
      </w:r>
      <w:r>
        <w:rPr/>
        <w:t>层</w:t>
      </w:r>
      <w:r>
        <w:rPr>
          <w:rFonts w:ascii="Times New Roman" w:hAnsi="Times New Roman" w:cs="Times New Roman" w:eastAsia="Times New Roman" w:hint="default"/>
        </w:rPr>
        <w:t>1001”</w:t>
      </w:r>
      <w:r>
        <w:rPr/>
        <w:t>变更为</w:t>
      </w:r>
      <w:r>
        <w:rPr>
          <w:rFonts w:ascii="Times New Roman" w:hAnsi="Times New Roman" w:cs="Times New Roman" w:eastAsia="Times New Roman" w:hint="default"/>
        </w:rPr>
        <w:t>“</w:t>
      </w:r>
      <w:r>
        <w:rPr/>
        <w:t>北京</w:t>
      </w:r>
      <w:r>
        <w:rPr>
          <w:spacing w:val="-3"/>
        </w:rPr>
        <w:t> </w:t>
      </w:r>
      <w:r>
        <w:rPr/>
        <w:t>市海淀区丰贤东路</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4</w:t>
      </w:r>
      <w:r>
        <w:rPr/>
        <w:t>层</w:t>
      </w:r>
      <w:r>
        <w:rPr>
          <w:rFonts w:ascii="Times New Roman" w:hAnsi="Times New Roman" w:cs="Times New Roman" w:eastAsia="Times New Roman" w:hint="default"/>
        </w:rPr>
        <w:t>A413”</w:t>
      </w:r>
      <w:r>
        <w:rPr/>
        <w:t>。上述变更已完成相关工商变更登记手续，并取得了北京市工商行政管理局海淀分局颁 发的《营业执照》。以上具体内容请详见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日在中国证监会指定的创业板信息披露网站公告。</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十九、社会责任情况" w:id="97"/>
      <w:bookmarkEnd w:id="97"/>
      <w:r>
        <w:rPr>
          <w:b w:val="0"/>
          <w:bCs w:val="0"/>
        </w:rPr>
      </w:r>
      <w:r>
        <w:rPr/>
        <w:t>十九、社会责任情况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二十、公司债券相关情况" w:id="98"/>
      <w:bookmarkEnd w:id="98"/>
      <w:r>
        <w:rPr>
          <w:b w:val="0"/>
          <w:bCs w:val="0"/>
        </w:rPr>
      </w: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117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0"/>
        <w:jc w:val="left"/>
        <w:rPr>
          <w:b w:val="0"/>
          <w:bCs w:val="0"/>
        </w:rPr>
      </w:pPr>
      <w:bookmarkStart w:name="第六节 股份变动及股东情况" w:id="99"/>
      <w:bookmarkEnd w:id="99"/>
      <w:r>
        <w:rPr>
          <w:b w:val="0"/>
          <w:bCs w:val="0"/>
        </w:rPr>
      </w:r>
      <w:bookmarkStart w:name="_bookmark4" w:id="100"/>
      <w:bookmarkEnd w:id="100"/>
      <w:r>
        <w:rPr>
          <w:b w:val="0"/>
          <w:bCs w:val="0"/>
        </w:rPr>
      </w:r>
      <w:r>
        <w:rPr/>
        <w:t>第六节</w:t>
      </w:r>
      <w:r>
        <w:rPr>
          <w:spacing w:val="-4"/>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w:id="101"/>
      <w:bookmarkEnd w:id="101"/>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2"/>
      <w:bookmarkEnd w:id="10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5"/>
        <w:gridCol w:w="823"/>
        <w:gridCol w:w="823"/>
        <w:gridCol w:w="823"/>
        <w:gridCol w:w="821"/>
        <w:gridCol w:w="823"/>
        <w:gridCol w:w="821"/>
        <w:gridCol w:w="823"/>
        <w:gridCol w:w="794"/>
        <w:gridCol w:w="792"/>
      </w:tblGrid>
      <w:tr>
        <w:trPr>
          <w:trHeight w:val="403"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15" w:type="dxa"/>
            <w:vMerge/>
            <w:tcBorders>
              <w:left w:val="single" w:sz="4" w:space="0" w:color="000000"/>
              <w:bottom w:val="nil" w:sz="6" w:space="0" w:color="auto"/>
              <w:right w:val="single" w:sz="4" w:space="0" w:color="000000"/>
            </w:tcBorders>
            <w:shd w:val="clear" w:color="auto" w:fill="D4D4D4"/>
          </w:tcPr>
          <w:p>
            <w:pP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4D4D4"/>
          </w:tcPr>
          <w:p>
            <w:pP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bottom w:val="nil" w:sz="6" w:space="0" w:color="auto"/>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215" w:type="dxa"/>
            <w:vMerge/>
            <w:tcBorders>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9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154,893,0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54.42%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73,744,07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-74,688,5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-944,432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153,948,5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42.98%</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154,893,0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54.42%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73,744,07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-74,688,5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-944,432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153,948,5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42.98%</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66,897,67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23.50%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61,498,37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-62,553,0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-1,054,62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65,843,05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18.38%</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87,995,34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30.92%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12,245,69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-12,135,5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110,190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88,105,53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24.60%</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129,723,7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45.58%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74,503,50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57.02%</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129,723,7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45.58%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74,503,50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57.02%</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284,616,7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73,744,07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-185,000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73,559,07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358,175,8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19" w:lineRule="auto" w:before="115"/>
        <w:ind w:right="129"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日，公司高管锁定股每年按所持股份的</w:t>
      </w:r>
      <w:r>
        <w:rPr>
          <w:rFonts w:ascii="Times New Roman" w:hAnsi="Times New Roman" w:cs="Times New Roman" w:eastAsia="Times New Roman" w:hint="default"/>
        </w:rPr>
        <w:t>25%</w:t>
      </w:r>
      <w:r>
        <w:rPr/>
        <w:t>比例释放，导致公司有限售条件股份中的高管锁定股减少</w:t>
      </w:r>
      <w:r>
        <w:rPr>
          <w:rFonts w:ascii="Times New Roman" w:hAnsi="Times New Roman" w:cs="Times New Roman" w:eastAsia="Times New Roman" w:hint="default"/>
        </w:rPr>
        <w:t>286,875</w:t>
      </w:r>
      <w:r>
        <w:rPr>
          <w:rFonts w:ascii="Times New Roman" w:hAnsi="Times New Roman" w:cs="Times New Roman" w:eastAsia="Times New Roman" w:hint="default"/>
          <w:spacing w:val="1"/>
        </w:rPr>
        <w:t> </w:t>
      </w:r>
      <w:r>
        <w:rPr/>
        <w:t>股，无限售流通股增加。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日公司发布了《关于维护公司股价稳定方案的公告》，实际控制人周红卫先生于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日和</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日通</w:t>
      </w:r>
    </w:p>
    <w:p>
      <w:pPr>
        <w:spacing w:after="0" w:line="319"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2" w:lineRule="auto" w:before="44"/>
        <w:ind w:right="94"/>
        <w:jc w:val="left"/>
      </w:pPr>
      <w:r>
        <w:rPr>
          <w:spacing w:val="-2"/>
        </w:rPr>
        <w:t>过二级市场集中竞价交易分别增持了</w:t>
      </w:r>
      <w:r>
        <w:rPr>
          <w:rFonts w:ascii="Times New Roman" w:hAnsi="Times New Roman" w:cs="Times New Roman" w:eastAsia="Times New Roman" w:hint="default"/>
          <w:spacing w:val="-2"/>
        </w:rPr>
        <w:t>100,000</w:t>
      </w:r>
      <w:r>
        <w:rPr>
          <w:spacing w:val="-2"/>
        </w:rPr>
        <w:t>股和</w:t>
      </w:r>
      <w:r>
        <w:rPr>
          <w:rFonts w:ascii="Times New Roman" w:hAnsi="Times New Roman" w:cs="Times New Roman" w:eastAsia="Times New Roman" w:hint="default"/>
          <w:spacing w:val="-2"/>
        </w:rPr>
        <w:t>107,000</w:t>
      </w:r>
      <w:r>
        <w:rPr>
          <w:spacing w:val="-2"/>
        </w:rPr>
        <w:t>股，实际控制人姚宁先生于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日通过二级市场集中竞价交</w:t>
      </w:r>
      <w:r>
        <w:rPr>
          <w:spacing w:val="-53"/>
        </w:rPr>
        <w:t> </w:t>
      </w:r>
      <w:r>
        <w:rPr>
          <w:spacing w:val="-53"/>
        </w:rPr>
      </w:r>
      <w:r>
        <w:rPr/>
        <w:t>易增持了</w:t>
      </w:r>
      <w:r>
        <w:rPr>
          <w:rFonts w:ascii="Times New Roman" w:hAnsi="Times New Roman" w:cs="Times New Roman" w:eastAsia="Times New Roman" w:hint="default"/>
        </w:rPr>
        <w:t>109,000</w:t>
      </w:r>
      <w:r>
        <w:rPr/>
        <w:t>股，上述增持行为导致公司有限售条件股份中的高管锁定股增加。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日，公司控股股东润和投资持有的</w:t>
      </w:r>
      <w:r>
        <w:rPr>
          <w:rFonts w:ascii="Times New Roman" w:hAnsi="Times New Roman" w:cs="Times New Roman" w:eastAsia="Times New Roman" w:hint="default"/>
        </w:rPr>
        <w:t>62,553,000</w:t>
      </w:r>
      <w:r>
        <w:rPr/>
        <w:t>股首发前限售股、实际控制人周红卫先生持有</w:t>
      </w:r>
      <w:r>
        <w:rPr>
          <w:rFonts w:ascii="Times New Roman" w:hAnsi="Times New Roman" w:cs="Times New Roman" w:eastAsia="Times New Roman" w:hint="default"/>
        </w:rPr>
        <w:t>7,316,008</w:t>
      </w:r>
      <w:r>
        <w:rPr/>
        <w:t>股首发</w:t>
      </w:r>
      <w:r>
        <w:rPr>
          <w:spacing w:val="-3"/>
        </w:rPr>
        <w:t> </w:t>
      </w:r>
      <w:r>
        <w:rPr/>
        <w:t>前限售股和实际控制人姚宁先生持有的</w:t>
      </w:r>
      <w:r>
        <w:rPr>
          <w:rFonts w:ascii="Times New Roman" w:hAnsi="Times New Roman" w:cs="Times New Roman" w:eastAsia="Times New Roman" w:hint="default"/>
        </w:rPr>
        <w:t>1,850,000</w:t>
      </w:r>
      <w:r>
        <w:rPr/>
        <w:t>股首发前限售股解除限售，导致有限售条件股份减少，无限售流通股增加。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日，公司因发行股份购买资产并募集配套资金定向增发的</w:t>
      </w:r>
      <w:r>
        <w:rPr>
          <w:rFonts w:ascii="Times New Roman" w:hAnsi="Times New Roman" w:cs="Times New Roman" w:eastAsia="Times New Roman" w:hint="default"/>
        </w:rPr>
        <w:t>72,664,076</w:t>
      </w:r>
      <w:r>
        <w:rPr/>
        <w:t>股发行上市，导致公司有限售条件股份 中的首发后限售股增加。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日，公司董事黄维江先生辞职，辞职后</w:t>
      </w:r>
      <w:r>
        <w:rPr>
          <w:rFonts w:ascii="Times New Roman" w:hAnsi="Times New Roman" w:cs="Times New Roman" w:eastAsia="Times New Roman" w:hint="default"/>
        </w:rPr>
        <w:t>6</w:t>
      </w:r>
      <w:r>
        <w:rPr/>
        <w:t>个月内其所持有的所持有的公司股份锁定，导致公司有限售条件股 份中的高管锁定股增加</w:t>
      </w:r>
      <w:r>
        <w:rPr>
          <w:rFonts w:ascii="Times New Roman" w:hAnsi="Times New Roman" w:cs="Times New Roman" w:eastAsia="Times New Roman" w:hint="default"/>
        </w:rPr>
        <w:t>281,250</w:t>
      </w:r>
      <w:r>
        <w:rPr/>
        <w:t>股。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日，公司回购注销部分已获授但尚未解锁的股权激励限售股，导致公司有限售条件股份中股权激励限售股 减少</w:t>
      </w:r>
      <w:r>
        <w:rPr>
          <w:rFonts w:ascii="Times New Roman" w:hAnsi="Times New Roman" w:cs="Times New Roman" w:eastAsia="Times New Roman" w:hint="default"/>
        </w:rPr>
        <w:t>185,000</w:t>
      </w:r>
      <w:r>
        <w:rPr/>
        <w:t>股。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日，公司向股权激励对象授予预留限制性股票</w:t>
      </w:r>
      <w:r>
        <w:rPr>
          <w:rFonts w:ascii="Times New Roman" w:hAnsi="Times New Roman" w:cs="Times New Roman" w:eastAsia="Times New Roman" w:hint="default"/>
        </w:rPr>
        <w:t>1,080,000</w:t>
      </w:r>
      <w:r>
        <w:rPr/>
        <w:t>股，导致公司有限售条件股份中股权激励限售股增 加</w:t>
      </w:r>
      <w:r>
        <w:rPr>
          <w:rFonts w:ascii="Times New Roman" w:hAnsi="Times New Roman" w:cs="Times New Roman" w:eastAsia="Times New Roman" w:hint="default"/>
        </w:rPr>
        <w:t>1,080,000</w:t>
      </w:r>
      <w:r>
        <w:rPr/>
        <w:t>股。</w:t>
      </w:r>
    </w:p>
    <w:p>
      <w:pPr>
        <w:pStyle w:val="BodyText"/>
        <w:spacing w:line="300" w:lineRule="auto" w:before="11"/>
        <w:ind w:right="184"/>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日，公司股权激励计划第一个解锁期条件成就，导致公司有限售条件股份中股权激励限售股减少，无限售 流通股股增加。</w:t>
      </w:r>
    </w:p>
    <w:p>
      <w:pPr>
        <w:pStyle w:val="BodyText"/>
        <w:spacing w:line="240" w:lineRule="auto" w:before="72"/>
        <w:ind w:right="90"/>
        <w:jc w:val="left"/>
      </w:pPr>
      <w:r>
        <w:rPr/>
        <w:t>股份变动的批准情况</w:t>
      </w:r>
    </w:p>
    <w:p>
      <w:pPr>
        <w:pStyle w:val="BodyText"/>
        <w:spacing w:line="319" w:lineRule="auto" w:before="115"/>
        <w:ind w:right="9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日公司第四届董事会第二十八次会议和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日公司第二次临时股东大会，审议并通过了发行股份购买</w:t>
      </w:r>
      <w:r>
        <w:rPr>
          <w:spacing w:val="-58"/>
        </w:rPr>
        <w:t> </w:t>
      </w:r>
      <w:r>
        <w:rPr>
          <w:spacing w:val="-58"/>
        </w:rPr>
      </w:r>
      <w:r>
        <w:rPr>
          <w:spacing w:val="-2"/>
        </w:rPr>
        <w:t>资产并募集配套资金相关议案。本次重大资产重组事项获中国证监会上市公司并购重组委员会</w:t>
      </w:r>
      <w:r>
        <w:rPr>
          <w:rFonts w:ascii="Times New Roman" w:hAnsi="Times New Roman" w:cs="Times New Roman" w:eastAsia="Times New Roman" w:hint="default"/>
          <w:spacing w:val="-2"/>
        </w:rPr>
        <w:t>2015</w:t>
      </w:r>
      <w:r>
        <w:rPr>
          <w:spacing w:val="-2"/>
        </w:rPr>
        <w:t>年第</w:t>
      </w:r>
      <w:r>
        <w:rPr>
          <w:rFonts w:ascii="Times New Roman" w:hAnsi="Times New Roman" w:cs="Times New Roman" w:eastAsia="Times New Roman" w:hint="default"/>
          <w:spacing w:val="-2"/>
        </w:rPr>
        <w:t>59</w:t>
      </w:r>
      <w:r>
        <w:rPr>
          <w:spacing w:val="-2"/>
        </w:rPr>
        <w:t>次工作会议无条件</w:t>
      </w:r>
    </w:p>
    <w:p>
      <w:pPr>
        <w:pStyle w:val="BodyText"/>
        <w:spacing w:line="302" w:lineRule="auto"/>
        <w:ind w:left="153" w:right="90"/>
        <w:jc w:val="left"/>
      </w:pPr>
      <w:r>
        <w:rPr>
          <w:spacing w:val="-2"/>
        </w:rPr>
        <w:t>通过核准。公司于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日收到《关于核准江苏润和软件股份有限公司向宁波宏创股权投资合伙企业（有限合伙）发行</w:t>
      </w:r>
      <w:r>
        <w:rPr>
          <w:spacing w:val="-60"/>
        </w:rPr>
        <w:t> </w:t>
      </w:r>
      <w:r>
        <w:rPr>
          <w:spacing w:val="-60"/>
        </w:rPr>
      </w:r>
      <w:r>
        <w:rPr/>
        <w:t>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[2015]1856</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日，公司召开第四届董事会第三十二次会议，审议并通过了《关于回购注销</w:t>
      </w:r>
      <w:r>
        <w:rPr>
          <w:rFonts w:ascii="Times New Roman" w:hAnsi="Times New Roman" w:cs="Times New Roman" w:eastAsia="Times New Roman" w:hint="default"/>
          <w:spacing w:val="-2"/>
        </w:rPr>
        <w:t>2014</w:t>
      </w:r>
      <w:r>
        <w:rPr>
          <w:spacing w:val="-2"/>
        </w:rPr>
        <w:t>年限制性股票激励计划部分</w:t>
      </w:r>
      <w:r>
        <w:rPr>
          <w:spacing w:val="-59"/>
        </w:rPr>
        <w:t> </w:t>
      </w:r>
      <w:r>
        <w:rPr>
          <w:spacing w:val="-59"/>
        </w:rPr>
      </w:r>
      <w:r>
        <w:rPr>
          <w:spacing w:val="-2"/>
        </w:rPr>
        <w:t>已获授但尚未解锁的限制性股票的议案》。公司董事会同意取消</w:t>
      </w:r>
      <w:r>
        <w:rPr>
          <w:rFonts w:ascii="Times New Roman" w:hAnsi="Times New Roman" w:cs="Times New Roman" w:eastAsia="Times New Roman" w:hint="default"/>
          <w:spacing w:val="-2"/>
        </w:rPr>
        <w:t>11</w:t>
      </w:r>
      <w:r>
        <w:rPr>
          <w:spacing w:val="-2"/>
        </w:rPr>
        <w:t>名激励对象资格并回购注销其已获授权但尚未解锁的全部</w:t>
      </w:r>
      <w:r>
        <w:rPr>
          <w:spacing w:val="-63"/>
        </w:rPr>
        <w:t> </w:t>
      </w:r>
      <w:r>
        <w:rPr>
          <w:spacing w:val="-63"/>
        </w:rPr>
      </w:r>
      <w:r>
        <w:rPr/>
        <w:t>限制性股票共计</w:t>
      </w:r>
      <w:r>
        <w:rPr>
          <w:rFonts w:ascii="Times New Roman" w:hAnsi="Times New Roman" w:cs="Times New Roman" w:eastAsia="Times New Roman" w:hint="default"/>
        </w:rPr>
        <w:t>185,000</w:t>
      </w:r>
      <w:r>
        <w:rPr/>
        <w:t>股。同日，公司监事会对已不符合公司限制性股票激励计划规定的激励对象及回购注销的限制性股 票数量、价格进行了审核，同意回购注销</w:t>
      </w:r>
      <w:r>
        <w:rPr>
          <w:rFonts w:ascii="Times New Roman" w:hAnsi="Times New Roman" w:cs="Times New Roman" w:eastAsia="Times New Roman" w:hint="default"/>
        </w:rPr>
        <w:t>185,000</w:t>
      </w:r>
      <w:r>
        <w:rPr/>
        <w:t>股限制性股票。公司独立董事对此发表了独立意见，律师出具了法律意见 书。 </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9</w:t>
      </w:r>
      <w:r>
        <w:rPr>
          <w:spacing w:val="-3"/>
        </w:rPr>
        <w:t>日，公司召开第四届董事会第三十七次会议，审议并通过了《关于向激励对象授予预留限制性股票的议案》；</w:t>
      </w:r>
      <w:r>
        <w:rPr/>
        <w:t> 同日，公司召开第四届监事会第二十六次会议，审议并通过了《关于核实</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 励计划预留股票激励对象名单</w:t>
      </w:r>
      <w:r>
        <w:rPr>
          <w:rFonts w:ascii="Times New Roman" w:hAnsi="Times New Roman" w:cs="Times New Roman" w:eastAsia="Times New Roman" w:hint="default"/>
        </w:rPr>
        <w:t>&gt;</w:t>
      </w:r>
      <w:r>
        <w:rPr/>
        <w:t>的议案》。公司同意将</w:t>
      </w:r>
      <w:r>
        <w:rPr>
          <w:rFonts w:ascii="Times New Roman" w:hAnsi="Times New Roman" w:cs="Times New Roman" w:eastAsia="Times New Roman" w:hint="default"/>
        </w:rPr>
        <w:t>2014</w:t>
      </w:r>
      <w:r>
        <w:rPr/>
        <w:t>年限制性股票激励计划预留的</w:t>
      </w:r>
      <w:r>
        <w:rPr>
          <w:rFonts w:ascii="Times New Roman" w:hAnsi="Times New Roman" w:cs="Times New Roman" w:eastAsia="Times New Roman" w:hint="default"/>
        </w:rPr>
        <w:t>108.00</w:t>
      </w:r>
      <w:r>
        <w:rPr/>
        <w:t>万股票授予</w:t>
      </w:r>
      <w:r>
        <w:rPr>
          <w:rFonts w:ascii="Times New Roman" w:hAnsi="Times New Roman" w:cs="Times New Roman" w:eastAsia="Times New Roman" w:hint="default"/>
        </w:rPr>
        <w:t>91</w:t>
      </w:r>
      <w:r>
        <w:rPr/>
        <w:t>名激励对象， 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日。公司独立董事对上述事项发表了一致同意的独立意见。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日，公司完成《江苏润和软 </w:t>
      </w:r>
      <w:r>
        <w:rPr>
          <w:spacing w:val="-2"/>
        </w:rPr>
        <w:t>件股份有限公司</w:t>
      </w:r>
      <w:r>
        <w:rPr>
          <w:rFonts w:ascii="Times New Roman" w:hAnsi="Times New Roman" w:cs="Times New Roman" w:eastAsia="Times New Roman" w:hint="default"/>
          <w:spacing w:val="-2"/>
        </w:rPr>
        <w:t>2014</w:t>
      </w:r>
      <w:r>
        <w:rPr>
          <w:spacing w:val="-2"/>
        </w:rPr>
        <w:t>年限制性股票激励计划（草案修订稿）》所涉及预留限制性股票的授予登记工作，预留限制性股票的上</w:t>
      </w:r>
      <w:r>
        <w:rPr>
          <w:spacing w:val="-62"/>
        </w:rPr>
        <w:t> </w:t>
      </w:r>
      <w:r>
        <w:rPr>
          <w:spacing w:val="-62"/>
        </w:rPr>
      </w:r>
      <w:r>
        <w:rPr/>
        <w:t>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日，公司召开第四届董事会第三十九次会议，审议并通过了《关于</w:t>
      </w:r>
      <w:r>
        <w:rPr>
          <w:rFonts w:ascii="Times New Roman" w:hAnsi="Times New Roman" w:cs="Times New Roman" w:eastAsia="Times New Roman" w:hint="default"/>
        </w:rPr>
        <w:t>2014</w:t>
      </w:r>
      <w:r>
        <w:rPr/>
        <w:t>年限制性股票激励计划第一个解锁 </w:t>
      </w:r>
      <w:r>
        <w:rPr>
          <w:spacing w:val="-2"/>
        </w:rPr>
        <w:t>期条件成就可解锁的议案》，同意办理第一期限制性股票的解锁相关事宜。同日，公司监事会对该事项进行审核，同意上述</w:t>
      </w:r>
      <w:r>
        <w:rPr>
          <w:spacing w:val="-67"/>
        </w:rPr>
        <w:t> </w:t>
      </w:r>
      <w:r>
        <w:rPr>
          <w:spacing w:val="-67"/>
        </w:rPr>
      </w:r>
      <w:r>
        <w:rPr/>
        <w:t>股份解锁，公司独立董事对上述事项发表了一致同意的独立意见，律师出具了法律意见书。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日，公司召开第四届董事会第三十九次会议，审议通过了《关于回购注销</w:t>
      </w:r>
      <w:r>
        <w:rPr>
          <w:rFonts w:ascii="Times New Roman" w:hAnsi="Times New Roman" w:cs="Times New Roman" w:eastAsia="Times New Roman" w:hint="default"/>
        </w:rPr>
        <w:t>2014</w:t>
      </w:r>
      <w:r>
        <w:rPr/>
        <w:t>年限制性股票激励计划部分 已获授但尚未解锁的限制性股票的议案》。公司董事会同意：取消已离职人员杨凡、张峥、韩孝阳、邓一波</w:t>
      </w:r>
      <w:r>
        <w:rPr>
          <w:rFonts w:ascii="Times New Roman" w:hAnsi="Times New Roman" w:cs="Times New Roman" w:eastAsia="Times New Roman" w:hint="default"/>
        </w:rPr>
        <w:t>4</w:t>
      </w:r>
      <w:r>
        <w:rPr/>
        <w:t>人的激励对象 </w:t>
      </w:r>
      <w:r>
        <w:rPr>
          <w:spacing w:val="-2"/>
        </w:rPr>
        <w:t>资格并回购注销其已获授权但尚未解锁的全部限制性股票共计</w:t>
      </w:r>
      <w:r>
        <w:rPr>
          <w:rFonts w:ascii="Times New Roman" w:hAnsi="Times New Roman" w:cs="Times New Roman" w:eastAsia="Times New Roman" w:hint="default"/>
          <w:spacing w:val="-2"/>
        </w:rPr>
        <w:t>60,000</w:t>
      </w:r>
      <w:r>
        <w:rPr>
          <w:spacing w:val="-2"/>
        </w:rPr>
        <w:t>股；将激励对象杨斌已满足解锁条件的</w:t>
      </w:r>
      <w:r>
        <w:rPr>
          <w:rFonts w:ascii="Times New Roman" w:hAnsi="Times New Roman" w:cs="Times New Roman" w:eastAsia="Times New Roman" w:hint="default"/>
          <w:spacing w:val="-2"/>
        </w:rPr>
        <w:t>3,000</w:t>
      </w:r>
      <w:r>
        <w:rPr>
          <w:spacing w:val="-2"/>
        </w:rPr>
        <w:t>股限制性股</w:t>
      </w:r>
      <w:r>
        <w:rPr>
          <w:spacing w:val="-57"/>
        </w:rPr>
        <w:t> </w:t>
      </w:r>
      <w:r>
        <w:rPr>
          <w:spacing w:val="-57"/>
        </w:rPr>
      </w:r>
      <w:r>
        <w:rPr/>
        <w:t>票根据考核结果解锁，并将其剩余</w:t>
      </w:r>
      <w:r>
        <w:rPr>
          <w:rFonts w:ascii="Times New Roman" w:hAnsi="Times New Roman" w:cs="Times New Roman" w:eastAsia="Times New Roman" w:hint="default"/>
        </w:rPr>
        <w:t>7,000</w:t>
      </w:r>
      <w:r>
        <w:rPr/>
        <w:t>股已获授权但尚未解锁的限制性股票由公司回购后予以注销；将激励对象强征已获 授但尚未解锁的</w:t>
      </w:r>
      <w:r>
        <w:rPr>
          <w:rFonts w:ascii="Times New Roman" w:hAnsi="Times New Roman" w:cs="Times New Roman" w:eastAsia="Times New Roman" w:hint="default"/>
        </w:rPr>
        <w:t>2014</w:t>
      </w:r>
      <w:r>
        <w:rPr/>
        <w:t>年限制性股票</w:t>
      </w:r>
      <w:r>
        <w:rPr>
          <w:rFonts w:ascii="Times New Roman" w:hAnsi="Times New Roman" w:cs="Times New Roman" w:eastAsia="Times New Roman" w:hint="default"/>
        </w:rPr>
        <w:t>7,500</w:t>
      </w:r>
      <w:r>
        <w:rPr/>
        <w:t>股进行回购注销，并对回购价格进行调整。同事，公司监事会对已不符合公司限制 性股票激励计划规定的激励对象及回购注销的限制性股票数量、价格进行了审核，同意回购注销上述共计</w:t>
      </w:r>
      <w:r>
        <w:rPr>
          <w:rFonts w:ascii="Times New Roman" w:hAnsi="Times New Roman" w:cs="Times New Roman" w:eastAsia="Times New Roman" w:hint="default"/>
        </w:rPr>
        <w:t>74,500</w:t>
      </w:r>
      <w:r>
        <w:rPr/>
        <w:t>股股票。公 司独立董事对此发表了独立意见，律师出具了法律意见书。</w:t>
      </w:r>
    </w:p>
    <w:p>
      <w:pPr>
        <w:pStyle w:val="BodyText"/>
        <w:spacing w:line="240" w:lineRule="auto" w:before="70"/>
        <w:ind w:left="153" w:right="90"/>
        <w:jc w:val="left"/>
      </w:pPr>
      <w:r>
        <w:rPr/>
        <w:t>股份变动的过户情况</w:t>
      </w:r>
    </w:p>
    <w:p>
      <w:pPr>
        <w:pStyle w:val="BodyText"/>
        <w:spacing w:line="240" w:lineRule="auto" w:before="115"/>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53" w:right="9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日，公司首发前限售股</w:t>
      </w:r>
      <w:r>
        <w:rPr>
          <w:rFonts w:ascii="Times New Roman" w:hAnsi="Times New Roman" w:cs="Times New Roman" w:eastAsia="Times New Roman" w:hint="default"/>
        </w:rPr>
        <w:t>92,583,000</w:t>
      </w:r>
      <w:r>
        <w:rPr/>
        <w:t>股解除限售。相关手续已在中国证券登记结算有限责任公司深圳分公司和</w:t>
      </w:r>
    </w:p>
    <w:p>
      <w:pPr>
        <w:spacing w:after="0" w:line="240" w:lineRule="auto"/>
        <w:jc w:val="left"/>
        <w:sectPr>
          <w:footerReference w:type="default" r:id="rId13"/>
          <w:pgSz w:w="11910" w:h="16840"/>
          <w:pgMar w:footer="982" w:header="745" w:top="1060" w:bottom="1180" w:left="980" w:right="940"/>
          <w:pgNumType w:start="62"/>
        </w:sectPr>
      </w:pPr>
    </w:p>
    <w:p>
      <w:pPr>
        <w:spacing w:line="240" w:lineRule="auto" w:before="9"/>
        <w:rPr>
          <w:rFonts w:ascii="宋体" w:hAnsi="宋体" w:cs="宋体" w:eastAsia="宋体" w:hint="default"/>
          <w:sz w:val="25"/>
          <w:szCs w:val="25"/>
        </w:rPr>
      </w:pPr>
    </w:p>
    <w:p>
      <w:pPr>
        <w:pStyle w:val="BodyText"/>
        <w:spacing w:line="302" w:lineRule="auto" w:before="44"/>
        <w:ind w:right="96"/>
        <w:jc w:val="left"/>
      </w:pPr>
      <w:r>
        <w:rPr/>
        <w:t>深交所办理完毕。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日，公司在中国证券登记结算有限责任公司深圳分公司完成</w:t>
      </w:r>
      <w:r>
        <w:rPr>
          <w:rFonts w:ascii="Times New Roman" w:hAnsi="Times New Roman" w:cs="Times New Roman" w:eastAsia="Times New Roman" w:hint="default"/>
        </w:rPr>
        <w:t>2014</w:t>
      </w:r>
      <w:r>
        <w:rPr/>
        <w:t>年限制性股票激励计划部分已获授但尚未 解锁的限制性股票的回购注销手续，回购注销</w:t>
      </w:r>
      <w:r>
        <w:rPr>
          <w:rFonts w:ascii="Times New Roman" w:hAnsi="Times New Roman" w:cs="Times New Roman" w:eastAsia="Times New Roman" w:hint="default"/>
        </w:rPr>
        <w:t>185,000</w:t>
      </w:r>
      <w:r>
        <w:rPr/>
        <w:t>股限制性股票。 </w:t>
      </w:r>
      <w:r>
        <w:rPr>
          <w:rFonts w:ascii="Times New Roman" w:hAnsi="Times New Roman" w:cs="Times New Roman" w:eastAsia="Times New Roman" w:hint="default"/>
          <w:spacing w:val="-2"/>
        </w:rPr>
        <w:t>3</w:t>
      </w:r>
      <w:r>
        <w:rPr>
          <w:spacing w:val="-2"/>
        </w:rPr>
        <w:t>、联创智融依法就发行股份及支付现金购买资产标的资产过户事宜履行工商变更登记手续，</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日联创智融领取了</w:t>
      </w:r>
      <w:r>
        <w:rPr>
          <w:spacing w:val="-63"/>
        </w:rPr>
        <w:t> </w:t>
      </w:r>
      <w:r>
        <w:rPr>
          <w:spacing w:val="-63"/>
        </w:rPr>
      </w:r>
      <w:r>
        <w:rPr/>
        <w:t>北京市工商行政管理局海淀区分局重新核发的注册号为 </w:t>
      </w:r>
      <w:r>
        <w:rPr>
          <w:rFonts w:ascii="Times New Roman" w:hAnsi="Times New Roman" w:cs="Times New Roman" w:eastAsia="Times New Roman" w:hint="default"/>
        </w:rPr>
        <w:t>110108014538153</w:t>
      </w:r>
      <w:r>
        <w:rPr>
          <w:rFonts w:ascii="Times New Roman" w:hAnsi="Times New Roman" w:cs="Times New Roman" w:eastAsia="Times New Roman" w:hint="default"/>
          <w:spacing w:val="19"/>
        </w:rPr>
        <w:t> </w:t>
      </w:r>
      <w:r>
        <w:rPr>
          <w:spacing w:val="-3"/>
        </w:rPr>
        <w:t>的营业执照，标的资产过户手续已全部办理完成，</w:t>
      </w:r>
      <w:r>
        <w:rPr/>
        <w:t> 相关股权已变更登记至公司名下，双方已完成了联创智融</w:t>
      </w:r>
      <w:r>
        <w:rPr>
          <w:spacing w:val="-35"/>
        </w:rPr>
        <w:t> </w:t>
      </w:r>
      <w:r>
        <w:rPr>
          <w:rFonts w:ascii="Times New Roman" w:hAnsi="Times New Roman" w:cs="Times New Roman" w:eastAsia="Times New Roman" w:hint="default"/>
        </w:rPr>
        <w:t>100%</w:t>
      </w:r>
      <w:r>
        <w:rPr/>
        <w:t>股权过户事宜，相关工商变更登记手续已办理完毕，公司已 持有联创智融</w:t>
      </w:r>
      <w:r>
        <w:rPr>
          <w:spacing w:val="-20"/>
        </w:rPr>
        <w:t> </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日，公司披露了《发行股份及支付现金购买资产并募集配套资金实施情况报告书 暨新增股份上市公告书》，本次发行新增股份</w:t>
      </w:r>
      <w:r>
        <w:rPr>
          <w:rFonts w:ascii="Times New Roman" w:hAnsi="Times New Roman" w:cs="Times New Roman" w:eastAsia="Times New Roman" w:hint="default"/>
        </w:rPr>
        <w:t>72,664,076</w:t>
      </w: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日上市。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日，公司第四届董事会第三十五次会议审议通过了《关于变更公司注册资本并修改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 </w:t>
      </w:r>
      <w:r>
        <w:rPr>
          <w:spacing w:val="-2"/>
        </w:rPr>
        <w:t>根据公司</w:t>
      </w:r>
      <w:r>
        <w:rPr>
          <w:rFonts w:ascii="Times New Roman" w:hAnsi="Times New Roman" w:cs="Times New Roman" w:eastAsia="Times New Roman" w:hint="default"/>
          <w:spacing w:val="-2"/>
        </w:rPr>
        <w:t>2014</w:t>
      </w:r>
      <w:r>
        <w:rPr>
          <w:spacing w:val="-2"/>
        </w:rPr>
        <w:t>年第五次临时股东大会和</w:t>
      </w:r>
      <w:r>
        <w:rPr>
          <w:rFonts w:ascii="Times New Roman" w:hAnsi="Times New Roman" w:cs="Times New Roman" w:eastAsia="Times New Roman" w:hint="default"/>
          <w:spacing w:val="-2"/>
        </w:rPr>
        <w:t>2015</w:t>
      </w:r>
      <w:r>
        <w:rPr>
          <w:spacing w:val="-2"/>
        </w:rPr>
        <w:t>年第二次临时股东大会的授权，董事会同意公司在发行股份及支付现金购买资产</w:t>
      </w:r>
      <w:r>
        <w:rPr>
          <w:spacing w:val="-60"/>
        </w:rPr>
        <w:t> </w:t>
      </w:r>
      <w:r>
        <w:rPr>
          <w:spacing w:val="-60"/>
        </w:rPr>
      </w:r>
      <w:r>
        <w:rPr>
          <w:spacing w:val="-2"/>
        </w:rPr>
        <w:t>并募集配套资金完成后根据发行结果以及限制性股票回购注销情况，相应修改《公司章程》并办理公司注册资本的工商变更</w:t>
      </w:r>
      <w:r>
        <w:rPr>
          <w:spacing w:val="-65"/>
        </w:rPr>
        <w:t> </w:t>
      </w:r>
      <w:r>
        <w:rPr>
          <w:spacing w:val="-65"/>
        </w:rPr>
      </w:r>
      <w:r>
        <w:rPr/>
        <w:t>登记。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日，公司完成工商变更相关手续。 </w:t>
      </w:r>
      <w:r>
        <w:rPr>
          <w:rFonts w:ascii="Times New Roman" w:hAnsi="Times New Roman" w:cs="Times New Roman" w:eastAsia="Times New Roman" w:hint="default"/>
        </w:rPr>
        <w:t>5</w:t>
      </w:r>
      <w:r>
        <w:rPr/>
        <w:t>、公司完成《江苏润和软件股份有限公司</w:t>
      </w:r>
      <w:r>
        <w:rPr>
          <w:rFonts w:ascii="Times New Roman" w:hAnsi="Times New Roman" w:cs="Times New Roman" w:eastAsia="Times New Roman" w:hint="default"/>
        </w:rPr>
        <w:t>2014</w:t>
      </w:r>
      <w:r>
        <w:rPr/>
        <w:t>年限制性股票激励计划（草案修订稿）》所涉及预留限制性股票的授予登记 工作，将</w:t>
      </w:r>
      <w:r>
        <w:rPr>
          <w:rFonts w:ascii="Times New Roman" w:hAnsi="Times New Roman" w:cs="Times New Roman" w:eastAsia="Times New Roman" w:hint="default"/>
        </w:rPr>
        <w:t>108.00</w:t>
      </w:r>
      <w:r>
        <w:rPr/>
        <w:t>万股票授予</w:t>
      </w:r>
      <w:r>
        <w:rPr>
          <w:rFonts w:ascii="Times New Roman" w:hAnsi="Times New Roman" w:cs="Times New Roman" w:eastAsia="Times New Roman" w:hint="default"/>
        </w:rPr>
        <w:t>91</w:t>
      </w:r>
      <w:r>
        <w:rPr/>
        <w:t>名激励对象，预留限制性股票的上市日期为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w:t>
      </w:r>
      <w:r>
        <w:rPr>
          <w:spacing w:val="-3"/>
        </w:rPr>
        <w:t> </w:t>
      </w:r>
      <w:r>
        <w:rPr>
          <w:rFonts w:ascii="Times New Roman" w:hAnsi="Times New Roman" w:cs="Times New Roman" w:eastAsia="Times New Roman" w:hint="default"/>
        </w:rPr>
        <w:t>6</w:t>
      </w:r>
      <w:r>
        <w:rPr/>
        <w:t>、公司完成</w:t>
      </w:r>
      <w:r>
        <w:rPr>
          <w:rFonts w:ascii="Times New Roman" w:hAnsi="Times New Roman" w:cs="Times New Roman" w:eastAsia="Times New Roman" w:hint="default"/>
        </w:rPr>
        <w:t>2014</w:t>
      </w:r>
      <w:r>
        <w:rPr/>
        <w:t>年限制性股票激励计划第一个解锁期条件成就可解锁股份的解锁登记手续，本次符合解锁条件的激励对象 </w:t>
      </w:r>
      <w:r>
        <w:rPr>
          <w:spacing w:val="-5"/>
        </w:rPr>
        <w:t>共计</w:t>
      </w:r>
      <w:r>
        <w:rPr>
          <w:rFonts w:ascii="Times New Roman" w:hAnsi="Times New Roman" w:cs="Times New Roman" w:eastAsia="Times New Roman" w:hint="default"/>
          <w:spacing w:val="-5"/>
        </w:rPr>
        <w:t>284</w:t>
      </w:r>
      <w:r>
        <w:rPr>
          <w:spacing w:val="-5"/>
        </w:rPr>
        <w:t>人，可解锁的限制性股票数量为</w:t>
      </w:r>
      <w:r>
        <w:rPr>
          <w:rFonts w:ascii="Times New Roman" w:hAnsi="Times New Roman" w:cs="Times New Roman" w:eastAsia="Times New Roman" w:hint="default"/>
          <w:spacing w:val="-5"/>
        </w:rPr>
        <w:t>320.40</w:t>
      </w:r>
      <w:r>
        <w:rPr>
          <w:spacing w:val="-5"/>
        </w:rPr>
        <w:t>万股，实际可上市流通数量为</w:t>
      </w:r>
      <w:r>
        <w:rPr>
          <w:rFonts w:ascii="Times New Roman" w:hAnsi="Times New Roman" w:cs="Times New Roman" w:eastAsia="Times New Roman" w:hint="default"/>
          <w:spacing w:val="-5"/>
        </w:rPr>
        <w:t>307.15</w:t>
      </w:r>
      <w:r>
        <w:rPr>
          <w:spacing w:val="-5"/>
        </w:rPr>
        <w:t>股，本期限制性股票的上市流通日期为</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w:t>
      </w:r>
    </w:p>
    <w:p>
      <w:pPr>
        <w:pStyle w:val="BodyText"/>
        <w:spacing w:line="240" w:lineRule="auto" w:before="52"/>
        <w:ind w:right="90"/>
        <w:jc w:val="left"/>
      </w:pPr>
      <w:r>
        <w:rPr/>
        <w:t>股份变动对最近一年和最近一期基本每股收益和稀释每股收益、归属于公司普通股股东的每股净资产等财务指标的影响</w:t>
      </w:r>
    </w:p>
    <w:p>
      <w:pPr>
        <w:pStyle w:val="BodyText"/>
        <w:spacing w:line="240" w:lineRule="auto" w:before="115"/>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153" w:right="237" w:firstLine="576"/>
        <w:jc w:val="left"/>
      </w:pPr>
      <w:r>
        <w:rPr>
          <w:rFonts w:ascii="Times New Roman" w:hAnsi="Times New Roman" w:cs="Times New Roman" w:eastAsia="Times New Roman" w:hint="default"/>
        </w:rPr>
        <w:t>2015</w:t>
      </w:r>
      <w:r>
        <w:rPr/>
        <w:t>年度重大资产重组发行股份登记、</w:t>
      </w:r>
      <w:r>
        <w:rPr>
          <w:rFonts w:ascii="Times New Roman" w:hAnsi="Times New Roman" w:cs="Times New Roman" w:eastAsia="Times New Roman" w:hint="default"/>
        </w:rPr>
        <w:t>2014</w:t>
      </w:r>
      <w:r>
        <w:rPr/>
        <w:t>年限制性股票激励计划股份回购注销以及预留股份授予登记完成后均摊 薄了最近一年和最近一期的基本每股收益和稀释每股收益及每股净资产等财务指标。</w:t>
      </w:r>
    </w:p>
    <w:p>
      <w:pPr>
        <w:pStyle w:val="BodyText"/>
        <w:spacing w:line="240" w:lineRule="auto" w:before="72"/>
        <w:ind w:left="153" w:right="90"/>
        <w:jc w:val="left"/>
      </w:pPr>
      <w:r>
        <w:rPr/>
        <w:t>公司认为必要或证券监管机构要求披露的其他内容</w:t>
      </w:r>
    </w:p>
    <w:p>
      <w:pPr>
        <w:pStyle w:val="BodyText"/>
        <w:spacing w:line="240" w:lineRule="auto" w:before="115"/>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90"/>
        <w:jc w:val="left"/>
        <w:rPr>
          <w:b w:val="0"/>
          <w:bCs w:val="0"/>
        </w:rPr>
      </w:pPr>
      <w:bookmarkStart w:name="2、限售股份变动情况" w:id="103"/>
      <w:bookmarkEnd w:id="10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2"/>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5"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江苏润和科技投 资集团有限公司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62,553,000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62,553,000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58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29,264,033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7,316,008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155,250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22,103,275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53"/>
              <w:jc w:val="both"/>
              <w:rPr>
                <w:rFonts w:ascii="宋体" w:hAnsi="宋体" w:cs="宋体" w:eastAsia="宋体" w:hint="default"/>
                <w:sz w:val="18"/>
                <w:szCs w:val="18"/>
              </w:rPr>
            </w:pPr>
            <w:r>
              <w:rPr>
                <w:rFonts w:ascii="宋体" w:hAnsi="宋体" w:cs="宋体" w:eastAsia="宋体" w:hint="default"/>
                <w:sz w:val="18"/>
                <w:szCs w:val="18"/>
              </w:rPr>
              <w:t>首发前限售、首 发后限售及高管 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首发前限售股的 解锁时间为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p>
          <w:p>
            <w:pPr>
              <w:pStyle w:val="TableParagraph"/>
              <w:spacing w:line="309" w:lineRule="auto"/>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6"/>
                <w:sz w:val="18"/>
                <w:szCs w:val="18"/>
              </w:rPr>
              <w:t>日，首</w:t>
            </w:r>
            <w:r>
              <w:rPr>
                <w:rFonts w:ascii="宋体" w:hAnsi="宋体" w:cs="宋体" w:eastAsia="宋体" w:hint="default"/>
                <w:spacing w:val="-53"/>
                <w:sz w:val="18"/>
                <w:szCs w:val="18"/>
              </w:rPr>
              <w:t> </w:t>
            </w:r>
            <w:r>
              <w:rPr>
                <w:rFonts w:ascii="宋体" w:hAnsi="宋体" w:cs="宋体" w:eastAsia="宋体" w:hint="default"/>
                <w:sz w:val="18"/>
                <w:szCs w:val="18"/>
              </w:rPr>
              <w:t>发后限售股解锁</w:t>
            </w:r>
            <w:r>
              <w:rPr>
                <w:rFonts w:ascii="宋体" w:hAnsi="宋体" w:cs="宋体" w:eastAsia="宋体" w:hint="default"/>
                <w:sz w:val="18"/>
                <w:szCs w:val="18"/>
              </w:rPr>
              <w:t> 时间为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p>
          <w:p>
            <w:pPr>
              <w:pStyle w:val="TableParagraph"/>
              <w:spacing w:line="309" w:lineRule="auto" w:before="5"/>
              <w:ind w:left="23" w:right="34"/>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日，高管锁 定股每年按持股 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12,031,750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首发前限售及高 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首发前限售股的 解锁时间为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1298" w:hRule="exact"/>
        </w:trPr>
        <w:tc>
          <w:tcPr>
            <w:tcW w:w="147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3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6"/>
                <w:sz w:val="18"/>
                <w:szCs w:val="18"/>
              </w:rPr>
              <w:t>日，高</w:t>
            </w:r>
            <w:r>
              <w:rPr>
                <w:rFonts w:ascii="宋体" w:hAnsi="宋体" w:cs="宋体" w:eastAsia="宋体" w:hint="default"/>
                <w:spacing w:val="-53"/>
                <w:sz w:val="18"/>
                <w:szCs w:val="18"/>
              </w:rPr>
              <w:t> </w:t>
            </w:r>
            <w:r>
              <w:rPr>
                <w:rFonts w:ascii="宋体" w:hAnsi="宋体" w:cs="宋体" w:eastAsia="宋体" w:hint="default"/>
                <w:sz w:val="18"/>
                <w:szCs w:val="18"/>
              </w:rPr>
              <w:t>管锁定股每年按</w:t>
            </w:r>
            <w:r>
              <w:rPr>
                <w:rFonts w:ascii="宋体" w:hAnsi="宋体" w:cs="宋体" w:eastAsia="宋体" w:hint="default"/>
                <w:sz w:val="18"/>
                <w:szCs w:val="18"/>
              </w:rPr>
              <w:t> 持股总数的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锁定</w:t>
            </w:r>
          </w:p>
        </w:tc>
      </w:tr>
      <w:tr>
        <w:trPr>
          <w:trHeight w:val="102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5,079,375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5,079,375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高管锁定股每年 按持股总数的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227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2,535,625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2,285,625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高管锁定及股权 激励限售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按持股总数的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锁定，股权 激励限售股自首 次授予日起满</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p>
            <w:pPr>
              <w:pStyle w:val="TableParagraph"/>
              <w:spacing w:line="300" w:lineRule="auto" w:before="1"/>
              <w:ind w:left="23" w:right="137"/>
              <w:jc w:val="left"/>
              <w:rPr>
                <w:rFonts w:ascii="宋体" w:hAnsi="宋体" w:cs="宋体" w:eastAsia="宋体" w:hint="default"/>
                <w:sz w:val="18"/>
                <w:szCs w:val="18"/>
              </w:rPr>
            </w:pPr>
            <w:r>
              <w:rPr>
                <w:rFonts w:ascii="宋体" w:hAnsi="宋体" w:cs="宋体" w:eastAsia="宋体" w:hint="default"/>
                <w:sz w:val="18"/>
                <w:szCs w:val="18"/>
              </w:rPr>
              <w:t>个月后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内按比例解锁</w:t>
            </w:r>
          </w:p>
        </w:tc>
      </w:tr>
      <w:tr>
        <w:trPr>
          <w:trHeight w:val="258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1,125,000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1,125,000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黄维江先生已辞 去公司董事一 职，辞职后在公 司不再担任其他 职务，高管锁定 股将于辞职生效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 锁</w:t>
            </w:r>
          </w:p>
        </w:tc>
      </w:tr>
      <w:tr>
        <w:trPr>
          <w:trHeight w:val="102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高管锁定股每年 按持股总数的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高管锁定股每年 按持股总数的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21,962,346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21,962,346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王拥军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2,052,860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2,052,860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吴向东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1,466,328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1,466,328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195,510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195,510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吴天波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195,510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195,510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郭小宇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195,510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195,510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浙江海宁佳慧投 </w:t>
            </w:r>
            <w:r>
              <w:rPr>
                <w:rFonts w:ascii="宋体" w:hAnsi="宋体" w:cs="宋体" w:eastAsia="宋体" w:hint="default"/>
                <w:spacing w:val="-3"/>
                <w:sz w:val="18"/>
                <w:szCs w:val="18"/>
              </w:rPr>
              <w:t>资合伙企业（有限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4,344,677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4,344,677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宁波宏创股权投 </w:t>
            </w:r>
            <w:r>
              <w:rPr>
                <w:rFonts w:ascii="宋体" w:hAnsi="宋体" w:cs="宋体" w:eastAsia="宋体" w:hint="default"/>
                <w:spacing w:val="-3"/>
                <w:sz w:val="18"/>
                <w:szCs w:val="18"/>
              </w:rPr>
              <w:t>资合伙企业（有限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48,124,698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48,124,698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西藏瑞华投资发 展有限公司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11,165,698</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11,165,698</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2"/>
              <w:jc w:val="both"/>
              <w:rPr>
                <w:rFonts w:ascii="宋体" w:hAnsi="宋体" w:cs="宋体" w:eastAsia="宋体" w:hint="default"/>
                <w:sz w:val="18"/>
                <w:szCs w:val="18"/>
              </w:rPr>
            </w:pPr>
            <w:r>
              <w:rPr>
                <w:rFonts w:ascii="宋体" w:hAnsi="宋体" w:cs="宋体" w:eastAsia="宋体" w:hint="default"/>
                <w:sz w:val="18"/>
                <w:szCs w:val="18"/>
              </w:rPr>
              <w:t>南京泰瑞投资管 理中心（有限合 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2,207,982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2,207,982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5,582,849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5,582,849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王学军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5,582,849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5,582,849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高管锁定及股权 激励限售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按持股总数的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锁定，股权 激励限售股自首 次授予日起满</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p>
            <w:pPr>
              <w:pStyle w:val="TableParagraph"/>
              <w:spacing w:line="300" w:lineRule="auto" w:before="1"/>
              <w:ind w:left="23" w:right="137"/>
              <w:jc w:val="left"/>
              <w:rPr>
                <w:rFonts w:ascii="宋体" w:hAnsi="宋体" w:cs="宋体" w:eastAsia="宋体" w:hint="default"/>
                <w:sz w:val="18"/>
                <w:szCs w:val="18"/>
              </w:rPr>
            </w:pPr>
            <w:r>
              <w:rPr>
                <w:rFonts w:ascii="宋体" w:hAnsi="宋体" w:cs="宋体" w:eastAsia="宋体" w:hint="default"/>
                <w:sz w:val="18"/>
                <w:szCs w:val="18"/>
              </w:rPr>
              <w:t>个月后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内按比例解锁</w:t>
            </w:r>
          </w:p>
        </w:tc>
      </w:tr>
      <w:tr>
        <w:trPr>
          <w:trHeight w:val="227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53"/>
              <w:jc w:val="left"/>
              <w:rPr>
                <w:rFonts w:ascii="宋体" w:hAnsi="宋体" w:cs="宋体" w:eastAsia="宋体" w:hint="default"/>
                <w:sz w:val="18"/>
                <w:szCs w:val="18"/>
              </w:rPr>
            </w:pPr>
            <w:r>
              <w:rPr>
                <w:rFonts w:ascii="宋体" w:hAnsi="宋体" w:cs="宋体" w:eastAsia="宋体" w:hint="default"/>
                <w:sz w:val="18"/>
                <w:szCs w:val="18"/>
              </w:rPr>
              <w:t>高管锁定及股权 激励限售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按持股总数的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锁定，股权 激励限售股自首 次授予日起满</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p>
            <w:pPr>
              <w:pStyle w:val="TableParagraph"/>
              <w:spacing w:line="300" w:lineRule="auto" w:before="3"/>
              <w:ind w:left="23" w:right="137"/>
              <w:jc w:val="left"/>
              <w:rPr>
                <w:rFonts w:ascii="宋体" w:hAnsi="宋体" w:cs="宋体" w:eastAsia="宋体" w:hint="default"/>
                <w:sz w:val="18"/>
                <w:szCs w:val="18"/>
              </w:rPr>
            </w:pPr>
            <w:r>
              <w:rPr>
                <w:rFonts w:ascii="宋体" w:hAnsi="宋体" w:cs="宋体" w:eastAsia="宋体" w:hint="default"/>
                <w:sz w:val="18"/>
                <w:szCs w:val="18"/>
              </w:rPr>
              <w:t>个月后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内按比例解锁</w:t>
            </w:r>
          </w:p>
        </w:tc>
      </w:tr>
      <w:tr>
        <w:trPr>
          <w:trHeight w:val="1649"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82"/>
              <w:jc w:val="left"/>
              <w:rPr>
                <w:rFonts w:ascii="宋体" w:hAnsi="宋体" w:cs="宋体" w:eastAsia="宋体" w:hint="default"/>
                <w:sz w:val="18"/>
                <w:szCs w:val="18"/>
              </w:rPr>
            </w:pPr>
            <w:r>
              <w:rPr>
                <w:rFonts w:ascii="宋体" w:hAnsi="宋体" w:cs="宋体" w:eastAsia="宋体" w:hint="default"/>
                <w:sz w:val="18"/>
                <w:szCs w:val="18"/>
              </w:rPr>
              <w:t>其他股权激励首 次授予对象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6,086,000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股权激励限售股 自首次授予日起 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个月内按比例解 锁</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154,893,024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74,925,508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73,981,076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153,948,592</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证券发行与上市情况" w:id="104"/>
      <w:bookmarkEnd w:id="104"/>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5"/>
      <w:bookmarkEnd w:id="10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6"/>
        <w:gridCol w:w="1296"/>
        <w:gridCol w:w="1682"/>
      </w:tblGrid>
      <w:tr>
        <w:trPr>
          <w:trHeight w:val="714" w:hRule="exact"/>
        </w:trPr>
        <w:tc>
          <w:tcPr>
            <w:tcW w:w="14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22.39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72,664,076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72,664,076</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18.73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1,080,000</w:t>
            </w: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0"/>
        <w:gridCol w:w="1294"/>
        <w:gridCol w:w="1296"/>
        <w:gridCol w:w="1294"/>
        <w:gridCol w:w="1296"/>
        <w:gridCol w:w="1296"/>
        <w:gridCol w:w="1682"/>
      </w:tblGrid>
      <w:tr>
        <w:trPr>
          <w:trHeight w:val="362" w:hRule="exact"/>
        </w:trPr>
        <w:tc>
          <w:tcPr>
            <w:tcW w:w="141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90"/>
        <w:jc w:val="left"/>
      </w:pPr>
      <w:r>
        <w:rPr/>
        <w:t>报告期内证券发行（不含优先股）情况的说明</w:t>
      </w:r>
    </w:p>
    <w:p>
      <w:pPr>
        <w:pStyle w:val="BodyText"/>
        <w:spacing w:line="309" w:lineRule="auto" w:before="115"/>
        <w:ind w:right="19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日，公司召开第四届董事会第二十八次会议，审议并通过了《关于发行股份及支付现金购买资产并募集配套 </w:t>
      </w:r>
      <w:r>
        <w:rPr>
          <w:spacing w:val="-2"/>
        </w:rPr>
        <w:t>资金的议案》等重大资产重组的相关议案，同意公司通过发行股份及支付现金的方式购买宁波宏创股权投资合伙企业（有限</w:t>
      </w:r>
      <w:r>
        <w:rPr>
          <w:spacing w:val="-63"/>
        </w:rPr>
        <w:t> </w:t>
      </w:r>
      <w:r>
        <w:rPr>
          <w:spacing w:val="-63"/>
        </w:rPr>
      </w:r>
      <w:r>
        <w:rPr>
          <w:spacing w:val="-2"/>
        </w:rPr>
        <w:t>合伙）、江苏高投成长价值股权投资合伙企业（有限合伙）、宁波道生一股权投资合伙企业（有限合伙）、浙江海宁嘉慧投</w:t>
      </w:r>
      <w:r>
        <w:rPr>
          <w:spacing w:val="-65"/>
        </w:rPr>
        <w:t> </w:t>
      </w:r>
      <w:r>
        <w:rPr>
          <w:spacing w:val="-65"/>
        </w:rPr>
      </w:r>
      <w:r>
        <w:rPr>
          <w:spacing w:val="-2"/>
        </w:rPr>
        <w:t>资合伙企业（有限合伙）、山南置立方投资管理有限公司及苏州市富士莱技术服务发展中心（有限合伙）合计持有的北京联</w:t>
      </w:r>
      <w:r>
        <w:rPr>
          <w:spacing w:val="-65"/>
        </w:rPr>
        <w:t> </w:t>
      </w:r>
      <w:r>
        <w:rPr>
          <w:spacing w:val="-65"/>
        </w:rPr>
      </w:r>
      <w:r>
        <w:rPr/>
        <w:t>创智融信息技术有限公司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2015</w:t>
      </w:r>
      <w:r>
        <w:rPr/>
        <w:t>年第二次股东大会，以现场投票和网络投票相结合的表 </w:t>
      </w:r>
      <w:r>
        <w:rPr>
          <w:spacing w:val="-2"/>
        </w:rPr>
        <w:t>决方式审议通过了本次重大资产重组相关议案。本次重大资产重组事项获得中国证监会上市公司并购重组委员会</w:t>
      </w:r>
      <w:r>
        <w:rPr>
          <w:rFonts w:ascii="Times New Roman" w:hAnsi="Times New Roman" w:cs="Times New Roman" w:eastAsia="Times New Roman" w:hint="default"/>
          <w:spacing w:val="-2"/>
        </w:rPr>
        <w:t>2015</w:t>
      </w:r>
      <w:r>
        <w:rPr>
          <w:spacing w:val="-2"/>
        </w:rPr>
        <w:t>年第</w:t>
      </w:r>
      <w:r>
        <w:rPr>
          <w:rFonts w:ascii="Times New Roman" w:hAnsi="Times New Roman" w:cs="Times New Roman" w:eastAsia="Times New Roman" w:hint="default"/>
          <w:spacing w:val="-2"/>
        </w:rPr>
        <w:t>59</w:t>
      </w:r>
      <w:r>
        <w:rPr>
          <w:rFonts w:ascii="Times New Roman" w:hAnsi="Times New Roman" w:cs="Times New Roman" w:eastAsia="Times New Roman" w:hint="default"/>
          <w:spacing w:val="-16"/>
        </w:rPr>
        <w:t> </w:t>
      </w:r>
      <w:r>
        <w:rPr>
          <w:spacing w:val="-2"/>
        </w:rPr>
        <w:t>次工作会议无条件通过核准，公司于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日收到《关于核准江苏润和软件股份有限公司向宁波宏创股权投资合伙企业</w:t>
      </w:r>
    </w:p>
    <w:p>
      <w:pPr>
        <w:pStyle w:val="BodyText"/>
        <w:spacing w:line="300" w:lineRule="auto" w:before="5"/>
        <w:ind w:right="190"/>
        <w:jc w:val="both"/>
      </w:pPr>
      <w:r>
        <w:rPr/>
        <w:t>（有限合伙）发行股份购买资产并募集配套资金的批复》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[2015]1856</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。联创智融于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日完成了标的 </w:t>
      </w:r>
      <w:r>
        <w:rPr>
          <w:spacing w:val="-1"/>
        </w:rPr>
        <w:t>资产过户的相关工商变更登记手续，公司持有联创智融</w:t>
      </w:r>
      <w:r>
        <w:rPr>
          <w:rFonts w:ascii="Times New Roman" w:hAnsi="Times New Roman" w:cs="Times New Roman" w:eastAsia="Times New Roman" w:hint="default"/>
          <w:spacing w:val="-1"/>
        </w:rPr>
        <w:t>100%</w:t>
      </w:r>
      <w:r>
        <w:rPr>
          <w:spacing w:val="-1"/>
        </w:rPr>
        <w:t>的股权。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日，公司披露了《发行股份及支付现金购</w:t>
      </w:r>
      <w:r>
        <w:rPr/>
        <w:t> 买资产并募集配套资金实施情况报告书暨新增股份上市公告书》，本次发行新增股份</w:t>
      </w:r>
      <w:r>
        <w:rPr>
          <w:rFonts w:ascii="Times New Roman" w:hAnsi="Times New Roman" w:cs="Times New Roman" w:eastAsia="Times New Roman" w:hint="default"/>
        </w:rPr>
        <w:t>72,664,076</w:t>
      </w: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日上市。</w:t>
      </w:r>
    </w:p>
    <w:p>
      <w:pPr>
        <w:pStyle w:val="BodyText"/>
        <w:spacing w:line="300" w:lineRule="auto" w:before="13"/>
        <w:ind w:right="90" w:firstLine="288"/>
        <w:jc w:val="left"/>
      </w:pPr>
      <w:r>
        <w:rPr>
          <w:spacing w:val="-2"/>
        </w:rPr>
        <w:t>以上具体内容请详见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w:t>
      </w:r>
      <w:r>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日在中国证监会指定的创业板信息披露网站公告。 </w:t>
      </w:r>
      <w:r>
        <w:rPr>
          <w:rFonts w:ascii="Times New Roman" w:hAnsi="Times New Roman" w:cs="Times New Roman" w:eastAsia="Times New Roman" w:hint="default"/>
          <w:spacing w:val="-2"/>
        </w:rPr>
        <w:t>2</w:t>
      </w:r>
      <w:r>
        <w:rPr>
          <w:spacing w:val="-2"/>
        </w:rPr>
        <w:t>、根据</w:t>
      </w:r>
      <w:r>
        <w:rPr>
          <w:rFonts w:ascii="Times New Roman" w:hAnsi="Times New Roman" w:cs="Times New Roman" w:eastAsia="Times New Roman" w:hint="default"/>
          <w:spacing w:val="-2"/>
        </w:rPr>
        <w:t>2014</w:t>
      </w:r>
      <w:r>
        <w:rPr>
          <w:spacing w:val="-2"/>
        </w:rPr>
        <w:t>年第五次临时股东大会的授权，公司于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日召开第四届董事会第三十七次会议，审议并通过了《关于</w:t>
      </w:r>
      <w:r>
        <w:rPr>
          <w:spacing w:val="-56"/>
        </w:rPr>
        <w:t> </w:t>
      </w:r>
      <w:r>
        <w:rPr>
          <w:spacing w:val="-56"/>
        </w:rPr>
      </w:r>
      <w:r>
        <w:rPr/>
        <w:t>向激励对象授予预留限制性股票的议案》，同意将</w:t>
      </w:r>
      <w:r>
        <w:rPr>
          <w:rFonts w:ascii="Times New Roman" w:hAnsi="Times New Roman" w:cs="Times New Roman" w:eastAsia="Times New Roman" w:hint="default"/>
        </w:rPr>
        <w:t>2014</w:t>
      </w:r>
      <w:r>
        <w:rPr/>
        <w:t>年限制性股票激励计划预留的</w:t>
      </w:r>
      <w:r>
        <w:rPr>
          <w:rFonts w:ascii="Times New Roman" w:hAnsi="Times New Roman" w:cs="Times New Roman" w:eastAsia="Times New Roman" w:hint="default"/>
        </w:rPr>
        <w:t>108.00</w:t>
      </w:r>
      <w:r>
        <w:rPr/>
        <w:t>万股票授予</w:t>
      </w:r>
      <w:r>
        <w:rPr>
          <w:rFonts w:ascii="Times New Roman" w:hAnsi="Times New Roman" w:cs="Times New Roman" w:eastAsia="Times New Roman" w:hint="default"/>
        </w:rPr>
        <w:t>91</w:t>
      </w:r>
      <w:r>
        <w:rPr/>
        <w:t>名激励对象，授予 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日。同日，公司召开第四届监事会第二十六次会议，审议并通过了《关于核实</w:t>
      </w:r>
      <w:r>
        <w:rPr>
          <w:rFonts w:ascii="Times New Roman" w:hAnsi="Times New Roman" w:cs="Times New Roman" w:eastAsia="Times New Roman" w:hint="default"/>
        </w:rPr>
        <w:t>&lt;</w:t>
      </w:r>
      <w:r>
        <w:rPr/>
        <w:t>江苏润和软件股份有限公 司</w:t>
      </w:r>
      <w:r>
        <w:rPr>
          <w:rFonts w:ascii="Times New Roman" w:hAnsi="Times New Roman" w:cs="Times New Roman" w:eastAsia="Times New Roman" w:hint="default"/>
        </w:rPr>
        <w:t>2014</w:t>
      </w:r>
      <w:r>
        <w:rPr/>
        <w:t>年限制性股票激励计划预留股票激励对象名单</w:t>
      </w:r>
      <w:r>
        <w:rPr>
          <w:rFonts w:ascii="Times New Roman" w:hAnsi="Times New Roman" w:cs="Times New Roman" w:eastAsia="Times New Roman" w:hint="default"/>
        </w:rPr>
        <w:t>&gt;</w:t>
      </w:r>
      <w:r>
        <w:rPr/>
        <w:t>的议案》。公司独立董事对上述事项发表了一致同意的独立意见。本 次预留授予的限制性股票已于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日上市。 以上具体内容请详见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日在中国证监会指定的创业板信息披露网站公告。</w:t>
      </w:r>
    </w:p>
    <w:p>
      <w:pPr>
        <w:spacing w:line="240" w:lineRule="auto" w:before="6"/>
        <w:rPr>
          <w:rFonts w:ascii="宋体" w:hAnsi="宋体" w:cs="宋体" w:eastAsia="宋体" w:hint="default"/>
          <w:sz w:val="22"/>
          <w:szCs w:val="22"/>
        </w:rPr>
      </w:pPr>
    </w:p>
    <w:p>
      <w:pPr>
        <w:pStyle w:val="Heading3"/>
        <w:spacing w:line="240" w:lineRule="auto"/>
        <w:ind w:right="90"/>
        <w:jc w:val="left"/>
        <w:rPr>
          <w:b w:val="0"/>
          <w:bCs w:val="0"/>
        </w:rPr>
      </w:pPr>
      <w:bookmarkStart w:name="2、公司股份总数及股东结构的变动、公司资产和负债结构的变动情况说明" w:id="106"/>
      <w:bookmarkEnd w:id="10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8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1"/>
        </w:rPr>
        <w:t>1</w:t>
      </w:r>
      <w:r>
        <w:rPr>
          <w:spacing w:val="-1"/>
        </w:rPr>
        <w:t>、公司通过向特定对象非公开发行股份和支付现金相结合的方式购买联创智融</w:t>
      </w:r>
      <w:r>
        <w:rPr>
          <w:rFonts w:ascii="Times New Roman" w:hAnsi="Times New Roman" w:cs="Times New Roman" w:eastAsia="Times New Roman" w:hint="default"/>
          <w:spacing w:val="-1"/>
        </w:rPr>
        <w:t>100%</w:t>
      </w:r>
      <w:r>
        <w:rPr>
          <w:spacing w:val="-1"/>
        </w:rPr>
        <w:t>股权并募集配套资金。公司向宁波宏创</w:t>
      </w:r>
      <w:r>
        <w:rPr/>
        <w:t> </w:t>
      </w:r>
      <w:r>
        <w:rPr>
          <w:spacing w:val="-2"/>
        </w:rPr>
        <w:t>发行</w:t>
      </w:r>
      <w:r>
        <w:rPr>
          <w:rFonts w:ascii="Times New Roman" w:hAnsi="Times New Roman" w:cs="Times New Roman" w:eastAsia="Times New Roman" w:hint="default"/>
          <w:spacing w:val="-2"/>
        </w:rPr>
        <w:t>48,124,698</w:t>
      </w:r>
      <w:r>
        <w:rPr>
          <w:spacing w:val="-2"/>
        </w:rPr>
        <w:t>股股份购买相关资产，并向西藏瑞华、南京泰瑞、曹荣和黄学军非公开发行共计</w:t>
      </w:r>
      <w:r>
        <w:rPr>
          <w:rFonts w:ascii="Times New Roman" w:hAnsi="Times New Roman" w:cs="Times New Roman" w:eastAsia="Times New Roman" w:hint="default"/>
          <w:spacing w:val="-2"/>
        </w:rPr>
        <w:t>24,539,378</w:t>
      </w:r>
      <w:r>
        <w:rPr>
          <w:spacing w:val="-2"/>
        </w:rPr>
        <w:t>股股份募集本次发</w:t>
      </w:r>
    </w:p>
    <w:p>
      <w:pPr>
        <w:pStyle w:val="BodyText"/>
        <w:spacing w:line="300" w:lineRule="auto"/>
        <w:ind w:left="153" w:right="90" w:hanging="1"/>
        <w:jc w:val="left"/>
      </w:pPr>
      <w:r>
        <w:rPr>
          <w:spacing w:val="-1"/>
        </w:rPr>
        <w:t>行股份购买资产的配套资金，发行价格为</w:t>
      </w:r>
      <w:r>
        <w:rPr>
          <w:rFonts w:ascii="Times New Roman" w:hAnsi="Times New Roman" w:cs="Times New Roman" w:eastAsia="Times New Roman" w:hint="default"/>
          <w:spacing w:val="-1"/>
        </w:rPr>
        <w:t>22.39</w:t>
      </w:r>
      <w:r>
        <w:rPr>
          <w:spacing w:val="-1"/>
        </w:rPr>
        <w:t>元</w:t>
      </w:r>
      <w:r>
        <w:rPr>
          <w:rFonts w:ascii="Times New Roman" w:hAnsi="Times New Roman" w:cs="Times New Roman" w:eastAsia="Times New Roman" w:hint="default"/>
          <w:spacing w:val="-1"/>
        </w:rPr>
        <w:t>/</w:t>
      </w:r>
      <w:r>
        <w:rPr>
          <w:spacing w:val="-1"/>
        </w:rPr>
        <w:t>股。本次重组完成后，公司总股本由</w:t>
      </w:r>
      <w:r>
        <w:rPr>
          <w:rFonts w:ascii="Times New Roman" w:hAnsi="Times New Roman" w:cs="Times New Roman" w:eastAsia="Times New Roman" w:hint="default"/>
          <w:spacing w:val="-1"/>
        </w:rPr>
        <w:t>284,616,774</w:t>
      </w:r>
      <w:r>
        <w:rPr>
          <w:spacing w:val="-1"/>
        </w:rPr>
        <w:t>股变更为</w:t>
      </w:r>
      <w:r>
        <w:rPr>
          <w:rFonts w:ascii="Times New Roman" w:hAnsi="Times New Roman" w:cs="Times New Roman" w:eastAsia="Times New Roman" w:hint="default"/>
          <w:spacing w:val="-1"/>
        </w:rPr>
        <w:t>357,280,850</w:t>
      </w:r>
      <w:r>
        <w:rPr>
          <w:spacing w:val="-1"/>
        </w:rPr>
        <w:t>股。</w:t>
      </w:r>
      <w:r>
        <w:rPr>
          <w:spacing w:val="-34"/>
        </w:rPr>
        <w:t> </w:t>
      </w:r>
      <w:r>
        <w:rPr>
          <w:rFonts w:ascii="Times New Roman" w:hAnsi="Times New Roman" w:cs="Times New Roman" w:eastAsia="Times New Roman" w:hint="default"/>
        </w:rPr>
        <w:t>2</w:t>
      </w:r>
      <w:r>
        <w:rPr/>
        <w:t>、公司根据</w:t>
      </w:r>
      <w:r>
        <w:rPr>
          <w:rFonts w:ascii="Times New Roman" w:hAnsi="Times New Roman" w:cs="Times New Roman" w:eastAsia="Times New Roman" w:hint="default"/>
        </w:rPr>
        <w:t>2014</w:t>
      </w:r>
      <w:r>
        <w:rPr/>
        <w:t>年限制性股票激励计划，向激励对象授予预留限制性股票共计</w:t>
      </w:r>
      <w:r>
        <w:rPr>
          <w:rFonts w:ascii="Times New Roman" w:hAnsi="Times New Roman" w:cs="Times New Roman" w:eastAsia="Times New Roman" w:hint="default"/>
        </w:rPr>
        <w:t>108.00</w:t>
      </w:r>
      <w:r>
        <w:rPr/>
        <w:t>万股，授予对象人数总计</w:t>
      </w:r>
      <w:r>
        <w:rPr>
          <w:rFonts w:ascii="Times New Roman" w:hAnsi="Times New Roman" w:cs="Times New Roman" w:eastAsia="Times New Roman" w:hint="default"/>
        </w:rPr>
        <w:t>91</w:t>
      </w:r>
      <w:r>
        <w:rPr/>
        <w:t>人。本次 预留限制性股票的授予日为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日，授予价格</w:t>
      </w:r>
      <w:r>
        <w:rPr>
          <w:rFonts w:ascii="Times New Roman" w:hAnsi="Times New Roman" w:cs="Times New Roman" w:eastAsia="Times New Roman" w:hint="default"/>
        </w:rPr>
        <w:t>18.73</w:t>
      </w:r>
      <w:r>
        <w:rPr/>
        <w:t>元</w:t>
      </w:r>
      <w:r>
        <w:rPr>
          <w:rFonts w:ascii="Times New Roman" w:hAnsi="Times New Roman" w:cs="Times New Roman" w:eastAsia="Times New Roman" w:hint="default"/>
        </w:rPr>
        <w:t>/</w:t>
      </w:r>
      <w:r>
        <w:rPr/>
        <w:t>股。本次预留限制性股票授予登记完成后，公司总股本由 </w:t>
      </w:r>
      <w:r>
        <w:rPr>
          <w:rFonts w:ascii="Times New Roman" w:hAnsi="Times New Roman" w:cs="Times New Roman" w:eastAsia="Times New Roman" w:hint="default"/>
        </w:rPr>
        <w:t>357,095,850</w:t>
      </w:r>
      <w:r>
        <w:rPr/>
        <w:t>变更为</w:t>
      </w:r>
      <w:r>
        <w:rPr>
          <w:rFonts w:ascii="Times New Roman" w:hAnsi="Times New Roman" w:cs="Times New Roman" w:eastAsia="Times New Roman" w:hint="default"/>
        </w:rPr>
        <w:t>358,175,850</w:t>
      </w:r>
      <w:r>
        <w:rPr/>
        <w:t>股。</w:t>
      </w:r>
    </w:p>
    <w:p>
      <w:pPr>
        <w:spacing w:line="240" w:lineRule="auto" w:before="5"/>
        <w:rPr>
          <w:rFonts w:ascii="宋体" w:hAnsi="宋体" w:cs="宋体" w:eastAsia="宋体" w:hint="default"/>
          <w:sz w:val="22"/>
          <w:szCs w:val="22"/>
        </w:rPr>
      </w:pPr>
    </w:p>
    <w:p>
      <w:pPr>
        <w:pStyle w:val="Heading3"/>
        <w:spacing w:line="240" w:lineRule="auto"/>
        <w:ind w:right="90"/>
        <w:jc w:val="left"/>
        <w:rPr>
          <w:b w:val="0"/>
          <w:bCs w:val="0"/>
        </w:rPr>
      </w:pPr>
      <w:bookmarkStart w:name="3、现存的内部职工股情况" w:id="107"/>
      <w:bookmarkEnd w:id="10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08"/>
      <w:bookmarkEnd w:id="108"/>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9"/>
      <w:bookmarkEnd w:id="10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pict>
          <v:shape style="position:absolute;margin-left:449.157013pt;margin-top:70.671715pt;width:85.7pt;height:31.2pt;mso-position-horizontal-relative:page;mso-position-vertical-relative:paragraph;z-index:-1146904"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70.671715pt;width:52.45pt;height:31.2pt;mso-position-horizontal-relative:page;mso-position-vertical-relative:paragraph;z-index:-1146880" coordorigin="9648,1413" coordsize="1049,624">
            <v:shape style="position:absolute;left:9648;top:1413;width:1049;height:624" coordorigin="9648,1413" coordsize="1049,624" path="m9648,2037l10697,2037,10697,1413,9648,1413,9648,2037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74"/>
        <w:gridCol w:w="737"/>
        <w:gridCol w:w="744"/>
        <w:gridCol w:w="830"/>
        <w:gridCol w:w="346"/>
        <w:gridCol w:w="444"/>
        <w:gridCol w:w="823"/>
        <w:gridCol w:w="802"/>
        <w:gridCol w:w="322"/>
        <w:gridCol w:w="1027"/>
        <w:gridCol w:w="280"/>
        <w:gridCol w:w="512"/>
        <w:gridCol w:w="557"/>
      </w:tblGrid>
      <w:tr>
        <w:trPr>
          <w:trHeight w:val="161" w:hRule="exact"/>
        </w:trPr>
        <w:tc>
          <w:tcPr>
            <w:tcW w:w="1334" w:type="dxa"/>
            <w:vMerge w:val="restart"/>
            <w:tcBorders>
              <w:top w:val="single" w:sz="4" w:space="0" w:color="000000"/>
              <w:left w:val="single" w:sz="4" w:space="0" w:color="000000"/>
              <w:right w:val="single" w:sz="4" w:space="0" w:color="000000"/>
            </w:tcBorders>
            <w:shd w:val="clear" w:color="auto" w:fill="D4D4D4"/>
          </w:tcPr>
          <w:p>
            <w:pPr/>
          </w:p>
        </w:tc>
        <w:tc>
          <w:tcPr>
            <w:tcW w:w="809" w:type="dxa"/>
            <w:gridSpan w:val="2"/>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17,899</w:t>
            </w:r>
          </w:p>
        </w:tc>
        <w:tc>
          <w:tcPr>
            <w:tcW w:w="1481" w:type="dxa"/>
            <w:gridSpan w:val="2"/>
            <w:vMerge w:val="restart"/>
            <w:tcBorders>
              <w:top w:val="single" w:sz="4" w:space="0" w:color="000000"/>
              <w:left w:val="single" w:sz="4" w:space="0" w:color="000000"/>
              <w:right w:val="single" w:sz="4" w:space="0" w:color="000000"/>
            </w:tcBorders>
            <w:shd w:val="clear" w:color="auto" w:fill="D4D4D4"/>
          </w:tcPr>
          <w:p>
            <w:pPr/>
          </w:p>
        </w:tc>
        <w:tc>
          <w:tcPr>
            <w:tcW w:w="1176" w:type="dxa"/>
            <w:gridSpan w:val="2"/>
            <w:vMerge w:val="restart"/>
            <w:tcBorders>
              <w:top w:val="single" w:sz="4" w:space="0" w:color="000000"/>
              <w:left w:val="single" w:sz="10"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18,113</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124" w:type="dxa"/>
            <w:gridSpan w:val="2"/>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2"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4D4D4"/>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bottom w:val="nil" w:sz="6" w:space="0" w:color="auto"/>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16"/>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bottom w:val="nil" w:sz="6" w:space="0" w:color="auto"/>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4" w:type="dxa"/>
            <w:vMerge w:val="restart"/>
            <w:tcBorders>
              <w:top w:val="nil" w:sz="6" w:space="0" w:color="auto"/>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bottom w:val="nil" w:sz="6" w:space="0" w:color="auto"/>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val="restart"/>
            <w:tcBorders>
              <w:top w:val="nil" w:sz="6" w:space="0" w:color="auto"/>
              <w:left w:val="single" w:sz="4" w:space="0" w:color="000000"/>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bottom w:val="nil" w:sz="6" w:space="0" w:color="auto"/>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4" w:type="dxa"/>
            <w:vMerge/>
            <w:tcBorders>
              <w:left w:val="single" w:sz="4" w:space="0" w:color="000000"/>
              <w:bottom w:val="single" w:sz="4" w:space="0" w:color="000000"/>
              <w:right w:val="single" w:sz="4" w:space="0" w:color="000000"/>
            </w:tcBorders>
            <w:shd w:val="clear" w:color="auto" w:fill="D4D4D4"/>
          </w:tcPr>
          <w:p>
            <w:pPr/>
          </w:p>
        </w:tc>
        <w:tc>
          <w:tcPr>
            <w:tcW w:w="809" w:type="dxa"/>
            <w:gridSpan w:val="2"/>
            <w:vMerge/>
            <w:tcBorders>
              <w:left w:val="single" w:sz="9" w:space="0" w:color="D4D4D4"/>
              <w:bottom w:val="single" w:sz="4" w:space="0" w:color="000000"/>
              <w:right w:val="single" w:sz="10" w:space="0" w:color="D4D4D4"/>
            </w:tcBorders>
          </w:tcPr>
          <w:p>
            <w:pPr/>
          </w:p>
        </w:tc>
        <w:tc>
          <w:tcPr>
            <w:tcW w:w="1481" w:type="dxa"/>
            <w:gridSpan w:val="2"/>
            <w:vMerge/>
            <w:tcBorders>
              <w:left w:val="single" w:sz="4" w:space="0" w:color="000000"/>
              <w:bottom w:val="single" w:sz="4" w:space="0" w:color="000000"/>
              <w:right w:val="single" w:sz="4" w:space="0" w:color="000000"/>
            </w:tcBorders>
            <w:shd w:val="clear" w:color="auto" w:fill="D4D4D4"/>
          </w:tcPr>
          <w:p>
            <w:pPr/>
          </w:p>
        </w:tc>
        <w:tc>
          <w:tcPr>
            <w:tcW w:w="1176" w:type="dxa"/>
            <w:gridSpan w:val="2"/>
            <w:vMerge/>
            <w:tcBorders>
              <w:left w:val="single" w:sz="10" w:space="0" w:color="D4D4D4"/>
              <w:bottom w:val="single" w:sz="4" w:space="0" w:color="000000"/>
              <w:right w:val="single" w:sz="10" w:space="0" w:color="D4D4D4"/>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124" w:type="dxa"/>
            <w:gridSpan w:val="2"/>
            <w:vMerge/>
            <w:tcBorders>
              <w:left w:val="single" w:sz="10" w:space="0" w:color="D4D4D4"/>
              <w:bottom w:val="single" w:sz="4" w:space="0" w:color="000000"/>
              <w:right w:val="single" w:sz="13" w:space="0" w:color="D4D4D4"/>
            </w:tcBorders>
          </w:tcPr>
          <w:p>
            <w:pPr/>
          </w:p>
        </w:tc>
        <w:tc>
          <w:tcPr>
            <w:tcW w:w="1307" w:type="dxa"/>
            <w:gridSpan w:val="2"/>
            <w:vMerge/>
            <w:tcBorders>
              <w:left w:val="single" w:sz="4" w:space="0" w:color="000000"/>
              <w:bottom w:val="single" w:sz="4" w:space="0" w:color="000000"/>
              <w:right w:val="single" w:sz="4" w:space="0" w:color="000000"/>
            </w:tcBorders>
            <w:shd w:val="clear" w:color="auto" w:fill="D4D4D4"/>
          </w:tcPr>
          <w:p>
            <w:pPr/>
          </w:p>
        </w:tc>
        <w:tc>
          <w:tcPr>
            <w:tcW w:w="512" w:type="dxa"/>
            <w:vMerge/>
            <w:tcBorders>
              <w:left w:val="single" w:sz="12" w:space="0" w:color="D4D4D4"/>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4" w:hRule="exact"/>
        </w:trPr>
        <w:tc>
          <w:tcPr>
            <w:tcW w:w="9566"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
        </w:tc>
        <w:tc>
          <w:tcPr>
            <w:tcW w:w="1411" w:type="dxa"/>
            <w:gridSpan w:val="2"/>
            <w:vMerge w:val="restart"/>
            <w:tcBorders>
              <w:top w:val="single" w:sz="4" w:space="0" w:color="000000"/>
              <w:left w:val="single" w:sz="4" w:space="0" w:color="000000"/>
              <w:right w:val="single" w:sz="4" w:space="0" w:color="000000"/>
            </w:tcBorders>
            <w:shd w:val="clear" w:color="auto" w:fill="D4D4D4"/>
          </w:tcPr>
          <w:p>
            <w:pPr/>
          </w:p>
        </w:tc>
        <w:tc>
          <w:tcPr>
            <w:tcW w:w="744" w:type="dxa"/>
            <w:vMerge w:val="restart"/>
            <w:tcBorders>
              <w:top w:val="single" w:sz="4" w:space="0" w:color="000000"/>
              <w:left w:val="single" w:sz="4" w:space="0" w:color="000000"/>
              <w:right w:val="single" w:sz="4" w:space="0" w:color="000000"/>
            </w:tcBorders>
            <w:shd w:val="clear" w:color="auto" w:fill="D4D4D4"/>
          </w:tcPr>
          <w:p>
            <w:pPr/>
          </w:p>
        </w:tc>
        <w:tc>
          <w:tcPr>
            <w:tcW w:w="830" w:type="dxa"/>
            <w:tcBorders>
              <w:top w:val="single" w:sz="4" w:space="0" w:color="000000"/>
              <w:left w:val="single" w:sz="4" w:space="0" w:color="000000"/>
              <w:bottom w:val="nil" w:sz="6" w:space="0" w:color="auto"/>
              <w:right w:val="single" w:sz="4" w:space="0" w:color="000000"/>
            </w:tcBorders>
            <w:shd w:val="clear" w:color="auto" w:fill="D4D4D4"/>
          </w:tcPr>
          <w:p>
            <w:pPr/>
          </w:p>
        </w:tc>
        <w:tc>
          <w:tcPr>
            <w:tcW w:w="7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44" w:type="dxa"/>
            <w:vMerge/>
            <w:tcBorders>
              <w:left w:val="single" w:sz="4" w:space="0" w:color="000000"/>
              <w:bottom w:val="nil" w:sz="6" w:space="0" w:color="auto"/>
              <w:right w:val="single" w:sz="4" w:space="0" w:color="000000"/>
            </w:tcBorders>
            <w:shd w:val="clear" w:color="auto" w:fill="D4D4D4"/>
          </w:tcPr>
          <w:p>
            <w:pPr/>
          </w:p>
        </w:tc>
        <w:tc>
          <w:tcPr>
            <w:tcW w:w="83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5"/>
            <w:vMerge/>
            <w:tcBorders>
              <w:left w:val="single" w:sz="4" w:space="0" w:color="000000"/>
              <w:right w:val="single" w:sz="4" w:space="0" w:color="000000"/>
            </w:tcBorders>
            <w:shd w:val="clear" w:color="auto" w:fill="D4D4D4"/>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5"/>
            <w:vMerge/>
            <w:tcBorders>
              <w:left w:val="single" w:sz="4" w:space="0" w:color="000000"/>
              <w:bottom w:val="single" w:sz="4" w:space="0" w:color="000000"/>
              <w:right w:val="single" w:sz="4" w:space="0" w:color="000000"/>
            </w:tcBorders>
            <w:shd w:val="clear" w:color="auto" w:fill="D4D4D4"/>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44" w:type="dxa"/>
            <w:vMerge/>
            <w:tcBorders>
              <w:left w:val="single" w:sz="4" w:space="0" w:color="000000"/>
              <w:bottom w:val="nil" w:sz="6" w:space="0" w:color="auto"/>
              <w:right w:val="single" w:sz="4" w:space="0" w:color="000000"/>
            </w:tcBorders>
            <w:shd w:val="clear" w:color="auto" w:fill="D4D4D4"/>
          </w:tcPr>
          <w:p>
            <w:pPr/>
          </w:p>
        </w:tc>
        <w:tc>
          <w:tcPr>
            <w:tcW w:w="830"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
        </w:tc>
        <w:tc>
          <w:tcPr>
            <w:tcW w:w="1411" w:type="dxa"/>
            <w:gridSpan w:val="2"/>
            <w:vMerge w:val="restart"/>
            <w:tcBorders>
              <w:top w:val="nil" w:sz="6" w:space="0" w:color="auto"/>
              <w:left w:val="single" w:sz="4" w:space="0" w:color="000000"/>
              <w:right w:val="single" w:sz="4" w:space="0" w:color="000000"/>
            </w:tcBorders>
            <w:shd w:val="clear" w:color="auto" w:fill="D4D4D4"/>
          </w:tcPr>
          <w:p>
            <w:pPr/>
          </w:p>
        </w:tc>
        <w:tc>
          <w:tcPr>
            <w:tcW w:w="744" w:type="dxa"/>
            <w:vMerge w:val="restart"/>
            <w:tcBorders>
              <w:top w:val="nil" w:sz="6" w:space="0" w:color="auto"/>
              <w:left w:val="single" w:sz="4" w:space="0" w:color="000000"/>
              <w:right w:val="single" w:sz="4" w:space="0" w:color="000000"/>
            </w:tcBorders>
            <w:shd w:val="clear" w:color="auto" w:fill="D4D4D4"/>
          </w:tcPr>
          <w:p>
            <w:pPr/>
          </w:p>
        </w:tc>
        <w:tc>
          <w:tcPr>
            <w:tcW w:w="830" w:type="dxa"/>
            <w:vMerge/>
            <w:tcBorders>
              <w:left w:val="single" w:sz="4" w:space="0" w:color="000000"/>
              <w:bottom w:val="nil" w:sz="6" w:space="0" w:color="auto"/>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tcBorders>
              <w:left w:val="single" w:sz="4" w:space="0" w:color="000000"/>
              <w:right w:val="single" w:sz="4" w:space="0" w:color="000000"/>
            </w:tcBorders>
            <w:shd w:val="clear" w:color="auto" w:fill="D4D4D4"/>
          </w:tcPr>
          <w:p>
            <w:pPr/>
          </w:p>
        </w:tc>
        <w:tc>
          <w:tcPr>
            <w:tcW w:w="1349" w:type="dxa"/>
            <w:gridSpan w:val="3"/>
            <w:vMerge/>
            <w:tcBorders>
              <w:left w:val="single" w:sz="4" w:space="0" w:color="000000"/>
              <w:right w:val="single" w:sz="4" w:space="0" w:color="000000"/>
            </w:tcBorders>
            <w:shd w:val="clear" w:color="auto" w:fill="D4D4D4"/>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411" w:type="dxa"/>
            <w:gridSpan w:val="2"/>
            <w:vMerge/>
            <w:tcBorders>
              <w:left w:val="single" w:sz="4" w:space="0" w:color="000000"/>
              <w:bottom w:val="single" w:sz="4" w:space="0" w:color="000000"/>
              <w:right w:val="single" w:sz="4" w:space="0" w:color="000000"/>
            </w:tcBorders>
            <w:shd w:val="clear" w:color="auto" w:fill="D4D4D4"/>
          </w:tcPr>
          <w:p>
            <w:pPr/>
          </w:p>
        </w:tc>
        <w:tc>
          <w:tcPr>
            <w:tcW w:w="744" w:type="dxa"/>
            <w:vMerge/>
            <w:tcBorders>
              <w:left w:val="single" w:sz="4" w:space="0" w:color="000000"/>
              <w:bottom w:val="single" w:sz="4" w:space="0" w:color="000000"/>
              <w:right w:val="single" w:sz="4" w:space="0" w:color="000000"/>
            </w:tcBorders>
            <w:shd w:val="clear" w:color="auto" w:fill="D4D4D4"/>
          </w:tcPr>
          <w:p>
            <w:pPr/>
          </w:p>
        </w:tc>
        <w:tc>
          <w:tcPr>
            <w:tcW w:w="830" w:type="dxa"/>
            <w:tcBorders>
              <w:top w:val="nil" w:sz="6" w:space="0" w:color="auto"/>
              <w:left w:val="single" w:sz="4" w:space="0" w:color="000000"/>
              <w:bottom w:val="single" w:sz="4" w:space="0" w:color="000000"/>
              <w:right w:val="single" w:sz="4" w:space="0" w:color="000000"/>
            </w:tcBorders>
            <w:shd w:val="clear" w:color="auto" w:fill="D4D4D4"/>
          </w:tcPr>
          <w:p>
            <w:pPr/>
          </w:p>
        </w:tc>
        <w:tc>
          <w:tcPr>
            <w:tcW w:w="790" w:type="dxa"/>
            <w:gridSpan w:val="2"/>
            <w:vMerge/>
            <w:tcBorders>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02" w:type="dxa"/>
            <w:vMerge/>
            <w:tcBorders>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c>
          <w:tcPr>
            <w:tcW w:w="1349" w:type="dxa"/>
            <w:gridSpan w:val="3"/>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江苏润和科技投 资集团有限公司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17.46%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62,553,00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62,553,00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4D4D4"/>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8" w:space="0" w:color="D4D4D4"/>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62,500,000</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宁波宏创股权投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13.44%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48,124,69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48,124,69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6"/>
              <w:jc w:val="right"/>
              <w:rPr>
                <w:rFonts w:ascii="Times New Roman" w:hAnsi="Times New Roman" w:cs="Times New Roman" w:eastAsia="Times New Roman" w:hint="default"/>
                <w:sz w:val="18"/>
                <w:szCs w:val="18"/>
              </w:rPr>
            </w:pPr>
            <w:r>
              <w:rPr>
                <w:rFonts w:ascii="Times New Roman"/>
                <w:spacing w:val="-1"/>
                <w:sz w:val="18"/>
              </w:rPr>
              <w:t>48,124,69</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8.23%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207,000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22,103,27</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7,367,758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29,404,033</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6.20%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22,202,34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21,962,34</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21,962,346</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3.88%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109,000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12,031,75</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1,877,250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11,950,000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西藏瑞华投资发 展有限公司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3.12%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11,165,69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11,165,69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w w:val="95"/>
                <w:sz w:val="18"/>
              </w:rPr>
              <w:t>11,165,69</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11,165,698</w:t>
            </w: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 广发聚丰混合型 证券投资基金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2.68%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9,604,000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9,604,000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9,604,000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1.89%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6,772,500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5,079,375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1,693,125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2,940,000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焦点科技股份有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1.81%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6,500,000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曹荣</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1.56%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5,582,849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5,582,849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5,582,849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黄学军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1.56%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5,582,849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5,582,849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5,582,849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pacing w:val="-1"/>
                <w:sz w:val="18"/>
                <w:szCs w:val="18"/>
              </w:rPr>
              <w:t>因公司发行股份及支付现金购买资产并募集配套资金宁波宏创股权投资合伙企业（有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限合伙）、西藏瑞华投资者发展有限公司、曹荣和黄学军成为公司前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名股东，限售</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起止日期为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5"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周红卫、姚宁共同持有江苏润和科技投资集团有限公司</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76.8%</w:t>
            </w:r>
            <w:r>
              <w:rPr>
                <w:rFonts w:ascii="宋体" w:hAnsi="宋体" w:cs="宋体" w:eastAsia="宋体" w:hint="default"/>
                <w:spacing w:val="-4"/>
                <w:sz w:val="18"/>
                <w:szCs w:val="18"/>
              </w:rPr>
              <w:t>的股份。</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日，公司实际控制人周红卫和姚宁签订了《一致行动人协议</w:t>
            </w:r>
            <w:r>
              <w:rPr>
                <w:rFonts w:ascii="宋体" w:hAnsi="宋体" w:cs="宋体" w:eastAsia="宋体" w:hint="default"/>
                <w:spacing w:val="-89"/>
                <w:sz w:val="18"/>
                <w:szCs w:val="18"/>
              </w:rPr>
              <w:t>》</w:t>
            </w:r>
            <w:r>
              <w:rPr>
                <w:rFonts w:ascii="宋体" w:hAnsi="宋体" w:cs="宋体" w:eastAsia="宋体" w:hint="default"/>
                <w:sz w:val="18"/>
                <w:szCs w:val="18"/>
              </w:rPr>
              <w:t>，共同表示在公司重大</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0"/>
        <w:gridCol w:w="3989"/>
        <w:gridCol w:w="1349"/>
        <w:gridCol w:w="1349"/>
      </w:tblGrid>
      <w:tr>
        <w:trPr>
          <w:trHeight w:val="986" w:hRule="exact"/>
        </w:trPr>
        <w:tc>
          <w:tcPr>
            <w:tcW w:w="288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both"/>
              <w:rPr>
                <w:rFonts w:ascii="宋体" w:hAnsi="宋体" w:cs="宋体" w:eastAsia="宋体" w:hint="default"/>
                <w:sz w:val="18"/>
                <w:szCs w:val="18"/>
              </w:rPr>
            </w:pPr>
            <w:r>
              <w:rPr>
                <w:rFonts w:ascii="宋体" w:hAnsi="宋体" w:cs="宋体" w:eastAsia="宋体" w:hint="default"/>
                <w:spacing w:val="-1"/>
                <w:sz w:val="18"/>
                <w:szCs w:val="18"/>
              </w:rPr>
              <w:t>事项决策前均事先沟通，达成一致意见后进行表决。孙强为江苏润和科技投资集团有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限公司董事、总裁。除此之外，公司未知其他股东是否存在关联关系或一致行动人的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关系。</w:t>
            </w:r>
          </w:p>
        </w:tc>
      </w:tr>
      <w:tr>
        <w:trPr>
          <w:trHeight w:val="401"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tcBorders>
              <w:top w:val="single" w:sz="4" w:space="0" w:color="000000"/>
              <w:left w:val="single" w:sz="4" w:space="0" w:color="000000"/>
              <w:bottom w:val="nil" w:sz="6" w:space="0" w:color="auto"/>
              <w:right w:val="single" w:sz="4" w:space="0" w:color="000000"/>
            </w:tcBorders>
            <w:shd w:val="clear" w:color="auto" w:fill="D4D4D4"/>
          </w:tcPr>
          <w:p>
            <w:pPr/>
          </w:p>
        </w:tc>
        <w:tc>
          <w:tcPr>
            <w:tcW w:w="3989" w:type="dxa"/>
            <w:tcBorders>
              <w:top w:val="single" w:sz="4" w:space="0" w:color="000000"/>
              <w:left w:val="single" w:sz="4" w:space="0" w:color="000000"/>
              <w:bottom w:val="nil" w:sz="6" w:space="0" w:color="auto"/>
              <w:right w:val="single" w:sz="4" w:space="0" w:color="000000"/>
            </w:tcBorders>
            <w:shd w:val="clear" w:color="auto" w:fill="D4D4D4"/>
          </w:tcPr>
          <w:p>
            <w:pPr/>
          </w:p>
        </w:tc>
        <w:tc>
          <w:tcPr>
            <w:tcW w:w="269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880" w:type="dxa"/>
            <w:vMerge/>
            <w:tcBorders>
              <w:left w:val="single" w:sz="4" w:space="0" w:color="000000"/>
              <w:bottom w:val="nil" w:sz="6" w:space="0" w:color="auto"/>
              <w:right w:val="single" w:sz="4" w:space="0" w:color="000000"/>
            </w:tcBorders>
            <w:shd w:val="clear" w:color="auto" w:fill="D4D4D4"/>
          </w:tcPr>
          <w:p>
            <w:pPr/>
          </w:p>
        </w:tc>
        <w:tc>
          <w:tcPr>
            <w:tcW w:w="3989" w:type="dxa"/>
            <w:vMerge/>
            <w:tcBorders>
              <w:left w:val="single" w:sz="4" w:space="0" w:color="000000"/>
              <w:bottom w:val="nil" w:sz="6" w:space="0" w:color="auto"/>
              <w:right w:val="single" w:sz="4" w:space="0" w:color="000000"/>
            </w:tcBorders>
            <w:shd w:val="clear" w:color="auto" w:fill="D4D4D4"/>
          </w:tcPr>
          <w:p>
            <w:pP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0" w:type="dxa"/>
            <w:tcBorders>
              <w:top w:val="nil" w:sz="6" w:space="0" w:color="auto"/>
              <w:left w:val="single" w:sz="4" w:space="0" w:color="000000"/>
              <w:bottom w:val="single" w:sz="4" w:space="0" w:color="000000"/>
              <w:right w:val="single" w:sz="4" w:space="0" w:color="000000"/>
            </w:tcBorders>
            <w:shd w:val="clear" w:color="auto" w:fill="D4D4D4"/>
          </w:tcPr>
          <w:p>
            <w:pPr/>
          </w:p>
        </w:tc>
        <w:tc>
          <w:tcPr>
            <w:tcW w:w="39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62,553,000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62,553,000</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中国工商银行－广发聚丰混合型证 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9,604,000</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7,367,758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7,367,758</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中国工商银行－汇添富均衡增长混 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4,905,337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4,905,337</w:t>
            </w:r>
          </w:p>
        </w:tc>
      </w:tr>
      <w:tr>
        <w:trPr>
          <w:trHeight w:val="102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中国工商银行股份有限公司－汇添 富外延增长主题股票型证券投资基 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3,718,543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3,718,543</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海通资管－民生－海通海汇系列－ 星石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3,630,468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3,630,468</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中国对外经济贸易信托有限公司－ 新股Ｃ</w:t>
            </w:r>
            <w:r>
              <w:rPr>
                <w:rFonts w:ascii="Times New Roman" w:hAnsi="Times New Roman" w:cs="Times New Roman" w:eastAsia="Times New Roman" w:hint="default"/>
                <w:sz w:val="18"/>
                <w:szCs w:val="18"/>
              </w:rPr>
              <w:t>1</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2,267,454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2,267,454</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新华人寿保险股份有限公司－传统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－普通保险产品</w:t>
            </w:r>
            <w:r>
              <w:rPr>
                <w:rFonts w:ascii="Times New Roman" w:hAnsi="Times New Roman" w:cs="Times New Roman" w:eastAsia="Times New Roman" w:hint="default"/>
                <w:sz w:val="18"/>
                <w:szCs w:val="18"/>
              </w:rPr>
              <w:t>-018L-CT001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深</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1,956,121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1,956,121</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1,877,250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1,877,250</w:t>
            </w:r>
          </w:p>
        </w:tc>
      </w:tr>
      <w:tr>
        <w:trPr>
          <w:trHeight w:val="1339" w:hRule="exact"/>
        </w:trPr>
        <w:tc>
          <w:tcPr>
            <w:tcW w:w="28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周红卫、姚宁共同持有江苏润和科技投资集团有限公司</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76.8%</w:t>
            </w:r>
            <w:r>
              <w:rPr>
                <w:rFonts w:ascii="宋体" w:hAnsi="宋体" w:cs="宋体" w:eastAsia="宋体" w:hint="default"/>
                <w:spacing w:val="-4"/>
                <w:sz w:val="18"/>
                <w:szCs w:val="18"/>
              </w:rPr>
              <w:t>的股份。</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日，公司实际控制人周红卫和姚宁签订了《一致行动人协议》，共同表示在公司重大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事项决策前均事先沟通，达成一致意见后进行表决。除此之外，公司未知其他股东是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否存在关联关系或一致行动人的关系。</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公司控股股东情况" w:id="110"/>
      <w:bookmarkEnd w:id="11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62"/>
        <w:gridCol w:w="1615"/>
        <w:gridCol w:w="1426"/>
        <w:gridCol w:w="2064"/>
        <w:gridCol w:w="2201"/>
      </w:tblGrid>
      <w:tr>
        <w:trPr>
          <w:trHeight w:val="715" w:hRule="exact"/>
        </w:trPr>
        <w:tc>
          <w:tcPr>
            <w:tcW w:w="2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623" w:right="55"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3"/>
        <w:gridCol w:w="1615"/>
        <w:gridCol w:w="1426"/>
        <w:gridCol w:w="2064"/>
        <w:gridCol w:w="2201"/>
      </w:tblGrid>
      <w:tr>
        <w:trPr>
          <w:trHeight w:val="4145"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4" w:right="67"/>
              <w:jc w:val="left"/>
              <w:rPr>
                <w:rFonts w:ascii="宋体" w:hAnsi="宋体" w:cs="宋体" w:eastAsia="宋体" w:hint="default"/>
                <w:sz w:val="18"/>
                <w:szCs w:val="18"/>
              </w:rPr>
            </w:pPr>
            <w:r>
              <w:rPr>
                <w:rFonts w:ascii="宋体" w:hAnsi="宋体" w:cs="宋体" w:eastAsia="宋体" w:hint="default"/>
                <w:sz w:val="18"/>
                <w:szCs w:val="18"/>
              </w:rPr>
              <w:t>江苏润和科技投资集团有限 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69464780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
              <w:jc w:val="left"/>
              <w:rPr>
                <w:rFonts w:ascii="宋体" w:hAnsi="宋体" w:cs="宋体" w:eastAsia="宋体" w:hint="default"/>
                <w:sz w:val="18"/>
                <w:szCs w:val="18"/>
              </w:rPr>
            </w:pPr>
            <w:r>
              <w:rPr>
                <w:rFonts w:ascii="宋体" w:hAnsi="宋体" w:cs="宋体" w:eastAsia="宋体" w:hint="default"/>
                <w:sz w:val="18"/>
                <w:szCs w:val="18"/>
              </w:rPr>
              <w:t>实业投资；投资管理；预包 装食品兼散装食品、日用百 货批发与零售；初级农产品 初加工及销售；电子产品、 建材销售；电子产品技术研 发；电子产品加工；建筑工 程设计、施工；自营和代理 各类商品及技术的进出口 业务（国家限定公司经营或 禁止进出口的商品和技术 </w:t>
            </w:r>
            <w:r>
              <w:rPr>
                <w:rFonts w:ascii="宋体" w:hAnsi="宋体" w:cs="宋体" w:eastAsia="宋体" w:hint="default"/>
                <w:spacing w:val="-16"/>
                <w:sz w:val="18"/>
                <w:szCs w:val="18"/>
              </w:rPr>
              <w:t>除外）。（依法须经批准的项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目，经相关部门批准后方可</w:t>
            </w:r>
            <w:r>
              <w:rPr>
                <w:rFonts w:ascii="宋体" w:hAnsi="宋体" w:cs="宋体" w:eastAsia="宋体" w:hint="default"/>
                <w:sz w:val="18"/>
                <w:szCs w:val="18"/>
              </w:rPr>
              <w:t> 开展经营活动）</w:t>
            </w:r>
          </w:p>
        </w:tc>
      </w:tr>
      <w:tr>
        <w:trPr>
          <w:trHeight w:val="1027" w:hRule="exact"/>
        </w:trPr>
        <w:tc>
          <w:tcPr>
            <w:tcW w:w="22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67"/>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1"/>
      <w:bookmarkEnd w:id="11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6"/>
        <w:gridCol w:w="2122"/>
        <w:gridCol w:w="4121"/>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周红卫任江苏润和软件股份有限公司董事长兼总裁；姚宁任江苏润和软件股份 有限公司副董事长。</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9"/>
        <w:ind w:right="0"/>
        <w:jc w:val="left"/>
      </w:pPr>
      <w:r>
        <w:rPr/>
        <w:t>实际控制人报告期内变更</w:t>
      </w:r>
    </w:p>
    <w:p>
      <w:pPr>
        <w:pStyle w:val="BodyText"/>
        <w:spacing w:line="348"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82" w:top="1060" w:bottom="1180" w:left="980" w:right="980"/>
        </w:sectPr>
      </w:pPr>
    </w:p>
    <w:p>
      <w:pPr>
        <w:spacing w:line="240" w:lineRule="auto" w:before="6"/>
        <w:rPr>
          <w:rFonts w:ascii="宋体" w:hAnsi="宋体" w:cs="宋体" w:eastAsia="宋体" w:hint="default"/>
          <w:sz w:val="29"/>
          <w:szCs w:val="29"/>
        </w:rPr>
      </w:pPr>
    </w:p>
    <w:p>
      <w:pPr>
        <w:spacing w:line="4980" w:lineRule="exact"/>
        <w:ind w:left="1362"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4591702" cy="31623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4" cstate="print"/>
                    <a:stretch>
                      <a:fillRect/>
                    </a:stretch>
                  </pic:blipFill>
                  <pic:spPr>
                    <a:xfrm>
                      <a:off x="0" y="0"/>
                      <a:ext cx="4591702" cy="3162300"/>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4"/>
        <w:rPr>
          <w:rFonts w:ascii="宋体" w:hAnsi="宋体" w:cs="宋体" w:eastAsia="宋体" w:hint="default"/>
          <w:sz w:val="10"/>
          <w:szCs w:val="10"/>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2"/>
      <w:bookmarkEnd w:id="112"/>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44"/>
        <w:ind w:left="0" w:right="160"/>
        <w:jc w:val="right"/>
      </w:pPr>
      <w:r>
        <w:rPr/>
        <w:pict>
          <v:shape style="position:absolute;margin-left:56.400002pt;margin-top:-52.088272pt;width:479.2pt;height:87.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0"/>
                    <w:gridCol w:w="1814"/>
                    <w:gridCol w:w="1414"/>
                    <w:gridCol w:w="1634"/>
                    <w:gridCol w:w="2126"/>
                  </w:tblGrid>
                  <w:tr>
                    <w:trPr>
                      <w:trHeight w:val="713" w:hRule="exact"/>
                    </w:trPr>
                    <w:tc>
                      <w:tcPr>
                        <w:tcW w:w="25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813"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027"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宁波宏创股权投资合伙企业（有 限合伙）</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执行事务合伙人：北京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华扬普泰投资管理有 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股权投资、股权投资管理</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2"/>
        <w:ind w:right="0"/>
        <w:jc w:val="left"/>
        <w:rPr>
          <w:b w:val="0"/>
          <w:bCs w:val="0"/>
        </w:rPr>
      </w:pPr>
      <w:bookmarkStart w:name="5、控股股东、实际控制人、重组方及其他承诺主体股份限制减持情况" w:id="113"/>
      <w:bookmarkEnd w:id="11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0"/>
        <w:jc w:val="left"/>
        <w:rPr>
          <w:b w:val="0"/>
          <w:bCs w:val="0"/>
        </w:rPr>
      </w:pPr>
      <w:bookmarkStart w:name="第七节 优先股相关情况" w:id="114"/>
      <w:bookmarkEnd w:id="114"/>
      <w:r>
        <w:rPr>
          <w:b w:val="0"/>
          <w:bCs w:val="0"/>
        </w:rPr>
      </w:r>
      <w:bookmarkStart w:name="_bookmark5" w:id="115"/>
      <w:bookmarkEnd w:id="115"/>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第八节 董事、监事、高级管理人员和员工情况" w:id="116"/>
      <w:bookmarkEnd w:id="116"/>
      <w:r>
        <w:rPr>
          <w:b w:val="0"/>
          <w:bCs w:val="0"/>
        </w:rPr>
      </w:r>
      <w:bookmarkStart w:name="_bookmark6" w:id="117"/>
      <w:bookmarkEnd w:id="11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董事、监事和高级管理人员持股变动" w:id="118"/>
      <w:bookmarkEnd w:id="11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29,264,03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29,471,03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13,909,00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6,772,500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6,772,500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3,047,500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3,047,500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1,125,000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董事、董 秘、财务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1,150,000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骆威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168,000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168,000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56,890,03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57,206,03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19"/>
      <w:bookmarkEnd w:id="119"/>
      <w:r>
        <w:rPr>
          <w:b w:val="0"/>
          <w:bCs w:val="0"/>
        </w:rPr>
      </w: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个人原因辞去高级副总裁职务</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任职情况" w:id="120"/>
      <w:bookmarkEnd w:id="120"/>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0" w:lineRule="auto" w:before="115"/>
        <w:ind w:right="144" w:firstLine="288"/>
        <w:jc w:val="left"/>
      </w:pPr>
      <w:r>
        <w:rPr>
          <w:rFonts w:ascii="Times New Roman" w:hAnsi="Times New Roman" w:cs="Times New Roman" w:eastAsia="Times New Roman" w:hint="default"/>
        </w:rPr>
        <w:t>1</w:t>
      </w:r>
      <w:r>
        <w:rPr/>
        <w:t>、周红卫先生，</w:t>
      </w:r>
      <w:r>
        <w:rPr>
          <w:rFonts w:ascii="Times New Roman" w:hAnsi="Times New Roman" w:cs="Times New Roman" w:eastAsia="Times New Roman" w:hint="default"/>
        </w:rPr>
        <w:t>1967</w:t>
      </w:r>
      <w:r>
        <w:rPr/>
        <w:t>年出生，本科学历，中国国籍，无永久境外居留权，曾担任日本恒星（南京）电脑系统有限公司 项目经理及部门总经理、宏图东方信息系统有限公司副总经理等。</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月至今任公司董事长兼总裁。周红卫先生担任政 </w:t>
      </w:r>
      <w:r>
        <w:rPr>
          <w:spacing w:val="-2"/>
        </w:rPr>
        <w:t>协南京市第十三届委员、江苏省软件行业协会外包分会副会长、南京市软件行业协会副秘书长、</w:t>
      </w:r>
      <w:r>
        <w:rPr>
          <w:rFonts w:ascii="Times New Roman" w:hAnsi="Times New Roman" w:cs="Times New Roman" w:eastAsia="Times New Roman" w:hint="default"/>
          <w:spacing w:val="-2"/>
        </w:rPr>
        <w:t>2012</w:t>
      </w:r>
      <w:r>
        <w:rPr>
          <w:spacing w:val="-2"/>
        </w:rPr>
        <w:t>年任南京市工商联副主</w:t>
      </w:r>
      <w:r>
        <w:rPr>
          <w:spacing w:val="-61"/>
        </w:rPr>
        <w:t> </w:t>
      </w:r>
      <w:r>
        <w:rPr>
          <w:spacing w:val="-61"/>
        </w:rPr>
      </w:r>
      <w:r>
        <w:rPr/>
        <w:t>席。</w:t>
      </w:r>
    </w:p>
    <w:p>
      <w:pPr>
        <w:pStyle w:val="BodyText"/>
        <w:spacing w:line="240" w:lineRule="auto" w:before="31"/>
        <w:ind w:left="440" w:right="0"/>
        <w:jc w:val="left"/>
      </w:pPr>
      <w:r>
        <w:rPr>
          <w:rFonts w:ascii="Times New Roman" w:hAnsi="Times New Roman" w:cs="Times New Roman" w:eastAsia="Times New Roman" w:hint="default"/>
        </w:rPr>
        <w:t>2</w:t>
      </w:r>
      <w:r>
        <w:rPr/>
        <w:t>、姚宁先生，</w:t>
      </w:r>
      <w:r>
        <w:rPr>
          <w:rFonts w:ascii="Times New Roman" w:hAnsi="Times New Roman" w:cs="Times New Roman" w:eastAsia="Times New Roman" w:hint="default"/>
        </w:rPr>
        <w:t>1968</w:t>
      </w:r>
      <w:r>
        <w:rPr>
          <w:rFonts w:ascii="Times New Roman" w:hAnsi="Times New Roman" w:cs="Times New Roman" w:eastAsia="Times New Roman" w:hint="default"/>
          <w:spacing w:val="26"/>
        </w:rPr>
        <w:t> </w:t>
      </w:r>
      <w:r>
        <w:rPr/>
        <w:t>年出生，本科学历，中国国籍，无永久境外居留权，曾担任日本恒星（南京）电脑系统有限公司项</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91"/>
        <w:jc w:val="both"/>
      </w:pPr>
      <w:r>
        <w:rPr>
          <w:spacing w:val="-2"/>
        </w:rPr>
        <w:t>目经理、开发部部长，宏图东方信息系统有限公司副总经理、本公司常务副总裁、技术总监、高级副总裁等职。姚宁先生曾</w:t>
      </w:r>
      <w:r>
        <w:rPr>
          <w:spacing w:val="-67"/>
        </w:rPr>
        <w:t> </w:t>
      </w:r>
      <w:r>
        <w:rPr>
          <w:spacing w:val="-67"/>
        </w:rPr>
      </w:r>
      <w:r>
        <w:rPr/>
        <w:t>参与领导苏州市委市政府园区骨干网系统集成项目、江苏省委办公厅办公自动化系统集成项目、日本 </w:t>
      </w:r>
      <w:r>
        <w:rPr>
          <w:rFonts w:ascii="Times New Roman" w:hAnsi="Times New Roman" w:cs="Times New Roman" w:eastAsia="Times New Roman" w:hint="default"/>
        </w:rPr>
        <w:t>DOCOMO</w:t>
      </w:r>
      <w:r>
        <w:rPr>
          <w:rFonts w:ascii="Times New Roman" w:hAnsi="Times New Roman" w:cs="Times New Roman" w:eastAsia="Times New Roman" w:hint="default"/>
          <w:spacing w:val="7"/>
        </w:rPr>
        <w:t> </w:t>
      </w:r>
      <w:r>
        <w:rPr/>
        <w:t>公司的核 心无线电运营管理系统开发项目等多个项目。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月至今任本公司董事，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月至今任本公司副董事长。</w:t>
      </w:r>
    </w:p>
    <w:p>
      <w:pPr>
        <w:pStyle w:val="BodyText"/>
        <w:spacing w:line="309" w:lineRule="auto" w:before="5"/>
        <w:ind w:right="90" w:firstLine="288"/>
        <w:jc w:val="left"/>
      </w:pPr>
      <w:r>
        <w:rPr>
          <w:rFonts w:ascii="Times New Roman" w:hAnsi="Times New Roman" w:cs="Times New Roman" w:eastAsia="Times New Roman" w:hint="default"/>
        </w:rPr>
        <w:t>3</w:t>
      </w:r>
      <w:r>
        <w:rPr/>
        <w:t>、孙强先生，</w:t>
      </w:r>
      <w:r>
        <w:rPr>
          <w:rFonts w:ascii="Times New Roman" w:hAnsi="Times New Roman" w:cs="Times New Roman" w:eastAsia="Times New Roman" w:hint="default"/>
        </w:rPr>
        <w:t>1970</w:t>
      </w:r>
      <w:r>
        <w:rPr/>
        <w:t>年出生，本科学历，中国国籍，无永久境外居留权，曾担任日本恒星（南京）电脑系统有限公司软 </w:t>
      </w:r>
      <w:r>
        <w:rPr>
          <w:spacing w:val="-2"/>
        </w:rPr>
        <w:t>件工程师，本公司副总裁等职。现任本公司董事，江苏润和科技投资集团有限公司董事、总裁，政协南京市雨花台区第八届</w:t>
      </w:r>
      <w:r>
        <w:rPr>
          <w:spacing w:val="-67"/>
        </w:rPr>
        <w:t> </w:t>
      </w:r>
      <w:r>
        <w:rPr>
          <w:spacing w:val="-67"/>
        </w:rPr>
      </w:r>
      <w:r>
        <w:rPr/>
        <w:t>常委。</w:t>
      </w:r>
    </w:p>
    <w:p>
      <w:pPr>
        <w:pStyle w:val="BodyText"/>
        <w:spacing w:line="300" w:lineRule="auto" w:before="24"/>
        <w:ind w:right="256" w:firstLine="288"/>
        <w:jc w:val="left"/>
      </w:pPr>
      <w:r>
        <w:rPr>
          <w:rFonts w:ascii="Times New Roman" w:hAnsi="Times New Roman" w:cs="Times New Roman" w:eastAsia="Times New Roman" w:hint="default"/>
        </w:rPr>
        <w:t>4</w:t>
      </w:r>
      <w:r>
        <w:rPr/>
        <w:t>、马玉峰先生，</w:t>
      </w:r>
      <w:r>
        <w:rPr>
          <w:rFonts w:ascii="Times New Roman" w:hAnsi="Times New Roman" w:cs="Times New Roman" w:eastAsia="Times New Roman" w:hint="default"/>
        </w:rPr>
        <w:t>1971</w:t>
      </w:r>
      <w:r>
        <w:rPr/>
        <w:t>年出生，本科学历，中国国籍，无永久境外居留权，曾担任日本恒星（南京）电脑系统有限公司 工程师及开发经理、宏图东方信息系统有限公司软件部经理和副总经理。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月至今任公司董事、高级副总裁。</w:t>
      </w:r>
    </w:p>
    <w:p>
      <w:pPr>
        <w:pStyle w:val="BodyText"/>
        <w:spacing w:line="312" w:lineRule="auto" w:before="13"/>
        <w:ind w:right="94" w:firstLine="288"/>
        <w:jc w:val="left"/>
      </w:pPr>
      <w:r>
        <w:rPr>
          <w:rFonts w:ascii="Times New Roman" w:hAnsi="Times New Roman" w:cs="Times New Roman" w:eastAsia="Times New Roman" w:hint="default"/>
        </w:rPr>
        <w:t>5</w:t>
      </w:r>
      <w:r>
        <w:rPr/>
        <w:t>、朱祖龙先生，</w:t>
      </w:r>
      <w:r>
        <w:rPr>
          <w:rFonts w:ascii="Times New Roman" w:hAnsi="Times New Roman" w:cs="Times New Roman" w:eastAsia="Times New Roman" w:hint="default"/>
        </w:rPr>
        <w:t>1976</w:t>
      </w:r>
      <w:r>
        <w:rPr>
          <w:rFonts w:ascii="Times New Roman" w:hAnsi="Times New Roman" w:cs="Times New Roman" w:eastAsia="Times New Roman" w:hint="default"/>
          <w:spacing w:val="27"/>
        </w:rPr>
        <w:t> </w:t>
      </w:r>
      <w:r>
        <w:rPr/>
        <w:t>年出生，大学专科学历，中国国籍，无永久境外居留权，中国注册会计师，曾担任马鞍山市当涂 </w:t>
      </w:r>
      <w:r>
        <w:rPr>
          <w:spacing w:val="-2"/>
        </w:rPr>
        <w:t>县粮食局下属收储公司财务科长、马鞍山统力回转支承有限公司监事、供应部长，华普天健会计师事务所（北京）有限公司</w:t>
      </w:r>
      <w:r>
        <w:rPr>
          <w:spacing w:val="-67"/>
        </w:rPr>
        <w:t> </w:t>
      </w:r>
      <w:r>
        <w:rPr>
          <w:spacing w:val="-67"/>
        </w:rPr>
      </w:r>
      <w:r>
        <w:rPr/>
        <w:t>项目经理、项目总监、分所现场负责人、本公司财务主管、苏州富士莱医药股份有限公司独立董事等职。现任本公司董事、 财务总监、董事会秘书，同时担任聚灿光电科技股份有限公司独立董事。</w:t>
      </w:r>
    </w:p>
    <w:p>
      <w:pPr>
        <w:pStyle w:val="BodyText"/>
        <w:spacing w:line="300" w:lineRule="auto" w:before="22"/>
        <w:ind w:right="104" w:firstLine="288"/>
        <w:jc w:val="both"/>
      </w:pPr>
      <w:r>
        <w:rPr>
          <w:rFonts w:ascii="Times New Roman" w:hAnsi="Times New Roman" w:cs="Times New Roman" w:eastAsia="Times New Roman" w:hint="default"/>
        </w:rPr>
        <w:t>6</w:t>
      </w:r>
      <w:r>
        <w:rPr/>
        <w:t>、钟峻先生，</w:t>
      </w:r>
      <w:r>
        <w:rPr>
          <w:rFonts w:ascii="Times New Roman" w:hAnsi="Times New Roman" w:cs="Times New Roman" w:eastAsia="Times New Roman" w:hint="default"/>
        </w:rPr>
        <w:t>1968 </w:t>
      </w:r>
      <w:r>
        <w:rPr/>
        <w:t>年出生，硕士学历，中国国籍，无境外永久居留权。曾担任</w:t>
      </w:r>
      <w:r>
        <w:rPr>
          <w:rFonts w:ascii="Times New Roman" w:hAnsi="Times New Roman" w:cs="Times New Roman" w:eastAsia="Times New Roman" w:hint="default"/>
        </w:rPr>
        <w:t>IBM</w:t>
      </w:r>
      <w:r>
        <w:rPr>
          <w:rFonts w:ascii="Times New Roman" w:hAnsi="Times New Roman" w:cs="Times New Roman" w:eastAsia="Times New Roman" w:hint="default"/>
          <w:spacing w:val="24"/>
        </w:rPr>
        <w:t> </w:t>
      </w:r>
      <w:r>
        <w:rPr/>
        <w:t>中国有限公司大客户总监、高阳科 技控股有限公司</w:t>
      </w:r>
      <w:r>
        <w:rPr>
          <w:spacing w:val="-19"/>
        </w:rPr>
        <w:t> </w:t>
      </w:r>
      <w:r>
        <w:rPr>
          <w:rFonts w:ascii="Times New Roman" w:hAnsi="Times New Roman" w:cs="Times New Roman" w:eastAsia="Times New Roman" w:hint="default"/>
        </w:rPr>
        <w:t>COO</w:t>
      </w:r>
      <w:r>
        <w:rPr/>
        <w:t>、北京博信超信息技术有限公司总经理、文思创新软件技术有限公司高级副总裁、北京元德和益投资 </w:t>
      </w:r>
      <w:r>
        <w:rPr>
          <w:spacing w:val="-4"/>
        </w:rPr>
        <w:t>管理咨询有限责任公司董事总经理。现任本公司董事、高级副总裁，同时担任北京北斗星通导航技术股份有限公司独立董事。</w:t>
      </w:r>
    </w:p>
    <w:p>
      <w:pPr>
        <w:pStyle w:val="BodyText"/>
        <w:spacing w:line="312" w:lineRule="auto" w:before="31"/>
        <w:ind w:right="90" w:firstLine="288"/>
        <w:jc w:val="left"/>
      </w:pPr>
      <w:r>
        <w:rPr>
          <w:rFonts w:ascii="Times New Roman" w:hAnsi="Times New Roman" w:cs="Times New Roman" w:eastAsia="Times New Roman" w:hint="default"/>
        </w:rPr>
        <w:t>7</w:t>
      </w:r>
      <w:r>
        <w:rPr/>
        <w:t>、周帮建先生，</w:t>
      </w:r>
      <w:r>
        <w:rPr>
          <w:rFonts w:ascii="Times New Roman" w:hAnsi="Times New Roman" w:cs="Times New Roman" w:eastAsia="Times New Roman" w:hint="default"/>
        </w:rPr>
        <w:t>1966</w:t>
      </w:r>
      <w:r>
        <w:rPr/>
        <w:t>年出生，硕士学历，中国国籍，无境外永久居留权。曾担任联想集成系统有限公司高级副总裁和 </w:t>
      </w:r>
      <w:r>
        <w:rPr>
          <w:spacing w:val="-2"/>
        </w:rPr>
        <w:t>总工程师、长天集团应用总监、北京长信通信息技术有限公司总经理、天津信杰投资有限公司执行董事、北京华扬普泰投资</w:t>
      </w:r>
      <w:r>
        <w:rPr>
          <w:spacing w:val="-65"/>
        </w:rPr>
        <w:t> </w:t>
      </w:r>
      <w:r>
        <w:rPr>
          <w:spacing w:val="-65"/>
        </w:rPr>
      </w:r>
      <w:r>
        <w:rPr>
          <w:spacing w:val="-2"/>
        </w:rPr>
        <w:t>管理有限公司董事长、北京创业成长互助联盟理事长等职位。现任北京联创智融信息技术有限公司董事、总经理，北京汉石</w:t>
      </w:r>
      <w:r>
        <w:rPr>
          <w:spacing w:val="-64"/>
        </w:rPr>
        <w:t> </w:t>
      </w:r>
      <w:r>
        <w:rPr>
          <w:spacing w:val="-64"/>
        </w:rPr>
      </w:r>
      <w:r>
        <w:rPr/>
        <w:t>信业科技有限公司董事。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月至今担任本公司董事。</w:t>
      </w:r>
    </w:p>
    <w:p>
      <w:pPr>
        <w:pStyle w:val="BodyText"/>
        <w:spacing w:line="302" w:lineRule="auto" w:before="3"/>
        <w:ind w:right="184" w:firstLine="288"/>
        <w:jc w:val="left"/>
      </w:pPr>
      <w:r>
        <w:rPr>
          <w:rFonts w:ascii="Times New Roman" w:hAnsi="Times New Roman" w:cs="Times New Roman" w:eastAsia="Times New Roman" w:hint="default"/>
        </w:rPr>
        <w:t>8</w:t>
      </w:r>
      <w:r>
        <w:rPr/>
        <w:t>、张顺颐先生，</w:t>
      </w:r>
      <w:r>
        <w:rPr>
          <w:rFonts w:ascii="Times New Roman" w:hAnsi="Times New Roman" w:cs="Times New Roman" w:eastAsia="Times New Roman" w:hint="default"/>
        </w:rPr>
        <w:t>1944</w:t>
      </w:r>
      <w:r>
        <w:rPr/>
        <w:t>年出生，本科学历，中国国籍，无永久境外居留权，南京邮电大学教授、博士生导师。</w:t>
      </w:r>
      <w:r>
        <w:rPr>
          <w:rFonts w:ascii="Times New Roman" w:hAnsi="Times New Roman" w:cs="Times New Roman" w:eastAsia="Times New Roman" w:hint="default"/>
        </w:rPr>
        <w:t>1968</w:t>
      </w:r>
      <w:r>
        <w:rPr/>
        <w:t>年毕</w:t>
      </w:r>
      <w:r>
        <w:rPr>
          <w:spacing w:val="-3"/>
        </w:rPr>
        <w:t> </w:t>
      </w:r>
      <w:r>
        <w:rPr>
          <w:spacing w:val="-2"/>
        </w:rPr>
        <w:t>业于天津大学无线电系，曾任南京邮电大学副校长。</w:t>
      </w:r>
      <w:r>
        <w:rPr>
          <w:rFonts w:ascii="Times New Roman" w:hAnsi="Times New Roman" w:cs="Times New Roman" w:eastAsia="Times New Roman" w:hint="default"/>
          <w:spacing w:val="-2"/>
        </w:rPr>
        <w:t>1992</w:t>
      </w:r>
      <w:r>
        <w:rPr>
          <w:spacing w:val="-2"/>
        </w:rPr>
        <w:t>年起享受国务院政府特殊津贴，曾获邮电部教育先进工作者，教育</w:t>
      </w:r>
      <w:r>
        <w:rPr>
          <w:spacing w:val="-62"/>
        </w:rPr>
        <w:t> </w:t>
      </w:r>
      <w:r>
        <w:rPr>
          <w:spacing w:val="-62"/>
        </w:rPr>
      </w:r>
      <w:r>
        <w:rPr/>
        <w:t>部九五期间全国普通高校科研管理先进个人等称号，先后</w:t>
      </w:r>
      <w:r>
        <w:rPr>
          <w:rFonts w:ascii="Times New Roman" w:hAnsi="Times New Roman" w:cs="Times New Roman" w:eastAsia="Times New Roman" w:hint="default"/>
        </w:rPr>
        <w:t>11</w:t>
      </w:r>
      <w:r>
        <w:rPr/>
        <w:t>次获省部级以上科技进步奖。</w:t>
      </w:r>
      <w:r>
        <w:rPr>
          <w:rFonts w:ascii="Times New Roman" w:hAnsi="Times New Roman" w:cs="Times New Roman" w:eastAsia="Times New Roman" w:hint="default"/>
        </w:rPr>
        <w:t>2006</w:t>
      </w:r>
      <w:r>
        <w:rPr/>
        <w:t>年评为江苏省优秀科技工作</w:t>
      </w:r>
      <w:r>
        <w:rPr>
          <w:spacing w:val="-87"/>
        </w:rPr>
        <w:t> </w:t>
      </w:r>
      <w:r>
        <w:rPr/>
        <w:t>者</w:t>
      </w:r>
      <w:r>
        <w:rPr>
          <w:rFonts w:ascii="Times New Roman" w:hAnsi="Times New Roman" w:cs="Times New Roman" w:eastAsia="Times New Roman" w:hint="default"/>
        </w:rPr>
        <w:t>,2008</w:t>
      </w:r>
      <w:r>
        <w:rPr/>
        <w:t>年获江苏省五一劳动奖章</w:t>
      </w:r>
      <w:r>
        <w:rPr>
          <w:rFonts w:ascii="Times New Roman" w:hAnsi="Times New Roman" w:cs="Times New Roman" w:eastAsia="Times New Roman" w:hint="default"/>
        </w:rPr>
        <w:t>,2012</w:t>
      </w:r>
      <w:r>
        <w:rPr/>
        <w:t>年评为中国电子学会优秀科技工作者。</w:t>
      </w:r>
      <w:r>
        <w:rPr>
          <w:rFonts w:ascii="Times New Roman" w:hAnsi="Times New Roman" w:cs="Times New Roman" w:eastAsia="Times New Roman" w:hint="default"/>
        </w:rPr>
        <w:t>2010</w:t>
      </w:r>
      <w:r>
        <w:rPr/>
        <w:t>年被工信部聘为无锡国家传感网创新示范 </w:t>
      </w:r>
      <w:r>
        <w:rPr>
          <w:spacing w:val="-2"/>
        </w:rPr>
        <w:t>区专家咨询委员会专家，被无锡市政府聘为发展物联网技术专家。现任江苏省通信与网络技术工程研究中心主任，中国通信</w:t>
      </w:r>
      <w:r>
        <w:rPr>
          <w:spacing w:val="-63"/>
        </w:rPr>
        <w:t> </w:t>
      </w:r>
      <w:r>
        <w:rPr>
          <w:spacing w:val="-63"/>
        </w:rPr>
      </w:r>
      <w:r>
        <w:rPr>
          <w:spacing w:val="-2"/>
        </w:rPr>
        <w:t>学会理事、会士，</w:t>
      </w:r>
      <w:r>
        <w:rPr>
          <w:rFonts w:ascii="Times New Roman" w:hAnsi="Times New Roman" w:cs="Times New Roman" w:eastAsia="Times New Roman" w:hint="default"/>
          <w:spacing w:val="-2"/>
        </w:rPr>
        <w:t>IP</w:t>
      </w:r>
      <w:r>
        <w:rPr>
          <w:spacing w:val="-2"/>
        </w:rPr>
        <w:t>应用与增值电信技术专委会主任、通信软件技术委员会委员，中国电子学会通信学分会副主任，南京普</w:t>
      </w:r>
      <w:r>
        <w:rPr>
          <w:spacing w:val="-47"/>
        </w:rPr>
        <w:t> </w:t>
      </w:r>
      <w:r>
        <w:rPr>
          <w:spacing w:val="-47"/>
        </w:rPr>
      </w:r>
      <w:r>
        <w:rPr/>
        <w:t>天通信股份有限公司独立董事，无锡邮信通物联网技术有限公司董事长等。</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月至今任本公司独立董事。</w:t>
      </w:r>
    </w:p>
    <w:p>
      <w:pPr>
        <w:pStyle w:val="BodyText"/>
        <w:spacing w:line="309" w:lineRule="auto" w:before="11"/>
        <w:ind w:right="191" w:firstLine="288"/>
        <w:jc w:val="both"/>
      </w:pPr>
      <w:r>
        <w:rPr>
          <w:rFonts w:ascii="Times New Roman" w:hAnsi="Times New Roman" w:cs="Times New Roman" w:eastAsia="Times New Roman" w:hint="default"/>
        </w:rPr>
        <w:t>9</w:t>
      </w:r>
      <w:r>
        <w:rPr/>
        <w:t>、杜宁宁先生，</w:t>
      </w:r>
      <w:r>
        <w:rPr>
          <w:rFonts w:ascii="Times New Roman" w:hAnsi="Times New Roman" w:cs="Times New Roman" w:eastAsia="Times New Roman" w:hint="default"/>
        </w:rPr>
        <w:t>1951</w:t>
      </w:r>
      <w:r>
        <w:rPr>
          <w:rFonts w:ascii="Times New Roman" w:hAnsi="Times New Roman" w:cs="Times New Roman" w:eastAsia="Times New Roman" w:hint="default"/>
          <w:spacing w:val="26"/>
        </w:rPr>
        <w:t> </w:t>
      </w:r>
      <w:r>
        <w:rPr/>
        <w:t>年出生，大学专科学历，中国国籍，无境外永久居留权，曾担任江苏省科技厅主任科员、江苏省 </w:t>
      </w:r>
      <w:r>
        <w:rPr>
          <w:spacing w:val="-2"/>
        </w:rPr>
        <w:t>科技发展公司办公室主任、国际贸易部经理、江苏中邦信息产业有限公司副总经理、常州方圆制药有限公司行政总监、工会</w:t>
      </w:r>
      <w:r>
        <w:rPr>
          <w:spacing w:val="-65"/>
        </w:rPr>
        <w:t> </w:t>
      </w:r>
      <w:r>
        <w:rPr>
          <w:spacing w:val="-65"/>
        </w:rPr>
      </w:r>
      <w:r>
        <w:rPr/>
        <w:t>主席等职。现任南京聚隆科技股份有限公司总裁助理、监事。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月至今任本公司独立董事。</w:t>
      </w:r>
    </w:p>
    <w:p>
      <w:pPr>
        <w:pStyle w:val="BodyText"/>
        <w:spacing w:line="309" w:lineRule="auto" w:before="5"/>
        <w:ind w:right="191" w:firstLine="288"/>
        <w:jc w:val="both"/>
      </w:pPr>
      <w:r>
        <w:rPr>
          <w:rFonts w:ascii="Times New Roman" w:hAnsi="Times New Roman" w:cs="Times New Roman" w:eastAsia="Times New Roman" w:hint="default"/>
        </w:rPr>
        <w:t>10</w:t>
      </w:r>
      <w:r>
        <w:rPr/>
        <w:t>、洪磊先生，</w:t>
      </w:r>
      <w:r>
        <w:rPr>
          <w:rFonts w:ascii="Times New Roman" w:hAnsi="Times New Roman" w:cs="Times New Roman" w:eastAsia="Times New Roman" w:hint="default"/>
        </w:rPr>
        <w:t>1970</w:t>
      </w:r>
      <w:r>
        <w:rPr>
          <w:rFonts w:ascii="Times New Roman" w:hAnsi="Times New Roman" w:cs="Times New Roman" w:eastAsia="Times New Roman" w:hint="default"/>
          <w:spacing w:val="25"/>
        </w:rPr>
        <w:t> </w:t>
      </w:r>
      <w:r>
        <w:rPr/>
        <w:t>年出生，大学本科学历，中国国籍，无境外永久居留权</w:t>
      </w:r>
      <w:r>
        <w:rPr>
          <w:rFonts w:ascii="Times New Roman" w:hAnsi="Times New Roman" w:cs="Times New Roman" w:eastAsia="Times New Roman" w:hint="default"/>
        </w:rPr>
        <w:t>,</w:t>
      </w:r>
      <w:r>
        <w:rPr/>
        <w:t>曾担任南京会计师事务所项目经理、南京 </w:t>
      </w:r>
      <w:r>
        <w:rPr>
          <w:spacing w:val="-2"/>
        </w:rPr>
        <w:t>市注册会计师协会监管培训部主任等职。现任江苏天宏华信会计师事务所副所长、南京华信融资租赁有限公司董事、江苏七</w:t>
      </w:r>
      <w:r>
        <w:rPr>
          <w:spacing w:val="-63"/>
        </w:rPr>
        <w:t> </w:t>
      </w:r>
      <w:r>
        <w:rPr>
          <w:spacing w:val="-63"/>
        </w:rPr>
      </w:r>
      <w:r>
        <w:rPr/>
        <w:t>洲绿色化工股份有限公司独立董事。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月至今任本公司独立董事。</w:t>
      </w:r>
    </w:p>
    <w:p>
      <w:pPr>
        <w:pStyle w:val="BodyText"/>
        <w:spacing w:line="300" w:lineRule="auto" w:before="5"/>
        <w:ind w:right="90" w:firstLine="288"/>
        <w:jc w:val="left"/>
      </w:pPr>
      <w:r>
        <w:rPr>
          <w:rFonts w:ascii="Times New Roman" w:hAnsi="Times New Roman" w:cs="Times New Roman" w:eastAsia="Times New Roman" w:hint="default"/>
          <w:spacing w:val="-1"/>
        </w:rPr>
        <w:t>11</w:t>
      </w:r>
      <w:r>
        <w:rPr>
          <w:spacing w:val="-1"/>
        </w:rPr>
        <w:t>、骆威先生，</w:t>
      </w:r>
      <w:r>
        <w:rPr>
          <w:rFonts w:ascii="Times New Roman" w:hAnsi="Times New Roman" w:cs="Times New Roman" w:eastAsia="Times New Roman" w:hint="default"/>
          <w:spacing w:val="-1"/>
        </w:rPr>
        <w:t>1982</w:t>
      </w:r>
      <w:r>
        <w:rPr>
          <w:spacing w:val="-1"/>
        </w:rPr>
        <w:t>年出生，研究生学历，博士学位，中国国籍，无境外永久居留权。曾担任南京大学法学院团委副书</w:t>
      </w:r>
      <w:r>
        <w:rPr/>
        <w:t> 记，现任南京大学校长办公室科长。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月起任公司独立董事。</w:t>
      </w:r>
    </w:p>
    <w:p>
      <w:pPr>
        <w:pStyle w:val="BodyText"/>
        <w:spacing w:line="240" w:lineRule="auto" w:before="13"/>
        <w:ind w:left="440" w:right="90"/>
        <w:jc w:val="left"/>
      </w:pPr>
      <w:r>
        <w:rPr>
          <w:rFonts w:ascii="Times New Roman" w:hAnsi="Times New Roman" w:cs="Times New Roman" w:eastAsia="Times New Roman" w:hint="default"/>
        </w:rPr>
        <w:t>12</w:t>
      </w:r>
      <w:r>
        <w:rPr/>
        <w:t>、周庆先生，</w:t>
      </w:r>
      <w:r>
        <w:rPr>
          <w:rFonts w:ascii="Times New Roman" w:hAnsi="Times New Roman" w:cs="Times New Roman" w:eastAsia="Times New Roman" w:hint="default"/>
        </w:rPr>
        <w:t>1972</w:t>
      </w:r>
      <w:r>
        <w:rPr/>
        <w:t>年出生，本科学历，中国国籍，无永久境外居留权，曾担任东南大学生物医学工程系教师。</w:t>
      </w:r>
      <w:r>
        <w:rPr>
          <w:rFonts w:ascii="Times New Roman" w:hAnsi="Times New Roman" w:cs="Times New Roman" w:eastAsia="Times New Roman" w:hint="default"/>
        </w:rPr>
        <w:t>2006</w:t>
      </w:r>
      <w:r>
        <w:rPr/>
        <w:t>年</w:t>
      </w:r>
    </w:p>
    <w:p>
      <w:pPr>
        <w:pStyle w:val="BodyText"/>
        <w:spacing w:line="240" w:lineRule="auto" w:before="62"/>
        <w:ind w:right="0"/>
        <w:jc w:val="both"/>
      </w:pP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月任公司项目总监；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月任公司职工监事、监事会主席。</w:t>
      </w:r>
    </w:p>
    <w:p>
      <w:pPr>
        <w:pStyle w:val="BodyText"/>
        <w:spacing w:line="300" w:lineRule="auto" w:before="62"/>
        <w:ind w:left="153" w:right="196" w:firstLine="288"/>
        <w:jc w:val="left"/>
      </w:pPr>
      <w:r>
        <w:rPr>
          <w:rFonts w:ascii="Times New Roman" w:hAnsi="Times New Roman" w:cs="Times New Roman" w:eastAsia="Times New Roman" w:hint="default"/>
          <w:spacing w:val="-2"/>
        </w:rPr>
        <w:t>13</w:t>
      </w:r>
      <w:r>
        <w:rPr>
          <w:spacing w:val="-2"/>
        </w:rPr>
        <w:t>、廉智慧女士，</w:t>
      </w:r>
      <w:r>
        <w:rPr>
          <w:rFonts w:ascii="Times New Roman" w:hAnsi="Times New Roman" w:cs="Times New Roman" w:eastAsia="Times New Roman" w:hint="default"/>
          <w:spacing w:val="-2"/>
        </w:rPr>
        <w:t>1978</w:t>
      </w:r>
      <w:r>
        <w:rPr>
          <w:spacing w:val="-2"/>
        </w:rPr>
        <w:t>年出生，大专学历，中国国籍，无永久境外居留权，</w:t>
      </w:r>
      <w:r>
        <w:rPr>
          <w:spacing w:val="-25"/>
        </w:rPr>
        <w:t> </w:t>
      </w:r>
      <w:r>
        <w:rPr>
          <w:rFonts w:ascii="Times New Roman" w:hAnsi="Times New Roman" w:cs="Times New Roman" w:eastAsia="Times New Roman" w:hint="default"/>
          <w:spacing w:val="-1"/>
        </w:rPr>
        <w:t>2006</w:t>
      </w:r>
      <w:r>
        <w:rPr>
          <w:spacing w:val="-1"/>
        </w:rPr>
        <w:t>年至今任公司财务人员。</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月至</w:t>
      </w:r>
      <w:r>
        <w:rPr>
          <w:spacing w:val="-3"/>
        </w:rPr>
        <w:t> </w:t>
      </w:r>
      <w:r>
        <w:rPr/>
        <w:t>今任公司监事。</w:t>
      </w:r>
    </w:p>
    <w:p>
      <w:pPr>
        <w:pStyle w:val="BodyText"/>
        <w:spacing w:line="300" w:lineRule="auto" w:before="31"/>
        <w:ind w:left="153" w:right="90" w:firstLine="288"/>
        <w:jc w:val="left"/>
      </w:pPr>
      <w:r>
        <w:rPr>
          <w:rFonts w:ascii="Times New Roman" w:hAnsi="Times New Roman" w:cs="Times New Roman" w:eastAsia="Times New Roman" w:hint="default"/>
          <w:spacing w:val="-1"/>
        </w:rPr>
        <w:t>14</w:t>
      </w:r>
      <w:r>
        <w:rPr>
          <w:spacing w:val="-1"/>
        </w:rPr>
        <w:t>、吴昊先生，</w:t>
      </w:r>
      <w:r>
        <w:rPr>
          <w:rFonts w:ascii="Times New Roman" w:hAnsi="Times New Roman" w:cs="Times New Roman" w:eastAsia="Times New Roman" w:hint="default"/>
          <w:spacing w:val="-1"/>
        </w:rPr>
        <w:t>1975</w:t>
      </w:r>
      <w:r>
        <w:rPr>
          <w:spacing w:val="-1"/>
        </w:rPr>
        <w:t>年出生，硕士学历，中国国籍，无永久境外居留权，曾担任腾龙软件（上海）有限公司高级软件工</w:t>
      </w:r>
      <w:r>
        <w:rPr/>
        <w:t> 程师。</w:t>
      </w:r>
      <w:r>
        <w:rPr>
          <w:rFonts w:ascii="Times New Roman" w:hAnsi="Times New Roman" w:cs="Times New Roman" w:eastAsia="Times New Roman" w:hint="default"/>
        </w:rPr>
        <w:t>2007</w:t>
      </w:r>
      <w:r>
        <w:rPr/>
        <w:t>年至今任公司供应链管理软件外包中心副部长。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月至今任公司监事。</w:t>
      </w:r>
    </w:p>
    <w:p>
      <w:pPr>
        <w:pStyle w:val="BodyText"/>
        <w:spacing w:line="319" w:lineRule="auto" w:before="13"/>
        <w:ind w:left="153" w:right="90" w:firstLine="288"/>
        <w:jc w:val="left"/>
      </w:pPr>
      <w:r>
        <w:rPr>
          <w:rFonts w:ascii="Times New Roman" w:hAnsi="Times New Roman" w:cs="Times New Roman" w:eastAsia="Times New Roman" w:hint="default"/>
          <w:spacing w:val="-1"/>
        </w:rPr>
        <w:t>15</w:t>
      </w:r>
      <w:r>
        <w:rPr>
          <w:spacing w:val="-1"/>
        </w:rPr>
        <w:t>、陈斌先生，</w:t>
      </w:r>
      <w:r>
        <w:rPr>
          <w:rFonts w:ascii="Times New Roman" w:hAnsi="Times New Roman" w:cs="Times New Roman" w:eastAsia="Times New Roman" w:hint="default"/>
          <w:spacing w:val="-1"/>
        </w:rPr>
        <w:t>1965</w:t>
      </w:r>
      <w:r>
        <w:rPr>
          <w:spacing w:val="-1"/>
        </w:rPr>
        <w:t>年出生，硕士学历，中国国籍，无境外永久居留权。曾担任嘉腾系统有限公司中国区总经理、江苏</w:t>
      </w:r>
      <w:r>
        <w:rPr/>
        <w:t> </w:t>
      </w:r>
      <w:r>
        <w:rPr>
          <w:spacing w:val="-2"/>
        </w:rPr>
        <w:t>宏图高科技股份有限公司总裁、宏图三胞高科技术有限公司总裁、三胞集团有限公司高级副总裁、江苏宏图高科技股份有限</w:t>
      </w:r>
      <w:r>
        <w:rPr>
          <w:spacing w:val="-63"/>
        </w:rPr>
        <w:t> </w:t>
      </w:r>
      <w:r>
        <w:rPr>
          <w:spacing w:val="-63"/>
        </w:rPr>
      </w:r>
      <w:r>
        <w:rPr/>
        <w:t>公司董事、麦考林有限公司董事长。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月任本公司副总裁。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月至今任本公司高级副总裁。 在股东单位任职情况</w:t>
      </w:r>
    </w:p>
    <w:p>
      <w:pPr>
        <w:spacing w:after="0" w:line="319"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0"/>
        <w:gridCol w:w="1078"/>
        <w:gridCol w:w="1212"/>
        <w:gridCol w:w="1346"/>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83"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株式会社ホープラン東京</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代表取缔役、 社长</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24"/>
                <w:sz w:val="18"/>
              </w:rPr>
              <w:t> </w:t>
            </w:r>
            <w:r>
              <w:rPr>
                <w:rFonts w:ascii="Times New Roman"/>
                <w:sz w:val="18"/>
              </w:rPr>
              <w:t>Corporation</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7"/>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南京淳泰投资管理有限公司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南京澜和电子商贸有限公司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8"/>
                <w:sz w:val="18"/>
                <w:szCs w:val="18"/>
              </w:rPr>
              <w:t>执行董事、总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8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江苏中晟智源科技产业有限公司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江苏润和南京软件外包园置业有限公司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HOPERUN MMAX </w:t>
            </w:r>
            <w:r>
              <w:rPr>
                <w:rFonts w:ascii="Times New Roman"/>
                <w:spacing w:val="-3"/>
                <w:sz w:val="18"/>
              </w:rPr>
              <w:t>DIGITAL</w:t>
            </w:r>
            <w:r>
              <w:rPr>
                <w:rFonts w:ascii="Times New Roman"/>
                <w:spacing w:val="-9"/>
                <w:sz w:val="18"/>
              </w:rPr>
              <w:t> </w:t>
            </w:r>
            <w:r>
              <w:rPr>
                <w:rFonts w:ascii="Times New Roman"/>
                <w:spacing w:val="-3"/>
                <w:sz w:val="18"/>
              </w:rPr>
              <w:t>PTE.LTD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HopeRun Software Singapore Pte.</w:t>
            </w:r>
            <w:r>
              <w:rPr>
                <w:rFonts w:ascii="Times New Roman"/>
                <w:spacing w:val="-12"/>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株式会社ホープラン東京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取缔役</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24"/>
                <w:sz w:val="18"/>
              </w:rPr>
              <w:t> </w:t>
            </w:r>
            <w:r>
              <w:rPr>
                <w:rFonts w:ascii="Times New Roman"/>
                <w:sz w:val="18"/>
              </w:rPr>
              <w:t>Corporation</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7"/>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香港润和信息技术投资有限公司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江苏润和南京软件外包园置业有限公司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HOPERUN MMAX </w:t>
            </w:r>
            <w:r>
              <w:rPr>
                <w:rFonts w:ascii="Times New Roman"/>
                <w:spacing w:val="-3"/>
                <w:sz w:val="18"/>
              </w:rPr>
              <w:t>DIGITAL</w:t>
            </w:r>
            <w:r>
              <w:rPr>
                <w:rFonts w:ascii="Times New Roman"/>
                <w:spacing w:val="-9"/>
                <w:sz w:val="18"/>
              </w:rPr>
              <w:t> </w:t>
            </w:r>
            <w:r>
              <w:rPr>
                <w:rFonts w:ascii="Times New Roman"/>
                <w:spacing w:val="-3"/>
                <w:sz w:val="18"/>
              </w:rPr>
              <w:t>PTE.LTD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7"/>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深圳市润和创新信息科技有限公司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HOPERUN MMAX </w:t>
            </w:r>
            <w:r>
              <w:rPr>
                <w:rFonts w:ascii="Times New Roman"/>
                <w:spacing w:val="-3"/>
                <w:sz w:val="18"/>
              </w:rPr>
              <w:t>DIGITAL</w:t>
            </w:r>
            <w:r>
              <w:rPr>
                <w:rFonts w:ascii="Times New Roman"/>
                <w:spacing w:val="-9"/>
                <w:sz w:val="18"/>
              </w:rPr>
              <w:t> </w:t>
            </w:r>
            <w:r>
              <w:rPr>
                <w:rFonts w:ascii="Times New Roman"/>
                <w:spacing w:val="-3"/>
                <w:sz w:val="18"/>
              </w:rPr>
              <w:t>PTE.LTD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南京润和数码有限公司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江苏润和南京软件外包园置业有限公司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聚灿光电科技股份有限公司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苏州富士莱医药股份有限公司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北京北斗星通导航技术股份有限公司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重庆度融信息技术有限公司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董事长、经理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成都联创智融信息技术有限公司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深圳联创智融信息技术有限公司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北京联创智融信息技术有限公司上海分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北京华扬普泰投资管理有限公司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董事长、经理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天津信杰投资有限公司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创盟成长（北京）企业管理咨询有限公司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北京汉石信业科技有限公司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南京普天通信股份有限公司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无锡邮信通物联网技术有限公司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南京聚隆科技股份有限公司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总裁助理、监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江苏天宏华信会计师事务所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江苏七洲绿色化工股份有限公司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南京华信融资租赁有限公司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骆威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监事、高级管理人员报酬情况" w:id="121"/>
      <w:bookmarkEnd w:id="121"/>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9" w:lineRule="auto" w:before="115"/>
        <w:ind w:right="140"/>
        <w:jc w:val="left"/>
      </w:pPr>
      <w:r>
        <w:rPr>
          <w:rFonts w:ascii="Times New Roman" w:hAnsi="Times New Roman" w:cs="Times New Roman" w:eastAsia="Times New Roman" w:hint="default"/>
        </w:rPr>
        <w:t>1</w:t>
      </w:r>
      <w:r>
        <w:rPr/>
        <w:t>、董事、监事、高级管理人员报酬的决策程序： </w:t>
      </w:r>
      <w:r>
        <w:rPr>
          <w:spacing w:val="-2"/>
        </w:rPr>
        <w:t>公司董事、监事报酬由股东大会决定，高级管理人员报酬由董事会决定；公司承担职务的董事、监事和高级管理人员报酬由</w:t>
      </w:r>
      <w:r>
        <w:rPr>
          <w:spacing w:val="-65"/>
        </w:rPr>
        <w:t> </w:t>
      </w:r>
      <w:r>
        <w:rPr>
          <w:spacing w:val="-65"/>
        </w:rPr>
      </w:r>
      <w:r>
        <w:rPr/>
        <w:t>公司支付，董事、监事不另外支付津贴。独立董事津贴依据股东大会决议支付，独立董事会务费据实报销。 </w:t>
      </w:r>
      <w:r>
        <w:rPr>
          <w:rFonts w:ascii="Times New Roman" w:hAnsi="Times New Roman" w:cs="Times New Roman" w:eastAsia="Times New Roman" w:hint="default"/>
        </w:rPr>
        <w:t>2</w:t>
      </w:r>
      <w:r>
        <w:rPr/>
        <w:t>、董事、监事、高级管理人员报酬的确定依据： 依据公司盈利水平及各董事、监事、高级管理人员的分工及履行情况确定。 </w:t>
      </w:r>
      <w:r>
        <w:rPr>
          <w:rFonts w:ascii="Times New Roman" w:hAnsi="Times New Roman" w:cs="Times New Roman" w:eastAsia="Times New Roman" w:hint="default"/>
        </w:rPr>
        <w:t>3</w:t>
      </w:r>
      <w:r>
        <w:rPr/>
        <w:t>、董事、监事、高级管理人员报酬的实际支付情况： 公司报告期内董事、监事、高级管理人员共</w:t>
      </w:r>
      <w:r>
        <w:rPr>
          <w:rFonts w:ascii="Times New Roman" w:hAnsi="Times New Roman" w:cs="Times New Roman" w:eastAsia="Times New Roman" w:hint="default"/>
        </w:rPr>
        <w:t>17</w:t>
      </w:r>
      <w:r>
        <w:rPr/>
        <w:t>人（含离任人员），</w:t>
      </w:r>
      <w:r>
        <w:rPr>
          <w:rFonts w:ascii="Times New Roman" w:hAnsi="Times New Roman" w:cs="Times New Roman" w:eastAsia="Times New Roman" w:hint="default"/>
        </w:rPr>
        <w:t>2015</w:t>
      </w:r>
      <w:r>
        <w:rPr/>
        <w:t>年实际支付</w:t>
      </w:r>
      <w:r>
        <w:rPr>
          <w:rFonts w:ascii="Times New Roman" w:hAnsi="Times New Roman" w:cs="Times New Roman" w:eastAsia="Times New Roman" w:hint="default"/>
        </w:rPr>
        <w:t>640.53</w:t>
      </w:r>
      <w:r>
        <w:rPr/>
        <w:t>万元。</w:t>
      </w:r>
    </w:p>
    <w:p>
      <w:pPr>
        <w:pStyle w:val="BodyText"/>
        <w:spacing w:line="240" w:lineRule="auto" w:before="46"/>
        <w:ind w:right="0"/>
        <w:jc w:val="left"/>
      </w:pPr>
      <w:r>
        <w:rPr/>
        <w:t>公司报告期内董事、监事和高级管理人员报酬情况</w:t>
      </w:r>
    </w:p>
    <w:p>
      <w:pPr>
        <w:pStyle w:val="BodyText"/>
        <w:spacing w:line="240" w:lineRule="auto" w:before="117"/>
        <w:ind w:left="0" w:right="153"/>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黄维江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董事、董秘、财 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骆威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640.53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公司董事、监事、高级管理人员报告期内被授予的股权激励情况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80" w:left="980" w:right="980"/>
          <w:cols w:num="2" w:equalWidth="0">
            <w:col w:w="5193" w:space="3725"/>
            <w:col w:w="103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44"/>
        <w:ind w:left="0" w:right="165"/>
        <w:jc w:val="right"/>
      </w:pPr>
      <w:r>
        <w:rPr/>
        <w:pict>
          <v:shape style="position:absolute;margin-left:56.400002pt;margin-top:-257.169281pt;width:478.95pt;height:355.1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9"/>
                    <w:gridCol w:w="871"/>
                    <w:gridCol w:w="871"/>
                    <w:gridCol w:w="869"/>
                    <w:gridCol w:w="869"/>
                    <w:gridCol w:w="871"/>
                    <w:gridCol w:w="869"/>
                    <w:gridCol w:w="871"/>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5"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314" w:lineRule="auto" w:before="51"/>
                          <w:ind w:left="26" w:right="17"/>
                          <w:jc w:val="left"/>
                          <w:rPr>
                            <w:rFonts w:ascii="宋体" w:hAnsi="宋体" w:cs="宋体" w:eastAsia="宋体" w:hint="default"/>
                            <w:sz w:val="18"/>
                            <w:szCs w:val="18"/>
                          </w:rPr>
                        </w:pP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副总裁</w:t>
                        </w:r>
                      </w:p>
                    </w:tc>
                    <w:tc>
                      <w:tcPr>
                        <w:tcW w:w="871" w:type="dxa"/>
                        <w:tcBorders>
                          <w:top w:val="single" w:sz="4" w:space="0" w:color="000000"/>
                          <w:left w:val="single" w:sz="5"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董事、董 </w:t>
                        </w:r>
                        <w:r>
                          <w:rPr>
                            <w:rFonts w:ascii="宋体" w:hAnsi="宋体" w:cs="宋体" w:eastAsia="宋体" w:hint="default"/>
                            <w:spacing w:val="-18"/>
                            <w:sz w:val="18"/>
                            <w:szCs w:val="18"/>
                          </w:rPr>
                          <w:t>秘、财务总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871" w:type="dxa"/>
                        <w:tcBorders>
                          <w:top w:val="single" w:sz="4" w:space="0" w:color="000000"/>
                          <w:left w:val="single" w:sz="5"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314" w:lineRule="auto" w:before="51"/>
                          <w:ind w:left="26" w:right="17"/>
                          <w:jc w:val="left"/>
                          <w:rPr>
                            <w:rFonts w:ascii="宋体" w:hAnsi="宋体" w:cs="宋体" w:eastAsia="宋体" w:hint="default"/>
                            <w:sz w:val="18"/>
                            <w:szCs w:val="18"/>
                          </w:rPr>
                        </w:pP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副总裁</w:t>
                        </w:r>
                      </w:p>
                    </w:tc>
                    <w:tc>
                      <w:tcPr>
                        <w:tcW w:w="871" w:type="dxa"/>
                        <w:tcBorders>
                          <w:top w:val="single" w:sz="4" w:space="0" w:color="000000"/>
                          <w:left w:val="single" w:sz="5"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2,555,000</w:t>
                        </w:r>
                      </w:p>
                    </w:tc>
                  </w:tr>
                  <w:tr>
                    <w:trPr>
                      <w:trHeight w:val="2899" w:hRule="exact"/>
                    </w:trPr>
                    <w:tc>
                      <w:tcPr>
                        <w:tcW w:w="17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年限制性股票激励计划，首次授予中高级管理人员钟峻、朱祖龙、马玉峰共计获授</w:t>
                        </w:r>
                      </w:p>
                      <w:p>
                        <w:pPr>
                          <w:pStyle w:val="TableParagraph"/>
                          <w:spacing w:line="240" w:lineRule="auto" w:before="60"/>
                          <w:ind w:left="1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万股限制性股票，授予价格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股。其中：钟峻获授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万股，朱祖龙获授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115 </w:t>
                        </w:r>
                        <w:r>
                          <w:rPr>
                            <w:rFonts w:ascii="宋体" w:hAnsi="宋体" w:cs="宋体" w:eastAsia="宋体" w:hint="default"/>
                            <w:sz w:val="18"/>
                            <w:szCs w:val="18"/>
                          </w:rPr>
                          <w:t>万股，马玉</w:t>
                        </w:r>
                      </w:p>
                      <w:p>
                        <w:pPr>
                          <w:pStyle w:val="TableParagraph"/>
                          <w:spacing w:line="300" w:lineRule="auto" w:before="63"/>
                          <w:ind w:left="19" w:right="12"/>
                          <w:jc w:val="both"/>
                          <w:rPr>
                            <w:rFonts w:ascii="宋体" w:hAnsi="宋体" w:cs="宋体" w:eastAsia="宋体" w:hint="default"/>
                            <w:sz w:val="18"/>
                            <w:szCs w:val="18"/>
                          </w:rPr>
                        </w:pPr>
                        <w:r>
                          <w:rPr>
                            <w:rFonts w:ascii="宋体" w:hAnsi="宋体" w:cs="宋体" w:eastAsia="宋体" w:hint="default"/>
                            <w:sz w:val="18"/>
                            <w:szCs w:val="18"/>
                          </w:rPr>
                          <w:t>峰获授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万股。截至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日，公司首次授予激励对象的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年限制性股票第一期锁 </w:t>
                        </w:r>
                        <w:r>
                          <w:rPr>
                            <w:rFonts w:ascii="宋体" w:hAnsi="宋体" w:cs="宋体" w:eastAsia="宋体" w:hint="default"/>
                            <w:spacing w:val="-10"/>
                            <w:sz w:val="18"/>
                            <w:szCs w:val="18"/>
                          </w:rPr>
                          <w:t>定期已届满，公司按照</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年限制性股票激励计划的相关规定办理第一期解锁</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股份的相关事宜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第一期解锁的限制性股票已于为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日上市流通。高级管理人员共计解锁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109.5 </w:t>
                        </w:r>
                        <w:r>
                          <w:rPr>
                            <w:rFonts w:ascii="宋体" w:hAnsi="宋体" w:cs="宋体" w:eastAsia="宋体" w:hint="default"/>
                            <w:sz w:val="18"/>
                            <w:szCs w:val="18"/>
                          </w:rPr>
                          <w:t>万股，</w:t>
                        </w:r>
                      </w:p>
                      <w:p>
                        <w:pPr>
                          <w:pStyle w:val="TableParagraph"/>
                          <w:spacing w:line="240" w:lineRule="auto" w:before="13"/>
                          <w:ind w:left="19" w:right="0"/>
                          <w:jc w:val="both"/>
                          <w:rPr>
                            <w:rFonts w:ascii="宋体" w:hAnsi="宋体" w:cs="宋体" w:eastAsia="宋体" w:hint="default"/>
                            <w:sz w:val="18"/>
                            <w:szCs w:val="18"/>
                          </w:rPr>
                        </w:pPr>
                        <w:r>
                          <w:rPr>
                            <w:rFonts w:ascii="宋体" w:hAnsi="宋体" w:cs="宋体" w:eastAsia="宋体" w:hint="default"/>
                            <w:sz w:val="18"/>
                            <w:szCs w:val="18"/>
                          </w:rPr>
                          <w:t>剩余未解锁的限制性股票为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万股。其中</w:t>
                        </w:r>
                        <w:r>
                          <w:rPr>
                            <w:rFonts w:ascii="Times New Roman" w:hAnsi="Times New Roman" w:cs="Times New Roman" w:eastAsia="Times New Roman" w:hint="default"/>
                            <w:sz w:val="18"/>
                            <w:szCs w:val="18"/>
                          </w:rPr>
                          <w:t>:</w:t>
                        </w:r>
                        <w:r>
                          <w:rPr>
                            <w:rFonts w:ascii="宋体" w:hAnsi="宋体" w:cs="宋体" w:eastAsia="宋体" w:hint="default"/>
                            <w:sz w:val="18"/>
                            <w:szCs w:val="18"/>
                          </w:rPr>
                          <w:t>钟峻解锁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r>
                          <w:rPr>
                            <w:rFonts w:ascii="宋体" w:hAnsi="宋体" w:cs="宋体" w:eastAsia="宋体" w:hint="default"/>
                            <w:sz w:val="18"/>
                            <w:szCs w:val="18"/>
                          </w:rPr>
                          <w:t>剩余未解锁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万股；朱祖龙解锁</w:t>
                        </w:r>
                      </w:p>
                      <w:p>
                        <w:pPr>
                          <w:pStyle w:val="TableParagraph"/>
                          <w:spacing w:line="240" w:lineRule="auto" w:before="63"/>
                          <w:ind w:left="19"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34.5</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万股，剩余未解锁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80.5</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万股；马玉峰解锁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万股，剩余未解锁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万股。以上具体内容详见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p>
                      <w:p>
                        <w:pPr>
                          <w:pStyle w:val="TableParagraph"/>
                          <w:spacing w:line="300" w:lineRule="auto" w:before="63"/>
                          <w:ind w:left="19"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日在中国证监会指定的创业板信息披露网站公 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2"/>
        <w:spacing w:line="240" w:lineRule="auto" w:before="26"/>
        <w:ind w:right="0"/>
        <w:jc w:val="left"/>
        <w:rPr>
          <w:b w:val="0"/>
          <w:bCs w:val="0"/>
        </w:rPr>
      </w:pPr>
      <w:bookmarkStart w:name="五、公司员工情况" w:id="122"/>
      <w:bookmarkEnd w:id="122"/>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3"/>
      <w:bookmarkEnd w:id="12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3,389</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5,235</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5,235</w:t>
            </w:r>
          </w:p>
        </w:tc>
      </w:tr>
      <w:tr>
        <w:trPr>
          <w:trHeight w:val="408"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4,727</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3,686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大专及以下学历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5,235</w:t>
            </w:r>
          </w:p>
        </w:tc>
      </w:tr>
    </w:tbl>
    <w:p>
      <w:pPr>
        <w:spacing w:line="240" w:lineRule="auto" w:before="3"/>
        <w:rPr>
          <w:rFonts w:ascii="宋体" w:hAnsi="宋体" w:cs="宋体" w:eastAsia="宋体" w:hint="default"/>
          <w:b/>
          <w:bCs/>
          <w:sz w:val="19"/>
          <w:szCs w:val="19"/>
        </w:rPr>
      </w:pPr>
    </w:p>
    <w:p>
      <w:pPr>
        <w:pStyle w:val="Heading3"/>
        <w:spacing w:line="240" w:lineRule="auto" w:before="36"/>
        <w:ind w:right="90"/>
        <w:jc w:val="left"/>
        <w:rPr>
          <w:b w:val="0"/>
          <w:bCs w:val="0"/>
        </w:rPr>
      </w:pPr>
      <w:bookmarkStart w:name="2、薪酬政策" w:id="124"/>
      <w:bookmarkEnd w:id="12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02" w:firstLine="432"/>
        <w:jc w:val="left"/>
      </w:pPr>
      <w:r>
        <w:rPr/>
        <w:t>薪酬政策依据公司战略方向、营运目标和市场薪酬调研分析，基于竞争策略、公平原则，制定公司薪酬体系及相关制 度，合理配置薪酬成本，以绩效导向为目标，促进组织和个人目标的实现。</w:t>
      </w:r>
    </w:p>
    <w:p>
      <w:pPr>
        <w:spacing w:line="240" w:lineRule="auto" w:before="10"/>
        <w:rPr>
          <w:rFonts w:ascii="宋体" w:hAnsi="宋体" w:cs="宋体" w:eastAsia="宋体" w:hint="default"/>
          <w:sz w:val="22"/>
          <w:szCs w:val="22"/>
        </w:rPr>
      </w:pPr>
    </w:p>
    <w:p>
      <w:pPr>
        <w:pStyle w:val="Heading3"/>
        <w:spacing w:line="240" w:lineRule="auto"/>
        <w:ind w:right="90"/>
        <w:jc w:val="left"/>
        <w:rPr>
          <w:b w:val="0"/>
          <w:bCs w:val="0"/>
        </w:rPr>
      </w:pPr>
      <w:bookmarkStart w:name="3、培训计划" w:id="125"/>
      <w:bookmarkEnd w:id="12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0" w:firstLine="504"/>
        <w:jc w:val="left"/>
      </w:pPr>
      <w:r>
        <w:rPr/>
        <w:t>公司通过知识、经验、能力的积累、传播、应用与创新，为提升员工职业技能与职业素质，实现公司与员工的共同发 </w:t>
      </w:r>
      <w:r>
        <w:rPr>
          <w:spacing w:val="-2"/>
        </w:rPr>
        <w:t>展，持续有效实施培训工作。公司目前培训分为新人导引类、管理干部类、项目管理类和技术类，契合业务的需求，并按照</w:t>
      </w:r>
      <w:r>
        <w:rPr>
          <w:spacing w:val="-66"/>
        </w:rPr>
        <w:t> </w:t>
      </w:r>
      <w:r>
        <w:rPr>
          <w:spacing w:val="-66"/>
        </w:rPr>
      </w:r>
      <w:r>
        <w:rPr>
          <w:spacing w:val="-4"/>
        </w:rPr>
        <w:t>公司《年度培训需求调研》，进行了《年度培训计划》，并秉持资源充分利用的原则，合理开发培训资源和课程，按照计划，</w:t>
      </w:r>
      <w:r>
        <w:rPr>
          <w:spacing w:val="-46"/>
        </w:rPr>
        <w:t> </w:t>
      </w:r>
      <w:r>
        <w:rPr>
          <w:spacing w:val="-46"/>
        </w:rPr>
      </w:r>
      <w:r>
        <w:rPr/>
        <w:t>持续实施；在培训效果评估的基础上，对培训效果进行持续跟踪，对公司各层次的人员培养提供有力支撑。</w:t>
      </w:r>
    </w:p>
    <w:p>
      <w:pPr>
        <w:spacing w:line="240" w:lineRule="auto" w:before="11"/>
        <w:rPr>
          <w:rFonts w:ascii="宋体" w:hAnsi="宋体" w:cs="宋体" w:eastAsia="宋体" w:hint="default"/>
          <w:sz w:val="22"/>
          <w:szCs w:val="22"/>
        </w:rPr>
      </w:pPr>
    </w:p>
    <w:p>
      <w:pPr>
        <w:pStyle w:val="Heading3"/>
        <w:spacing w:line="240" w:lineRule="auto"/>
        <w:ind w:right="90"/>
        <w:jc w:val="left"/>
        <w:rPr>
          <w:b w:val="0"/>
          <w:bCs w:val="0"/>
        </w:rPr>
      </w:pPr>
      <w:bookmarkStart w:name="4、劳务外包情况" w:id="126"/>
      <w:bookmarkEnd w:id="12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8"/>
        <w:jc w:val="center"/>
        <w:rPr>
          <w:b w:val="0"/>
          <w:bCs w:val="0"/>
        </w:rPr>
      </w:pPr>
      <w:bookmarkStart w:name="第九节 公司治理" w:id="127"/>
      <w:bookmarkEnd w:id="127"/>
      <w:r>
        <w:rPr>
          <w:b w:val="0"/>
          <w:bCs w:val="0"/>
        </w:rPr>
      </w:r>
      <w:bookmarkStart w:name="_bookmark7" w:id="128"/>
      <w:bookmarkEnd w:id="128"/>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0"/>
        <w:jc w:val="left"/>
        <w:rPr>
          <w:b w:val="0"/>
          <w:bCs w:val="0"/>
        </w:rPr>
      </w:pPr>
      <w:bookmarkStart w:name="一、公司治理的基本状况" w:id="129"/>
      <w:bookmarkEnd w:id="129"/>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4" w:right="90"/>
        <w:jc w:val="left"/>
      </w:pPr>
      <w:r>
        <w:rPr/>
        <w:t>报告期内，公司严格按照《公司法》、《证券法》、《上市公司治理准则》、《深圳证券交易所创业板股票上市规则》、</w:t>
      </w:r>
    </w:p>
    <w:p>
      <w:pPr>
        <w:pStyle w:val="BodyText"/>
        <w:spacing w:line="316" w:lineRule="auto" w:before="76"/>
        <w:ind w:right="190"/>
        <w:jc w:val="both"/>
      </w:pPr>
      <w:r>
        <w:rPr>
          <w:spacing w:val="-2"/>
        </w:rPr>
        <w:t>《深圳证券交易所创业板上市公司规范运作指引》和其他有关法律法规的要求，不断完善公司法人治理结构，进一步规范公</w:t>
      </w:r>
      <w:r>
        <w:rPr>
          <w:spacing w:val="-63"/>
        </w:rPr>
        <w:t> </w:t>
      </w:r>
      <w:r>
        <w:rPr>
          <w:spacing w:val="-63"/>
        </w:rPr>
      </w:r>
      <w:r>
        <w:rPr>
          <w:spacing w:val="-2"/>
        </w:rPr>
        <w:t>司法人治理结构，建立健全公司内部管理和控制制度。公司本着对投资者高度负责的精神，诚信经营并规范运作，提高公司</w:t>
      </w:r>
      <w:r>
        <w:rPr>
          <w:spacing w:val="-64"/>
        </w:rPr>
        <w:t> </w:t>
      </w:r>
      <w:r>
        <w:rPr>
          <w:spacing w:val="-64"/>
        </w:rPr>
      </w:r>
      <w:r>
        <w:rPr>
          <w:spacing w:val="-2"/>
        </w:rPr>
        <w:t>治理水品，切实履行上市公司义务，促进公司健康发展。截至报告期末，公司治理结构的实际情况符合中国证监会发布的有</w:t>
      </w:r>
      <w:r>
        <w:rPr>
          <w:spacing w:val="-64"/>
        </w:rPr>
        <w:t> </w:t>
      </w:r>
      <w:r>
        <w:rPr>
          <w:spacing w:val="-64"/>
        </w:rPr>
      </w:r>
      <w:r>
        <w:rPr/>
        <w:t>关上市公司治理规范性文件的要求。</w:t>
      </w:r>
    </w:p>
    <w:p>
      <w:pPr>
        <w:pStyle w:val="BodyText"/>
        <w:spacing w:line="300" w:lineRule="auto" w:before="18"/>
        <w:ind w:left="440" w:right="90"/>
        <w:jc w:val="left"/>
      </w:pPr>
      <w:r>
        <w:rPr>
          <w:rFonts w:ascii="Times New Roman" w:hAnsi="Times New Roman" w:cs="Times New Roman" w:eastAsia="Times New Roman" w:hint="default"/>
        </w:rPr>
        <w:t>1</w:t>
      </w:r>
      <w:r>
        <w:rPr/>
        <w:t>、关于股东和股东大会 </w:t>
      </w:r>
      <w:r>
        <w:rPr>
          <w:spacing w:val="-1"/>
        </w:rPr>
        <w:t>公司严格按照《公司法》、《公司章程》和《股东大会议事规则》等法律、法规要求，规范股东大会召集、召开、表决</w:t>
      </w:r>
    </w:p>
    <w:p>
      <w:pPr>
        <w:pStyle w:val="BodyText"/>
        <w:spacing w:line="240" w:lineRule="auto" w:before="31"/>
        <w:ind w:right="90"/>
        <w:jc w:val="left"/>
      </w:pPr>
      <w:r>
        <w:rPr/>
        <w:t>程序，确保所有股东享有平等地位、平等权利，充分行使自己的权利，并承担相应的义务。</w:t>
      </w:r>
    </w:p>
    <w:p>
      <w:pPr>
        <w:pStyle w:val="BodyText"/>
        <w:spacing w:line="300" w:lineRule="auto" w:before="76"/>
        <w:ind w:left="440" w:right="90"/>
        <w:jc w:val="left"/>
      </w:pPr>
      <w:r>
        <w:rPr>
          <w:rFonts w:ascii="Times New Roman" w:hAnsi="Times New Roman" w:cs="Times New Roman" w:eastAsia="Times New Roman" w:hint="default"/>
        </w:rPr>
        <w:t>2</w:t>
      </w:r>
      <w:r>
        <w:rPr/>
        <w:t>、关于公司与控股股东 </w:t>
      </w:r>
      <w:r>
        <w:rPr>
          <w:spacing w:val="-1"/>
        </w:rPr>
        <w:t>公司控股股东严格规范自身行为，没有直接或间接干预公司的决策和经营活动。公司具有独立的经营能力，在业务、人</w:t>
      </w:r>
    </w:p>
    <w:p>
      <w:pPr>
        <w:pStyle w:val="BodyText"/>
        <w:spacing w:line="240" w:lineRule="auto" w:before="31"/>
        <w:ind w:right="90"/>
        <w:jc w:val="left"/>
      </w:pPr>
      <w:r>
        <w:rPr/>
        <w:t>员、资产、机构、财务上独立于控股股东，公司董事会、监事会和内部机构能够独立运作。</w:t>
      </w:r>
    </w:p>
    <w:p>
      <w:pPr>
        <w:pStyle w:val="BodyText"/>
        <w:spacing w:line="300" w:lineRule="auto" w:before="76"/>
        <w:ind w:left="440" w:right="256"/>
        <w:jc w:val="left"/>
      </w:pPr>
      <w:r>
        <w:rPr>
          <w:rFonts w:ascii="Times New Roman" w:hAnsi="Times New Roman" w:cs="Times New Roman" w:eastAsia="Times New Roman" w:hint="default"/>
        </w:rPr>
        <w:t>3</w:t>
      </w:r>
      <w:r>
        <w:rPr/>
        <w:t>、关于董事与董事会 公司董事会设董事</w:t>
      </w:r>
      <w:r>
        <w:rPr>
          <w:rFonts w:ascii="Times New Roman" w:hAnsi="Times New Roman" w:cs="Times New Roman" w:eastAsia="Times New Roman" w:hint="default"/>
        </w:rPr>
        <w:t>11</w:t>
      </w:r>
      <w:r>
        <w:rPr/>
        <w:t>名，其中独立董事</w:t>
      </w:r>
      <w:r>
        <w:rPr>
          <w:rFonts w:ascii="Times New Roman" w:hAnsi="Times New Roman" w:cs="Times New Roman" w:eastAsia="Times New Roman" w:hint="default"/>
        </w:rPr>
        <w:t>4</w:t>
      </w:r>
      <w:r>
        <w:rPr/>
        <w:t>名，董事会的人数及人员构成符合法律、法规和《公司章程》的要求。各位董</w:t>
      </w:r>
    </w:p>
    <w:p>
      <w:pPr>
        <w:pStyle w:val="BodyText"/>
        <w:spacing w:line="316" w:lineRule="auto" w:before="13"/>
        <w:ind w:right="90"/>
        <w:jc w:val="left"/>
      </w:pPr>
      <w:r>
        <w:rPr>
          <w:spacing w:val="-2"/>
        </w:rPr>
        <w:t>事能够严格按照《公司法》、《公司章程》和《董事会议事规则》等法律、法规开展工作，诚信、勤勉地履行职责，出席董</w:t>
      </w:r>
      <w:r>
        <w:rPr>
          <w:spacing w:val="-69"/>
        </w:rPr>
        <w:t> </w:t>
      </w:r>
      <w:r>
        <w:rPr>
          <w:spacing w:val="-69"/>
        </w:rPr>
      </w:r>
      <w:r>
        <w:rPr/>
        <w:t>事会会议和股东大会，勤勉尽责地履行职责和义务，同时积极参加有关培训，熟悉有关法律法规。</w:t>
      </w:r>
    </w:p>
    <w:p>
      <w:pPr>
        <w:pStyle w:val="BodyText"/>
        <w:spacing w:line="300" w:lineRule="auto" w:before="18"/>
        <w:ind w:left="440" w:right="94"/>
        <w:jc w:val="left"/>
      </w:pPr>
      <w:r>
        <w:rPr>
          <w:rFonts w:ascii="Times New Roman" w:hAnsi="Times New Roman" w:cs="Times New Roman" w:eastAsia="Times New Roman" w:hint="default"/>
        </w:rPr>
        <w:t>4</w:t>
      </w:r>
      <w:r>
        <w:rPr/>
        <w:t>、监事与监事会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名，监事会的人数和构成符合法律、法规的要求。各位监事严格按照《公司法》、</w:t>
      </w:r>
    </w:p>
    <w:p>
      <w:pPr>
        <w:pStyle w:val="BodyText"/>
        <w:spacing w:line="316" w:lineRule="auto" w:before="13"/>
        <w:ind w:right="90"/>
        <w:jc w:val="left"/>
      </w:pPr>
      <w:r>
        <w:rPr>
          <w:spacing w:val="-2"/>
        </w:rPr>
        <w:t>《公司章程》和《监事会议事规则》的有关规定认真履行职责，对公司财务状况、重大事项、关联交易以及公司董事及高级</w:t>
      </w:r>
      <w:r>
        <w:rPr>
          <w:spacing w:val="-68"/>
        </w:rPr>
        <w:t> </w:t>
      </w:r>
      <w:r>
        <w:rPr>
          <w:spacing w:val="-68"/>
        </w:rPr>
      </w:r>
      <w:r>
        <w:rPr/>
        <w:t>管理人员履行职责的合法合规性进行监督，维护公司及股东的合法权益。</w:t>
      </w:r>
    </w:p>
    <w:p>
      <w:pPr>
        <w:pStyle w:val="BodyText"/>
        <w:spacing w:line="300" w:lineRule="auto" w:before="18"/>
        <w:ind w:left="440" w:right="90"/>
        <w:jc w:val="left"/>
      </w:pPr>
      <w:r>
        <w:rPr>
          <w:rFonts w:ascii="Times New Roman" w:hAnsi="Times New Roman" w:cs="Times New Roman" w:eastAsia="Times New Roman" w:hint="default"/>
        </w:rPr>
        <w:t>5</w:t>
      </w:r>
      <w:r>
        <w:rPr/>
        <w:t>、关于绩效评价与激励约束机制 </w:t>
      </w:r>
      <w:r>
        <w:rPr>
          <w:spacing w:val="-1"/>
        </w:rPr>
        <w:t>公司董事会下设的提名、薪酬与考核委员会负责对公司的董事、监事、高级管理人员进行绩效考核，公司现有的考核及</w:t>
      </w:r>
    </w:p>
    <w:p>
      <w:pPr>
        <w:pStyle w:val="BodyText"/>
        <w:spacing w:line="240" w:lineRule="auto" w:before="31"/>
        <w:ind w:right="90"/>
        <w:jc w:val="left"/>
      </w:pPr>
      <w:r>
        <w:rPr/>
        <w:t>激励约束机制符合公司的发展现状。</w:t>
      </w:r>
    </w:p>
    <w:p>
      <w:pPr>
        <w:pStyle w:val="BodyText"/>
        <w:spacing w:line="300" w:lineRule="auto" w:before="76"/>
        <w:ind w:left="440" w:right="90"/>
        <w:jc w:val="left"/>
      </w:pPr>
      <w:r>
        <w:rPr>
          <w:rFonts w:ascii="Times New Roman" w:hAnsi="Times New Roman" w:cs="Times New Roman" w:eastAsia="Times New Roman" w:hint="default"/>
        </w:rPr>
        <w:t>6</w:t>
      </w:r>
      <w:r>
        <w:rPr/>
        <w:t>、关于信息披露与透明度 </w:t>
      </w:r>
      <w:r>
        <w:rPr>
          <w:spacing w:val="-3"/>
        </w:rPr>
        <w:t>公司严格按照有关法律法规以及《信息披露管理制度》、《投资者关系管理制度》等的要求，真实、准确、及时、公平、</w:t>
      </w:r>
    </w:p>
    <w:p>
      <w:pPr>
        <w:pStyle w:val="BodyText"/>
        <w:spacing w:line="312" w:lineRule="auto" w:before="31"/>
        <w:ind w:right="94"/>
        <w:jc w:val="left"/>
      </w:pPr>
      <w:r>
        <w:rPr/>
        <w:t>完整地披露有关信息；并指定公司董事会秘书负责信息披露工作，协调公司与投资者的关系，接待股东来访</w:t>
      </w:r>
      <w:r>
        <w:rPr>
          <w:rFonts w:ascii="Times New Roman" w:hAnsi="Times New Roman" w:cs="Times New Roman" w:eastAsia="Times New Roman" w:hint="default"/>
        </w:rPr>
        <w:t>,</w:t>
      </w:r>
      <w:r>
        <w:rPr/>
        <w:t>回答投资者咨 </w:t>
      </w:r>
      <w:r>
        <w:rPr>
          <w:spacing w:val="-2"/>
        </w:rPr>
        <w:t>询，向投资者提供公司已披露的资料；并指定《证券时报》、《中国证券报》、《上海证券报》、《证券日报》和巨潮资讯</w:t>
      </w:r>
      <w:r>
        <w:rPr>
          <w:spacing w:val="-71"/>
        </w:rPr>
        <w:t> </w:t>
      </w:r>
      <w:r>
        <w:rPr>
          <w:spacing w:val="-71"/>
        </w:rPr>
      </w:r>
      <w:r>
        <w:rPr/>
        <w:t>网（</w:t>
      </w:r>
      <w:hyperlink r:id="rId10">
        <w:r>
          <w:rPr>
            <w:rFonts w:ascii="Times New Roman" w:hAnsi="Times New Roman" w:cs="Times New Roman" w:eastAsia="Times New Roman" w:hint="default"/>
          </w:rPr>
          <w:t>www.cninfo.com.cn</w:t>
        </w:r>
      </w:hyperlink>
      <w:r>
        <w:rPr/>
        <w:t>）为公司信息披露的指定报纸和网站，确保公司所有股东能够以平等的机会获得信息。</w:t>
      </w:r>
      <w:r>
        <w:rPr>
          <w:rFonts w:ascii="Times New Roman" w:hAnsi="Times New Roman" w:cs="Times New Roman" w:eastAsia="Times New Roman" w:hint="default"/>
        </w:rPr>
        <w:t>2015</w:t>
      </w:r>
      <w:r>
        <w:rPr/>
        <w:t>年，公</w:t>
      </w:r>
      <w:r>
        <w:rPr>
          <w:spacing w:val="-3"/>
        </w:rPr>
        <w:t> </w:t>
      </w:r>
      <w:r>
        <w:rPr>
          <w:spacing w:val="-2"/>
        </w:rPr>
        <w:t>司对《独立董事工作制度》、《信息披露管理制度》、《募集资金管理制度》、《投资者关系管理制度》、《内幕信息知情</w:t>
      </w:r>
      <w:r>
        <w:rPr>
          <w:spacing w:val="-72"/>
        </w:rPr>
        <w:t> </w:t>
      </w:r>
      <w:r>
        <w:rPr>
          <w:spacing w:val="-72"/>
        </w:rPr>
      </w:r>
      <w:r>
        <w:rPr/>
        <w:t>人登记和报备制度》、《对外提供财务资助管理制度》、《控股股东和实际控制人行为规范》、《重大信息内部保密制度》 作出了修订。</w:t>
      </w:r>
    </w:p>
    <w:p>
      <w:pPr>
        <w:pStyle w:val="BodyText"/>
        <w:spacing w:line="300" w:lineRule="auto" w:before="22"/>
        <w:ind w:left="440" w:right="92"/>
        <w:jc w:val="left"/>
      </w:pPr>
      <w:r>
        <w:rPr>
          <w:rFonts w:ascii="Times New Roman" w:hAnsi="Times New Roman" w:cs="Times New Roman" w:eastAsia="Times New Roman" w:hint="default"/>
        </w:rPr>
        <w:t>7</w:t>
      </w:r>
      <w:r>
        <w:rPr/>
        <w:t>、关于相关利益者 </w:t>
      </w:r>
      <w:r>
        <w:rPr>
          <w:spacing w:val="-2"/>
        </w:rPr>
        <w:t>公司能够充分尊重和维护相关利益者的合法权益，积极与相关利益者合作，加强与各方的沟通和交流，实现股东、员工、</w:t>
      </w:r>
    </w:p>
    <w:p>
      <w:pPr>
        <w:pStyle w:val="BodyText"/>
        <w:spacing w:line="360" w:lineRule="auto" w:before="31"/>
        <w:ind w:right="2614"/>
        <w:jc w:val="left"/>
      </w:pPr>
      <w:r>
        <w:rPr/>
        <w:t>社会等各方面的均衡，共同推动公司持续、稳定、健康地发展。 公司治理的实际状况与中国证监会发布的有关上市公司治理的规范性文件是否存在重大差异</w:t>
      </w:r>
    </w:p>
    <w:p>
      <w:pPr>
        <w:pStyle w:val="BodyText"/>
        <w:spacing w:line="340" w:lineRule="auto" w:before="25"/>
        <w:ind w:right="26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after="0" w:line="3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0"/>
        <w:jc w:val="left"/>
        <w:rPr>
          <w:b w:val="0"/>
          <w:bCs w:val="0"/>
        </w:rPr>
      </w:pPr>
      <w:bookmarkStart w:name="二、公司相对于控股股东在业务、人员、资产、机构、财务等方面的独立情况" w:id="130"/>
      <w:bookmarkEnd w:id="130"/>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0"/>
        <w:jc w:val="left"/>
      </w:pPr>
      <w:r>
        <w:rPr>
          <w:spacing w:val="-4"/>
        </w:rPr>
        <w:t>公司自成立以来严格按照《公司法》、《证券法》等有关法律、法规和《公司章程》的要求规范运作，在业务、资产、人员、</w:t>
      </w:r>
      <w:r>
        <w:rPr>
          <w:spacing w:val="-46"/>
        </w:rPr>
        <w:t> </w:t>
      </w:r>
      <w:r>
        <w:rPr>
          <w:spacing w:val="-46"/>
        </w:rPr>
      </w:r>
      <w:r>
        <w:rPr/>
        <w:t>机构和财务等方面相互独立，具有完整的业务系统及面向市场独立经营的能力，具体情况如下：</w:t>
      </w:r>
    </w:p>
    <w:p>
      <w:pPr>
        <w:pStyle w:val="BodyText"/>
        <w:spacing w:line="314" w:lineRule="auto" w:before="18"/>
        <w:ind w:right="94"/>
        <w:jc w:val="left"/>
      </w:pPr>
      <w:r>
        <w:rPr>
          <w:rFonts w:ascii="Times New Roman" w:hAnsi="Times New Roman" w:cs="Times New Roman" w:eastAsia="Times New Roman" w:hint="default"/>
        </w:rPr>
        <w:t>1</w:t>
      </w:r>
      <w:r>
        <w:rPr/>
        <w:t>、资产独立 </w:t>
      </w:r>
      <w:r>
        <w:rPr>
          <w:spacing w:val="-4"/>
        </w:rPr>
        <w:t>公司拥有独立固定的生产经营场所，拥有独立完整的研发、设计、采购、生产和销售配套设施及资产，对相关的设备、厂房、</w:t>
      </w:r>
      <w:r>
        <w:rPr>
          <w:spacing w:val="-44"/>
        </w:rPr>
        <w:t> </w:t>
      </w:r>
      <w:r>
        <w:rPr>
          <w:spacing w:val="-44"/>
        </w:rPr>
      </w:r>
      <w:r>
        <w:rPr/>
        <w:t>土地、以及商标、非专利技术等资产均拥有合法的所有权或使用权，不存在依靠股东的生产经营场所进行生产经营的情况， 不存在以公司资产、权益或信誉为股东提供担保的情况，不存在资产、资金被控股股东占用而损害公司利益的情况。 </w:t>
      </w:r>
      <w:r>
        <w:rPr>
          <w:rFonts w:ascii="Times New Roman" w:hAnsi="Times New Roman" w:cs="Times New Roman" w:eastAsia="Times New Roman" w:hint="default"/>
        </w:rPr>
        <w:t>2</w:t>
      </w:r>
      <w:r>
        <w:rPr/>
        <w:t>、人员独立 </w:t>
      </w:r>
      <w:r>
        <w:rPr>
          <w:spacing w:val="-2"/>
        </w:rPr>
        <w:t>公司董事、监事、高级管理人员均严格按照《公司法》、《公司章程》等规定的程序选举或聘任产生；公司高级管理人员不</w:t>
      </w:r>
      <w:r>
        <w:rPr>
          <w:spacing w:val="-65"/>
        </w:rPr>
        <w:t> </w:t>
      </w:r>
      <w:r>
        <w:rPr>
          <w:spacing w:val="-65"/>
        </w:rPr>
      </w:r>
      <w:r>
        <w:rPr>
          <w:spacing w:val="-2"/>
        </w:rPr>
        <w:t>存在在控股股东、实际控制人及其控制的其他企业中担任除董事、监事以外的其他职务，或在控股股东、实际控制人及其控</w:t>
      </w:r>
      <w:r>
        <w:rPr>
          <w:spacing w:val="-64"/>
        </w:rPr>
        <w:t> </w:t>
      </w:r>
      <w:r>
        <w:rPr>
          <w:spacing w:val="-64"/>
        </w:rPr>
      </w:r>
      <w:r>
        <w:rPr>
          <w:spacing w:val="-4"/>
        </w:rPr>
        <w:t>制的其他企业领薪的情形；公司财务人员不存在在控股股东、实际控制人及其控制的其他企业中兼职的情形。公司拥有独立、</w:t>
      </w:r>
      <w:r>
        <w:rPr>
          <w:spacing w:val="-44"/>
        </w:rPr>
        <w:t> </w:t>
      </w:r>
      <w:r>
        <w:rPr>
          <w:spacing w:val="-44"/>
        </w:rPr>
      </w:r>
      <w:r>
        <w:rPr/>
        <w:t>完整的人事管理体系，制定了独立的劳动人事管理制度，由公司独立与员工签订劳动合同。</w:t>
      </w:r>
    </w:p>
    <w:p>
      <w:pPr>
        <w:pStyle w:val="BodyText"/>
        <w:spacing w:line="314" w:lineRule="auto" w:before="20"/>
        <w:ind w:right="94"/>
        <w:jc w:val="left"/>
      </w:pPr>
      <w:r>
        <w:rPr>
          <w:rFonts w:ascii="Times New Roman" w:hAnsi="Times New Roman" w:cs="Times New Roman" w:eastAsia="Times New Roman" w:hint="default"/>
        </w:rPr>
        <w:t>3</w:t>
      </w:r>
      <w:r>
        <w:rPr/>
        <w:t>、财务独立 </w:t>
      </w:r>
      <w:r>
        <w:rPr>
          <w:spacing w:val="-2"/>
        </w:rPr>
        <w:t>公司设立了独立的财务会计部门，配备了专职的财务人员，建立了独立的会计核算体系，制定了独立的财务管理制度及各项</w:t>
      </w:r>
      <w:r>
        <w:rPr>
          <w:spacing w:val="-65"/>
        </w:rPr>
        <w:t> </w:t>
      </w:r>
      <w:r>
        <w:rPr>
          <w:spacing w:val="-65"/>
        </w:rPr>
      </w:r>
      <w:r>
        <w:rPr>
          <w:spacing w:val="-2"/>
        </w:rPr>
        <w:t>内部控制制度，独立进行会计核算和财务决策。公司拥有独立银行账户，依法独立纳税。公司不存在与控股股东、实际控制</w:t>
      </w:r>
      <w:r>
        <w:rPr>
          <w:spacing w:val="-67"/>
        </w:rPr>
        <w:t> </w:t>
      </w:r>
      <w:r>
        <w:rPr>
          <w:spacing w:val="-67"/>
        </w:rPr>
      </w:r>
      <w:r>
        <w:rPr/>
        <w:t>人及其控制的其他企业共用银行账户的情形；不存在资金被控股股东、实际控制人及其控制的其他企业以借款、代偿债务、 代垫款项或者其他方式占用的情形。</w:t>
      </w:r>
    </w:p>
    <w:p>
      <w:pPr>
        <w:pStyle w:val="BodyText"/>
        <w:spacing w:line="312" w:lineRule="auto" w:before="20"/>
        <w:ind w:right="90"/>
        <w:jc w:val="left"/>
      </w:pPr>
      <w:r>
        <w:rPr>
          <w:rFonts w:ascii="Times New Roman" w:hAnsi="Times New Roman" w:cs="Times New Roman" w:eastAsia="Times New Roman" w:hint="default"/>
        </w:rPr>
        <w:t>4</w:t>
      </w:r>
      <w:r>
        <w:rPr/>
        <w:t>、机构独立 </w:t>
      </w:r>
      <w:r>
        <w:rPr>
          <w:spacing w:val="-2"/>
        </w:rPr>
        <w:t>公司根据《公司法》和《公司章程》的要求，设置股东大会作为最高权力机构、设置董事会为决策机构、设置监事会为监督</w:t>
      </w:r>
      <w:r>
        <w:rPr>
          <w:spacing w:val="-73"/>
        </w:rPr>
        <w:t> </w:t>
      </w:r>
      <w:r>
        <w:rPr>
          <w:spacing w:val="-73"/>
        </w:rPr>
      </w:r>
      <w:r>
        <w:rPr>
          <w:spacing w:val="-2"/>
        </w:rPr>
        <w:t>机构，并设有相应的办公机构和经营部门，各职能部门分工协作，形成有机的独立运营主体，不受控股股东和实际控制人的</w:t>
      </w:r>
      <w:r>
        <w:rPr>
          <w:spacing w:val="-65"/>
        </w:rPr>
        <w:t> </w:t>
      </w:r>
      <w:r>
        <w:rPr>
          <w:spacing w:val="-65"/>
        </w:rPr>
      </w:r>
      <w:r>
        <w:rPr/>
        <w:t>干预，与控股股东在机构设置、人员及办公场所等方面完全分开，不存在混合经营、合署办公的情形。</w:t>
      </w:r>
    </w:p>
    <w:p>
      <w:pPr>
        <w:pStyle w:val="BodyText"/>
        <w:spacing w:line="312" w:lineRule="auto" w:before="22"/>
        <w:ind w:right="90"/>
        <w:jc w:val="left"/>
      </w:pPr>
      <w:r>
        <w:rPr>
          <w:rFonts w:ascii="Times New Roman" w:hAnsi="Times New Roman" w:cs="Times New Roman" w:eastAsia="Times New Roman" w:hint="default"/>
        </w:rPr>
        <w:t>5</w:t>
      </w:r>
      <w:r>
        <w:rPr/>
        <w:t>、业务独立 </w:t>
      </w:r>
      <w:r>
        <w:rPr>
          <w:spacing w:val="-2"/>
        </w:rPr>
        <w:t>公司主要从事面向国际、国内客户提供软件外包服务，在业务上独立于股东和其他关联方，拥有独立完整的产、供、销系统</w:t>
      </w:r>
      <w:r>
        <w:rPr>
          <w:spacing w:val="-65"/>
        </w:rPr>
        <w:t> </w:t>
      </w:r>
      <w:r>
        <w:rPr>
          <w:spacing w:val="-65"/>
        </w:rPr>
      </w:r>
      <w:r>
        <w:rPr>
          <w:spacing w:val="-4"/>
        </w:rPr>
        <w:t>和研发业务环节，独立开展业务，与控股股东、实际控制人及其控制的其他企业之间不存在同业竞争或显失公平的关联交易，</w:t>
      </w:r>
      <w:r>
        <w:rPr>
          <w:spacing w:val="-44"/>
        </w:rPr>
        <w:t> </w:t>
      </w:r>
      <w:r>
        <w:rPr>
          <w:spacing w:val="-44"/>
        </w:rPr>
      </w:r>
      <w:r>
        <w:rPr/>
        <w:t>具备直接面向市场的独立经营能力。</w:t>
      </w:r>
    </w:p>
    <w:p>
      <w:pPr>
        <w:spacing w:line="240" w:lineRule="auto" w:before="3"/>
        <w:rPr>
          <w:rFonts w:ascii="宋体" w:hAnsi="宋体" w:cs="宋体" w:eastAsia="宋体" w:hint="default"/>
          <w:sz w:val="21"/>
          <w:szCs w:val="21"/>
        </w:rPr>
      </w:pPr>
    </w:p>
    <w:p>
      <w:pPr>
        <w:pStyle w:val="Heading2"/>
        <w:spacing w:line="240" w:lineRule="auto"/>
        <w:ind w:right="90"/>
        <w:jc w:val="left"/>
        <w:rPr>
          <w:b w:val="0"/>
          <w:bCs w:val="0"/>
        </w:rPr>
      </w:pPr>
      <w:bookmarkStart w:name="三、同业竞争情况" w:id="131"/>
      <w:bookmarkEnd w:id="131"/>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0"/>
        <w:jc w:val="left"/>
        <w:rPr>
          <w:b w:val="0"/>
          <w:bCs w:val="0"/>
        </w:rPr>
      </w:pPr>
      <w:bookmarkStart w:name="四、报告期内召开的年度股东大会和临时股东大会的有关情况" w:id="132"/>
      <w:bookmarkEnd w:id="132"/>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0"/>
        <w:jc w:val="left"/>
        <w:rPr>
          <w:b w:val="0"/>
          <w:bCs w:val="0"/>
        </w:rPr>
      </w:pPr>
      <w:bookmarkStart w:name="1、本报告期股东大会情况" w:id="133"/>
      <w:bookmarkEnd w:id="13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3"/>
        <w:rPr>
          <w:rFonts w:ascii="宋体" w:hAnsi="宋体" w:cs="宋体" w:eastAsia="宋体" w:hint="default"/>
          <w:b/>
          <w:bCs/>
          <w:sz w:val="19"/>
          <w:szCs w:val="19"/>
        </w:rPr>
      </w:pPr>
    </w:p>
    <w:p>
      <w:pPr>
        <w:pStyle w:val="Heading3"/>
        <w:spacing w:line="240" w:lineRule="auto" w:before="36"/>
        <w:ind w:right="90"/>
        <w:jc w:val="left"/>
        <w:rPr>
          <w:b w:val="0"/>
          <w:bCs w:val="0"/>
        </w:rPr>
      </w:pPr>
      <w:bookmarkStart w:name="2、表决权恢复的优先股股东请求召开临时股东大会" w:id="134"/>
      <w:bookmarkEnd w:id="13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bookmarkStart w:name="五、报告期内独立董事履行职责的情况" w:id="135"/>
      <w:bookmarkEnd w:id="135"/>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0"/>
        <w:jc w:val="left"/>
        <w:rPr>
          <w:b w:val="0"/>
          <w:bCs w:val="0"/>
        </w:rPr>
      </w:pPr>
      <w:bookmarkStart w:name="1、独立董事出席董事会及股东大会的情况" w:id="136"/>
      <w:bookmarkEnd w:id="13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张顺颐</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骆威</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357" w:lineRule="auto" w:before="49"/>
        <w:ind w:right="7114"/>
        <w:jc w:val="left"/>
      </w:pPr>
      <w:r>
        <w:rPr/>
        <w:t>连续两次未亲自出席董事会的说明 无</w:t>
      </w:r>
    </w:p>
    <w:p>
      <w:pPr>
        <w:spacing w:line="240" w:lineRule="auto" w:before="6"/>
        <w:rPr>
          <w:rFonts w:ascii="宋体" w:hAnsi="宋体" w:cs="宋体" w:eastAsia="宋体" w:hint="default"/>
          <w:sz w:val="20"/>
          <w:szCs w:val="20"/>
        </w:rPr>
      </w:pPr>
    </w:p>
    <w:p>
      <w:pPr>
        <w:pStyle w:val="Heading3"/>
        <w:spacing w:line="240" w:lineRule="auto"/>
        <w:ind w:right="90"/>
        <w:jc w:val="left"/>
        <w:rPr>
          <w:b w:val="0"/>
          <w:bCs w:val="0"/>
        </w:rPr>
      </w:pPr>
      <w:bookmarkStart w:name="2、独立董事对公司有关事项提出异议的情况" w:id="137"/>
      <w:bookmarkEnd w:id="13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t>独立董事对公司有关事项是否提出异议</w:t>
      </w:r>
    </w:p>
    <w:p>
      <w:pPr>
        <w:pStyle w:val="BodyText"/>
        <w:spacing w:line="340" w:lineRule="auto" w:before="115"/>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90"/>
        <w:jc w:val="left"/>
        <w:rPr>
          <w:b w:val="0"/>
          <w:bCs w:val="0"/>
        </w:rPr>
      </w:pPr>
      <w:bookmarkStart w:name="3、独立董事履行职责的其他说明" w:id="138"/>
      <w:bookmarkEnd w:id="13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t>独立董事对公司有关建议是否被采纳</w:t>
      </w:r>
    </w:p>
    <w:p>
      <w:pPr>
        <w:pStyle w:val="BodyText"/>
        <w:spacing w:line="340" w:lineRule="auto" w:before="115"/>
        <w:ind w:right="58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41"/>
        <w:ind w:right="90"/>
        <w:jc w:val="left"/>
      </w:pPr>
      <w:r>
        <w:rPr>
          <w:spacing w:val="-4"/>
        </w:rPr>
        <w:t>公司独立董事根据《公司法》、《证券法》、《创业板股票上市规则》、《公司章程》及《独立董事工作规则》等相关规定，</w:t>
      </w:r>
      <w:r>
        <w:rPr>
          <w:spacing w:val="-48"/>
        </w:rPr>
        <w:t> </w:t>
      </w:r>
      <w:r>
        <w:rPr>
          <w:spacing w:val="-48"/>
        </w:rPr>
      </w:r>
      <w:r>
        <w:rPr>
          <w:spacing w:val="-2"/>
        </w:rPr>
        <w:t>关注公司运作，独立履行职责，在公司的制度完善和经营决策等方面，均提出了很多宝贵建议和意见，公司结合自身实际情</w:t>
      </w:r>
      <w:r>
        <w:rPr>
          <w:spacing w:val="-65"/>
        </w:rPr>
        <w:t> </w:t>
      </w:r>
      <w:r>
        <w:rPr>
          <w:spacing w:val="-65"/>
        </w:rPr>
      </w:r>
      <w:r>
        <w:rPr>
          <w:spacing w:val="-2"/>
        </w:rPr>
        <w:t>况均予以采纳。独立董事的独立、公正的建议和意见为完善公司监督机制，维护公司和全体股东的合法权益发挥了应有的作</w:t>
      </w:r>
      <w:r>
        <w:rPr>
          <w:spacing w:val="-63"/>
        </w:rPr>
        <w:t> </w:t>
      </w:r>
      <w:r>
        <w:rPr>
          <w:spacing w:val="-63"/>
        </w:rPr>
      </w:r>
      <w:r>
        <w:rPr/>
        <w:t>用。 </w:t>
      </w:r>
      <w:r>
        <w:rPr>
          <w:rFonts w:ascii="Times New Roman" w:hAnsi="Times New Roman" w:cs="Times New Roman" w:eastAsia="Times New Roman" w:hint="default"/>
        </w:rPr>
        <w:t>(1)2015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日，公司召开第四届董事会第二十五次会议，独立董事对公司选举公司第四届董事会非独立董事和独立董事</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4" w:lineRule="auto" w:before="44"/>
        <w:ind w:right="94"/>
        <w:jc w:val="left"/>
      </w:pPr>
      <w:r>
        <w:rPr/>
        <w:t>的事项发表了独立意见； </w:t>
      </w:r>
      <w:r>
        <w:rPr>
          <w:rFonts w:ascii="Times New Roman" w:hAnsi="Times New Roman" w:cs="Times New Roman" w:eastAsia="Times New Roman" w:hint="default"/>
        </w:rPr>
        <w:t>(2)2015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日，公司召开第四届董事会第二十七次会议，独立董事对公司</w:t>
      </w:r>
      <w:r>
        <w:rPr>
          <w:rFonts w:ascii="Times New Roman" w:hAnsi="Times New Roman" w:cs="Times New Roman" w:eastAsia="Times New Roman" w:hint="default"/>
        </w:rPr>
        <w:t>2014</w:t>
      </w:r>
      <w:r>
        <w:rPr/>
        <w:t>年度控股股东、实际控制人及其他关联方 占用公司资金和公司对外担保情况、</w:t>
      </w:r>
      <w:r>
        <w:rPr>
          <w:rFonts w:ascii="Times New Roman" w:hAnsi="Times New Roman" w:cs="Times New Roman" w:eastAsia="Times New Roman" w:hint="default"/>
        </w:rPr>
        <w:t>2014</w:t>
      </w:r>
      <w:r>
        <w:rPr/>
        <w:t>年度募集资金存放与使用情况专项报告、</w:t>
      </w:r>
      <w:r>
        <w:rPr>
          <w:rFonts w:ascii="Times New Roman" w:hAnsi="Times New Roman" w:cs="Times New Roman" w:eastAsia="Times New Roman" w:hint="default"/>
        </w:rPr>
        <w:t>2014</w:t>
      </w:r>
      <w:r>
        <w:rPr/>
        <w:t>年度内部控制有效性自我评价报告、 </w:t>
      </w:r>
      <w:r>
        <w:rPr>
          <w:rFonts w:ascii="Times New Roman" w:hAnsi="Times New Roman" w:cs="Times New Roman" w:eastAsia="Times New Roman" w:hint="default"/>
          <w:spacing w:val="-2"/>
        </w:rPr>
        <w:t>2014</w:t>
      </w:r>
      <w:r>
        <w:rPr>
          <w:spacing w:val="-2"/>
        </w:rPr>
        <w:t>年度利润分配方案、续聘</w:t>
      </w:r>
      <w:r>
        <w:rPr>
          <w:rFonts w:ascii="Times New Roman" w:hAnsi="Times New Roman" w:cs="Times New Roman" w:eastAsia="Times New Roman" w:hint="default"/>
          <w:spacing w:val="-2"/>
        </w:rPr>
        <w:t>2015</w:t>
      </w:r>
      <w:r>
        <w:rPr>
          <w:spacing w:val="-2"/>
        </w:rPr>
        <w:t>年度审计机构、选举公司第四届董事会副董事长、高级管理人员</w:t>
      </w:r>
      <w:r>
        <w:rPr>
          <w:rFonts w:ascii="Times New Roman" w:hAnsi="Times New Roman" w:cs="Times New Roman" w:eastAsia="Times New Roman" w:hint="default"/>
          <w:spacing w:val="-2"/>
        </w:rPr>
        <w:t>2015</w:t>
      </w:r>
      <w:r>
        <w:rPr>
          <w:spacing w:val="-2"/>
        </w:rPr>
        <w:t>年度薪酬、</w:t>
      </w:r>
      <w:r>
        <w:rPr>
          <w:rFonts w:ascii="Times New Roman" w:hAnsi="Times New Roman" w:cs="Times New Roman" w:eastAsia="Times New Roman" w:hint="default"/>
          <w:spacing w:val="-2"/>
        </w:rPr>
        <w:t>2014</w:t>
      </w:r>
      <w:r>
        <w:rPr>
          <w:spacing w:val="-2"/>
        </w:rPr>
        <w:t>年度</w:t>
      </w:r>
      <w:r>
        <w:rPr>
          <w:spacing w:val="-57"/>
        </w:rPr>
        <w:t> </w:t>
      </w:r>
      <w:r>
        <w:rPr>
          <w:spacing w:val="-4"/>
        </w:rPr>
        <w:t>关联交易、会计政策变更、北京捷科智诚科技有限公司</w:t>
      </w:r>
      <w:r>
        <w:rPr>
          <w:rFonts w:ascii="Times New Roman" w:hAnsi="Times New Roman" w:cs="Times New Roman" w:eastAsia="Times New Roman" w:hint="default"/>
          <w:spacing w:val="-4"/>
        </w:rPr>
        <w:t>2014</w:t>
      </w:r>
      <w:r>
        <w:rPr>
          <w:spacing w:val="-4"/>
        </w:rPr>
        <w:t>年业绩承诺完成情况等事项做出了事前认可，并发表了独立意见；</w:t>
      </w:r>
      <w:r>
        <w:rPr>
          <w:spacing w:val="-38"/>
        </w:rPr>
        <w:t> </w:t>
      </w:r>
      <w:r>
        <w:rPr>
          <w:spacing w:val="-38"/>
        </w:rPr>
      </w:r>
      <w:r>
        <w:rPr>
          <w:rFonts w:ascii="Times New Roman" w:hAnsi="Times New Roman" w:cs="Times New Roman" w:eastAsia="Times New Roman" w:hint="default"/>
        </w:rPr>
        <w:t>(3)2015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日，公司召开第四届董事会第二十八次会议，独立董事对公司公司发行股份及支付现金购买资产并募集配套 资金和使用剩余超募资金永久补充流动资金等事项做出了事前认可，并发表了独立意见； </w:t>
      </w:r>
      <w:r>
        <w:rPr>
          <w:rFonts w:ascii="Times New Roman" w:hAnsi="Times New Roman" w:cs="Times New Roman" w:eastAsia="Times New Roman" w:hint="default"/>
        </w:rPr>
        <w:t>(4)2015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日，公司召开第四届董事会第三十次会议，独立董事对公司转让持有的江苏中晟智源科技产业有限公司股权 的事项发表了独立意见； </w:t>
      </w:r>
      <w:r>
        <w:rPr>
          <w:rFonts w:ascii="Times New Roman" w:hAnsi="Times New Roman" w:cs="Times New Roman" w:eastAsia="Times New Roman" w:hint="default"/>
        </w:rPr>
        <w:t>(5)2015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日，公司召开第四届董事会第三十二次会议，独立董事对公司控股股东、实际控制人及其他关联方占用公司 资金和公司对外担保情况、公司</w:t>
      </w: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t>年半年度募集资金存放与使用情况、公司回购注销</w:t>
      </w:r>
      <w:r>
        <w:rPr>
          <w:rFonts w:ascii="Times New Roman" w:hAnsi="Times New Roman" w:cs="Times New Roman" w:eastAsia="Times New Roman" w:hint="default"/>
        </w:rPr>
        <w:t>2014</w:t>
      </w:r>
      <w:r>
        <w:rPr/>
        <w:t>年限制性股票激励计划部分已 获授但尚未解锁的限制性股票等事项发表了独立意见； </w:t>
      </w:r>
      <w:r>
        <w:rPr>
          <w:rFonts w:ascii="Times New Roman" w:hAnsi="Times New Roman" w:cs="Times New Roman" w:eastAsia="Times New Roman" w:hint="default"/>
        </w:rPr>
        <w:t>(6)2015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日，公司召开第四届董事会第三十四次会议，独立董事对公司补选公司第四届董事会非独立董事和聘任公司 高级副总裁的事项发表了独立意见； </w:t>
      </w:r>
      <w:r>
        <w:rPr>
          <w:rFonts w:ascii="Times New Roman" w:hAnsi="Times New Roman" w:cs="Times New Roman" w:eastAsia="Times New Roman" w:hint="default"/>
          <w:spacing w:val="-2"/>
        </w:rPr>
        <w:t>(7)2015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日，公司召开第四届董事会第三十六次会议，独立董事对公司收购上海菲耐得信息科技有限公司</w:t>
      </w:r>
      <w:r>
        <w:rPr>
          <w:rFonts w:ascii="Times New Roman" w:hAnsi="Times New Roman" w:cs="Times New Roman" w:eastAsia="Times New Roman" w:hint="default"/>
          <w:spacing w:val="-2"/>
        </w:rPr>
        <w:t>100%</w:t>
      </w:r>
      <w:r>
        <w:rPr>
          <w:spacing w:val="-2"/>
        </w:rPr>
        <w:t>股权的</w:t>
      </w:r>
      <w:r>
        <w:rPr>
          <w:spacing w:val="-59"/>
        </w:rPr>
        <w:t> </w:t>
      </w:r>
      <w:r>
        <w:rPr>
          <w:spacing w:val="-59"/>
        </w:rPr>
      </w:r>
      <w:r>
        <w:rPr/>
        <w:t>事项的事项发表了独立意见；</w:t>
      </w:r>
      <w:r>
        <w:rPr/>
        <w:t> </w:t>
      </w:r>
      <w:r>
        <w:rPr>
          <w:rFonts w:ascii="Times New Roman" w:hAnsi="Times New Roman" w:cs="Times New Roman" w:eastAsia="Times New Roman" w:hint="default"/>
        </w:rPr>
        <w:t>(8)2015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日，公司召开第四届董事会第三十七次会议，独立董事对公司向激励对象授予预留限制性股票的事项发表了 独立意见； </w:t>
      </w:r>
      <w:r>
        <w:rPr>
          <w:rFonts w:ascii="Times New Roman" w:hAnsi="Times New Roman" w:cs="Times New Roman" w:eastAsia="Times New Roman" w:hint="default"/>
        </w:rPr>
        <w:t>(9)2015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日，公司召开第四届董事会第三十八次会议，独立董事对公司全资子公司江苏润和南京软件外包园投资有限 公司向南京润宏置业有限公司转让江苏润和南京软件外包园置业有限公司</w:t>
      </w:r>
      <w:r>
        <w:rPr>
          <w:rFonts w:ascii="Times New Roman" w:hAnsi="Times New Roman" w:cs="Times New Roman" w:eastAsia="Times New Roman" w:hint="default"/>
        </w:rPr>
        <w:t>100%</w:t>
      </w:r>
      <w:r>
        <w:rPr/>
        <w:t>股权暨关联交易、公司收购上海云角信息技 术有限公司部分股权并增资、公司转让南京润和数码有限公司</w:t>
      </w:r>
      <w:r>
        <w:rPr>
          <w:rFonts w:ascii="Times New Roman" w:hAnsi="Times New Roman" w:cs="Times New Roman" w:eastAsia="Times New Roman" w:hint="default"/>
        </w:rPr>
        <w:t>55%</w:t>
      </w:r>
      <w:r>
        <w:rPr/>
        <w:t>股权、公司全资子公司北京捷科智诚科技有限公司购买福 州捷科智诚信息科技有限公司</w:t>
      </w:r>
      <w:r>
        <w:rPr>
          <w:rFonts w:ascii="Times New Roman" w:hAnsi="Times New Roman" w:cs="Times New Roman" w:eastAsia="Times New Roman" w:hint="default"/>
        </w:rPr>
        <w:t>45%</w:t>
      </w:r>
      <w:r>
        <w:rPr/>
        <w:t>股权等事项作出了事前认可，并发表了独立意见； </w:t>
      </w:r>
      <w:r>
        <w:rPr>
          <w:rFonts w:ascii="Times New Roman" w:hAnsi="Times New Roman" w:cs="Times New Roman" w:eastAsia="Times New Roman" w:hint="default"/>
        </w:rPr>
        <w:t>(10)2015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日，公司召开第四届董事会第三十九次会议，独立董事对公司回购注销</w:t>
      </w:r>
      <w:r>
        <w:rPr>
          <w:rFonts w:ascii="Times New Roman" w:hAnsi="Times New Roman" w:cs="Times New Roman" w:eastAsia="Times New Roman" w:hint="default"/>
        </w:rPr>
        <w:t>2014</w:t>
      </w:r>
      <w:r>
        <w:rPr/>
        <w:t>年限制性股票激励计划部分已 获授但尚未解锁的限制性股票和公司</w:t>
      </w:r>
      <w:r>
        <w:rPr>
          <w:rFonts w:ascii="Times New Roman" w:hAnsi="Times New Roman" w:cs="Times New Roman" w:eastAsia="Times New Roman" w:hint="default"/>
        </w:rPr>
        <w:t>2014</w:t>
      </w:r>
      <w:r>
        <w:rPr/>
        <w:t>年限制性股票激励计划第一个解锁期条件成就可解锁的事项发表了独立意见。 上述意见具体内容详见同日在中国证监会指定的创业板信息披露网站公告。</w:t>
      </w:r>
    </w:p>
    <w:p>
      <w:pPr>
        <w:spacing w:line="240" w:lineRule="auto" w:before="8"/>
        <w:rPr>
          <w:rFonts w:ascii="宋体" w:hAnsi="宋体" w:cs="宋体" w:eastAsia="宋体" w:hint="default"/>
          <w:sz w:val="21"/>
          <w:szCs w:val="21"/>
        </w:rPr>
      </w:pPr>
    </w:p>
    <w:p>
      <w:pPr>
        <w:pStyle w:val="Heading2"/>
        <w:spacing w:line="240" w:lineRule="auto"/>
        <w:ind w:right="90"/>
        <w:jc w:val="left"/>
        <w:rPr>
          <w:b w:val="0"/>
          <w:bCs w:val="0"/>
        </w:rPr>
      </w:pPr>
      <w:bookmarkStart w:name="六、董事会下设专门委员会在报告期内履行职责情况" w:id="139"/>
      <w:bookmarkEnd w:id="13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0"/>
        <w:jc w:val="left"/>
      </w:pPr>
      <w:r>
        <w:rPr>
          <w:rFonts w:ascii="Times New Roman" w:hAnsi="Times New Roman" w:cs="Times New Roman" w:eastAsia="Times New Roman" w:hint="default"/>
        </w:rPr>
        <w:t>1</w:t>
      </w:r>
      <w:r>
        <w:rPr/>
        <w:t>、战略委员会履职情况 </w:t>
      </w:r>
      <w:r>
        <w:rPr>
          <w:spacing w:val="-2"/>
        </w:rPr>
        <w:t>报告期内，战略与投资委员会根据公司《章程》、《董事会战略委员会工作细则》等有关规定，积极履行职责，在充分分析</w:t>
      </w:r>
      <w:r>
        <w:rPr>
          <w:spacing w:val="-65"/>
        </w:rPr>
        <w:t> </w:t>
      </w:r>
      <w:r>
        <w:rPr>
          <w:spacing w:val="-65"/>
        </w:rPr>
      </w:r>
      <w:r>
        <w:rPr>
          <w:spacing w:val="-2"/>
        </w:rPr>
        <w:t>行业环境、市场形势及公司实际经营情况等的前提下及时进行战略规划研究，对公司收购联创智融、菲耐得等重大投资事项</w:t>
      </w:r>
      <w:r>
        <w:rPr>
          <w:spacing w:val="-63"/>
        </w:rPr>
        <w:t> </w:t>
      </w:r>
      <w:r>
        <w:rPr>
          <w:spacing w:val="-63"/>
        </w:rPr>
      </w:r>
      <w:r>
        <w:rPr/>
        <w:t>进行了充分的讨论与论证，并报董事会审议，为公司持续稳定发展提出了宝贵的意见和建议。</w:t>
      </w:r>
    </w:p>
    <w:p>
      <w:pPr>
        <w:pStyle w:val="BodyText"/>
        <w:spacing w:line="314" w:lineRule="auto" w:before="22"/>
        <w:ind w:right="94"/>
        <w:jc w:val="left"/>
      </w:pPr>
      <w:r>
        <w:rPr>
          <w:rFonts w:ascii="Times New Roman" w:hAnsi="Times New Roman" w:cs="Times New Roman" w:eastAsia="Times New Roman" w:hint="default"/>
        </w:rPr>
        <w:t>2</w:t>
      </w:r>
      <w:r>
        <w:rPr/>
        <w:t>、审计委员会履职情况 </w:t>
      </w:r>
      <w:r>
        <w:rPr>
          <w:spacing w:val="-4"/>
        </w:rPr>
        <w:t>报告期内，审计委员会根据公司《章程》、《董事会审计委员会工作细则》、《内部审计制度》等有关规定，认真履行职责，</w:t>
      </w:r>
      <w:r>
        <w:rPr>
          <w:spacing w:val="-43"/>
        </w:rPr>
        <w:t> </w:t>
      </w:r>
      <w:r>
        <w:rPr>
          <w:spacing w:val="-43"/>
        </w:rPr>
      </w:r>
      <w:r>
        <w:rPr>
          <w:spacing w:val="-2"/>
        </w:rPr>
        <w:t>积极开展工作，主要对公司年度审计工作和公司内审部门工作进行了沟通、监督和核查。审计委员会与年审注册会计师就审</w:t>
      </w:r>
      <w:r>
        <w:rPr>
          <w:spacing w:val="-65"/>
        </w:rPr>
        <w:t> </w:t>
      </w:r>
      <w:r>
        <w:rPr>
          <w:spacing w:val="-65"/>
        </w:rPr>
      </w:r>
      <w:r>
        <w:rPr/>
        <w:t>计计划、业务约定书、风险和控制等事项进行了充分的沟通；审阅了年审注册会计师出具的审计意见及公司财务会计报表， </w:t>
      </w:r>
      <w:r>
        <w:rPr>
          <w:spacing w:val="-2"/>
        </w:rPr>
        <w:t>督促其在约定时限内提交审计报告；对年度审计机构的年报审计工作进行总结和评价。审计委员会认真审阅公司内审部门提</w:t>
      </w:r>
      <w:r>
        <w:rPr>
          <w:spacing w:val="-64"/>
        </w:rPr>
        <w:t> </w:t>
      </w:r>
      <w:r>
        <w:rPr>
          <w:spacing w:val="-64"/>
        </w:rPr>
      </w:r>
      <w:r>
        <w:rPr>
          <w:spacing w:val="-2"/>
        </w:rPr>
        <w:t>交的公司审计报告，督促内审部门严格执行年度审计工作计划，并持续关注公司募集资金存放与使用、对外担保等事项的进</w:t>
      </w:r>
      <w:r>
        <w:rPr>
          <w:spacing w:val="-63"/>
        </w:rPr>
        <w:t> </w:t>
      </w:r>
      <w:r>
        <w:rPr>
          <w:spacing w:val="-63"/>
        </w:rPr>
      </w:r>
      <w:r>
        <w:rPr/>
        <w:t>展情况等。</w:t>
      </w:r>
    </w:p>
    <w:p>
      <w:pPr>
        <w:pStyle w:val="BodyText"/>
        <w:spacing w:line="312" w:lineRule="auto" w:before="20"/>
        <w:ind w:right="90"/>
        <w:jc w:val="left"/>
      </w:pPr>
      <w:r>
        <w:rPr>
          <w:rFonts w:ascii="Times New Roman" w:hAnsi="Times New Roman" w:cs="Times New Roman" w:eastAsia="Times New Roman" w:hint="default"/>
        </w:rPr>
        <w:t>3</w:t>
      </w:r>
      <w:r>
        <w:rPr/>
        <w:t>、提名委员会履职情况 </w:t>
      </w:r>
      <w:r>
        <w:rPr>
          <w:spacing w:val="-2"/>
        </w:rPr>
        <w:t>报告期内，提名委员会根据公司《章程》、《董事会提名委员会工作细则》等有关规定，积极履行职责，主要对公司非独立</w:t>
      </w:r>
      <w:r>
        <w:rPr>
          <w:spacing w:val="-65"/>
        </w:rPr>
        <w:t> </w:t>
      </w:r>
      <w:r>
        <w:rPr>
          <w:spacing w:val="-65"/>
        </w:rPr>
      </w:r>
      <w:r>
        <w:rPr>
          <w:spacing w:val="-2"/>
        </w:rPr>
        <w:t>董事和独立董事的变更及聘任高管等事宜进行提名并形成决议同意提交公司董事会审议，为公司管理层提供了宝贵意见和建</w:t>
      </w:r>
      <w:r>
        <w:rPr>
          <w:spacing w:val="-64"/>
        </w:rPr>
        <w:t> </w:t>
      </w:r>
      <w:r>
        <w:rPr>
          <w:spacing w:val="-64"/>
        </w:rPr>
      </w:r>
      <w:r>
        <w:rPr/>
        <w:t>议。</w:t>
      </w:r>
    </w:p>
    <w:p>
      <w:pPr>
        <w:pStyle w:val="BodyText"/>
        <w:spacing w:line="240" w:lineRule="auto" w:before="22"/>
        <w:ind w:left="224" w:right="90"/>
        <w:jc w:val="left"/>
      </w:pPr>
      <w:r>
        <w:rPr>
          <w:rFonts w:ascii="Times New Roman" w:hAnsi="Times New Roman" w:cs="Times New Roman" w:eastAsia="Times New Roman" w:hint="default"/>
        </w:rPr>
        <w:t>4</w:t>
      </w:r>
      <w:r>
        <w:rPr/>
        <w:t>、薪酬与考核委员会</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7" w:lineRule="auto" w:before="44"/>
        <w:ind w:right="151"/>
        <w:jc w:val="both"/>
      </w:pPr>
      <w:r>
        <w:rPr>
          <w:spacing w:val="-5"/>
        </w:rPr>
        <w:t>报告期内，薪酬与考核委员会根据公司《章程》、《董事会薪酬与考核委员会工作细则》的规定，认真履行职责，对公司</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6"/>
        </w:rPr>
        <w:t> </w:t>
      </w:r>
      <w:r>
        <w:rPr>
          <w:spacing w:val="-2"/>
        </w:rPr>
        <w:t>年限制性股票激励计划预留股票的授予激励对象进行了审核；对公司</w:t>
      </w:r>
      <w:r>
        <w:rPr>
          <w:rFonts w:ascii="Times New Roman" w:hAnsi="Times New Roman" w:cs="Times New Roman" w:eastAsia="Times New Roman" w:hint="default"/>
          <w:spacing w:val="-2"/>
        </w:rPr>
        <w:t>2014</w:t>
      </w:r>
      <w:r>
        <w:rPr>
          <w:spacing w:val="-2"/>
        </w:rPr>
        <w:t>年限制性股票激励对象第一个解锁期的个人绩效进</w:t>
      </w:r>
      <w:r>
        <w:rPr>
          <w:spacing w:val="-62"/>
        </w:rPr>
        <w:t> </w:t>
      </w:r>
      <w:r>
        <w:rPr>
          <w:spacing w:val="-62"/>
        </w:rPr>
      </w:r>
      <w:r>
        <w:rPr>
          <w:spacing w:val="-2"/>
        </w:rPr>
        <w:t>行了审核；对公司并对公司董事、高管的薪酬及绩效考核情况进行监督和审查，并提交公司董事会审议，促进公司在规范运</w:t>
      </w:r>
      <w:r>
        <w:rPr>
          <w:spacing w:val="-65"/>
        </w:rPr>
        <w:t> </w:t>
      </w:r>
      <w:r>
        <w:rPr>
          <w:spacing w:val="-65"/>
        </w:rPr>
      </w:r>
      <w:r>
        <w:rPr/>
        <w:t>作的基础上，进一步提高在薪酬考核方面的科学性。</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bookmarkStart w:name="七、监事会工作情况" w:id="140"/>
      <w:bookmarkEnd w:id="140"/>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监事会在报告期内的监督活动是否发现公司存在风险</w:t>
      </w:r>
    </w:p>
    <w:p>
      <w:pPr>
        <w:pStyle w:val="BodyText"/>
        <w:spacing w:line="340" w:lineRule="auto" w:before="115"/>
        <w:ind w:right="63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1"/>
      <w:bookmarkEnd w:id="141"/>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432"/>
        <w:jc w:val="both"/>
      </w:pPr>
      <w:r>
        <w:rPr/>
        <w:t>公司董事会薪酬与考核委员会根据公司实际经营指标的完成情况以及高级管理人员的工作业绩来执行对高级管理人员 </w:t>
      </w:r>
      <w:r>
        <w:rPr>
          <w:spacing w:val="-2"/>
        </w:rPr>
        <w:t>的年度绩效考核，并严格监督薪酬制度、股权激励个人绩效的执行情况。公司组织高级管理人员开展工作述职活动，公司董</w:t>
      </w:r>
      <w:r>
        <w:rPr>
          <w:spacing w:val="-65"/>
        </w:rPr>
        <w:t> </w:t>
      </w:r>
      <w:r>
        <w:rPr>
          <w:spacing w:val="-65"/>
        </w:rPr>
      </w:r>
      <w:r>
        <w:rPr>
          <w:spacing w:val="-2"/>
        </w:rPr>
        <w:t>事会薪酬与考核委员会对其工作能力、工作业绩、创新与学习等指标情况进行考核。高级管理人员薪酬和股权激励解锁与其</w:t>
      </w:r>
      <w:r>
        <w:rPr>
          <w:spacing w:val="-66"/>
        </w:rPr>
        <w:t> </w:t>
      </w:r>
      <w:r>
        <w:rPr>
          <w:spacing w:val="-66"/>
        </w:rPr>
      </w:r>
      <w:r>
        <w:rPr/>
        <w:t>所任岗位和绩效挂钩，符合有关法律、法规和《公司章程》等规定的要求。</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2"/>
      <w:bookmarkEnd w:id="142"/>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3"/>
      <w:bookmarkEnd w:id="14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2、内控自我评价报告" w:id="144"/>
      <w:bookmarkEnd w:id="14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9"/>
        <w:gridCol w:w="3327"/>
        <w:gridCol w:w="305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0">
              <w:r>
                <w:rPr>
                  <w:rFonts w:ascii="Times New Roman" w:hAnsi="Times New Roman" w:cs="Times New Roman" w:eastAsia="Times New Roman" w:hint="default"/>
                  <w:sz w:val="18"/>
                  <w:szCs w:val="18"/>
                </w:rPr>
                <w:t>http://www.cninfo.com.cn</w:t>
              </w:r>
            </w:hyperlink>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98.84%</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85.24%</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78" w:hRule="exact"/>
        </w:trPr>
        <w:tc>
          <w:tcPr>
            <w:tcW w:w="31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9" w:space="0" w:color="D4D4D4"/>
              <w:right w:val="single" w:sz="4" w:space="0" w:color="000000"/>
            </w:tcBorders>
          </w:tcPr>
          <w:p>
            <w:pPr>
              <w:pStyle w:val="TableParagraph"/>
              <w:spacing w:line="312"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定性标准如下：①重大缺陷：是指一个或 多个控制缺陷的组合，可能导致企业严重 偏离控制目标。出现下列特征的，认定为 重大缺陷：</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公司董事、监事或高管人员 的舞弊行为；</w:t>
            </w:r>
            <w:r>
              <w:rPr>
                <w:rFonts w:ascii="Times New Roman" w:hAnsi="Times New Roman" w:cs="Times New Roman" w:eastAsia="Times New Roman" w:hint="default"/>
                <w:sz w:val="18"/>
                <w:szCs w:val="18"/>
              </w:rPr>
              <w:t>ii.</w:t>
            </w:r>
            <w:r>
              <w:rPr>
                <w:rFonts w:ascii="宋体" w:hAnsi="宋体" w:cs="宋体" w:eastAsia="宋体" w:hint="default"/>
                <w:sz w:val="18"/>
                <w:szCs w:val="18"/>
              </w:rPr>
              <w:t>发现当期财务报表的重大 错报，而管理层未能在内控运行过程中发 现；</w:t>
            </w:r>
            <w:r>
              <w:rPr>
                <w:rFonts w:ascii="Times New Roman" w:hAnsi="Times New Roman" w:cs="Times New Roman" w:eastAsia="Times New Roman" w:hint="default"/>
                <w:sz w:val="18"/>
                <w:szCs w:val="18"/>
              </w:rPr>
              <w:t>iii.</w:t>
            </w:r>
            <w:r>
              <w:rPr>
                <w:rFonts w:ascii="宋体" w:hAnsi="宋体" w:cs="宋体" w:eastAsia="宋体" w:hint="default"/>
                <w:sz w:val="18"/>
                <w:szCs w:val="18"/>
              </w:rPr>
              <w:t>内部控制评价的结果，重大缺陷未</w:t>
            </w:r>
          </w:p>
        </w:tc>
        <w:tc>
          <w:tcPr>
            <w:tcW w:w="3053" w:type="dxa"/>
            <w:vMerge w:val="restart"/>
            <w:tcBorders>
              <w:top w:val="single" w:sz="4" w:space="0" w:color="000000"/>
              <w:left w:val="single" w:sz="4" w:space="0" w:color="000000"/>
              <w:right w:val="single" w:sz="4" w:space="0" w:color="000000"/>
            </w:tcBorders>
          </w:tcPr>
          <w:p>
            <w:pPr>
              <w:pStyle w:val="TableParagraph"/>
              <w:spacing w:line="309"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评价的定性标准如下：①具有以下特征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的缺陷，认定为重大缺陷：</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缺乏民主 </w:t>
            </w:r>
            <w:r>
              <w:rPr>
                <w:rFonts w:ascii="宋体" w:hAnsi="宋体" w:cs="宋体" w:eastAsia="宋体" w:hint="default"/>
                <w:spacing w:val="-4"/>
                <w:sz w:val="18"/>
                <w:szCs w:val="18"/>
              </w:rPr>
              <w:t>决策程序、决策程序不科学，出现重大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失误，给公司造成重大财产损失；</w:t>
            </w:r>
            <w:r>
              <w:rPr>
                <w:rFonts w:ascii="Times New Roman" w:hAnsi="Times New Roman" w:cs="Times New Roman" w:eastAsia="Times New Roman" w:hint="default"/>
                <w:sz w:val="18"/>
                <w:szCs w:val="18"/>
              </w:rPr>
              <w:t>ii. </w:t>
            </w:r>
            <w:r>
              <w:rPr>
                <w:rFonts w:ascii="宋体" w:hAnsi="宋体" w:cs="宋体" w:eastAsia="宋体" w:hint="default"/>
                <w:spacing w:val="-5"/>
                <w:sz w:val="18"/>
                <w:szCs w:val="18"/>
              </w:rPr>
              <w:t>严重违反国家法律法规；</w:t>
            </w:r>
            <w:r>
              <w:rPr>
                <w:rFonts w:ascii="Times New Roman" w:hAnsi="Times New Roman" w:cs="Times New Roman" w:eastAsia="Times New Roman" w:hint="default"/>
                <w:spacing w:val="-5"/>
                <w:sz w:val="18"/>
                <w:szCs w:val="18"/>
              </w:rPr>
              <w:t>iii.</w:t>
            </w:r>
            <w:r>
              <w:rPr>
                <w:rFonts w:ascii="宋体" w:hAnsi="宋体" w:cs="宋体" w:eastAsia="宋体" w:hint="default"/>
                <w:spacing w:val="-5"/>
                <w:sz w:val="18"/>
                <w:szCs w:val="18"/>
              </w:rPr>
              <w:t>媒体频现负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面新闻，涉及面广且负面影响一直未能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消除；</w:t>
            </w:r>
            <w:r>
              <w:rPr>
                <w:rFonts w:ascii="Times New Roman" w:hAnsi="Times New Roman" w:cs="Times New Roman" w:eastAsia="Times New Roman" w:hint="default"/>
                <w:spacing w:val="-4"/>
                <w:sz w:val="18"/>
                <w:szCs w:val="18"/>
              </w:rPr>
              <w:t>iv.</w:t>
            </w:r>
            <w:r>
              <w:rPr>
                <w:rFonts w:ascii="宋体" w:hAnsi="宋体" w:cs="宋体" w:eastAsia="宋体" w:hint="default"/>
                <w:spacing w:val="-4"/>
                <w:sz w:val="18"/>
                <w:szCs w:val="18"/>
              </w:rPr>
              <w:t>缺乏重要的业务管理制度或制</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4D4D4"/>
              <w:right w:val="single" w:sz="4" w:space="0" w:color="000000"/>
            </w:tcBorders>
          </w:tcPr>
          <w:p>
            <w:pPr/>
          </w:p>
        </w:tc>
        <w:tc>
          <w:tcPr>
            <w:tcW w:w="3053" w:type="dxa"/>
            <w:vMerge/>
            <w:tcBorders>
              <w:left w:val="single" w:sz="4" w:space="0" w:color="000000"/>
              <w:right w:val="single" w:sz="4" w:space="0" w:color="000000"/>
            </w:tcBorders>
          </w:tcPr>
          <w:p>
            <w:pPr/>
          </w:p>
        </w:tc>
      </w:tr>
      <w:tr>
        <w:trPr>
          <w:trHeight w:val="1078" w:hRule="exact"/>
        </w:trPr>
        <w:tc>
          <w:tcPr>
            <w:tcW w:w="31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9" w:space="0" w:color="D4D4D4"/>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pStyle w:val="BodyText"/>
        <w:spacing w:line="240" w:lineRule="auto" w:before="44"/>
        <w:ind w:left="0" w:right="160"/>
        <w:jc w:val="right"/>
      </w:pPr>
      <w:r>
        <w:rPr/>
        <w:pict>
          <v:shape style="position:absolute;margin-left:56.459999pt;margin-top:-76.689262pt;width:479.1pt;height:384.2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322"/>
                    <w:gridCol w:w="3053"/>
                  </w:tblGrid>
                  <w:tr>
                    <w:trPr>
                      <w:trHeight w:val="4730"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31"/>
                          <w:jc w:val="both"/>
                          <w:rPr>
                            <w:rFonts w:ascii="宋体" w:hAnsi="宋体" w:cs="宋体" w:eastAsia="宋体" w:hint="default"/>
                            <w:sz w:val="18"/>
                            <w:szCs w:val="18"/>
                          </w:rPr>
                        </w:pPr>
                        <w:r>
                          <w:rPr>
                            <w:rFonts w:ascii="宋体" w:hAnsi="宋体" w:cs="宋体" w:eastAsia="宋体" w:hint="default"/>
                            <w:sz w:val="18"/>
                            <w:szCs w:val="18"/>
                          </w:rPr>
                          <w:t>得到整改；</w:t>
                        </w:r>
                        <w:r>
                          <w:rPr>
                            <w:rFonts w:ascii="Times New Roman" w:hAnsi="Times New Roman" w:cs="Times New Roman" w:eastAsia="Times New Roman" w:hint="default"/>
                            <w:sz w:val="18"/>
                            <w:szCs w:val="18"/>
                          </w:rPr>
                          <w:t>iv.</w:t>
                        </w:r>
                        <w:r>
                          <w:rPr>
                            <w:rFonts w:ascii="宋体" w:hAnsi="宋体" w:cs="宋体" w:eastAsia="宋体" w:hint="default"/>
                            <w:sz w:val="18"/>
                            <w:szCs w:val="18"/>
                          </w:rPr>
                          <w:t>审计委员会和内部审计机构 对内部控制的监督无效。②重要缺陷：是 指一个或多个控制缺陷的组合，其严重程 度和经济后果低于重大缺陷但仍有可能导 致企业偏离控制目标。出现以下特征的， 认定为重要缺陷：</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未依照公认会计准则 选择和应用会计政策；</w:t>
                        </w:r>
                        <w:r>
                          <w:rPr>
                            <w:rFonts w:ascii="Times New Roman" w:hAnsi="Times New Roman" w:cs="Times New Roman" w:eastAsia="Times New Roman" w:hint="default"/>
                            <w:sz w:val="18"/>
                            <w:szCs w:val="18"/>
                          </w:rPr>
                          <w:t>ii.</w:t>
                        </w:r>
                        <w:r>
                          <w:rPr>
                            <w:rFonts w:ascii="宋体" w:hAnsi="宋体" w:cs="宋体" w:eastAsia="宋体" w:hint="default"/>
                            <w:sz w:val="18"/>
                            <w:szCs w:val="18"/>
                          </w:rPr>
                          <w:t>未建立反舞弊程 序和控制措施；</w:t>
                        </w:r>
                        <w:r>
                          <w:rPr>
                            <w:rFonts w:ascii="Times New Roman" w:hAnsi="Times New Roman" w:cs="Times New Roman" w:eastAsia="Times New Roman" w:hint="default"/>
                            <w:sz w:val="18"/>
                            <w:szCs w:val="18"/>
                          </w:rPr>
                          <w:t>iii.</w:t>
                        </w:r>
                        <w:r>
                          <w:rPr>
                            <w:rFonts w:ascii="宋体" w:hAnsi="宋体" w:cs="宋体" w:eastAsia="宋体" w:hint="default"/>
                            <w:sz w:val="18"/>
                            <w:szCs w:val="18"/>
                          </w:rPr>
                          <w:t>对于非常规或特殊交易 的账务处理没有建立相应的控制机制或没 有实施且没有相应的补偿性控制；</w:t>
                        </w:r>
                        <w:r>
                          <w:rPr>
                            <w:rFonts w:ascii="Times New Roman" w:hAnsi="Times New Roman" w:cs="Times New Roman" w:eastAsia="Times New Roman" w:hint="default"/>
                            <w:sz w:val="18"/>
                            <w:szCs w:val="18"/>
                          </w:rPr>
                          <w:t>iv.</w:t>
                        </w:r>
                        <w:r>
                          <w:rPr>
                            <w:rFonts w:ascii="宋体" w:hAnsi="宋体" w:cs="宋体" w:eastAsia="宋体" w:hint="default"/>
                            <w:sz w:val="18"/>
                            <w:szCs w:val="18"/>
                          </w:rPr>
                          <w:t>对于 期末财务报告过程的控制存在一项或多项 缺陷且不能合理保证编制的财务报表达到 真实、准确的目标。③一般缺陷：是指除 上述重大缺陷、重要缺陷之外的其他控制 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44"/>
                          <w:jc w:val="left"/>
                          <w:rPr>
                            <w:rFonts w:ascii="宋体" w:hAnsi="宋体" w:cs="宋体" w:eastAsia="宋体" w:hint="default"/>
                            <w:sz w:val="18"/>
                            <w:szCs w:val="18"/>
                          </w:rPr>
                        </w:pPr>
                        <w:r>
                          <w:rPr>
                            <w:rFonts w:ascii="宋体" w:hAnsi="宋体" w:cs="宋体" w:eastAsia="宋体" w:hint="default"/>
                            <w:sz w:val="18"/>
                            <w:szCs w:val="18"/>
                          </w:rPr>
                          <w:t>度运行系统性失效；</w:t>
                        </w:r>
                        <w:r>
                          <w:rPr>
                            <w:rFonts w:ascii="Times New Roman" w:hAnsi="Times New Roman" w:cs="Times New Roman" w:eastAsia="Times New Roman" w:hint="default"/>
                            <w:sz w:val="18"/>
                            <w:szCs w:val="18"/>
                          </w:rPr>
                          <w:t>v.</w:t>
                        </w:r>
                        <w:r>
                          <w:rPr>
                            <w:rFonts w:ascii="宋体" w:hAnsi="宋体" w:cs="宋体" w:eastAsia="宋体" w:hint="default"/>
                            <w:sz w:val="18"/>
                            <w:szCs w:val="18"/>
                          </w:rPr>
                          <w:t>公司的重大或重 </w:t>
                        </w:r>
                        <w:r>
                          <w:rPr>
                            <w:rFonts w:ascii="宋体" w:hAnsi="宋体" w:cs="宋体" w:eastAsia="宋体" w:hint="default"/>
                            <w:spacing w:val="-4"/>
                            <w:sz w:val="18"/>
                            <w:szCs w:val="18"/>
                          </w:rPr>
                          <w:t>要内控缺陷不能得到及时整改；</w:t>
                        </w:r>
                        <w:r>
                          <w:rPr>
                            <w:rFonts w:ascii="Times New Roman" w:hAnsi="Times New Roman" w:cs="Times New Roman" w:eastAsia="Times New Roman" w:hint="default"/>
                            <w:spacing w:val="-4"/>
                            <w:sz w:val="18"/>
                            <w:szCs w:val="18"/>
                          </w:rPr>
                          <w:t>vi.</w:t>
                        </w:r>
                        <w:r>
                          <w:rPr>
                            <w:rFonts w:ascii="宋体" w:hAnsi="宋体" w:cs="宋体" w:eastAsia="宋体" w:hint="default"/>
                            <w:spacing w:val="-4"/>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持续或大量出现重要内控缺陷；</w:t>
                        </w:r>
                        <w:r>
                          <w:rPr>
                            <w:rFonts w:ascii="Times New Roman" w:hAnsi="Times New Roman" w:cs="Times New Roman" w:eastAsia="Times New Roman" w:hint="default"/>
                            <w:sz w:val="18"/>
                            <w:szCs w:val="18"/>
                          </w:rPr>
                          <w:t>vii.</w:t>
                        </w:r>
                        <w:r>
                          <w:rPr>
                            <w:rFonts w:ascii="宋体" w:hAnsi="宋体" w:cs="宋体" w:eastAsia="宋体" w:hint="default"/>
                            <w:sz w:val="18"/>
                            <w:szCs w:val="18"/>
                          </w:rPr>
                          <w:t>公 司遭受证监会处罚或证券交易所警告。</w:t>
                        </w:r>
                      </w:p>
                      <w:p>
                        <w:pPr>
                          <w:pStyle w:val="TableParagraph"/>
                          <w:spacing w:line="307" w:lineRule="auto" w:before="31"/>
                          <w:ind w:left="26" w:right="-37"/>
                          <w:jc w:val="left"/>
                          <w:rPr>
                            <w:rFonts w:ascii="宋体" w:hAnsi="宋体" w:cs="宋体" w:eastAsia="宋体" w:hint="default"/>
                            <w:sz w:val="18"/>
                            <w:szCs w:val="18"/>
                          </w:rPr>
                        </w:pPr>
                        <w:r>
                          <w:rPr>
                            <w:rFonts w:ascii="宋体" w:hAnsi="宋体" w:cs="宋体" w:eastAsia="宋体" w:hint="default"/>
                            <w:spacing w:val="-4"/>
                            <w:sz w:val="18"/>
                            <w:szCs w:val="18"/>
                          </w:rPr>
                          <w:t>②具有以下特征的缺陷，认定为重要缺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陷：</w:t>
                        </w:r>
                        <w:r>
                          <w:rPr>
                            <w:rFonts w:ascii="Times New Roman" w:hAnsi="Times New Roman" w:cs="Times New Roman" w:eastAsia="Times New Roman" w:hint="default"/>
                            <w:spacing w:val="-5"/>
                            <w:sz w:val="18"/>
                            <w:szCs w:val="18"/>
                          </w:rPr>
                          <w:t>i.</w:t>
                        </w:r>
                        <w:r>
                          <w:rPr>
                            <w:rFonts w:ascii="宋体" w:hAnsi="宋体" w:cs="宋体" w:eastAsia="宋体" w:hint="default"/>
                            <w:spacing w:val="-5"/>
                            <w:sz w:val="18"/>
                            <w:szCs w:val="18"/>
                          </w:rPr>
                          <w:t>公司决策程序导致出现一般失误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ii.</w:t>
                        </w:r>
                        <w:r>
                          <w:rPr>
                            <w:rFonts w:ascii="宋体" w:hAnsi="宋体" w:cs="宋体" w:eastAsia="宋体" w:hint="default"/>
                            <w:sz w:val="18"/>
                            <w:szCs w:val="18"/>
                          </w:rPr>
                          <w:t>公司违反企业内部规章，形成损失； </w:t>
                        </w:r>
                        <w:r>
                          <w:rPr>
                            <w:rFonts w:ascii="Times New Roman" w:hAnsi="Times New Roman" w:cs="Times New Roman" w:eastAsia="Times New Roman" w:hint="default"/>
                            <w:sz w:val="18"/>
                            <w:szCs w:val="18"/>
                          </w:rPr>
                          <w:t>iii.</w:t>
                        </w:r>
                        <w:r>
                          <w:rPr>
                            <w:rFonts w:ascii="宋体" w:hAnsi="宋体" w:cs="宋体" w:eastAsia="宋体" w:hint="default"/>
                            <w:sz w:val="18"/>
                            <w:szCs w:val="18"/>
                          </w:rPr>
                          <w:t>公司关键岗位业务人员流失严重； </w:t>
                        </w:r>
                        <w:r>
                          <w:rPr>
                            <w:rFonts w:ascii="Times New Roman" w:hAnsi="Times New Roman" w:cs="Times New Roman" w:eastAsia="Times New Roman" w:hint="default"/>
                            <w:spacing w:val="-1"/>
                            <w:sz w:val="18"/>
                            <w:szCs w:val="18"/>
                          </w:rPr>
                          <w:t>iv.</w:t>
                        </w:r>
                        <w:r>
                          <w:rPr>
                            <w:rFonts w:ascii="宋体" w:hAnsi="宋体" w:cs="宋体" w:eastAsia="宋体" w:hint="default"/>
                            <w:spacing w:val="-1"/>
                            <w:sz w:val="18"/>
                            <w:szCs w:val="18"/>
                          </w:rPr>
                          <w:t>公司重要业务制度或系统存在缺陷；</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v.</w:t>
                        </w:r>
                        <w:r>
                          <w:rPr>
                            <w:rFonts w:ascii="宋体" w:hAnsi="宋体" w:cs="宋体" w:eastAsia="宋体" w:hint="default"/>
                            <w:sz w:val="18"/>
                            <w:szCs w:val="18"/>
                          </w:rPr>
                          <w:t>公司的重要或一般缺陷不能得到及 时整改。</w:t>
                        </w:r>
                        <w:r>
                          <w:rPr>
                            <w:rFonts w:ascii="宋体" w:hAnsi="宋体" w:cs="宋体" w:eastAsia="宋体" w:hint="default"/>
                            <w:spacing w:val="1"/>
                            <w:sz w:val="18"/>
                            <w:szCs w:val="18"/>
                          </w:rPr>
                          <w:t> </w:t>
                        </w:r>
                        <w:r>
                          <w:rPr>
                            <w:rFonts w:ascii="宋体" w:hAnsi="宋体" w:cs="宋体" w:eastAsia="宋体" w:hint="default"/>
                            <w:sz w:val="18"/>
                            <w:szCs w:val="18"/>
                          </w:rPr>
                          <w:t>③具有以下特征的缺陷，认</w:t>
                        </w:r>
                        <w:r>
                          <w:rPr>
                            <w:rFonts w:ascii="宋体" w:hAnsi="宋体" w:cs="宋体" w:eastAsia="宋体" w:hint="default"/>
                            <w:sz w:val="18"/>
                            <w:szCs w:val="18"/>
                          </w:rPr>
                          <w:t> </w:t>
                        </w:r>
                        <w:r>
                          <w:rPr>
                            <w:rFonts w:ascii="宋体" w:hAnsi="宋体" w:cs="宋体" w:eastAsia="宋体" w:hint="default"/>
                            <w:spacing w:val="-4"/>
                            <w:sz w:val="18"/>
                            <w:szCs w:val="18"/>
                          </w:rPr>
                          <w:t>定为一般缺陷：除上述重大缺陷、重要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缺陷之外的其他缺陷。</w:t>
                        </w:r>
                      </w:p>
                    </w:tc>
                  </w:tr>
                  <w:tr>
                    <w:trPr>
                      <w:trHeight w:val="1337"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、重大缺陷：财务报表的错报金额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 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、重要缺陷：利润总额的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、一般缺陷：错报</w:t>
                        </w:r>
                      </w:p>
                      <w:p>
                        <w:pPr>
                          <w:pStyle w:val="TableParagraph"/>
                          <w:spacing w:line="240" w:lineRule="auto" w:before="1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、重大缺陷：财务报表的错报金额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利润总额的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、重要缺陷：利润总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、一</w:t>
                        </w:r>
                        <w:r>
                          <w:rPr>
                            <w:rFonts w:ascii="宋体" w:hAnsi="宋体" w:cs="宋体" w:eastAsia="宋体" w:hint="default"/>
                            <w:spacing w:val="-13"/>
                            <w:sz w:val="18"/>
                            <w:szCs w:val="18"/>
                          </w:rPr>
                          <w:t> </w:t>
                        </w:r>
                        <w:r>
                          <w:rPr>
                            <w:rFonts w:ascii="宋体" w:hAnsi="宋体" w:cs="宋体" w:eastAsia="宋体" w:hint="default"/>
                            <w:sz w:val="18"/>
                            <w:szCs w:val="18"/>
                          </w:rPr>
                          <w:t>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2"/>
        <w:spacing w:line="240" w:lineRule="auto" w:before="26"/>
        <w:ind w:right="0"/>
        <w:jc w:val="left"/>
        <w:rPr>
          <w:b w:val="0"/>
          <w:bCs w:val="0"/>
        </w:rPr>
      </w:pPr>
      <w:bookmarkStart w:name="十、内部控制审计报告或鉴证报告" w:id="145"/>
      <w:bookmarkEnd w:id="145"/>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我们认为，润和软件根据财政部颁发的《企业内部控制基本规范》及相关规范建立的与财务报告相关的内部控制于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日在所有重大方面是有效的。</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8"/>
                <w:sz w:val="18"/>
                <w:szCs w:val="18"/>
              </w:rPr>
              <w:t> </w:t>
            </w:r>
            <w:hyperlink r:id="rId10">
              <w:r>
                <w:rPr>
                  <w:rFonts w:ascii="Times New Roman" w:hAnsi="Times New Roman" w:cs="Times New Roman" w:eastAsia="Times New Roman" w:hint="default"/>
                  <w:sz w:val="18"/>
                  <w:szCs w:val="18"/>
                </w:rPr>
                <w:t>http://www.cninfo.com.cn</w:t>
              </w:r>
            </w:hyperlink>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38" w:lineRule="auto" w:before="117"/>
        <w:ind w:right="36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8"/>
        <w:jc w:val="center"/>
        <w:rPr>
          <w:b w:val="0"/>
          <w:bCs w:val="0"/>
        </w:rPr>
      </w:pPr>
      <w:bookmarkStart w:name="第十节 财务报告" w:id="146"/>
      <w:bookmarkEnd w:id="146"/>
      <w:r>
        <w:rPr>
          <w:b w:val="0"/>
          <w:bCs w:val="0"/>
        </w:rPr>
      </w:r>
      <w:bookmarkStart w:name="_bookmark8" w:id="147"/>
      <w:bookmarkEnd w:id="147"/>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0"/>
        <w:jc w:val="left"/>
        <w:rPr>
          <w:b w:val="0"/>
          <w:bCs w:val="0"/>
        </w:rPr>
      </w:pPr>
      <w:bookmarkStart w:name="一、审计报告" w:id="148"/>
      <w:bookmarkEnd w:id="14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[2016]1419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方长顺、褚诗炜、周晓飞</w:t>
            </w:r>
          </w:p>
        </w:tc>
      </w:tr>
    </w:tbl>
    <w:p>
      <w:pPr>
        <w:pStyle w:val="BodyText"/>
        <w:spacing w:line="240" w:lineRule="auto" w:before="49"/>
        <w:ind w:left="3428" w:right="3468"/>
        <w:jc w:val="center"/>
      </w:pPr>
      <w:r>
        <w:rPr/>
        <w:t>审计报告正文</w:t>
      </w:r>
    </w:p>
    <w:p>
      <w:pPr>
        <w:pStyle w:val="BodyText"/>
        <w:spacing w:line="240" w:lineRule="auto" w:before="115"/>
        <w:ind w:right="90"/>
        <w:jc w:val="left"/>
      </w:pPr>
      <w:r>
        <w:rPr/>
        <w:t>江苏润和软件股份有限公司全体股东：</w:t>
      </w:r>
    </w:p>
    <w:p>
      <w:pPr>
        <w:pStyle w:val="BodyText"/>
        <w:spacing w:line="300" w:lineRule="auto" w:before="76"/>
        <w:ind w:right="190" w:firstLine="504"/>
        <w:jc w:val="both"/>
      </w:pPr>
      <w:r>
        <w:rPr>
          <w:spacing w:val="-1"/>
        </w:rPr>
        <w:t>我们审计了后附的江苏润和软件股份有限公司（以下简称</w:t>
      </w:r>
      <w:r>
        <w:rPr>
          <w:rFonts w:ascii="Times New Roman" w:hAnsi="Times New Roman" w:cs="Times New Roman" w:eastAsia="Times New Roman" w:hint="default"/>
          <w:spacing w:val="-1"/>
        </w:rPr>
        <w:t>“</w:t>
      </w:r>
      <w:r>
        <w:rPr>
          <w:spacing w:val="-1"/>
        </w:rPr>
        <w:t>润和软件</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w:t>
      </w:r>
      <w:r>
        <w:rPr/>
        <w:t> </w:t>
      </w:r>
      <w:r>
        <w:rPr>
          <w:spacing w:val="-2"/>
        </w:rPr>
        <w:t>司资产负债表，</w:t>
      </w:r>
      <w:r>
        <w:rPr>
          <w:rFonts w:ascii="Times New Roman" w:hAnsi="Times New Roman" w:cs="Times New Roman" w:eastAsia="Times New Roman" w:hint="default"/>
          <w:spacing w:val="-2"/>
        </w:rPr>
        <w:t>2015</w:t>
      </w:r>
      <w:r>
        <w:rPr>
          <w:spacing w:val="-2"/>
        </w:rPr>
        <w:t>年度的合并及母公司利润表、合并及母公司现金流量表、合并及母公司所有者权益变动表以及财务报表</w:t>
      </w:r>
      <w:r>
        <w:rPr>
          <w:spacing w:val="-61"/>
        </w:rPr>
        <w:t> </w:t>
      </w:r>
      <w:r>
        <w:rPr>
          <w:spacing w:val="-61"/>
        </w:rPr>
      </w:r>
      <w:r>
        <w:rPr/>
        <w:t>附注。</w:t>
      </w:r>
    </w:p>
    <w:p>
      <w:pPr>
        <w:pStyle w:val="BodyText"/>
        <w:spacing w:line="316" w:lineRule="auto" w:before="31"/>
        <w:ind w:left="656" w:right="220" w:hanging="216"/>
        <w:jc w:val="left"/>
      </w:pPr>
      <w:r>
        <w:rPr/>
        <w:t>一、管理层对财务报表的责任 编制和公允列报财务报表是润和软件管理层的责任，这种责任包括：（</w:t>
      </w:r>
      <w:r>
        <w:rPr>
          <w:rFonts w:ascii="Times New Roman" w:hAnsi="Times New Roman" w:cs="Times New Roman" w:eastAsia="Times New Roman" w:hint="default"/>
        </w:rPr>
        <w:t>1</w:t>
      </w:r>
      <w:r>
        <w:rPr/>
        <w:t>）按照企业会计准则的规定编制财务报表，</w:t>
      </w:r>
    </w:p>
    <w:p>
      <w:pPr>
        <w:pStyle w:val="BodyText"/>
        <w:spacing w:line="300" w:lineRule="auto"/>
        <w:ind w:left="440" w:right="364" w:hanging="288"/>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w:t>
      </w:r>
    </w:p>
    <w:p>
      <w:pPr>
        <w:pStyle w:val="BodyText"/>
        <w:spacing w:line="316" w:lineRule="auto" w:before="31"/>
        <w:ind w:right="193" w:firstLine="504"/>
        <w:jc w:val="both"/>
      </w:pPr>
      <w:r>
        <w:rPr>
          <w:spacing w:val="-1"/>
        </w:rPr>
        <w:t>我们的责任是在执行审计工作的基础上对财务报表发表审计意见。我们按照中国注册会计师审计准则的规定执行了审</w:t>
      </w:r>
      <w:r>
        <w:rPr/>
        <w:t> </w:t>
      </w: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8"/>
        <w:ind w:right="90" w:firstLine="504"/>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316" w:lineRule="auto" w:before="18"/>
        <w:ind w:left="440" w:right="3010" w:firstLine="216"/>
        <w:jc w:val="left"/>
      </w:pPr>
      <w:r>
        <w:rPr/>
        <w:t>我们相信，我们获取的审计证据是充分、适当的，为发表审计意见提供了基础。 三、审计意见</w:t>
      </w:r>
    </w:p>
    <w:p>
      <w:pPr>
        <w:pStyle w:val="BodyText"/>
        <w:spacing w:line="300" w:lineRule="auto" w:before="19"/>
        <w:ind w:right="193" w:firstLine="504"/>
        <w:jc w:val="both"/>
      </w:pPr>
      <w:r>
        <w:rPr>
          <w:spacing w:val="-1"/>
        </w:rPr>
        <w:t>我们认为，润和软件财务报表在所有重大方面按照企业会计准则的规定编制，公允反映了润和软件</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r>
        <w:rPr/>
        <w:t> 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90"/>
        <w:jc w:val="left"/>
        <w:rPr>
          <w:b w:val="0"/>
          <w:bCs w:val="0"/>
        </w:rPr>
      </w:pPr>
      <w:bookmarkStart w:name="二、财务报表" w:id="149"/>
      <w:bookmarkEnd w:id="149"/>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90"/>
        <w:jc w:val="left"/>
        <w:rPr>
          <w:b w:val="0"/>
          <w:bCs w:val="0"/>
        </w:rPr>
      </w:pPr>
      <w:bookmarkStart w:name="1、合并资产负债表" w:id="150"/>
      <w:bookmarkEnd w:id="15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40"/>
        </w:sectPr>
      </w:pPr>
    </w:p>
    <w:p>
      <w:pPr>
        <w:pStyle w:val="BodyText"/>
        <w:spacing w:line="240" w:lineRule="auto" w:before="44"/>
        <w:ind w:right="-20"/>
        <w:jc w:val="left"/>
      </w:pPr>
      <w:r>
        <w:rPr/>
        <w:t>编制单位：江苏润和软件股份有限公司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40"/>
          <w:cols w:num="3" w:equalWidth="0">
            <w:col w:w="3213" w:space="862"/>
            <w:col w:w="1641" w:space="3202"/>
            <w:col w:w="1072"/>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0"/>
        <w:gridCol w:w="3314"/>
        <w:gridCol w:w="3302"/>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389,561,346.40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408,369,467.33</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16,901,471.70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15,579,109.11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835,620,819.12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376,901,828.67</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34,689,513.82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19,752,216.50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435,182.80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136,006,373.33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26,386,658.13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63,994,362.70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86,626,641.37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1,747,546.16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551,487.18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1,479,081,433.23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934,602,591.09</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703,325,625.72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113,516,331.75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234,456.00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444,143,406.08</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110,027,918.33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71,418,329.21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5,109,205.40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2,628,445,285.30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668,520,501.00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14,554,741.03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7,242,612.06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15,846,476.81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2,800,272.12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3,519,543,708.59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1,330,141,452.22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4,998,625,141.82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2,264,744,043.31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182,010,000.00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32,281,838.30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15,380,880.29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224,419,126.63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62,033,342.40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3,059,454.60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11,566,808.19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63,250,359.45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36,271,377.50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96,627,661.46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24,284,398.66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1,810,421.64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1,069,667.64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231,113,016.90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46,509,710.07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94,323,250.00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32,648,918.47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1,166,885,128.98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411,775,103.22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582,000,000.00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339,308,226.00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19,662,500.00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19,737,500.00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6,409,803.76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608,072,303.76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359,045,726.00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1,774,957,432.74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770,820,829.22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358,175,850.00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284,616,774.00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2,492,449,231.90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904,933,605.54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94,223,472.55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-6,132,764.42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-3,639,618.13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32,279,725.60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31,316,784.38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407,495,972.86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242,230,494.90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3,190,044,543.39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1,459,458,040.69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33,623,165.69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34,465,173.40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3,223,667,709.08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1,493,923,214.09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4,998,625,141.82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2,264,744,043.31</w:t>
            </w:r>
          </w:p>
        </w:tc>
      </w:tr>
    </w:tbl>
    <w:p>
      <w:pPr>
        <w:spacing w:line="240" w:lineRule="auto" w:before="11"/>
        <w:rPr>
          <w:rFonts w:ascii="Times New Roman" w:hAnsi="Times New Roman" w:cs="Times New Roman" w:eastAsia="Times New Roman" w:hint="default"/>
          <w:sz w:val="22"/>
          <w:szCs w:val="22"/>
        </w:rPr>
      </w:pPr>
    </w:p>
    <w:p>
      <w:pPr>
        <w:pStyle w:val="BodyText"/>
        <w:tabs>
          <w:tab w:pos="3577" w:val="left" w:leader="none"/>
          <w:tab w:pos="7720" w:val="left" w:leader="none"/>
        </w:tabs>
        <w:spacing w:line="240" w:lineRule="auto" w:before="44"/>
        <w:ind w:right="0"/>
        <w:jc w:val="left"/>
      </w:pPr>
      <w:r>
        <w:rPr/>
        <w:t>法定代表人：周红卫</w:t>
        <w:tab/>
      </w:r>
      <w:r>
        <w:rPr>
          <w:spacing w:val="-1"/>
        </w:rPr>
        <w:t>主管会计工作负责人：朱祖龙</w:t>
        <w:tab/>
      </w:r>
      <w:r>
        <w:rPr/>
        <w:t>会计机构负责人：朱祖龙</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母公司资产负债表" w:id="151"/>
      <w:bookmarkEnd w:id="15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4"/>
        <w:gridCol w:w="3302"/>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155,688,040.83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313,952,887.40</w:t>
            </w:r>
            <w:r>
              <w:rPr>
                <w:rFonts w:ascii="Times New Roman"/>
                <w:sz w:val="18"/>
              </w:rPr>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9,297,471.70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9,561,116.01</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209,607,347.60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181,229,330.95</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27,762,672.46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14,515,772.31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435,182.80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258,114,548.58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193,403,975.02</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1,937,633.24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15,142,931.00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662,967,714.41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728,241,195.49</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3,325,305,665.40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1,011,413,400.40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32,674,468.52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11,717,766.22</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2,551,179.66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3,278,642.51</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4,307,787.60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11,573,903.00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4,454,500.00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9,442,200.34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2,309,301.14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3,385,855,204.52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1,055,673,610.27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4,048,822,918.93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1,783,914,805.76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345,000,000.00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155,010,000.00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6,893,452.00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13,903,323.19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27,975,120.42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30,923,476.42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958,818.95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2,422,138.65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22,737,251.17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19,835,539.36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8,332,631.45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4,935,676.04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1,202,148.23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485,014.69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187,427,051.30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44,122,156.63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694,526,473.52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295,637,324.98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402,000,000.00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411,600,000.00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1,106,126,473.52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389,237,324.98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358,175,850.00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284,616,774.00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2,493,998,129.09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906,482,502.73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94,223,472.55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32,159,861.63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31,196,920.41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152,586,077.24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172,381,283.64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2,942,696,445.41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1,394,677,480.78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4,048,822,918.93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1,783,914,805.76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52"/>
      <w:bookmarkEnd w:id="15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1,128,583,974.64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733,234,727.46</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1,128,583,974.64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733,234,727.46</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999,861,960.70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644,202,763.36</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700,819,349.10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442,067,555.96</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5,809,957.53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2,555,217.46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259.499969pt;width:158.9pt;height:20.65pt;mso-position-horizontal-relative:page;mso-position-vertical-relative:page;z-index:-1146784" coordorigin="4219,5190" coordsize="3178,413">
            <v:group style="position:absolute;left:4230;top:5201;width:2;height:392" coordorigin="4230,5201" coordsize="2,392">
              <v:shape style="position:absolute;left:4230;top:5201;width:2;height:392" coordorigin="4230,5201" coordsize="0,392" path="m4230,5201l4230,5592e" filled="false" stroked="true" strokeweight="1.08pt" strokecolor="#ffffff">
                <v:path arrowok="t"/>
              </v:shape>
            </v:group>
            <v:group style="position:absolute;left:4241;top:5201;width:3156;height:392" coordorigin="4241,5201" coordsize="3156,392">
              <v:shape style="position:absolute;left:4241;top:5201;width:3156;height:392" coordorigin="4241,5201" coordsize="3156,392" path="m4241,5592l7397,5592,7397,5201,4241,5201,4241,5592xe" filled="true" fillcolor="#ffffff" stroked="false">
                <v:path arrowok="t"/>
                <v:fill type="solid"/>
              </v:shape>
            </v:group>
            <w10:wrap type="none"/>
          </v:group>
        </w:pict>
      </w:r>
      <w:r>
        <w:rPr/>
        <w:pict>
          <v:group style="position:absolute;margin-left:210.960007pt;margin-top:380.099976pt;width:158.9pt;height:20.65pt;mso-position-horizontal-relative:page;mso-position-vertical-relative:page;z-index:-1146760" coordorigin="4219,7602" coordsize="3178,413">
            <v:group style="position:absolute;left:4230;top:7613;width:2;height:392" coordorigin="4230,7613" coordsize="2,392">
              <v:shape style="position:absolute;left:4230;top:7613;width:2;height:392" coordorigin="4230,7613" coordsize="0,392" path="m4230,7613l4230,8004e" filled="false" stroked="true" strokeweight="1.08pt" strokecolor="#ffffff">
                <v:path arrowok="t"/>
              </v:shape>
            </v:group>
            <v:group style="position:absolute;left:4241;top:7613;width:3156;height:392" coordorigin="4241,7613" coordsize="3156,392">
              <v:shape style="position:absolute;left:4241;top:7613;width:3156;height:392" coordorigin="4241,7613" coordsize="3156,392" path="m4241,8004l7397,8004,7397,7613,4241,7613,4241,80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7"/>
        <w:gridCol w:w="1072"/>
        <w:gridCol w:w="2150"/>
        <w:gridCol w:w="3276"/>
      </w:tblGrid>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46,361,497.34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40,640,229.07</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215,091,052.51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128,553,200.49</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17,157,206.29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23,784,893.28</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14,622,897.93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6,601,667.10</w:t>
            </w:r>
            <w:r>
              <w:rPr>
                <w:rFonts w:ascii="Times New Roman"/>
                <w:sz w:val="18"/>
              </w:rPr>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-13,500.00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6,770.00</w:t>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53,705,432.35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-34,080.22</w:t>
            </w:r>
            <w:r>
              <w:rPr>
                <w:rFonts w:ascii="Times New Roman"/>
                <w:sz w:val="18"/>
              </w:rPr>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182,413,946.29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89,004,653.88</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39,728,159.84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40,802,639.80</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28,910,698.20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21,833,497.97</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397,029.54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629,550.52</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94,490.64</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5" w:right="0"/>
              <w:jc w:val="left"/>
              <w:rPr>
                <w:rFonts w:ascii="Times New Roman" w:hAnsi="Times New Roman" w:cs="Times New Roman" w:eastAsia="Times New Roman" w:hint="default"/>
                <w:sz w:val="18"/>
                <w:szCs w:val="18"/>
              </w:rPr>
            </w:pPr>
            <w:r>
              <w:rPr>
                <w:rFonts w:ascii="Times New Roman"/>
                <w:sz w:val="18"/>
              </w:rPr>
              <w:t>221,745,076.59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129,177,743.16</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28,694,089.56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14,826,299.02</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193,050,987.03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114,351,444.14</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194,690,096.58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110,029,056.96</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-1,639,109.55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4,322,387.18</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-1,696,044.45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1,542,249.00</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-2,493,146.29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982,627.31</w:t>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-2,493,146.29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982,627.31</w:t>
            </w:r>
          </w:p>
        </w:tc>
      </w:tr>
      <w:tr>
        <w:trPr>
          <w:trHeight w:val="102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36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-2,493,146.29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982,627.31</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797,101.84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559,621.69</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191,354,942.58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115,893,693.14</w:t>
            </w: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192,196,950.29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111,011,684.27</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-842,007.71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4,882,008.87</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0.64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0.45</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0.64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0.45</w:t>
            </w:r>
            <w:r>
              <w:rPr>
                <w:rFonts w:ascii="Times New Roman"/>
                <w:sz w:val="18"/>
              </w:rPr>
            </w:r>
          </w:p>
        </w:tc>
      </w:tr>
    </w:tbl>
    <w:p>
      <w:pPr>
        <w:pStyle w:val="BodyText"/>
        <w:tabs>
          <w:tab w:pos="3577" w:val="left" w:leader="none"/>
          <w:tab w:pos="7720" w:val="left" w:leader="none"/>
        </w:tabs>
        <w:spacing w:line="595" w:lineRule="auto" w:before="49"/>
        <w:ind w:right="24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 </w:t>
      </w:r>
      <w:r>
        <w:rPr/>
        <w:t>法定代表人：周红卫</w:t>
        <w:tab/>
      </w:r>
      <w:r>
        <w:rPr>
          <w:spacing w:val="-1"/>
        </w:rPr>
        <w:t>主管会计工作负责人：朱祖龙</w:t>
        <w:tab/>
      </w:r>
      <w:r>
        <w:rPr/>
        <w:t>会计机构负责人：朱祖龙</w:t>
      </w:r>
      <w:r>
        <w:rPr/>
        <w:t> </w:t>
      </w:r>
      <w:bookmarkStart w:name="4、母公司利润表" w:id="153"/>
      <w:bookmarkEnd w:id="15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441,252,854.04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415,716,413.58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311,612,910.78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262,860,354.19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1,598,316.44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554,877.81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11,343,488.01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13,976,808.01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104,879,688.34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69,485,308.40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10,028,669.30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21,186,165.20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7,979,576.77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10,163,787.00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3,417,017.50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-2,772,778.10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37,489,112.97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8,452,040.17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17,476,577.07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291,373.90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618,196.64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5,387,888.17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54,347,493.40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-4,241,524.05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3,342,851.47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9,629,412.22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51,004,641.93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9,629,412.22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51,004,641.93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0.21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0.21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合并现金流量表" w:id="154"/>
      <w:bookmarkEnd w:id="15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after="0" w:line="240" w:lineRule="auto"/>
        <w:jc w:val="right"/>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1,034,022,914.87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686,264,857.93</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7,547,983.34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1,515,125.07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9,256,009.47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37,887,141.21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1,050,826,907.68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725,667,124.21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359,212,430.90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296,542,870.30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490,840,269.88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300,392,451.97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57,939,677.92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19,205,639.63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66,018,955.53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61,522,141.96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974,011,334.23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677,663,103.86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76,815,573.45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48,004,020.35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1,017,455.17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3,460,000.00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24,440,000.00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19,159,117.82</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105,112,329.23</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2,313,929.88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6,329,373.13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157,826,259.11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26,505,946.12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125,269,190.33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307,559,062.91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1,132,209,892.55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324,711,120.26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1,299,479,082.88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654,770,183.17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-1,141,652,823.77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-628,264,237.05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553,665,073.42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349,390,500.00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848,050,000.00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137,250,000.00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1,538,965,073.42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1,003,390,500.00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335,693,894.47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343,034,042.97</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67,947,210.67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79,908,830.81</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88,856,816.99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25,401,049.80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492,497,922.13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448,343,923.58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1,046,467,151.29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555,046,576.42</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-2,438,021.90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416,737.63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-20,808,120.93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-24,796,902.65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408,369,467.33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433,166,369.98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387,561,346.40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408,369,467.33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bookmarkStart w:name="6、母公司现金流量表" w:id="155"/>
      <w:bookmarkEnd w:id="15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424,860,173.84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378,651,855.34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7,617,137.98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1,515,125.07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6,203,311.02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26,292,665.11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438,680,622.84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406,459,645.52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205,386,762.69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163,202,448.02</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185,736,869.10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168,150,206.18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7,808,601.41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4,706,850.08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23,514,896.70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17,386,810.00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422,447,129.90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353,446,314.28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16,233,492.94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53,013,331.24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3,417,017.50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5,277,772.50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630,876,654.20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58,353,592.26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662,071,444.20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58,353,592.26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25,517,428.25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4,350,888.43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1,189,117,190.00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329,200,000.00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688,036,482.93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177,663,779.83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1,902,671,101.18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543,714,668.26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-1,240,599,656.98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-485,361,076.00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553,350,087.36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349,390,500.00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757,000,000.00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82" w:header="745"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1,310,350,087.36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802,390,500.00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179,010,000.00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279,990,000.00</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48,013,825.66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78,698,401.98</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18,556,816.99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15,967,973.00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245,580,642.65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374,656,374.98</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1,064,769,444.71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427,734,125.02</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1,331,872.76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509,697.80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-158,264,846.57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-4,103,921.94</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313,952,887.40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318,056,809.34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155,688,040.83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313,952,887.40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w:id="156"/>
      <w:bookmarkEnd w:id="15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0"/>
        <w:gridCol w:w="530"/>
        <w:gridCol w:w="665"/>
        <w:gridCol w:w="665"/>
        <w:gridCol w:w="665"/>
        <w:gridCol w:w="665"/>
        <w:gridCol w:w="665"/>
        <w:gridCol w:w="665"/>
        <w:gridCol w:w="665"/>
        <w:gridCol w:w="665"/>
        <w:gridCol w:w="660"/>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4D4D4"/>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15" w:type="dxa"/>
            <w:vMerge/>
            <w:tcBorders>
              <w:left w:val="single" w:sz="4" w:space="0" w:color="000000"/>
              <w:right w:val="single" w:sz="4" w:space="0" w:color="000000"/>
            </w:tcBorders>
            <w:shd w:val="clear" w:color="auto" w:fill="D4D4D4"/>
          </w:tcPr>
          <w:p>
            <w:pPr/>
          </w:p>
        </w:tc>
        <w:tc>
          <w:tcPr>
            <w:tcW w:w="6820"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6820"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8" w:hRule="exact"/>
        </w:trPr>
        <w:tc>
          <w:tcPr>
            <w:tcW w:w="1415" w:type="dxa"/>
            <w:vMerge/>
            <w:tcBorders>
              <w:left w:val="single" w:sz="4" w:space="0" w:color="000000"/>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15" w:type="dxa"/>
            <w:vMerge/>
            <w:tcBorders>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4D4D4"/>
          </w:tcPr>
          <w:p>
            <w:pPr/>
          </w:p>
        </w:tc>
        <w:tc>
          <w:tcPr>
            <w:tcW w:w="57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10" w:space="0" w:color="D4D4D4"/>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284,61</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6,774.</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904,933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,605.54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-3,639,6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18.13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31,316,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784.38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242,230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,494.90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34,465,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173.40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23,214.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10" w:space="0" w:color="D4D4D4"/>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284,61</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6,774.</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904,933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,605.54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-3,639,6</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18.13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31,316,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784.38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242,230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,494.90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34,465,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173.40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23,214.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82" w:header="745" w:top="1060" w:bottom="118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73,559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15,626.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94,223,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472.55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-2,493,1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46.29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962,941</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165,265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,477.96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-842,00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7.71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44,494.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-2,493,1</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46.29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194,690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,096.58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-842,00</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7.71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191,354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,942.58</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73,559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15,626.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74,702.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73,559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1,629,1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99,288.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31,875,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413.94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31,875,</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413.94</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962,941</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-29,424,</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618.62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-28,461,</w:t>
            </w:r>
          </w:p>
          <w:p>
            <w:pPr>
              <w:pStyle w:val="TableParagraph"/>
              <w:spacing w:line="240" w:lineRule="auto" w:before="102"/>
              <w:ind w:left="107" w:right="0"/>
              <w:jc w:val="center"/>
              <w:rPr>
                <w:rFonts w:ascii="Times New Roman" w:hAnsi="Times New Roman" w:cs="Times New Roman" w:eastAsia="Times New Roman" w:hint="default"/>
                <w:sz w:val="18"/>
                <w:szCs w:val="18"/>
              </w:rPr>
            </w:pPr>
            <w:r>
              <w:rPr>
                <w:rFonts w:ascii="Times New Roman"/>
                <w:sz w:val="18"/>
              </w:rPr>
              <w:t>677.40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962,941</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-962,94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1.22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-28,461,</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677.40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-28,461,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677.40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94,223,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472.55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-94,223,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472.55</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358,17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5,850.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2,492,4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49,231.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94,223,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472.55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-6,132,7</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64.42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32,279,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725.60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407,495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,972.86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33,623,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165.69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67,709.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0"/>
        <w:gridCol w:w="533"/>
        <w:gridCol w:w="662"/>
        <w:gridCol w:w="665"/>
        <w:gridCol w:w="667"/>
        <w:gridCol w:w="665"/>
        <w:gridCol w:w="662"/>
        <w:gridCol w:w="665"/>
        <w:gridCol w:w="679"/>
        <w:gridCol w:w="653"/>
        <w:gridCol w:w="658"/>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4D4D4"/>
          </w:tcPr>
          <w:p>
            <w:pPr/>
          </w:p>
        </w:tc>
        <w:tc>
          <w:tcPr>
            <w:tcW w:w="8142"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15" w:type="dxa"/>
            <w:vMerge/>
            <w:tcBorders>
              <w:left w:val="single" w:sz="4" w:space="0" w:color="000000"/>
              <w:right w:val="single" w:sz="4" w:space="0" w:color="000000"/>
            </w:tcBorders>
            <w:shd w:val="clear" w:color="auto" w:fill="D4D4D4"/>
          </w:tcPr>
          <w:p>
            <w:pPr/>
          </w:p>
        </w:tc>
        <w:tc>
          <w:tcPr>
            <w:tcW w:w="6832"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6832"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8" w:hRule="exact"/>
        </w:trPr>
        <w:tc>
          <w:tcPr>
            <w:tcW w:w="1415" w:type="dxa"/>
            <w:vMerge/>
            <w:tcBorders>
              <w:left w:val="single" w:sz="4" w:space="0" w:color="000000"/>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15" w:type="dxa"/>
            <w:vMerge/>
            <w:tcBorders>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4D4D4"/>
          </w:tcPr>
          <w:p>
            <w:pPr/>
          </w:p>
        </w:tc>
        <w:tc>
          <w:tcPr>
            <w:tcW w:w="57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153,48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338,820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,152.54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-4,622,2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45.44</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320.19</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198,693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,902.13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29,583,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164.53</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742,171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,293.95</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153,48</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338,820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,152.54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-4,622,2</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45.44</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26,216,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320.19</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198,693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,902.13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29,583,</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164.53</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742,171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,293.95</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131,13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6,774.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566,113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982,627</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64.19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43,536,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592.77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4,882,0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08.87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751,751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,920.14</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982,627</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110,029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,056.96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4,882,0</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08.87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115,893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,693.14</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54,396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642,853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,453.00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697,250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,227.00</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54,396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641,025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,753.00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695,422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,527.00</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97"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1,827,7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1,827,7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2" w:right="143"/>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64.19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-66,492,</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464.19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-61,392,</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64.19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64.19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-61,392,</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-61,392,</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76,740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76,740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-76,740,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284,61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6,774.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904,933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,605.54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-3,639,6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31,316,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784.38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242,230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,494.90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34,465,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173.40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1,493,9</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23,214.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母公司所有者权益变动表" w:id="157"/>
      <w:bookmarkEnd w:id="15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9" w:type="dxa"/>
            <w:vMerge/>
            <w:tcBorders>
              <w:left w:val="single" w:sz="4" w:space="0" w:color="000000"/>
              <w:right w:val="single" w:sz="4" w:space="0" w:color="000000"/>
            </w:tcBorders>
            <w:shd w:val="clear" w:color="auto" w:fill="D4D4D4"/>
          </w:tcPr>
          <w:p>
            <w:pPr/>
          </w:p>
        </w:tc>
        <w:tc>
          <w:tcPr>
            <w:tcW w:w="69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39" w:type="dxa"/>
            <w:vMerge/>
            <w:tcBorders>
              <w:left w:val="single" w:sz="4" w:space="0" w:color="000000"/>
              <w:bottom w:val="single" w:sz="4" w:space="0" w:color="000000"/>
              <w:right w:val="single" w:sz="4" w:space="0" w:color="000000"/>
            </w:tcBorders>
            <w:shd w:val="clear" w:color="auto" w:fill="D4D4D4"/>
          </w:tcPr>
          <w:p>
            <w:pPr/>
          </w:p>
        </w:tc>
        <w:tc>
          <w:tcPr>
            <w:tcW w:w="691"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284,616,</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774.00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906,482,5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31,196,92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172,381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1,394,677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,480.78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284,616,</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774.00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906,482,5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31,196,92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172,381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1,394,677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,480.78</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73,559,0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1,587,515</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,626.36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94,223,47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962,941.2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-19,795,</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206.40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1,548,018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,964.63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9,629,4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9,629,412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73,559,0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1,587,515</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,626.36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1,661,074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,702.36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73,559,0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1,555,640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,212.42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1,629,199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,288.42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31,875,41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31,875,41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962,941.2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-29,424,</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618.62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-28,461,6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77.40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962,941.2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-962,94</w:t>
            </w:r>
          </w:p>
          <w:p>
            <w:pPr>
              <w:pStyle w:val="TableParagraph"/>
              <w:spacing w:line="240" w:lineRule="auto" w:before="102"/>
              <w:ind w:left="328" w:right="0"/>
              <w:jc w:val="left"/>
              <w:rPr>
                <w:rFonts w:ascii="Times New Roman" w:hAnsi="Times New Roman" w:cs="Times New Roman" w:eastAsia="Times New Roman" w:hint="default"/>
                <w:sz w:val="18"/>
                <w:szCs w:val="18"/>
              </w:rPr>
            </w:pPr>
            <w:r>
              <w:rPr>
                <w:rFonts w:ascii="Times New Roman"/>
                <w:sz w:val="18"/>
              </w:rPr>
              <w:t>1.22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-28,461,</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677.40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-28,461,6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77.40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94,223,47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-94,223,4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72.55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358,175,</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2,493,998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,129.09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94,223,47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32,159,86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152,586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2,942,696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,445.41</w:t>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396" w:hRule="exact"/>
        </w:trPr>
        <w:tc>
          <w:tcPr>
            <w:tcW w:w="1440" w:type="dxa"/>
            <w:tcBorders>
              <w:top w:val="single" w:sz="4" w:space="0" w:color="000000"/>
              <w:left w:val="single" w:sz="4" w:space="0" w:color="000000"/>
              <w:bottom w:val="nil" w:sz="6" w:space="0" w:color="auto"/>
              <w:right w:val="single" w:sz="4" w:space="0" w:color="000000"/>
            </w:tcBorders>
            <w:shd w:val="clear" w:color="auto" w:fill="D4D4D4"/>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40"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40" w:type="dxa"/>
            <w:vMerge w:val="restart"/>
            <w:tcBorders>
              <w:top w:val="nil" w:sz="6" w:space="0" w:color="auto"/>
              <w:left w:val="single" w:sz="4" w:space="0" w:color="000000"/>
              <w:right w:val="single" w:sz="4" w:space="0" w:color="000000"/>
            </w:tcBorders>
            <w:shd w:val="clear" w:color="auto" w:fill="D4D4D4"/>
          </w:tcPr>
          <w:p>
            <w:pPr/>
          </w:p>
        </w:tc>
        <w:tc>
          <w:tcPr>
            <w:tcW w:w="691"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40" w:type="dxa"/>
            <w:vMerge/>
            <w:tcBorders>
              <w:left w:val="single" w:sz="4" w:space="0" w:color="000000"/>
              <w:bottom w:val="single" w:sz="4" w:space="0" w:color="000000"/>
              <w:right w:val="single" w:sz="4" w:space="0" w:color="000000"/>
            </w:tcBorders>
            <w:shd w:val="clear" w:color="auto" w:fill="D4D4D4"/>
          </w:tcPr>
          <w:p>
            <w:pPr/>
          </w:p>
        </w:tc>
        <w:tc>
          <w:tcPr>
            <w:tcW w:w="691"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40"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153,480,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340,369,0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49.73</w:t>
            </w:r>
          </w:p>
        </w:tc>
        <w:tc>
          <w:tcPr>
            <w:tcW w:w="797" w:type="dxa"/>
            <w:vMerge w:val="restart"/>
            <w:tcBorders>
              <w:top w:val="single" w:sz="17" w:space="0" w:color="D4D4D4"/>
              <w:left w:val="single" w:sz="4" w:space="0" w:color="000000"/>
              <w:right w:val="single" w:sz="4" w:space="0" w:color="000000"/>
            </w:tcBorders>
          </w:tcPr>
          <w:p>
            <w:pPr/>
          </w:p>
        </w:tc>
        <w:tc>
          <w:tcPr>
            <w:tcW w:w="797" w:type="dxa"/>
            <w:vMerge w:val="restart"/>
            <w:tcBorders>
              <w:top w:val="single" w:sz="17"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26,096,45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6.22</w:t>
            </w:r>
          </w:p>
        </w:tc>
        <w:tc>
          <w:tcPr>
            <w:tcW w:w="677" w:type="dxa"/>
            <w:vMerge w:val="restart"/>
            <w:tcBorders>
              <w:top w:val="single" w:sz="17" w:space="0" w:color="D4D4D4"/>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187,869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,105.90</w:t>
            </w:r>
          </w:p>
        </w:tc>
        <w:tc>
          <w:tcPr>
            <w:tcW w:w="780" w:type="dxa"/>
            <w:vMerge w:val="restart"/>
            <w:tcBorders>
              <w:top w:val="single" w:sz="17" w:space="0" w:color="D4D4D4"/>
              <w:left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707,814,6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11.85</w:t>
            </w:r>
          </w:p>
        </w:tc>
      </w:tr>
      <w:tr>
        <w:trPr>
          <w:trHeight w:val="391" w:hRule="exact"/>
        </w:trPr>
        <w:tc>
          <w:tcPr>
            <w:tcW w:w="144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40"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153,480,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340,369,0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49.73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26,096,45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6.22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187,869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,105.90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707,814,6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11.85</w:t>
            </w:r>
          </w:p>
        </w:tc>
      </w:tr>
      <w:tr>
        <w:trPr>
          <w:trHeight w:val="391" w:hRule="exact"/>
        </w:trPr>
        <w:tc>
          <w:tcPr>
            <w:tcW w:w="144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131,136,</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774.00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566,113,4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5,100,464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-15,487,</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822.26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686,862,8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68.93</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641.93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51,004,64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1.93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54,396,7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642,853,4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697,250,2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27.00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54,396,7</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641,025,7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695,422,5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27.00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1,827,700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1,827,700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5,100,464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-66,492,</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464.19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-61,392,0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5,100,464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-5,100,4</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64.19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-61,392,</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-61,392,0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-76,740,0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284,616,</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774.00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906,482,5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02.73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31,196,92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172,381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,283.64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1,394,677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,480.78</w:t>
            </w:r>
          </w:p>
        </w:tc>
      </w:tr>
    </w:tbl>
    <w:p>
      <w:pPr>
        <w:spacing w:line="240" w:lineRule="auto" w:before="1"/>
        <w:rPr>
          <w:rFonts w:ascii="宋体" w:hAnsi="宋体" w:cs="宋体" w:eastAsia="宋体" w:hint="default"/>
          <w:sz w:val="18"/>
          <w:szCs w:val="18"/>
        </w:rPr>
      </w:pPr>
    </w:p>
    <w:p>
      <w:pPr>
        <w:pStyle w:val="Heading2"/>
        <w:spacing w:line="240" w:lineRule="auto" w:before="26"/>
        <w:ind w:right="90"/>
        <w:jc w:val="left"/>
        <w:rPr>
          <w:b w:val="0"/>
          <w:bCs w:val="0"/>
        </w:rPr>
      </w:pPr>
      <w:bookmarkStart w:name="三、公司基本情况" w:id="158"/>
      <w:bookmarkEnd w:id="158"/>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0" w:firstLine="432"/>
        <w:jc w:val="left"/>
      </w:pPr>
      <w:r>
        <w:rPr>
          <w:spacing w:val="-1"/>
        </w:rPr>
        <w:t>江苏润和软件股份有限公司（以下简称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）系周红卫、姚宁、孙强、周庆、隋宏旭、马玉峰、蒋志坚、</w:t>
      </w:r>
      <w:r>
        <w:rPr/>
        <w:t> 殷则堂等八位自然人共同发起设立的股份有限公司，于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日取得江苏省工商行政管理局核准登记。公司设立时注 册资本为人民币</w:t>
      </w:r>
      <w:r>
        <w:rPr>
          <w:rFonts w:ascii="Times New Roman" w:hAnsi="Times New Roman" w:cs="Times New Roman" w:eastAsia="Times New Roman" w:hint="default"/>
        </w:rPr>
        <w:t>1,000</w:t>
      </w:r>
      <w:r>
        <w:rPr/>
        <w:t>万元，经历次变更后公司注册资本为人民币</w:t>
      </w:r>
      <w:r>
        <w:rPr>
          <w:rFonts w:ascii="Times New Roman" w:hAnsi="Times New Roman" w:cs="Times New Roman" w:eastAsia="Times New Roman" w:hint="default"/>
        </w:rPr>
        <w:t>5,755</w:t>
      </w:r>
      <w:r>
        <w:rPr/>
        <w:t>万元。</w:t>
      </w:r>
    </w:p>
    <w:p>
      <w:pPr>
        <w:pStyle w:val="BodyText"/>
        <w:spacing w:line="300" w:lineRule="auto" w:before="13"/>
        <w:ind w:right="193" w:firstLine="432"/>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日，经中国证券监督管理委员会《关于核准江苏润和软件股份有限公司首次公开发行股票并在创业板上市</w:t>
      </w:r>
      <w:r>
        <w:rPr/>
        <w:t> </w:t>
      </w:r>
      <w:r>
        <w:rPr>
          <w:spacing w:val="-2"/>
        </w:rPr>
        <w:t>的批复》证监许可</w:t>
      </w:r>
      <w:r>
        <w:rPr>
          <w:rFonts w:ascii="Times New Roman" w:hAnsi="Times New Roman" w:cs="Times New Roman" w:eastAsia="Times New Roman" w:hint="default"/>
          <w:spacing w:val="-2"/>
        </w:rPr>
        <w:t>[2012]812</w:t>
      </w:r>
      <w:r>
        <w:rPr>
          <w:spacing w:val="-2"/>
        </w:rPr>
        <w:t>号文核准，本公司首次向社会公开发行人民币普通股</w:t>
      </w:r>
      <w:r>
        <w:rPr>
          <w:rFonts w:ascii="Times New Roman" w:hAnsi="Times New Roman" w:cs="Times New Roman" w:eastAsia="Times New Roman" w:hint="default"/>
          <w:spacing w:val="-2"/>
        </w:rPr>
        <w:t>1,919</w:t>
      </w:r>
      <w:r>
        <w:rPr>
          <w:spacing w:val="-2"/>
        </w:rPr>
        <w:t>万股，并于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日在深圳证券</w:t>
      </w:r>
      <w:r>
        <w:rPr>
          <w:spacing w:val="-38"/>
        </w:rPr>
        <w:t> </w:t>
      </w:r>
      <w:r>
        <w:rPr>
          <w:spacing w:val="-38"/>
        </w:rPr>
      </w:r>
      <w:r>
        <w:rPr/>
        <w:t>交易所创业板上市交易（股票简称</w:t>
      </w:r>
      <w:r>
        <w:rPr>
          <w:rFonts w:ascii="Times New Roman" w:hAnsi="Times New Roman" w:cs="Times New Roman" w:eastAsia="Times New Roman" w:hint="default"/>
        </w:rPr>
        <w:t>“</w:t>
      </w:r>
      <w:r>
        <w:rPr/>
        <w:t>润和软件</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“300339”</w:t>
      </w:r>
      <w:r>
        <w:rPr/>
        <w:t>），发行后注册资本变更为人民币</w:t>
      </w:r>
      <w:r>
        <w:rPr>
          <w:rFonts w:ascii="Times New Roman" w:hAnsi="Times New Roman" w:cs="Times New Roman" w:eastAsia="Times New Roman" w:hint="default"/>
        </w:rPr>
        <w:t>7,674</w:t>
      </w:r>
      <w:r>
        <w:rPr/>
        <w:t>万元。</w:t>
      </w:r>
    </w:p>
    <w:p>
      <w:pPr>
        <w:pStyle w:val="BodyText"/>
        <w:spacing w:line="300" w:lineRule="auto" w:before="13"/>
        <w:ind w:right="90" w:firstLine="431"/>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日，经公司</w:t>
      </w:r>
      <w:r>
        <w:rPr>
          <w:rFonts w:ascii="Times New Roman" w:hAnsi="Times New Roman" w:cs="Times New Roman" w:eastAsia="Times New Roman" w:hint="default"/>
          <w:spacing w:val="-1"/>
        </w:rPr>
        <w:t>2012</w:t>
      </w:r>
      <w:r>
        <w:rPr>
          <w:spacing w:val="-1"/>
        </w:rPr>
        <w:t>年度股东大会决议审议通过，决议以</w:t>
      </w:r>
      <w:r>
        <w:rPr>
          <w:rFonts w:ascii="Times New Roman" w:hAnsi="Times New Roman" w:cs="Times New Roman" w:eastAsia="Times New Roman" w:hint="default"/>
          <w:spacing w:val="-1"/>
        </w:rPr>
        <w:t>2012</w:t>
      </w:r>
      <w:r>
        <w:rPr>
          <w:spacing w:val="-1"/>
        </w:rPr>
        <w:t>年末公司总股本</w:t>
      </w:r>
      <w:r>
        <w:rPr>
          <w:rFonts w:ascii="Times New Roman" w:hAnsi="Times New Roman" w:cs="Times New Roman" w:eastAsia="Times New Roman" w:hint="default"/>
          <w:spacing w:val="-1"/>
        </w:rPr>
        <w:t>7,674</w:t>
      </w:r>
      <w:r>
        <w:rPr>
          <w:spacing w:val="-1"/>
        </w:rPr>
        <w:t>万股为基数，用资本公积向</w:t>
      </w:r>
      <w:r>
        <w:rPr/>
        <w:t> 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7,674</w:t>
      </w:r>
      <w:r>
        <w:rPr/>
        <w:t>万股，转增后公司注册资本变更为人民币</w:t>
      </w:r>
      <w:r>
        <w:rPr>
          <w:rFonts w:ascii="Times New Roman" w:hAnsi="Times New Roman" w:cs="Times New Roman" w:eastAsia="Times New Roman" w:hint="default"/>
        </w:rPr>
        <w:t>15,348</w:t>
      </w:r>
      <w:r>
        <w:rPr/>
        <w:t>万元。</w:t>
      </w:r>
    </w:p>
    <w:p>
      <w:pPr>
        <w:pStyle w:val="BodyText"/>
        <w:spacing w:line="300" w:lineRule="auto" w:before="13"/>
        <w:ind w:right="90" w:firstLine="432"/>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日，经公司</w:t>
      </w:r>
      <w:r>
        <w:rPr>
          <w:rFonts w:ascii="Times New Roman" w:hAnsi="Times New Roman" w:cs="Times New Roman" w:eastAsia="Times New Roman" w:hint="default"/>
          <w:spacing w:val="-2"/>
        </w:rPr>
        <w:t>2013</w:t>
      </w:r>
      <w:r>
        <w:rPr>
          <w:spacing w:val="-2"/>
        </w:rPr>
        <w:t>年度股东大会决议审议通过，以</w:t>
      </w:r>
      <w:r>
        <w:rPr>
          <w:rFonts w:ascii="Times New Roman" w:hAnsi="Times New Roman" w:cs="Times New Roman" w:eastAsia="Times New Roman" w:hint="default"/>
          <w:spacing w:val="-2"/>
        </w:rPr>
        <w:t>2013</w:t>
      </w:r>
      <w:r>
        <w:rPr>
          <w:spacing w:val="-2"/>
        </w:rPr>
        <w:t>年末总股本</w:t>
      </w:r>
      <w:r>
        <w:rPr>
          <w:rFonts w:ascii="Times New Roman" w:hAnsi="Times New Roman" w:cs="Times New Roman" w:eastAsia="Times New Roman" w:hint="default"/>
          <w:spacing w:val="-2"/>
        </w:rPr>
        <w:t>15,348</w:t>
      </w:r>
      <w:r>
        <w:rPr>
          <w:spacing w:val="-2"/>
        </w:rPr>
        <w:t>万股为基数，以资本公积转增股本，</w:t>
      </w:r>
      <w:r>
        <w:rPr/>
        <w:t>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股，共转增股本</w:t>
      </w:r>
      <w:r>
        <w:rPr>
          <w:rFonts w:ascii="Times New Roman" w:hAnsi="Times New Roman" w:cs="Times New Roman" w:eastAsia="Times New Roman" w:hint="default"/>
        </w:rPr>
        <w:t>7,674</w:t>
      </w:r>
      <w:r>
        <w:rPr/>
        <w:t>万股，转增后注册资本变更为人民币</w:t>
      </w:r>
      <w:r>
        <w:rPr>
          <w:rFonts w:ascii="Times New Roman" w:hAnsi="Times New Roman" w:cs="Times New Roman" w:eastAsia="Times New Roman" w:hint="default"/>
        </w:rPr>
        <w:t>23,022</w:t>
      </w:r>
      <w:r>
        <w:rPr/>
        <w:t>万元。</w:t>
      </w:r>
    </w:p>
    <w:p>
      <w:pPr>
        <w:pStyle w:val="BodyText"/>
        <w:spacing w:line="300" w:lineRule="auto" w:before="13"/>
        <w:ind w:right="184"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日，经公司</w:t>
      </w:r>
      <w:r>
        <w:rPr>
          <w:rFonts w:ascii="Times New Roman" w:hAnsi="Times New Roman" w:cs="Times New Roman" w:eastAsia="Times New Roman" w:hint="default"/>
        </w:rPr>
        <w:t>2014</w:t>
      </w:r>
      <w:r>
        <w:rPr/>
        <w:t>年度第二次临时股东大会决议和修改后的章程规定，并经中国证券监督管理委员会《关于 核准江苏润和软件股份有限公司向王杰等发行股份购买资产并募集配套资金的批复》（证监许可</w:t>
      </w:r>
      <w:r>
        <w:rPr>
          <w:rFonts w:ascii="Times New Roman" w:hAnsi="Times New Roman" w:cs="Times New Roman" w:eastAsia="Times New Roman" w:hint="default"/>
        </w:rPr>
        <w:t>[2014]747</w:t>
      </w:r>
      <w:r>
        <w:rPr/>
        <w:t>号文）的核准， 由公司向王杰等</w:t>
      </w:r>
      <w:r>
        <w:rPr>
          <w:rFonts w:ascii="Times New Roman" w:hAnsi="Times New Roman" w:cs="Times New Roman" w:eastAsia="Times New Roman" w:hint="default"/>
        </w:rPr>
        <w:t>6</w:t>
      </w:r>
      <w:r>
        <w:rPr/>
        <w:t>名发行对象发行人民币普通股</w:t>
      </w:r>
      <w:r>
        <w:rPr>
          <w:rFonts w:ascii="Times New Roman" w:hAnsi="Times New Roman" w:cs="Times New Roman" w:eastAsia="Times New Roman" w:hint="default"/>
        </w:rPr>
        <w:t>26,068,064</w:t>
      </w:r>
      <w:r>
        <w:rPr/>
        <w:t>股（每股发行价均为人民币</w:t>
      </w:r>
      <w:r>
        <w:rPr>
          <w:rFonts w:ascii="Times New Roman" w:hAnsi="Times New Roman" w:cs="Times New Roman" w:eastAsia="Times New Roman" w:hint="default"/>
        </w:rPr>
        <w:t>13.81</w:t>
      </w:r>
      <w:r>
        <w:rPr/>
        <w:t>元）购买相关资产；同时，由公 司向特定投资者周红卫发行人民币普通股</w:t>
      </w:r>
      <w:r>
        <w:rPr>
          <w:rFonts w:ascii="Times New Roman" w:hAnsi="Times New Roman" w:cs="Times New Roman" w:eastAsia="Times New Roman" w:hint="default"/>
        </w:rPr>
        <w:t>13,034,033</w:t>
      </w:r>
      <w:r>
        <w:rPr/>
        <w:t>股、向浙江海宁嘉慧投资合伙企业（有限合伙）发行人民币普通股 </w:t>
      </w:r>
      <w:r>
        <w:rPr>
          <w:rFonts w:ascii="Times New Roman" w:hAnsi="Times New Roman" w:cs="Times New Roman" w:eastAsia="Times New Roman" w:hint="default"/>
          <w:spacing w:val="-2"/>
        </w:rPr>
        <w:t>4,344,677</w:t>
      </w:r>
      <w:r>
        <w:rPr>
          <w:spacing w:val="-2"/>
        </w:rPr>
        <w:t>股（每股发行价均为人民币</w:t>
      </w:r>
      <w:r>
        <w:rPr>
          <w:rFonts w:ascii="Times New Roman" w:hAnsi="Times New Roman" w:cs="Times New Roman" w:eastAsia="Times New Roman" w:hint="default"/>
          <w:spacing w:val="-2"/>
        </w:rPr>
        <w:t>13.81</w:t>
      </w:r>
      <w:r>
        <w:rPr>
          <w:spacing w:val="-2"/>
        </w:rPr>
        <w:t>元）募集配套资金，以上合计申请增加注册资本及股本人民币</w:t>
      </w:r>
      <w:r>
        <w:rPr>
          <w:rFonts w:ascii="Times New Roman" w:hAnsi="Times New Roman" w:cs="Times New Roman" w:eastAsia="Times New Roman" w:hint="default"/>
          <w:spacing w:val="-2"/>
        </w:rPr>
        <w:t>43,446,774.00</w:t>
      </w:r>
      <w:r>
        <w:rPr>
          <w:spacing w:val="-2"/>
        </w:rPr>
        <w:t>元，变</w:t>
      </w:r>
      <w:r>
        <w:rPr/>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0"/>
        <w:jc w:val="left"/>
      </w:pPr>
      <w:r>
        <w:rPr/>
        <w:t>更后的注册资本及股本为人民币</w:t>
      </w:r>
      <w:r>
        <w:rPr>
          <w:rFonts w:ascii="Times New Roman" w:hAnsi="Times New Roman" w:cs="Times New Roman" w:eastAsia="Times New Roman" w:hint="default"/>
        </w:rPr>
        <w:t>273,666,774.00</w:t>
      </w:r>
      <w:r>
        <w:rPr/>
        <w:t>元。</w:t>
      </w:r>
    </w:p>
    <w:p>
      <w:pPr>
        <w:pStyle w:val="BodyText"/>
        <w:spacing w:line="307" w:lineRule="auto" w:before="62"/>
        <w:ind w:right="94" w:firstLine="432"/>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日，经公司</w:t>
      </w:r>
      <w:r>
        <w:rPr>
          <w:rFonts w:ascii="Times New Roman" w:hAnsi="Times New Roman" w:cs="Times New Roman" w:eastAsia="Times New Roman" w:hint="default"/>
        </w:rPr>
        <w:t>2014</w:t>
      </w:r>
      <w:r>
        <w:rPr/>
        <w:t>年度第五次临时股东大会审议通过的《江苏润和软件股份有限公司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年限制性股票激 励计划（草案修订稿）》、第四届董事会第二十三次会议决议、第四届董事会第二十四次会议决议以及修改后的章程规定， 公司对钟峻等</w:t>
      </w:r>
      <w:r>
        <w:rPr>
          <w:rFonts w:ascii="Times New Roman" w:hAnsi="Times New Roman" w:cs="Times New Roman" w:eastAsia="Times New Roman" w:hint="default"/>
        </w:rPr>
        <w:t>300</w:t>
      </w:r>
      <w:r>
        <w:rPr/>
        <w:t>名激励对象授予限制性股票，公司申请增加股本及注册资本人民币</w:t>
      </w:r>
      <w:r>
        <w:rPr>
          <w:rFonts w:ascii="Times New Roman" w:hAnsi="Times New Roman" w:cs="Times New Roman" w:eastAsia="Times New Roman" w:hint="default"/>
        </w:rPr>
        <w:t>10,950,000.00</w:t>
      </w:r>
      <w:r>
        <w:rPr/>
        <w:t>元，变更后注册资本为人 民币</w:t>
      </w:r>
      <w:r>
        <w:rPr>
          <w:rFonts w:ascii="Times New Roman" w:hAnsi="Times New Roman" w:cs="Times New Roman" w:eastAsia="Times New Roman" w:hint="default"/>
        </w:rPr>
        <w:t>284,616,774.00</w:t>
      </w:r>
      <w:r>
        <w:rPr/>
        <w:t>元。</w:t>
      </w:r>
    </w:p>
    <w:p>
      <w:pPr>
        <w:pStyle w:val="BodyText"/>
        <w:spacing w:line="302" w:lineRule="auto" w:before="7"/>
        <w:ind w:right="94" w:firstLine="432"/>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日，经公司</w:t>
      </w:r>
      <w:r>
        <w:rPr>
          <w:rFonts w:ascii="Times New Roman" w:hAnsi="Times New Roman" w:cs="Times New Roman" w:eastAsia="Times New Roman" w:hint="default"/>
          <w:spacing w:val="-2"/>
        </w:rPr>
        <w:t>2015</w:t>
      </w:r>
      <w:r>
        <w:rPr>
          <w:spacing w:val="-2"/>
        </w:rPr>
        <w:t>年度第二次临时股东大会决议和修改后的章程规定，并经过中国证券监督管理委员会《关</w:t>
      </w:r>
      <w:r>
        <w:rPr/>
        <w:t> </w:t>
      </w:r>
      <w:r>
        <w:rPr>
          <w:spacing w:val="-5"/>
        </w:rPr>
        <w:t>于核准江苏润和软件股份有限公司向宁波宏创股权投资合伙企业（有限合伙）发行股份购买资产并募集配套资金的批复》（证</w:t>
      </w:r>
      <w:r>
        <w:rPr>
          <w:spacing w:val="-81"/>
        </w:rPr>
        <w:t> </w:t>
      </w:r>
      <w:r>
        <w:rPr>
          <w:spacing w:val="-81"/>
        </w:rPr>
      </w:r>
      <w:r>
        <w:rPr/>
        <w:t>监许可</w:t>
      </w:r>
      <w:r>
        <w:rPr>
          <w:rFonts w:ascii="Times New Roman" w:hAnsi="Times New Roman" w:cs="Times New Roman" w:eastAsia="Times New Roman" w:hint="default"/>
        </w:rPr>
        <w:t>[2015]1856</w:t>
      </w:r>
      <w:r>
        <w:rPr/>
        <w:t>号）的核准，由公司向宁波宏创股权投资合伙企业（有限合伙）发行人民币普通股</w:t>
      </w:r>
      <w:r>
        <w:rPr>
          <w:rFonts w:ascii="Times New Roman" w:hAnsi="Times New Roman" w:cs="Times New Roman" w:eastAsia="Times New Roman" w:hint="default"/>
        </w:rPr>
        <w:t>48,124,698</w:t>
      </w:r>
      <w:r>
        <w:rPr/>
        <w:t>股（每股发 行价格为人民币</w:t>
      </w:r>
      <w:r>
        <w:rPr>
          <w:rFonts w:ascii="Times New Roman" w:hAnsi="Times New Roman" w:cs="Times New Roman" w:eastAsia="Times New Roman" w:hint="default"/>
        </w:rPr>
        <w:t>22.39</w:t>
      </w:r>
      <w:r>
        <w:rPr/>
        <w:t>元）购买相关资产，同时，由公司向特定对象西藏瑞华投资发展有限公司发行人民币普通股</w:t>
      </w:r>
      <w:r>
        <w:rPr>
          <w:rFonts w:ascii="Times New Roman" w:hAnsi="Times New Roman" w:cs="Times New Roman" w:eastAsia="Times New Roman" w:hint="default"/>
        </w:rPr>
        <w:t>11,165,698</w:t>
      </w:r>
      <w:r>
        <w:rPr>
          <w:rFonts w:ascii="Times New Roman" w:hAnsi="Times New Roman" w:cs="Times New Roman" w:eastAsia="Times New Roman" w:hint="default"/>
          <w:spacing w:val="1"/>
        </w:rPr>
        <w:t> </w:t>
      </w:r>
      <w:r>
        <w:rPr/>
        <w:t>股、向黄学军发行人民币普通股</w:t>
      </w:r>
      <w:r>
        <w:rPr>
          <w:rFonts w:ascii="Times New Roman" w:hAnsi="Times New Roman" w:cs="Times New Roman" w:eastAsia="Times New Roman" w:hint="default"/>
        </w:rPr>
        <w:t>5,582,849</w:t>
      </w:r>
      <w:r>
        <w:rPr/>
        <w:t>股、向曹荣发行人民币普通股</w:t>
      </w:r>
      <w:r>
        <w:rPr>
          <w:rFonts w:ascii="Times New Roman" w:hAnsi="Times New Roman" w:cs="Times New Roman" w:eastAsia="Times New Roman" w:hint="default"/>
        </w:rPr>
        <w:t>5,582,849</w:t>
      </w:r>
      <w:r>
        <w:rPr/>
        <w:t>股、向南京泰瑞投资管理中心（有限公司） 发行人民币普通股</w:t>
      </w:r>
      <w:r>
        <w:rPr>
          <w:rFonts w:ascii="Times New Roman" w:hAnsi="Times New Roman" w:cs="Times New Roman" w:eastAsia="Times New Roman" w:hint="default"/>
        </w:rPr>
        <w:t>2,207,982</w:t>
      </w:r>
      <w:r>
        <w:rPr/>
        <w:t>股（以上每股发行价格为人民币</w:t>
      </w:r>
      <w:r>
        <w:rPr>
          <w:rFonts w:ascii="Times New Roman" w:hAnsi="Times New Roman" w:cs="Times New Roman" w:eastAsia="Times New Roman" w:hint="default"/>
        </w:rPr>
        <w:t>22.39</w:t>
      </w:r>
      <w:r>
        <w:rPr/>
        <w:t>元）募集配套资金，以上合计申请增加注册资本及股本人 民币</w:t>
      </w:r>
      <w:r>
        <w:rPr>
          <w:rFonts w:ascii="Times New Roman" w:hAnsi="Times New Roman" w:cs="Times New Roman" w:eastAsia="Times New Roman" w:hint="default"/>
        </w:rPr>
        <w:t>72,664,076.00</w:t>
      </w:r>
      <w:r>
        <w:rPr/>
        <w:t>元，变更后的注册资本及股本为人民币</w:t>
      </w:r>
      <w:r>
        <w:rPr>
          <w:rFonts w:ascii="Times New Roman" w:hAnsi="Times New Roman" w:cs="Times New Roman" w:eastAsia="Times New Roman" w:hint="default"/>
        </w:rPr>
        <w:t>357,280,850.00</w:t>
      </w:r>
      <w:r>
        <w:rPr/>
        <w:t>元。</w:t>
      </w:r>
    </w:p>
    <w:p>
      <w:pPr>
        <w:pStyle w:val="BodyText"/>
        <w:spacing w:line="307" w:lineRule="auto" w:before="11"/>
        <w:ind w:right="94" w:firstLine="43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年限制性股票激励 计划（草案修订稿）》、第四届董事会第三十二次会议决议和修改后的章程规定，公司对张传位、范蕾、孙明志、王继伟、 王莹、顾进峰、蒋新星、吴茵、戴岱、涂庆红、陈立菲已获授但尚未解锁的限制性股票股本人民币</w:t>
      </w:r>
      <w:r>
        <w:rPr>
          <w:rFonts w:ascii="Times New Roman" w:hAnsi="Times New Roman" w:cs="Times New Roman" w:eastAsia="Times New Roman" w:hint="default"/>
        </w:rPr>
        <w:t>185,000.00</w:t>
      </w:r>
      <w:r>
        <w:rPr/>
        <w:t>元进行回购注 销，申请减少注册资本及股本人民币</w:t>
      </w:r>
      <w:r>
        <w:rPr>
          <w:rFonts w:ascii="Times New Roman" w:hAnsi="Times New Roman" w:cs="Times New Roman" w:eastAsia="Times New Roman" w:hint="default"/>
        </w:rPr>
        <w:t>185,000.00</w:t>
      </w:r>
      <w:r>
        <w:rPr/>
        <w:t>元，变更后的注册资本及股本为人民币</w:t>
      </w:r>
      <w:r>
        <w:rPr>
          <w:rFonts w:ascii="Times New Roman" w:hAnsi="Times New Roman" w:cs="Times New Roman" w:eastAsia="Times New Roman" w:hint="default"/>
        </w:rPr>
        <w:t>357,095,850.00</w:t>
      </w:r>
      <w:r>
        <w:rPr/>
        <w:t>元。</w:t>
      </w:r>
    </w:p>
    <w:p>
      <w:pPr>
        <w:pStyle w:val="BodyText"/>
        <w:spacing w:line="300" w:lineRule="auto" w:before="7"/>
        <w:ind w:right="90" w:firstLine="43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年限制性股票激励 </w:t>
      </w:r>
      <w:r>
        <w:rPr>
          <w:spacing w:val="-4"/>
        </w:rPr>
        <w:t>计划（草案修订稿）》、第四届董事会第三十七次会议决议和修改后的章程规定，对董必华等</w:t>
      </w:r>
      <w:r>
        <w:rPr>
          <w:rFonts w:ascii="Times New Roman" w:hAnsi="Times New Roman" w:cs="Times New Roman" w:eastAsia="Times New Roman" w:hint="default"/>
          <w:spacing w:val="-4"/>
        </w:rPr>
        <w:t>91</w:t>
      </w:r>
      <w:r>
        <w:rPr>
          <w:spacing w:val="-4"/>
        </w:rPr>
        <w:t>名激励对象授予限制性股票，</w:t>
      </w:r>
      <w:r>
        <w:rPr>
          <w:spacing w:val="-40"/>
        </w:rPr>
        <w:t> </w:t>
      </w:r>
      <w:r>
        <w:rPr>
          <w:spacing w:val="-40"/>
        </w:rPr>
      </w:r>
      <w:r>
        <w:rPr/>
        <w:t>公司申请增加股本人民币</w:t>
      </w:r>
      <w:r>
        <w:rPr>
          <w:rFonts w:ascii="Times New Roman" w:hAnsi="Times New Roman" w:cs="Times New Roman" w:eastAsia="Times New Roman" w:hint="default"/>
        </w:rPr>
        <w:t>1,080,000.00</w:t>
      </w:r>
      <w:r>
        <w:rPr/>
        <w:t>元，申请增加注册资本人民币</w:t>
      </w:r>
      <w:r>
        <w:rPr>
          <w:rFonts w:ascii="Times New Roman" w:hAnsi="Times New Roman" w:cs="Times New Roman" w:eastAsia="Times New Roman" w:hint="default"/>
        </w:rPr>
        <w:t>1,080,000.00</w:t>
      </w:r>
      <w:r>
        <w:rPr/>
        <w:t>元，变更后注册资本为人民币</w:t>
      </w:r>
      <w:r>
        <w:rPr>
          <w:rFonts w:ascii="Times New Roman" w:hAnsi="Times New Roman" w:cs="Times New Roman" w:eastAsia="Times New Roman" w:hint="default"/>
        </w:rPr>
        <w:t>358,175,850.00</w:t>
      </w:r>
      <w:r>
        <w:rPr>
          <w:rFonts w:ascii="Times New Roman" w:hAnsi="Times New Roman" w:cs="Times New Roman" w:eastAsia="Times New Roman" w:hint="default"/>
          <w:spacing w:val="1"/>
        </w:rPr>
        <w:t> </w:t>
      </w:r>
      <w:r>
        <w:rPr/>
        <w:t>元。</w:t>
      </w:r>
    </w:p>
    <w:p>
      <w:pPr>
        <w:pStyle w:val="BodyText"/>
        <w:spacing w:line="316" w:lineRule="auto" w:before="31"/>
        <w:ind w:right="195" w:firstLine="432"/>
        <w:jc w:val="both"/>
      </w:pPr>
      <w:r>
        <w:rPr/>
        <w:t>公司的经营范围：计算机软、硬件的研发，相关产品的销售以及售后综合技术服务；自营和代理各类商品及技术的进 </w:t>
      </w:r>
      <w:r>
        <w:rPr>
          <w:spacing w:val="-2"/>
        </w:rPr>
        <w:t>出口业务；计算机网络系统集成，楼宇智能化系统工程的设计、施工、安装；通信终端设备制造；工业自动控制系统装置制</w:t>
      </w:r>
      <w:r>
        <w:rPr>
          <w:spacing w:val="-70"/>
        </w:rPr>
        <w:t> </w:t>
      </w:r>
      <w:r>
        <w:rPr>
          <w:spacing w:val="-70"/>
        </w:rPr>
      </w:r>
      <w:r>
        <w:rPr/>
        <w:t>造。网络文化经营（按许可证所列范围经营）；（依法须经批准的项目，经相关部门批准后方可开展经营活动）</w:t>
      </w:r>
    </w:p>
    <w:p>
      <w:pPr>
        <w:pStyle w:val="BodyText"/>
        <w:spacing w:line="316" w:lineRule="auto" w:before="18"/>
        <w:ind w:left="584" w:right="2632"/>
        <w:jc w:val="left"/>
      </w:pPr>
      <w:r>
        <w:rPr/>
        <w:t>公司的经营地址：南京市雨花台区铁心桥工业园。法定代表人：周红卫。 财务报告批准报出日：本财务报表业经本公司董事会于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日决议批准报出。</w:t>
      </w:r>
    </w:p>
    <w:p>
      <w:pPr>
        <w:pStyle w:val="BodyText"/>
        <w:spacing w:line="248" w:lineRule="exact"/>
        <w:ind w:right="90"/>
        <w:jc w:val="left"/>
      </w:pPr>
      <w:r>
        <w:rPr/>
        <w:t>（</w:t>
      </w:r>
      <w:r>
        <w:rPr>
          <w:rFonts w:ascii="Times New Roman" w:hAnsi="Times New Roman" w:cs="Times New Roman" w:eastAsia="Times New Roman" w:hint="default"/>
        </w:rPr>
        <w:t>1</w:t>
      </w:r>
      <w:r>
        <w:rPr/>
        <w:t>）本公司本期纳入合并范围的子公司</w:t>
      </w:r>
    </w:p>
    <w:p>
      <w:pPr>
        <w:spacing w:line="240" w:lineRule="auto" w:before="2"/>
        <w:rPr>
          <w:rFonts w:ascii="宋体" w:hAnsi="宋体" w:cs="宋体" w:eastAsia="宋体" w:hint="default"/>
          <w:sz w:val="9"/>
          <w:szCs w:val="9"/>
        </w:rPr>
      </w:pPr>
    </w:p>
    <w:tbl>
      <w:tblPr>
        <w:tblW w:w="0" w:type="auto"/>
        <w:jc w:val="left"/>
        <w:tblInd w:w="260" w:type="dxa"/>
        <w:tblLayout w:type="fixed"/>
        <w:tblCellMar>
          <w:top w:w="0" w:type="dxa"/>
          <w:left w:w="0" w:type="dxa"/>
          <w:bottom w:w="0" w:type="dxa"/>
          <w:right w:w="0" w:type="dxa"/>
        </w:tblCellMar>
        <w:tblLook w:val="01E0"/>
      </w:tblPr>
      <w:tblGrid>
        <w:gridCol w:w="576"/>
        <w:gridCol w:w="4304"/>
        <w:gridCol w:w="1250"/>
        <w:gridCol w:w="829"/>
        <w:gridCol w:w="731"/>
      </w:tblGrid>
      <w:tr>
        <w:trPr>
          <w:trHeight w:val="277" w:hRule="exact"/>
        </w:trPr>
        <w:tc>
          <w:tcPr>
            <w:tcW w:w="576" w:type="dxa"/>
            <w:tcBorders>
              <w:top w:val="nil" w:sz="6" w:space="0" w:color="auto"/>
              <w:left w:val="nil" w:sz="6" w:space="0" w:color="auto"/>
              <w:bottom w:val="nil" w:sz="6" w:space="0" w:color="auto"/>
              <w:right w:val="nil" w:sz="6" w:space="0" w:color="auto"/>
            </w:tcBorders>
          </w:tcPr>
          <w:p>
            <w:pPr>
              <w:pStyle w:val="TableParagraph"/>
              <w:spacing w:line="199" w:lineRule="exact"/>
              <w:ind w:left="52"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4304" w:type="dxa"/>
            <w:tcBorders>
              <w:top w:val="nil" w:sz="6" w:space="0" w:color="auto"/>
              <w:left w:val="nil" w:sz="6" w:space="0" w:color="auto"/>
              <w:bottom w:val="nil" w:sz="6" w:space="0" w:color="auto"/>
              <w:right w:val="nil" w:sz="6" w:space="0" w:color="auto"/>
            </w:tcBorders>
          </w:tcPr>
          <w:p>
            <w:pPr>
              <w:pStyle w:val="TableParagraph"/>
              <w:spacing w:line="199" w:lineRule="exact"/>
              <w:ind w:right="29"/>
              <w:jc w:val="center"/>
              <w:rPr>
                <w:rFonts w:ascii="宋体" w:hAnsi="宋体" w:cs="宋体" w:eastAsia="宋体" w:hint="default"/>
                <w:sz w:val="20"/>
                <w:szCs w:val="20"/>
              </w:rPr>
            </w:pPr>
            <w:r>
              <w:rPr>
                <w:rFonts w:ascii="宋体" w:hAnsi="宋体" w:cs="宋体" w:eastAsia="宋体" w:hint="default"/>
                <w:sz w:val="20"/>
                <w:szCs w:val="20"/>
              </w:rPr>
              <w:t>子公司全称</w:t>
            </w:r>
          </w:p>
        </w:tc>
        <w:tc>
          <w:tcPr>
            <w:tcW w:w="1250" w:type="dxa"/>
            <w:tcBorders>
              <w:top w:val="nil" w:sz="6" w:space="0" w:color="auto"/>
              <w:left w:val="nil" w:sz="6" w:space="0" w:color="auto"/>
              <w:bottom w:val="nil" w:sz="6" w:space="0" w:color="auto"/>
              <w:right w:val="nil" w:sz="6" w:space="0" w:color="auto"/>
            </w:tcBorders>
          </w:tcPr>
          <w:p>
            <w:pPr>
              <w:pStyle w:val="TableParagraph"/>
              <w:spacing w:line="199" w:lineRule="exact"/>
              <w:ind w:left="85" w:right="0"/>
              <w:jc w:val="left"/>
              <w:rPr>
                <w:rFonts w:ascii="宋体" w:hAnsi="宋体" w:cs="宋体" w:eastAsia="宋体" w:hint="default"/>
                <w:sz w:val="20"/>
                <w:szCs w:val="20"/>
              </w:rPr>
            </w:pPr>
            <w:r>
              <w:rPr>
                <w:rFonts w:ascii="宋体" w:hAnsi="宋体" w:cs="宋体" w:eastAsia="宋体" w:hint="default"/>
                <w:sz w:val="20"/>
                <w:szCs w:val="20"/>
              </w:rPr>
              <w:t>子公司简称</w:t>
            </w:r>
          </w:p>
        </w:tc>
        <w:tc>
          <w:tcPr>
            <w:tcW w:w="1560" w:type="dxa"/>
            <w:gridSpan w:val="2"/>
            <w:tcBorders>
              <w:top w:val="nil" w:sz="6" w:space="0" w:color="auto"/>
              <w:left w:val="nil" w:sz="6" w:space="0" w:color="auto"/>
              <w:bottom w:val="single" w:sz="8" w:space="0" w:color="000000"/>
              <w:right w:val="nil" w:sz="6" w:space="0" w:color="auto"/>
            </w:tcBorders>
          </w:tcPr>
          <w:p>
            <w:pPr>
              <w:pStyle w:val="TableParagraph"/>
              <w:spacing w:line="214" w:lineRule="exact"/>
              <w:ind w:left="2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持股比例</w:t>
            </w:r>
            <w:r>
              <w:rPr>
                <w:rFonts w:ascii="Times New Roman" w:hAnsi="Times New Roman" w:cs="Times New Roman" w:eastAsia="Times New Roman" w:hint="default"/>
                <w:sz w:val="20"/>
                <w:szCs w:val="20"/>
              </w:rPr>
              <w:t>%</w:t>
            </w:r>
          </w:p>
        </w:tc>
      </w:tr>
      <w:tr>
        <w:trPr>
          <w:trHeight w:val="343" w:hRule="exact"/>
        </w:trPr>
        <w:tc>
          <w:tcPr>
            <w:tcW w:w="576" w:type="dxa"/>
            <w:tcBorders>
              <w:top w:val="nil" w:sz="6" w:space="0" w:color="auto"/>
              <w:left w:val="nil" w:sz="6" w:space="0" w:color="auto"/>
              <w:bottom w:val="single" w:sz="8" w:space="0" w:color="000000"/>
              <w:right w:val="nil" w:sz="6" w:space="0" w:color="auto"/>
            </w:tcBorders>
          </w:tcPr>
          <w:p>
            <w:pPr/>
          </w:p>
        </w:tc>
        <w:tc>
          <w:tcPr>
            <w:tcW w:w="4304" w:type="dxa"/>
            <w:tcBorders>
              <w:top w:val="nil" w:sz="6" w:space="0" w:color="auto"/>
              <w:left w:val="nil" w:sz="6" w:space="0" w:color="auto"/>
              <w:bottom w:val="single" w:sz="8" w:space="0" w:color="000000"/>
              <w:right w:val="nil" w:sz="6" w:space="0" w:color="auto"/>
            </w:tcBorders>
          </w:tcPr>
          <w:p>
            <w:pPr/>
          </w:p>
        </w:tc>
        <w:tc>
          <w:tcPr>
            <w:tcW w:w="1250" w:type="dxa"/>
            <w:tcBorders>
              <w:top w:val="nil" w:sz="6" w:space="0" w:color="auto"/>
              <w:left w:val="nil" w:sz="6" w:space="0" w:color="auto"/>
              <w:bottom w:val="single" w:sz="8" w:space="0" w:color="000000"/>
              <w:right w:val="nil" w:sz="6" w:space="0" w:color="auto"/>
            </w:tcBorders>
          </w:tcPr>
          <w:p>
            <w:pP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22"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0" w:right="0"/>
              <w:jc w:val="center"/>
              <w:rPr>
                <w:rFonts w:ascii="宋体" w:hAnsi="宋体" w:cs="宋体" w:eastAsia="宋体" w:hint="default"/>
                <w:sz w:val="20"/>
                <w:szCs w:val="20"/>
              </w:rPr>
            </w:pPr>
            <w:r>
              <w:rPr>
                <w:rFonts w:ascii="宋体" w:hAnsi="宋体" w:cs="宋体" w:eastAsia="宋体" w:hint="default"/>
                <w:sz w:val="20"/>
                <w:szCs w:val="20"/>
              </w:rPr>
              <w:t>间接</w:t>
            </w:r>
          </w:p>
        </w:tc>
      </w:tr>
      <w:tr>
        <w:trPr>
          <w:trHeight w:val="341"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5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62" w:right="0"/>
              <w:jc w:val="left"/>
              <w:rPr>
                <w:rFonts w:ascii="宋体" w:hAnsi="宋体" w:cs="宋体" w:eastAsia="宋体" w:hint="default"/>
                <w:sz w:val="20"/>
                <w:szCs w:val="20"/>
              </w:rPr>
            </w:pPr>
            <w:r>
              <w:rPr>
                <w:rFonts w:ascii="宋体" w:hAnsi="宋体" w:cs="宋体" w:eastAsia="宋体" w:hint="default"/>
                <w:sz w:val="20"/>
                <w:szCs w:val="20"/>
              </w:rPr>
              <w:t>江苏润和南京软件外包园投资有限公司</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85" w:right="0"/>
              <w:jc w:val="left"/>
              <w:rPr>
                <w:rFonts w:ascii="宋体" w:hAnsi="宋体" w:cs="宋体" w:eastAsia="宋体" w:hint="default"/>
                <w:sz w:val="20"/>
                <w:szCs w:val="20"/>
              </w:rPr>
            </w:pPr>
            <w:r>
              <w:rPr>
                <w:rFonts w:ascii="宋体" w:hAnsi="宋体" w:cs="宋体" w:eastAsia="宋体" w:hint="default"/>
                <w:sz w:val="20"/>
                <w:szCs w:val="20"/>
              </w:rPr>
              <w:t>外包园公司</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73" w:right="0"/>
              <w:jc w:val="left"/>
              <w:rPr>
                <w:rFonts w:ascii="Times New Roman" w:hAnsi="Times New Roman" w:cs="Times New Roman" w:eastAsia="Times New Roman" w:hint="default"/>
                <w:sz w:val="20"/>
                <w:szCs w:val="20"/>
              </w:rPr>
            </w:pPr>
            <w:r>
              <w:rPr>
                <w:rFonts w:ascii="Times New Roman"/>
                <w:sz w:val="20"/>
              </w:rPr>
              <w:t>100</w:t>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3"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5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62" w:right="0"/>
              <w:jc w:val="left"/>
              <w:rPr>
                <w:rFonts w:ascii="宋体" w:hAnsi="宋体" w:cs="宋体" w:eastAsia="宋体" w:hint="default"/>
                <w:sz w:val="20"/>
                <w:szCs w:val="20"/>
              </w:rPr>
            </w:pPr>
            <w:r>
              <w:rPr>
                <w:rFonts w:ascii="宋体" w:hAnsi="宋体" w:cs="宋体" w:eastAsia="宋体" w:hint="default"/>
                <w:sz w:val="20"/>
                <w:szCs w:val="20"/>
              </w:rPr>
              <w:t>江苏润和南京软件外包园置业有限公司</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85" w:right="0"/>
              <w:jc w:val="left"/>
              <w:rPr>
                <w:rFonts w:ascii="宋体" w:hAnsi="宋体" w:cs="宋体" w:eastAsia="宋体" w:hint="default"/>
                <w:sz w:val="20"/>
                <w:szCs w:val="20"/>
              </w:rPr>
            </w:pPr>
            <w:r>
              <w:rPr>
                <w:rFonts w:ascii="宋体" w:hAnsi="宋体" w:cs="宋体" w:eastAsia="宋体" w:hint="default"/>
                <w:sz w:val="20"/>
                <w:szCs w:val="20"/>
              </w:rPr>
              <w:t>外包园置业</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1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5" w:right="0"/>
              <w:jc w:val="center"/>
              <w:rPr>
                <w:rFonts w:ascii="Times New Roman" w:hAnsi="Times New Roman" w:cs="Times New Roman" w:eastAsia="Times New Roman" w:hint="default"/>
                <w:sz w:val="20"/>
                <w:szCs w:val="20"/>
              </w:rPr>
            </w:pPr>
            <w:r>
              <w:rPr>
                <w:rFonts w:ascii="Times New Roman"/>
                <w:sz w:val="20"/>
              </w:rPr>
              <w:t>100</w:t>
            </w:r>
          </w:p>
        </w:tc>
      </w:tr>
      <w:tr>
        <w:trPr>
          <w:trHeight w:val="341"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5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62" w:right="0"/>
              <w:jc w:val="left"/>
              <w:rPr>
                <w:rFonts w:ascii="宋体" w:hAnsi="宋体" w:cs="宋体" w:eastAsia="宋体" w:hint="default"/>
                <w:sz w:val="20"/>
                <w:szCs w:val="20"/>
              </w:rPr>
            </w:pPr>
            <w:r>
              <w:rPr>
                <w:rFonts w:ascii="宋体" w:hAnsi="宋体" w:cs="宋体" w:eastAsia="宋体" w:hint="default"/>
                <w:sz w:val="20"/>
                <w:szCs w:val="20"/>
              </w:rPr>
              <w:t>西安润和软件信息技术有限公司</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186" w:right="0"/>
              <w:jc w:val="left"/>
              <w:rPr>
                <w:rFonts w:ascii="宋体" w:hAnsi="宋体" w:cs="宋体" w:eastAsia="宋体" w:hint="default"/>
                <w:sz w:val="20"/>
                <w:szCs w:val="20"/>
              </w:rPr>
            </w:pPr>
            <w:r>
              <w:rPr>
                <w:rFonts w:ascii="宋体" w:hAnsi="宋体" w:cs="宋体" w:eastAsia="宋体" w:hint="default"/>
                <w:sz w:val="20"/>
                <w:szCs w:val="20"/>
              </w:rPr>
              <w:t>西安润和</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73" w:right="0"/>
              <w:jc w:val="left"/>
              <w:rPr>
                <w:rFonts w:ascii="Times New Roman" w:hAnsi="Times New Roman" w:cs="Times New Roman" w:eastAsia="Times New Roman" w:hint="default"/>
                <w:sz w:val="20"/>
                <w:szCs w:val="20"/>
              </w:rPr>
            </w:pPr>
            <w:r>
              <w:rPr>
                <w:rFonts w:ascii="Times New Roman"/>
                <w:sz w:val="20"/>
              </w:rPr>
              <w:t>100</w:t>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3"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5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62" w:right="0"/>
              <w:jc w:val="left"/>
              <w:rPr>
                <w:rFonts w:ascii="宋体" w:hAnsi="宋体" w:cs="宋体" w:eastAsia="宋体" w:hint="default"/>
                <w:sz w:val="20"/>
                <w:szCs w:val="20"/>
              </w:rPr>
            </w:pPr>
            <w:r>
              <w:rPr>
                <w:rFonts w:ascii="宋体" w:hAnsi="宋体" w:cs="宋体" w:eastAsia="宋体" w:hint="default"/>
                <w:sz w:val="20"/>
                <w:szCs w:val="20"/>
              </w:rPr>
              <w:t>北京润和汇智信息技术有限公司</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186" w:right="0"/>
              <w:jc w:val="left"/>
              <w:rPr>
                <w:rFonts w:ascii="宋体" w:hAnsi="宋体" w:cs="宋体" w:eastAsia="宋体" w:hint="default"/>
                <w:sz w:val="20"/>
                <w:szCs w:val="20"/>
              </w:rPr>
            </w:pPr>
            <w:r>
              <w:rPr>
                <w:rFonts w:ascii="宋体" w:hAnsi="宋体" w:cs="宋体" w:eastAsia="宋体" w:hint="default"/>
                <w:sz w:val="20"/>
                <w:szCs w:val="20"/>
              </w:rPr>
              <w:t>北京润和</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73" w:right="0"/>
              <w:jc w:val="left"/>
              <w:rPr>
                <w:rFonts w:ascii="Times New Roman" w:hAnsi="Times New Roman" w:cs="Times New Roman" w:eastAsia="Times New Roman" w:hint="default"/>
                <w:sz w:val="20"/>
                <w:szCs w:val="20"/>
              </w:rPr>
            </w:pPr>
            <w:r>
              <w:rPr>
                <w:rFonts w:ascii="Times New Roman"/>
                <w:sz w:val="20"/>
              </w:rPr>
              <w:t>100</w:t>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1"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5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62" w:right="0"/>
              <w:jc w:val="left"/>
              <w:rPr>
                <w:rFonts w:ascii="宋体" w:hAnsi="宋体" w:cs="宋体" w:eastAsia="宋体" w:hint="default"/>
                <w:sz w:val="20"/>
                <w:szCs w:val="20"/>
              </w:rPr>
            </w:pPr>
            <w:r>
              <w:rPr>
                <w:rFonts w:ascii="宋体" w:hAnsi="宋体" w:cs="宋体" w:eastAsia="宋体" w:hint="default"/>
                <w:sz w:val="20"/>
                <w:szCs w:val="20"/>
              </w:rPr>
              <w:t>深圳润和汇智信息技术有限公司</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186" w:right="0"/>
              <w:jc w:val="left"/>
              <w:rPr>
                <w:rFonts w:ascii="宋体" w:hAnsi="宋体" w:cs="宋体" w:eastAsia="宋体" w:hint="default"/>
                <w:sz w:val="20"/>
                <w:szCs w:val="20"/>
              </w:rPr>
            </w:pPr>
            <w:r>
              <w:rPr>
                <w:rFonts w:ascii="宋体" w:hAnsi="宋体" w:cs="宋体" w:eastAsia="宋体" w:hint="default"/>
                <w:sz w:val="20"/>
                <w:szCs w:val="20"/>
              </w:rPr>
              <w:t>深圳润和</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1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5" w:right="0"/>
              <w:jc w:val="center"/>
              <w:rPr>
                <w:rFonts w:ascii="Times New Roman" w:hAnsi="Times New Roman" w:cs="Times New Roman" w:eastAsia="Times New Roman" w:hint="default"/>
                <w:sz w:val="20"/>
                <w:szCs w:val="20"/>
              </w:rPr>
            </w:pPr>
            <w:r>
              <w:rPr>
                <w:rFonts w:ascii="Times New Roman"/>
                <w:sz w:val="20"/>
              </w:rPr>
              <w:t>100</w:t>
            </w:r>
          </w:p>
        </w:tc>
      </w:tr>
      <w:tr>
        <w:trPr>
          <w:trHeight w:val="343"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5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62" w:right="0"/>
              <w:jc w:val="left"/>
              <w:rPr>
                <w:rFonts w:ascii="宋体" w:hAnsi="宋体" w:cs="宋体" w:eastAsia="宋体" w:hint="default"/>
                <w:sz w:val="20"/>
                <w:szCs w:val="20"/>
              </w:rPr>
            </w:pPr>
            <w:r>
              <w:rPr>
                <w:rFonts w:ascii="宋体" w:hAnsi="宋体" w:cs="宋体" w:eastAsia="宋体" w:hint="default"/>
                <w:sz w:val="20"/>
                <w:szCs w:val="20"/>
              </w:rPr>
              <w:t>上海润和信息技术服务有限公司</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186" w:right="0"/>
              <w:jc w:val="left"/>
              <w:rPr>
                <w:rFonts w:ascii="宋体" w:hAnsi="宋体" w:cs="宋体" w:eastAsia="宋体" w:hint="default"/>
                <w:sz w:val="20"/>
                <w:szCs w:val="20"/>
              </w:rPr>
            </w:pPr>
            <w:r>
              <w:rPr>
                <w:rFonts w:ascii="宋体" w:hAnsi="宋体" w:cs="宋体" w:eastAsia="宋体" w:hint="default"/>
                <w:sz w:val="20"/>
                <w:szCs w:val="20"/>
              </w:rPr>
              <w:t>上海润和</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73" w:right="0"/>
              <w:jc w:val="left"/>
              <w:rPr>
                <w:rFonts w:ascii="Times New Roman" w:hAnsi="Times New Roman" w:cs="Times New Roman" w:eastAsia="Times New Roman" w:hint="default"/>
                <w:sz w:val="20"/>
                <w:szCs w:val="20"/>
              </w:rPr>
            </w:pPr>
            <w:r>
              <w:rPr>
                <w:rFonts w:ascii="Times New Roman"/>
                <w:sz w:val="20"/>
              </w:rPr>
              <w:t>100</w:t>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1"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51"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62" w:right="0"/>
              <w:jc w:val="left"/>
              <w:rPr>
                <w:rFonts w:ascii="宋体" w:hAnsi="宋体" w:cs="宋体" w:eastAsia="宋体" w:hint="default"/>
                <w:sz w:val="20"/>
                <w:szCs w:val="20"/>
              </w:rPr>
            </w:pPr>
            <w:r>
              <w:rPr>
                <w:rFonts w:ascii="宋体" w:hAnsi="宋体" w:cs="宋体" w:eastAsia="宋体" w:hint="default"/>
                <w:sz w:val="20"/>
                <w:szCs w:val="20"/>
              </w:rPr>
              <w:t>南京润和数码有限公司</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186" w:right="0"/>
              <w:jc w:val="left"/>
              <w:rPr>
                <w:rFonts w:ascii="宋体" w:hAnsi="宋体" w:cs="宋体" w:eastAsia="宋体" w:hint="default"/>
                <w:sz w:val="20"/>
                <w:szCs w:val="20"/>
              </w:rPr>
            </w:pPr>
            <w:r>
              <w:rPr>
                <w:rFonts w:ascii="宋体" w:hAnsi="宋体" w:cs="宋体" w:eastAsia="宋体" w:hint="default"/>
                <w:sz w:val="20"/>
                <w:szCs w:val="20"/>
              </w:rPr>
              <w:t>润和数码</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0" w:right="0"/>
              <w:jc w:val="center"/>
              <w:rPr>
                <w:rFonts w:ascii="Times New Roman" w:hAnsi="Times New Roman" w:cs="Times New Roman" w:eastAsia="Times New Roman" w:hint="default"/>
                <w:sz w:val="20"/>
                <w:szCs w:val="20"/>
              </w:rPr>
            </w:pPr>
            <w:r>
              <w:rPr>
                <w:rFonts w:ascii="Times New Roman"/>
                <w:sz w:val="20"/>
              </w:rPr>
              <w:t>55</w:t>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3"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51"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6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深圳市润和创新信息科技有限公司</w:t>
            </w:r>
            <w:r>
              <w:rPr>
                <w:rFonts w:ascii="宋体" w:hAnsi="宋体" w:cs="宋体" w:eastAsia="宋体" w:hint="default"/>
                <w:spacing w:val="-25"/>
                <w:sz w:val="20"/>
                <w:szCs w:val="20"/>
              </w:rPr>
              <w:t> </w:t>
            </w:r>
            <w:r>
              <w:rPr>
                <w:rFonts w:ascii="宋体" w:hAnsi="宋体" w:cs="宋体" w:eastAsia="宋体" w:hint="default"/>
                <w:sz w:val="20"/>
                <w:szCs w:val="20"/>
              </w:rPr>
              <w:t>注</w:t>
            </w:r>
            <w:r>
              <w:rPr>
                <w:rFonts w:ascii="Times New Roman" w:hAnsi="Times New Roman" w:cs="Times New Roman" w:eastAsia="Times New Roman" w:hint="default"/>
                <w:sz w:val="20"/>
                <w:szCs w:val="20"/>
              </w:rPr>
              <w:t>1</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186" w:right="0"/>
              <w:jc w:val="left"/>
              <w:rPr>
                <w:rFonts w:ascii="宋体" w:hAnsi="宋体" w:cs="宋体" w:eastAsia="宋体" w:hint="default"/>
                <w:sz w:val="20"/>
                <w:szCs w:val="20"/>
              </w:rPr>
            </w:pPr>
            <w:r>
              <w:rPr>
                <w:rFonts w:ascii="宋体" w:hAnsi="宋体" w:cs="宋体" w:eastAsia="宋体" w:hint="default"/>
                <w:sz w:val="20"/>
                <w:szCs w:val="20"/>
              </w:rPr>
              <w:t>深圳数码</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1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5" w:right="0"/>
              <w:jc w:val="center"/>
              <w:rPr>
                <w:rFonts w:ascii="Times New Roman" w:hAnsi="Times New Roman" w:cs="Times New Roman" w:eastAsia="Times New Roman" w:hint="default"/>
                <w:sz w:val="20"/>
                <w:szCs w:val="20"/>
              </w:rPr>
            </w:pPr>
            <w:r>
              <w:rPr>
                <w:rFonts w:ascii="Times New Roman"/>
                <w:sz w:val="20"/>
              </w:rPr>
              <w:t>55</w:t>
            </w:r>
          </w:p>
        </w:tc>
      </w:tr>
      <w:tr>
        <w:trPr>
          <w:trHeight w:val="341"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51"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69" w:lineRule="exact"/>
              <w:ind w:left="6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HOPERUN MMAX DIGITAL PTE. LTD.</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注</w:t>
            </w:r>
            <w:r>
              <w:rPr>
                <w:rFonts w:ascii="Times New Roman" w:hAnsi="Times New Roman" w:cs="Times New Roman" w:eastAsia="Times New Roman" w:hint="default"/>
                <w:sz w:val="20"/>
                <w:szCs w:val="20"/>
              </w:rPr>
              <w:t>1</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85" w:right="0"/>
              <w:jc w:val="left"/>
              <w:rPr>
                <w:rFonts w:ascii="宋体" w:hAnsi="宋体" w:cs="宋体" w:eastAsia="宋体" w:hint="default"/>
                <w:sz w:val="20"/>
                <w:szCs w:val="20"/>
              </w:rPr>
            </w:pPr>
            <w:r>
              <w:rPr>
                <w:rFonts w:ascii="宋体" w:hAnsi="宋体" w:cs="宋体" w:eastAsia="宋体" w:hint="default"/>
                <w:sz w:val="20"/>
                <w:szCs w:val="20"/>
              </w:rPr>
              <w:t>新加坡数码</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1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5" w:right="0"/>
              <w:jc w:val="center"/>
              <w:rPr>
                <w:rFonts w:ascii="Times New Roman" w:hAnsi="Times New Roman" w:cs="Times New Roman" w:eastAsia="Times New Roman" w:hint="default"/>
                <w:sz w:val="20"/>
                <w:szCs w:val="20"/>
              </w:rPr>
            </w:pPr>
            <w:r>
              <w:rPr>
                <w:rFonts w:ascii="Times New Roman"/>
                <w:sz w:val="20"/>
              </w:rPr>
              <w:t>55</w:t>
            </w:r>
          </w:p>
        </w:tc>
      </w:tr>
      <w:tr>
        <w:trPr>
          <w:trHeight w:val="343"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57" w:right="0"/>
              <w:jc w:val="center"/>
              <w:rPr>
                <w:rFonts w:ascii="Times New Roman" w:hAnsi="Times New Roman" w:cs="Times New Roman" w:eastAsia="Times New Roman" w:hint="default"/>
                <w:sz w:val="20"/>
                <w:szCs w:val="20"/>
              </w:rPr>
            </w:pPr>
            <w:r>
              <w:rPr>
                <w:rFonts w:ascii="Times New Roman"/>
                <w:sz w:val="20"/>
              </w:rPr>
              <w:t>10</w:t>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6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株式会社ホープラン東京</w:t>
            </w:r>
            <w:r>
              <w:rPr>
                <w:rFonts w:ascii="宋体" w:hAnsi="宋体" w:cs="宋体" w:eastAsia="宋体" w:hint="default"/>
                <w:spacing w:val="-23"/>
                <w:sz w:val="20"/>
                <w:szCs w:val="20"/>
              </w:rPr>
              <w:t> </w:t>
            </w:r>
            <w:r>
              <w:rPr>
                <w:rFonts w:ascii="宋体" w:hAnsi="宋体" w:cs="宋体" w:eastAsia="宋体" w:hint="default"/>
                <w:sz w:val="20"/>
                <w:szCs w:val="20"/>
              </w:rPr>
              <w:t>注</w:t>
            </w:r>
            <w:r>
              <w:rPr>
                <w:rFonts w:ascii="Times New Roman" w:hAnsi="Times New Roman" w:cs="Times New Roman" w:eastAsia="Times New Roman" w:hint="default"/>
                <w:sz w:val="20"/>
                <w:szCs w:val="20"/>
              </w:rPr>
              <w:t>2</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186" w:right="0"/>
              <w:jc w:val="left"/>
              <w:rPr>
                <w:rFonts w:ascii="宋体" w:hAnsi="宋体" w:cs="宋体" w:eastAsia="宋体" w:hint="default"/>
                <w:sz w:val="20"/>
                <w:szCs w:val="20"/>
              </w:rPr>
            </w:pPr>
            <w:r>
              <w:rPr>
                <w:rFonts w:ascii="宋体" w:hAnsi="宋体" w:cs="宋体" w:eastAsia="宋体" w:hint="default"/>
                <w:sz w:val="20"/>
                <w:szCs w:val="20"/>
              </w:rPr>
              <w:t>东京润和</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199" w:right="0"/>
              <w:jc w:val="left"/>
              <w:rPr>
                <w:rFonts w:ascii="Times New Roman" w:hAnsi="Times New Roman" w:cs="Times New Roman" w:eastAsia="Times New Roman" w:hint="default"/>
                <w:sz w:val="20"/>
                <w:szCs w:val="20"/>
              </w:rPr>
            </w:pPr>
            <w:r>
              <w:rPr>
                <w:rFonts w:ascii="Times New Roman"/>
                <w:sz w:val="20"/>
              </w:rPr>
              <w:t>91.67</w:t>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653"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57" w:right="0"/>
              <w:jc w:val="center"/>
              <w:rPr>
                <w:rFonts w:ascii="Times New Roman" w:hAnsi="Times New Roman" w:cs="Times New Roman" w:eastAsia="Times New Roman" w:hint="default"/>
                <w:sz w:val="20"/>
                <w:szCs w:val="20"/>
              </w:rPr>
            </w:pPr>
            <w:r>
              <w:rPr>
                <w:rFonts w:ascii="Times New Roman"/>
                <w:sz w:val="20"/>
              </w:rPr>
              <w:t>11</w:t>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62" w:right="0"/>
              <w:jc w:val="left"/>
              <w:rPr>
                <w:rFonts w:ascii="Times New Roman" w:hAnsi="Times New Roman" w:cs="Times New Roman" w:eastAsia="Times New Roman" w:hint="default"/>
                <w:sz w:val="20"/>
                <w:szCs w:val="20"/>
              </w:rPr>
            </w:pPr>
            <w:r>
              <w:rPr>
                <w:rFonts w:ascii="Times New Roman"/>
                <w:sz w:val="20"/>
              </w:rPr>
              <w:t>HOPERUN SOFTWARE SINGAPORE PTE.</w:t>
            </w:r>
            <w:r>
              <w:rPr>
                <w:rFonts w:ascii="Times New Roman"/>
                <w:spacing w:val="5"/>
                <w:sz w:val="20"/>
              </w:rPr>
              <w:t> </w:t>
            </w:r>
            <w:r>
              <w:rPr>
                <w:rFonts w:ascii="Times New Roman"/>
                <w:sz w:val="20"/>
              </w:rPr>
              <w:t>LTD</w:t>
            </w:r>
          </w:p>
          <w:p>
            <w:pPr>
              <w:pStyle w:val="TableParagraph"/>
              <w:spacing w:line="240" w:lineRule="auto" w:before="35"/>
              <w:ind w:left="6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Times New Roman" w:hAnsi="Times New Roman" w:cs="Times New Roman" w:eastAsia="Times New Roman" w:hint="default"/>
                <w:sz w:val="20"/>
                <w:szCs w:val="20"/>
              </w:rPr>
              <w:t>3</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85" w:right="0"/>
              <w:jc w:val="left"/>
              <w:rPr>
                <w:rFonts w:ascii="宋体" w:hAnsi="宋体" w:cs="宋体" w:eastAsia="宋体" w:hint="default"/>
                <w:sz w:val="20"/>
                <w:szCs w:val="20"/>
              </w:rPr>
            </w:pPr>
            <w:r>
              <w:rPr>
                <w:rFonts w:ascii="宋体" w:hAnsi="宋体" w:cs="宋体" w:eastAsia="宋体" w:hint="default"/>
                <w:sz w:val="20"/>
                <w:szCs w:val="20"/>
              </w:rPr>
              <w:t>新加坡润和</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1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5" w:right="0"/>
              <w:jc w:val="center"/>
              <w:rPr>
                <w:rFonts w:ascii="Times New Roman" w:hAnsi="Times New Roman" w:cs="Times New Roman" w:eastAsia="Times New Roman" w:hint="default"/>
                <w:sz w:val="20"/>
                <w:szCs w:val="20"/>
              </w:rPr>
            </w:pPr>
            <w:r>
              <w:rPr>
                <w:rFonts w:ascii="Times New Roman"/>
                <w:sz w:val="20"/>
              </w:rPr>
              <w:t>70</w:t>
            </w:r>
          </w:p>
        </w:tc>
      </w:tr>
      <w:tr>
        <w:trPr>
          <w:trHeight w:val="343"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57" w:right="0"/>
              <w:jc w:val="center"/>
              <w:rPr>
                <w:rFonts w:ascii="Times New Roman" w:hAnsi="Times New Roman" w:cs="Times New Roman" w:eastAsia="Times New Roman" w:hint="default"/>
                <w:sz w:val="20"/>
                <w:szCs w:val="20"/>
              </w:rPr>
            </w:pPr>
            <w:r>
              <w:rPr>
                <w:rFonts w:ascii="Times New Roman"/>
                <w:sz w:val="20"/>
              </w:rPr>
              <w:t>12</w:t>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62" w:right="0"/>
              <w:jc w:val="left"/>
              <w:rPr>
                <w:rFonts w:ascii="Times New Roman" w:hAnsi="Times New Roman" w:cs="Times New Roman" w:eastAsia="Times New Roman" w:hint="default"/>
                <w:sz w:val="20"/>
                <w:szCs w:val="20"/>
              </w:rPr>
            </w:pPr>
            <w:r>
              <w:rPr>
                <w:rFonts w:ascii="Times New Roman"/>
                <w:sz w:val="20"/>
              </w:rPr>
              <w:t>HopeRun Technology Co.,</w:t>
            </w:r>
            <w:r>
              <w:rPr>
                <w:rFonts w:ascii="Times New Roman"/>
                <w:spacing w:val="-8"/>
                <w:sz w:val="20"/>
              </w:rPr>
              <w:t> </w:t>
            </w:r>
            <w:r>
              <w:rPr>
                <w:rFonts w:ascii="Times New Roman"/>
                <w:sz w:val="20"/>
              </w:rPr>
              <w:t>Ltd</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85" w:right="0"/>
              <w:jc w:val="left"/>
              <w:rPr>
                <w:rFonts w:ascii="宋体" w:hAnsi="宋体" w:cs="宋体" w:eastAsia="宋体" w:hint="default"/>
                <w:sz w:val="20"/>
                <w:szCs w:val="20"/>
              </w:rPr>
            </w:pPr>
            <w:r>
              <w:rPr>
                <w:rFonts w:ascii="宋体" w:hAnsi="宋体" w:cs="宋体" w:eastAsia="宋体" w:hint="default"/>
                <w:sz w:val="20"/>
                <w:szCs w:val="20"/>
              </w:rPr>
              <w:t>波士顿润和</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73" w:right="0"/>
              <w:jc w:val="left"/>
              <w:rPr>
                <w:rFonts w:ascii="Times New Roman" w:hAnsi="Times New Roman" w:cs="Times New Roman" w:eastAsia="Times New Roman" w:hint="default"/>
                <w:sz w:val="20"/>
                <w:szCs w:val="20"/>
              </w:rPr>
            </w:pPr>
            <w:r>
              <w:rPr>
                <w:rFonts w:ascii="Times New Roman"/>
                <w:sz w:val="20"/>
              </w:rPr>
              <w:t>100</w:t>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1"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57" w:right="0"/>
              <w:jc w:val="center"/>
              <w:rPr>
                <w:rFonts w:ascii="Times New Roman" w:hAnsi="Times New Roman" w:cs="Times New Roman" w:eastAsia="Times New Roman" w:hint="default"/>
                <w:sz w:val="20"/>
                <w:szCs w:val="20"/>
              </w:rPr>
            </w:pPr>
            <w:r>
              <w:rPr>
                <w:rFonts w:ascii="Times New Roman"/>
                <w:sz w:val="20"/>
              </w:rPr>
              <w:t>13</w:t>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62" w:right="0"/>
              <w:jc w:val="left"/>
              <w:rPr>
                <w:rFonts w:ascii="Times New Roman" w:hAnsi="Times New Roman" w:cs="Times New Roman" w:eastAsia="Times New Roman" w:hint="default"/>
                <w:sz w:val="20"/>
                <w:szCs w:val="20"/>
              </w:rPr>
            </w:pPr>
            <w:r>
              <w:rPr>
                <w:rFonts w:ascii="Times New Roman"/>
                <w:sz w:val="20"/>
              </w:rPr>
              <w:t>SRS2</w:t>
            </w:r>
            <w:r>
              <w:rPr>
                <w:rFonts w:ascii="Times New Roman"/>
                <w:spacing w:val="-4"/>
                <w:sz w:val="20"/>
              </w:rPr>
              <w:t> </w:t>
            </w:r>
            <w:r>
              <w:rPr>
                <w:rFonts w:ascii="Times New Roman"/>
                <w:sz w:val="20"/>
              </w:rPr>
              <w:t>LIMITED</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69" w:lineRule="exact"/>
              <w:ind w:left="15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香港</w:t>
            </w:r>
            <w:r>
              <w:rPr>
                <w:rFonts w:ascii="Times New Roman" w:hAnsi="Times New Roman" w:cs="Times New Roman" w:eastAsia="Times New Roman" w:hint="default"/>
                <w:sz w:val="20"/>
                <w:szCs w:val="20"/>
              </w:rPr>
              <w:t>SRS2</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0" w:right="0"/>
              <w:jc w:val="center"/>
              <w:rPr>
                <w:rFonts w:ascii="Times New Roman" w:hAnsi="Times New Roman" w:cs="Times New Roman" w:eastAsia="Times New Roman" w:hint="default"/>
                <w:sz w:val="20"/>
                <w:szCs w:val="20"/>
              </w:rPr>
            </w:pPr>
            <w:r>
              <w:rPr>
                <w:rFonts w:ascii="Times New Roman"/>
                <w:sz w:val="20"/>
              </w:rPr>
              <w:t>51</w:t>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3" w:hRule="exact"/>
        </w:trPr>
        <w:tc>
          <w:tcPr>
            <w:tcW w:w="57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57" w:right="0"/>
              <w:jc w:val="center"/>
              <w:rPr>
                <w:rFonts w:ascii="Times New Roman" w:hAnsi="Times New Roman" w:cs="Times New Roman" w:eastAsia="Times New Roman" w:hint="default"/>
                <w:sz w:val="20"/>
                <w:szCs w:val="20"/>
              </w:rPr>
            </w:pPr>
            <w:r>
              <w:rPr>
                <w:rFonts w:ascii="Times New Roman"/>
                <w:sz w:val="20"/>
              </w:rPr>
              <w:t>14</w:t>
            </w:r>
          </w:p>
        </w:tc>
        <w:tc>
          <w:tcPr>
            <w:tcW w:w="4304"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6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SilkRoad Software &amp; Service</w:t>
            </w:r>
            <w:r>
              <w:rPr>
                <w:rFonts w:ascii="Times New Roman" w:hAnsi="Times New Roman" w:cs="Times New Roman" w:eastAsia="Times New Roman" w:hint="default"/>
                <w:spacing w:val="-17"/>
                <w:sz w:val="20"/>
                <w:szCs w:val="20"/>
              </w:rPr>
              <w:t> </w:t>
            </w:r>
            <w:r>
              <w:rPr>
                <w:rFonts w:ascii="Times New Roman" w:hAnsi="Times New Roman" w:cs="Times New Roman" w:eastAsia="Times New Roman" w:hint="default"/>
                <w:sz w:val="20"/>
                <w:szCs w:val="20"/>
              </w:rPr>
              <w:t>.Inc</w:t>
            </w:r>
            <w:r>
              <w:rPr>
                <w:rFonts w:ascii="宋体" w:hAnsi="宋体" w:cs="宋体" w:eastAsia="宋体" w:hint="default"/>
                <w:sz w:val="20"/>
                <w:szCs w:val="20"/>
              </w:rPr>
              <w:t>注</w:t>
            </w:r>
            <w:r>
              <w:rPr>
                <w:rFonts w:ascii="Times New Roman" w:hAnsi="Times New Roman" w:cs="Times New Roman" w:eastAsia="Times New Roman" w:hint="default"/>
                <w:sz w:val="20"/>
                <w:szCs w:val="20"/>
              </w:rPr>
              <w:t>4</w:t>
            </w:r>
          </w:p>
        </w:tc>
        <w:tc>
          <w:tcPr>
            <w:tcW w:w="1250"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15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美国</w:t>
            </w:r>
            <w:r>
              <w:rPr>
                <w:rFonts w:ascii="Times New Roman" w:hAnsi="Times New Roman" w:cs="Times New Roman" w:eastAsia="Times New Roman" w:hint="default"/>
                <w:sz w:val="20"/>
                <w:szCs w:val="20"/>
              </w:rPr>
              <w:t>SRS2</w:t>
            </w:r>
          </w:p>
        </w:tc>
        <w:tc>
          <w:tcPr>
            <w:tcW w:w="829"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1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31"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5" w:right="0"/>
              <w:jc w:val="center"/>
              <w:rPr>
                <w:rFonts w:ascii="Times New Roman" w:hAnsi="Times New Roman" w:cs="Times New Roman" w:eastAsia="Times New Roman" w:hint="default"/>
                <w:sz w:val="20"/>
                <w:szCs w:val="20"/>
              </w:rPr>
            </w:pPr>
            <w:r>
              <w:rPr>
                <w:rFonts w:ascii="Times New Roman"/>
                <w:sz w:val="20"/>
              </w:rPr>
              <w:t>51</w:t>
            </w:r>
          </w:p>
        </w:tc>
      </w:tr>
    </w:tbl>
    <w:p>
      <w:pPr>
        <w:spacing w:after="0" w:line="240" w:lineRule="auto"/>
        <w:jc w:val="center"/>
        <w:rPr>
          <w:rFonts w:ascii="Times New Roman" w:hAnsi="Times New Roman" w:cs="Times New Roman" w:eastAsia="Times New Roman" w:hint="default"/>
          <w:sz w:val="20"/>
          <w:szCs w:val="20"/>
        </w:rPr>
        <w:sectPr>
          <w:pgSz w:w="11910" w:h="16840"/>
          <w:pgMar w:header="745" w:footer="982" w:top="1060" w:bottom="1180" w:left="980" w:right="940"/>
        </w:sectPr>
      </w:pPr>
    </w:p>
    <w:p>
      <w:pPr>
        <w:spacing w:line="240" w:lineRule="auto" w:before="5"/>
        <w:rPr>
          <w:rFonts w:ascii="宋体" w:hAnsi="宋体" w:cs="宋体" w:eastAsia="宋体" w:hint="default"/>
          <w:sz w:val="3"/>
          <w:szCs w:val="3"/>
        </w:rPr>
      </w:pPr>
      <w:r>
        <w:rPr/>
        <w:pict>
          <v:group style="position:absolute;margin-left:55.200001pt;margin-top:55.559982pt;width:484.8pt;height:.1pt;mso-position-horizontal-relative:page;mso-position-vertical-relative:page;z-index:-1146736" coordorigin="1104,1111" coordsize="9696,2">
            <v:shape style="position:absolute;left:1104;top:1111;width:9696;height:2" coordorigin="1104,1111" coordsize="9696,0" path="m1104,1111l10800,1111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137"/>
        <w:gridCol w:w="528"/>
        <w:gridCol w:w="3914"/>
        <w:gridCol w:w="1654"/>
        <w:gridCol w:w="888"/>
        <w:gridCol w:w="706"/>
      </w:tblGrid>
      <w:tr>
        <w:trPr>
          <w:trHeight w:val="670" w:hRule="exact"/>
        </w:trPr>
        <w:tc>
          <w:tcPr>
            <w:tcW w:w="137"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8"/>
              <w:jc w:val="right"/>
              <w:rPr>
                <w:rFonts w:ascii="Times New Roman" w:hAnsi="Times New Roman" w:cs="Times New Roman" w:eastAsia="Times New Roman" w:hint="default"/>
                <w:sz w:val="20"/>
                <w:szCs w:val="20"/>
              </w:rPr>
            </w:pPr>
            <w:r>
              <w:rPr>
                <w:rFonts w:ascii="Times New Roman"/>
                <w:sz w:val="20"/>
              </w:rPr>
              <w:t>15</w:t>
            </w:r>
          </w:p>
        </w:tc>
        <w:tc>
          <w:tcPr>
            <w:tcW w:w="3914"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丝略软件（上海）有限公司</w:t>
            </w:r>
            <w:r>
              <w:rPr>
                <w:rFonts w:ascii="宋体" w:hAnsi="宋体" w:cs="宋体" w:eastAsia="宋体" w:hint="default"/>
                <w:spacing w:val="-21"/>
                <w:sz w:val="20"/>
                <w:szCs w:val="20"/>
              </w:rPr>
              <w:t> </w:t>
            </w:r>
            <w:r>
              <w:rPr>
                <w:rFonts w:ascii="宋体" w:hAnsi="宋体" w:cs="宋体" w:eastAsia="宋体" w:hint="default"/>
                <w:sz w:val="20"/>
                <w:szCs w:val="20"/>
              </w:rPr>
              <w:t>注</w:t>
            </w:r>
            <w:r>
              <w:rPr>
                <w:rFonts w:ascii="Times New Roman" w:hAnsi="Times New Roman" w:cs="Times New Roman" w:eastAsia="Times New Roman" w:hint="default"/>
                <w:sz w:val="20"/>
                <w:szCs w:val="20"/>
              </w:rPr>
              <w:t>4</w:t>
            </w:r>
          </w:p>
        </w:tc>
        <w:tc>
          <w:tcPr>
            <w:tcW w:w="1654"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30"/>
              <w:jc w:val="right"/>
              <w:rPr>
                <w:rFonts w:ascii="宋体" w:hAnsi="宋体" w:cs="宋体" w:eastAsia="宋体" w:hint="default"/>
                <w:sz w:val="20"/>
                <w:szCs w:val="20"/>
              </w:rPr>
            </w:pPr>
            <w:r>
              <w:rPr>
                <w:rFonts w:ascii="宋体" w:hAnsi="宋体" w:cs="宋体" w:eastAsia="宋体" w:hint="default"/>
                <w:w w:val="95"/>
                <w:sz w:val="20"/>
                <w:szCs w:val="20"/>
              </w:rPr>
              <w:t>上海丝略</w:t>
            </w:r>
            <w:r>
              <w:rPr>
                <w:rFonts w:ascii="宋体" w:hAnsi="宋体" w:cs="宋体" w:eastAsia="宋体" w:hint="default"/>
                <w:sz w:val="20"/>
                <w:szCs w:val="20"/>
              </w:rPr>
            </w:r>
          </w:p>
        </w:tc>
        <w:tc>
          <w:tcPr>
            <w:tcW w:w="888"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6"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06"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52" w:right="0"/>
              <w:jc w:val="left"/>
              <w:rPr>
                <w:rFonts w:ascii="Times New Roman" w:hAnsi="Times New Roman" w:cs="Times New Roman" w:eastAsia="Times New Roman" w:hint="default"/>
                <w:sz w:val="20"/>
                <w:szCs w:val="20"/>
              </w:rPr>
            </w:pPr>
            <w:r>
              <w:rPr>
                <w:rFonts w:ascii="Times New Roman"/>
                <w:sz w:val="20"/>
              </w:rPr>
              <w:t>51</w:t>
            </w:r>
          </w:p>
        </w:tc>
      </w:tr>
      <w:tr>
        <w:trPr>
          <w:trHeight w:val="343" w:hRule="exact"/>
        </w:trPr>
        <w:tc>
          <w:tcPr>
            <w:tcW w:w="137" w:type="dxa"/>
            <w:tcBorders>
              <w:top w:val="nil" w:sz="6" w:space="0" w:color="auto"/>
              <w:left w:val="nil" w:sz="6" w:space="0" w:color="auto"/>
              <w:bottom w:val="nil" w:sz="6" w:space="0" w:color="auto"/>
              <w:right w:val="nil" w:sz="6" w:space="0" w:color="auto"/>
            </w:tcBorders>
          </w:tcPr>
          <w:p>
            <w:pPr/>
          </w:p>
        </w:tc>
        <w:tc>
          <w:tcPr>
            <w:tcW w:w="52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0"/>
                <w:szCs w:val="20"/>
              </w:rPr>
            </w:pPr>
            <w:r>
              <w:rPr>
                <w:rFonts w:ascii="Times New Roman"/>
                <w:sz w:val="20"/>
              </w:rPr>
              <w:t>16</w:t>
            </w:r>
          </w:p>
        </w:tc>
        <w:tc>
          <w:tcPr>
            <w:tcW w:w="391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110" w:right="0"/>
              <w:jc w:val="left"/>
              <w:rPr>
                <w:rFonts w:ascii="宋体" w:hAnsi="宋体" w:cs="宋体" w:eastAsia="宋体" w:hint="default"/>
                <w:sz w:val="20"/>
                <w:szCs w:val="20"/>
              </w:rPr>
            </w:pPr>
            <w:r>
              <w:rPr>
                <w:rFonts w:ascii="宋体" w:hAnsi="宋体" w:cs="宋体" w:eastAsia="宋体" w:hint="default"/>
                <w:sz w:val="20"/>
                <w:szCs w:val="20"/>
              </w:rPr>
              <w:t>江苏开拓信息与系统有限公司</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56" w:lineRule="exact"/>
              <w:ind w:right="230"/>
              <w:jc w:val="right"/>
              <w:rPr>
                <w:rFonts w:ascii="宋体" w:hAnsi="宋体" w:cs="宋体" w:eastAsia="宋体" w:hint="default"/>
                <w:sz w:val="20"/>
                <w:szCs w:val="20"/>
              </w:rPr>
            </w:pPr>
            <w:r>
              <w:rPr>
                <w:rFonts w:ascii="宋体" w:hAnsi="宋体" w:cs="宋体" w:eastAsia="宋体" w:hint="default"/>
                <w:w w:val="95"/>
                <w:sz w:val="20"/>
                <w:szCs w:val="20"/>
              </w:rPr>
              <w:t>江苏开拓</w:t>
            </w:r>
            <w:r>
              <w:rPr>
                <w:rFonts w:ascii="宋体" w:hAnsi="宋体" w:cs="宋体" w:eastAsia="宋体" w:hint="default"/>
                <w:sz w:val="20"/>
                <w:szCs w:val="20"/>
              </w:rPr>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31" w:right="0"/>
              <w:jc w:val="center"/>
              <w:rPr>
                <w:rFonts w:ascii="Times New Roman" w:hAnsi="Times New Roman" w:cs="Times New Roman" w:eastAsia="Times New Roman" w:hint="default"/>
                <w:sz w:val="20"/>
                <w:szCs w:val="20"/>
              </w:rPr>
            </w:pPr>
            <w:r>
              <w:rPr>
                <w:rFonts w:ascii="Times New Roman"/>
                <w:sz w:val="20"/>
              </w:rPr>
              <w:t>66.85</w:t>
            </w:r>
          </w:p>
        </w:tc>
        <w:tc>
          <w:tcPr>
            <w:tcW w:w="7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5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1" w:hRule="exact"/>
        </w:trPr>
        <w:tc>
          <w:tcPr>
            <w:tcW w:w="137" w:type="dxa"/>
            <w:tcBorders>
              <w:top w:val="nil" w:sz="6" w:space="0" w:color="auto"/>
              <w:left w:val="nil" w:sz="6" w:space="0" w:color="auto"/>
              <w:bottom w:val="nil" w:sz="6" w:space="0" w:color="auto"/>
              <w:right w:val="nil" w:sz="6" w:space="0" w:color="auto"/>
            </w:tcBorders>
          </w:tcPr>
          <w:p>
            <w:pPr/>
          </w:p>
        </w:tc>
        <w:tc>
          <w:tcPr>
            <w:tcW w:w="52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z w:val="20"/>
              </w:rPr>
              <w:t>17</w:t>
            </w:r>
          </w:p>
        </w:tc>
        <w:tc>
          <w:tcPr>
            <w:tcW w:w="391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110" w:right="0"/>
              <w:jc w:val="left"/>
              <w:rPr>
                <w:rFonts w:ascii="宋体" w:hAnsi="宋体" w:cs="宋体" w:eastAsia="宋体" w:hint="default"/>
                <w:sz w:val="20"/>
                <w:szCs w:val="20"/>
              </w:rPr>
            </w:pPr>
            <w:r>
              <w:rPr>
                <w:rFonts w:ascii="宋体" w:hAnsi="宋体" w:cs="宋体" w:eastAsia="宋体" w:hint="default"/>
                <w:sz w:val="20"/>
                <w:szCs w:val="20"/>
              </w:rPr>
              <w:t>北京捷科智诚科技有限公司</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54" w:lineRule="exact"/>
              <w:ind w:right="230"/>
              <w:jc w:val="right"/>
              <w:rPr>
                <w:rFonts w:ascii="宋体" w:hAnsi="宋体" w:cs="宋体" w:eastAsia="宋体" w:hint="default"/>
                <w:sz w:val="20"/>
                <w:szCs w:val="20"/>
              </w:rPr>
            </w:pPr>
            <w:r>
              <w:rPr>
                <w:rFonts w:ascii="宋体" w:hAnsi="宋体" w:cs="宋体" w:eastAsia="宋体" w:hint="default"/>
                <w:w w:val="95"/>
                <w:sz w:val="20"/>
                <w:szCs w:val="20"/>
              </w:rPr>
              <w:t>捷科智诚</w:t>
            </w:r>
            <w:r>
              <w:rPr>
                <w:rFonts w:ascii="宋体" w:hAnsi="宋体" w:cs="宋体" w:eastAsia="宋体" w:hint="default"/>
                <w:sz w:val="20"/>
                <w:szCs w:val="20"/>
              </w:rPr>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8" w:right="0"/>
              <w:jc w:val="center"/>
              <w:rPr>
                <w:rFonts w:ascii="Times New Roman" w:hAnsi="Times New Roman" w:cs="Times New Roman" w:eastAsia="Times New Roman" w:hint="default"/>
                <w:sz w:val="20"/>
                <w:szCs w:val="20"/>
              </w:rPr>
            </w:pPr>
            <w:r>
              <w:rPr>
                <w:rFonts w:ascii="Times New Roman"/>
                <w:sz w:val="20"/>
              </w:rPr>
              <w:t>100</w:t>
            </w:r>
          </w:p>
        </w:tc>
        <w:tc>
          <w:tcPr>
            <w:tcW w:w="7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3" w:hRule="exact"/>
        </w:trPr>
        <w:tc>
          <w:tcPr>
            <w:tcW w:w="137" w:type="dxa"/>
            <w:tcBorders>
              <w:top w:val="nil" w:sz="6" w:space="0" w:color="auto"/>
              <w:left w:val="nil" w:sz="6" w:space="0" w:color="auto"/>
              <w:bottom w:val="nil" w:sz="6" w:space="0" w:color="auto"/>
              <w:right w:val="nil" w:sz="6" w:space="0" w:color="auto"/>
            </w:tcBorders>
          </w:tcPr>
          <w:p>
            <w:pPr/>
          </w:p>
        </w:tc>
        <w:tc>
          <w:tcPr>
            <w:tcW w:w="52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0"/>
                <w:szCs w:val="20"/>
              </w:rPr>
            </w:pPr>
            <w:r>
              <w:rPr>
                <w:rFonts w:ascii="Times New Roman"/>
                <w:sz w:val="20"/>
              </w:rPr>
              <w:t>18</w:t>
            </w:r>
          </w:p>
        </w:tc>
        <w:tc>
          <w:tcPr>
            <w:tcW w:w="3914"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上海捷科智诚科技有限公司</w:t>
            </w:r>
            <w:r>
              <w:rPr>
                <w:rFonts w:ascii="宋体" w:hAnsi="宋体" w:cs="宋体" w:eastAsia="宋体" w:hint="default"/>
                <w:spacing w:val="-21"/>
                <w:sz w:val="20"/>
                <w:szCs w:val="20"/>
              </w:rPr>
              <w:t> </w:t>
            </w:r>
            <w:r>
              <w:rPr>
                <w:rFonts w:ascii="宋体" w:hAnsi="宋体" w:cs="宋体" w:eastAsia="宋体" w:hint="default"/>
                <w:sz w:val="20"/>
                <w:szCs w:val="20"/>
              </w:rPr>
              <w:t>注</w:t>
            </w:r>
            <w:r>
              <w:rPr>
                <w:rFonts w:ascii="Times New Roman" w:hAnsi="Times New Roman" w:cs="Times New Roman" w:eastAsia="Times New Roman" w:hint="default"/>
                <w:sz w:val="20"/>
                <w:szCs w:val="20"/>
              </w:rPr>
              <w:t>5</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56" w:lineRule="exact"/>
              <w:ind w:right="230"/>
              <w:jc w:val="right"/>
              <w:rPr>
                <w:rFonts w:ascii="宋体" w:hAnsi="宋体" w:cs="宋体" w:eastAsia="宋体" w:hint="default"/>
                <w:sz w:val="20"/>
                <w:szCs w:val="20"/>
              </w:rPr>
            </w:pPr>
            <w:r>
              <w:rPr>
                <w:rFonts w:ascii="宋体" w:hAnsi="宋体" w:cs="宋体" w:eastAsia="宋体" w:hint="default"/>
                <w:w w:val="95"/>
                <w:sz w:val="20"/>
                <w:szCs w:val="20"/>
              </w:rPr>
              <w:t>上海捷科</w:t>
            </w:r>
            <w:r>
              <w:rPr>
                <w:rFonts w:ascii="宋体" w:hAnsi="宋体" w:cs="宋体" w:eastAsia="宋体" w:hint="default"/>
                <w:sz w:val="20"/>
                <w:szCs w:val="20"/>
              </w:rPr>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6"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01" w:right="0"/>
              <w:jc w:val="left"/>
              <w:rPr>
                <w:rFonts w:ascii="Times New Roman" w:hAnsi="Times New Roman" w:cs="Times New Roman" w:eastAsia="Times New Roman" w:hint="default"/>
                <w:sz w:val="20"/>
                <w:szCs w:val="20"/>
              </w:rPr>
            </w:pPr>
            <w:r>
              <w:rPr>
                <w:rFonts w:ascii="Times New Roman"/>
                <w:sz w:val="20"/>
              </w:rPr>
              <w:t>100</w:t>
            </w:r>
          </w:p>
        </w:tc>
      </w:tr>
      <w:tr>
        <w:trPr>
          <w:trHeight w:val="341" w:hRule="exact"/>
        </w:trPr>
        <w:tc>
          <w:tcPr>
            <w:tcW w:w="137" w:type="dxa"/>
            <w:tcBorders>
              <w:top w:val="nil" w:sz="6" w:space="0" w:color="auto"/>
              <w:left w:val="nil" w:sz="6" w:space="0" w:color="auto"/>
              <w:bottom w:val="nil" w:sz="6" w:space="0" w:color="auto"/>
              <w:right w:val="nil" w:sz="6" w:space="0" w:color="auto"/>
            </w:tcBorders>
          </w:tcPr>
          <w:p>
            <w:pPr/>
          </w:p>
        </w:tc>
        <w:tc>
          <w:tcPr>
            <w:tcW w:w="52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z w:val="20"/>
              </w:rPr>
              <w:t>19</w:t>
            </w:r>
          </w:p>
        </w:tc>
        <w:tc>
          <w:tcPr>
            <w:tcW w:w="3914" w:type="dxa"/>
            <w:tcBorders>
              <w:top w:val="single" w:sz="8" w:space="0" w:color="000000"/>
              <w:left w:val="nil" w:sz="6" w:space="0" w:color="auto"/>
              <w:bottom w:val="single" w:sz="8" w:space="0" w:color="000000"/>
              <w:right w:val="nil" w:sz="6" w:space="0" w:color="auto"/>
            </w:tcBorders>
          </w:tcPr>
          <w:p>
            <w:pPr>
              <w:pStyle w:val="TableParagraph"/>
              <w:spacing w:line="269"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福州捷科智诚信息科技有限公司</w:t>
            </w:r>
            <w:r>
              <w:rPr>
                <w:rFonts w:ascii="宋体" w:hAnsi="宋体" w:cs="宋体" w:eastAsia="宋体" w:hint="default"/>
                <w:spacing w:val="-24"/>
                <w:sz w:val="20"/>
                <w:szCs w:val="20"/>
              </w:rPr>
              <w:t> </w:t>
            </w:r>
            <w:r>
              <w:rPr>
                <w:rFonts w:ascii="宋体" w:hAnsi="宋体" w:cs="宋体" w:eastAsia="宋体" w:hint="default"/>
                <w:sz w:val="20"/>
                <w:szCs w:val="20"/>
              </w:rPr>
              <w:t>注</w:t>
            </w:r>
            <w:r>
              <w:rPr>
                <w:rFonts w:ascii="Times New Roman" w:hAnsi="Times New Roman" w:cs="Times New Roman" w:eastAsia="Times New Roman" w:hint="default"/>
                <w:sz w:val="20"/>
                <w:szCs w:val="20"/>
              </w:rPr>
              <w:t>5</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54" w:lineRule="exact"/>
              <w:ind w:right="230"/>
              <w:jc w:val="right"/>
              <w:rPr>
                <w:rFonts w:ascii="宋体" w:hAnsi="宋体" w:cs="宋体" w:eastAsia="宋体" w:hint="default"/>
                <w:sz w:val="20"/>
                <w:szCs w:val="20"/>
              </w:rPr>
            </w:pPr>
            <w:r>
              <w:rPr>
                <w:rFonts w:ascii="宋体" w:hAnsi="宋体" w:cs="宋体" w:eastAsia="宋体" w:hint="default"/>
                <w:w w:val="95"/>
                <w:sz w:val="20"/>
                <w:szCs w:val="20"/>
              </w:rPr>
              <w:t>福州捷科</w:t>
            </w:r>
            <w:r>
              <w:rPr>
                <w:rFonts w:ascii="宋体" w:hAnsi="宋体" w:cs="宋体" w:eastAsia="宋体" w:hint="default"/>
                <w:sz w:val="20"/>
                <w:szCs w:val="20"/>
              </w:rPr>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6"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52" w:right="0"/>
              <w:jc w:val="left"/>
              <w:rPr>
                <w:rFonts w:ascii="Times New Roman" w:hAnsi="Times New Roman" w:cs="Times New Roman" w:eastAsia="Times New Roman" w:hint="default"/>
                <w:sz w:val="20"/>
                <w:szCs w:val="20"/>
              </w:rPr>
            </w:pPr>
            <w:r>
              <w:rPr>
                <w:rFonts w:ascii="Times New Roman"/>
                <w:sz w:val="20"/>
              </w:rPr>
              <w:t>55</w:t>
            </w:r>
          </w:p>
        </w:tc>
      </w:tr>
      <w:tr>
        <w:trPr>
          <w:trHeight w:val="343" w:hRule="exact"/>
        </w:trPr>
        <w:tc>
          <w:tcPr>
            <w:tcW w:w="137" w:type="dxa"/>
            <w:tcBorders>
              <w:top w:val="nil" w:sz="6" w:space="0" w:color="auto"/>
              <w:left w:val="nil" w:sz="6" w:space="0" w:color="auto"/>
              <w:bottom w:val="nil" w:sz="6" w:space="0" w:color="auto"/>
              <w:right w:val="nil" w:sz="6" w:space="0" w:color="auto"/>
            </w:tcBorders>
          </w:tcPr>
          <w:p>
            <w:pPr/>
          </w:p>
        </w:tc>
        <w:tc>
          <w:tcPr>
            <w:tcW w:w="52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0"/>
                <w:szCs w:val="20"/>
              </w:rPr>
            </w:pPr>
            <w:r>
              <w:rPr>
                <w:rFonts w:ascii="Times New Roman"/>
                <w:sz w:val="20"/>
              </w:rPr>
              <w:t>20</w:t>
            </w:r>
          </w:p>
        </w:tc>
        <w:tc>
          <w:tcPr>
            <w:tcW w:w="391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110" w:right="0"/>
              <w:jc w:val="left"/>
              <w:rPr>
                <w:rFonts w:ascii="宋体" w:hAnsi="宋体" w:cs="宋体" w:eastAsia="宋体" w:hint="default"/>
                <w:sz w:val="20"/>
                <w:szCs w:val="20"/>
              </w:rPr>
            </w:pPr>
            <w:r>
              <w:rPr>
                <w:rFonts w:ascii="宋体" w:hAnsi="宋体" w:cs="宋体" w:eastAsia="宋体" w:hint="default"/>
                <w:sz w:val="20"/>
                <w:szCs w:val="20"/>
              </w:rPr>
              <w:t>北京联创智融信息技术有限公司</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56" w:lineRule="exact"/>
              <w:ind w:right="230"/>
              <w:jc w:val="right"/>
              <w:rPr>
                <w:rFonts w:ascii="宋体" w:hAnsi="宋体" w:cs="宋体" w:eastAsia="宋体" w:hint="default"/>
                <w:sz w:val="20"/>
                <w:szCs w:val="20"/>
              </w:rPr>
            </w:pPr>
            <w:r>
              <w:rPr>
                <w:rFonts w:ascii="宋体" w:hAnsi="宋体" w:cs="宋体" w:eastAsia="宋体" w:hint="default"/>
                <w:w w:val="95"/>
                <w:sz w:val="20"/>
                <w:szCs w:val="20"/>
              </w:rPr>
              <w:t>联创智融</w:t>
            </w:r>
            <w:r>
              <w:rPr>
                <w:rFonts w:ascii="宋体" w:hAnsi="宋体" w:cs="宋体" w:eastAsia="宋体" w:hint="default"/>
                <w:sz w:val="20"/>
                <w:szCs w:val="20"/>
              </w:rPr>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8" w:right="0"/>
              <w:jc w:val="center"/>
              <w:rPr>
                <w:rFonts w:ascii="Times New Roman" w:hAnsi="Times New Roman" w:cs="Times New Roman" w:eastAsia="Times New Roman" w:hint="default"/>
                <w:sz w:val="20"/>
                <w:szCs w:val="20"/>
              </w:rPr>
            </w:pPr>
            <w:r>
              <w:rPr>
                <w:rFonts w:ascii="Times New Roman"/>
                <w:sz w:val="20"/>
              </w:rPr>
              <w:t>100</w:t>
            </w:r>
          </w:p>
        </w:tc>
        <w:tc>
          <w:tcPr>
            <w:tcW w:w="7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1" w:hRule="exact"/>
        </w:trPr>
        <w:tc>
          <w:tcPr>
            <w:tcW w:w="137" w:type="dxa"/>
            <w:tcBorders>
              <w:top w:val="nil" w:sz="6" w:space="0" w:color="auto"/>
              <w:left w:val="nil" w:sz="6" w:space="0" w:color="auto"/>
              <w:bottom w:val="nil" w:sz="6" w:space="0" w:color="auto"/>
              <w:right w:val="nil" w:sz="6" w:space="0" w:color="auto"/>
            </w:tcBorders>
          </w:tcPr>
          <w:p>
            <w:pPr/>
          </w:p>
        </w:tc>
        <w:tc>
          <w:tcPr>
            <w:tcW w:w="52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z w:val="20"/>
              </w:rPr>
              <w:t>21</w:t>
            </w:r>
          </w:p>
        </w:tc>
        <w:tc>
          <w:tcPr>
            <w:tcW w:w="3914" w:type="dxa"/>
            <w:tcBorders>
              <w:top w:val="single" w:sz="8" w:space="0" w:color="000000"/>
              <w:left w:val="nil" w:sz="6" w:space="0" w:color="auto"/>
              <w:bottom w:val="single" w:sz="8" w:space="0" w:color="000000"/>
              <w:right w:val="nil" w:sz="6" w:space="0" w:color="auto"/>
            </w:tcBorders>
          </w:tcPr>
          <w:p>
            <w:pPr>
              <w:pStyle w:val="TableParagraph"/>
              <w:spacing w:line="269"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重庆度融信息技术有限公司注</w:t>
            </w:r>
            <w:r>
              <w:rPr>
                <w:rFonts w:ascii="Times New Roman" w:hAnsi="Times New Roman" w:cs="Times New Roman" w:eastAsia="Times New Roman" w:hint="default"/>
                <w:sz w:val="20"/>
                <w:szCs w:val="20"/>
              </w:rPr>
              <w:t>6</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54" w:lineRule="exact"/>
              <w:ind w:right="230"/>
              <w:jc w:val="right"/>
              <w:rPr>
                <w:rFonts w:ascii="宋体" w:hAnsi="宋体" w:cs="宋体" w:eastAsia="宋体" w:hint="default"/>
                <w:sz w:val="20"/>
                <w:szCs w:val="20"/>
              </w:rPr>
            </w:pPr>
            <w:r>
              <w:rPr>
                <w:rFonts w:ascii="宋体" w:hAnsi="宋体" w:cs="宋体" w:eastAsia="宋体" w:hint="default"/>
                <w:w w:val="95"/>
                <w:sz w:val="20"/>
                <w:szCs w:val="20"/>
              </w:rPr>
              <w:t>重庆度融</w:t>
            </w:r>
            <w:r>
              <w:rPr>
                <w:rFonts w:ascii="宋体" w:hAnsi="宋体" w:cs="宋体" w:eastAsia="宋体" w:hint="default"/>
                <w:sz w:val="20"/>
                <w:szCs w:val="20"/>
              </w:rPr>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6"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52" w:right="0"/>
              <w:jc w:val="left"/>
              <w:rPr>
                <w:rFonts w:ascii="Times New Roman" w:hAnsi="Times New Roman" w:cs="Times New Roman" w:eastAsia="Times New Roman" w:hint="default"/>
                <w:sz w:val="20"/>
                <w:szCs w:val="20"/>
              </w:rPr>
            </w:pPr>
            <w:r>
              <w:rPr>
                <w:rFonts w:ascii="Times New Roman"/>
                <w:sz w:val="20"/>
              </w:rPr>
              <w:t>60</w:t>
            </w:r>
          </w:p>
        </w:tc>
      </w:tr>
      <w:tr>
        <w:trPr>
          <w:trHeight w:val="343" w:hRule="exact"/>
        </w:trPr>
        <w:tc>
          <w:tcPr>
            <w:tcW w:w="137" w:type="dxa"/>
            <w:tcBorders>
              <w:top w:val="nil" w:sz="6" w:space="0" w:color="auto"/>
              <w:left w:val="nil" w:sz="6" w:space="0" w:color="auto"/>
              <w:bottom w:val="nil" w:sz="6" w:space="0" w:color="auto"/>
              <w:right w:val="nil" w:sz="6" w:space="0" w:color="auto"/>
            </w:tcBorders>
          </w:tcPr>
          <w:p>
            <w:pPr/>
          </w:p>
        </w:tc>
        <w:tc>
          <w:tcPr>
            <w:tcW w:w="52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0"/>
                <w:szCs w:val="20"/>
              </w:rPr>
            </w:pPr>
            <w:r>
              <w:rPr>
                <w:rFonts w:ascii="Times New Roman"/>
                <w:sz w:val="20"/>
              </w:rPr>
              <w:t>22</w:t>
            </w:r>
          </w:p>
        </w:tc>
        <w:tc>
          <w:tcPr>
            <w:tcW w:w="3914"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成都联创智融信息技术有限公司注</w:t>
            </w:r>
            <w:r>
              <w:rPr>
                <w:rFonts w:ascii="Times New Roman" w:hAnsi="Times New Roman" w:cs="Times New Roman" w:eastAsia="Times New Roman" w:hint="default"/>
                <w:sz w:val="20"/>
                <w:szCs w:val="20"/>
              </w:rPr>
              <w:t>6</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56" w:lineRule="exact"/>
              <w:ind w:right="230"/>
              <w:jc w:val="right"/>
              <w:rPr>
                <w:rFonts w:ascii="宋体" w:hAnsi="宋体" w:cs="宋体" w:eastAsia="宋体" w:hint="default"/>
                <w:sz w:val="20"/>
                <w:szCs w:val="20"/>
              </w:rPr>
            </w:pPr>
            <w:r>
              <w:rPr>
                <w:rFonts w:ascii="宋体" w:hAnsi="宋体" w:cs="宋体" w:eastAsia="宋体" w:hint="default"/>
                <w:w w:val="95"/>
                <w:sz w:val="20"/>
                <w:szCs w:val="20"/>
              </w:rPr>
              <w:t>成都联创</w:t>
            </w:r>
            <w:r>
              <w:rPr>
                <w:rFonts w:ascii="宋体" w:hAnsi="宋体" w:cs="宋体" w:eastAsia="宋体" w:hint="default"/>
                <w:sz w:val="20"/>
                <w:szCs w:val="20"/>
              </w:rPr>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6"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7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01" w:right="0"/>
              <w:jc w:val="left"/>
              <w:rPr>
                <w:rFonts w:ascii="Times New Roman" w:hAnsi="Times New Roman" w:cs="Times New Roman" w:eastAsia="Times New Roman" w:hint="default"/>
                <w:sz w:val="20"/>
                <w:szCs w:val="20"/>
              </w:rPr>
            </w:pPr>
            <w:r>
              <w:rPr>
                <w:rFonts w:ascii="Times New Roman"/>
                <w:sz w:val="20"/>
              </w:rPr>
              <w:t>100</w:t>
            </w:r>
          </w:p>
        </w:tc>
      </w:tr>
      <w:tr>
        <w:trPr>
          <w:trHeight w:val="341" w:hRule="exact"/>
        </w:trPr>
        <w:tc>
          <w:tcPr>
            <w:tcW w:w="137" w:type="dxa"/>
            <w:tcBorders>
              <w:top w:val="nil" w:sz="6" w:space="0" w:color="auto"/>
              <w:left w:val="nil" w:sz="6" w:space="0" w:color="auto"/>
              <w:bottom w:val="nil" w:sz="6" w:space="0" w:color="auto"/>
              <w:right w:val="nil" w:sz="6" w:space="0" w:color="auto"/>
            </w:tcBorders>
          </w:tcPr>
          <w:p>
            <w:pPr/>
          </w:p>
        </w:tc>
        <w:tc>
          <w:tcPr>
            <w:tcW w:w="52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z w:val="20"/>
              </w:rPr>
              <w:t>23</w:t>
            </w:r>
          </w:p>
        </w:tc>
        <w:tc>
          <w:tcPr>
            <w:tcW w:w="391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110" w:right="0"/>
              <w:jc w:val="left"/>
              <w:rPr>
                <w:rFonts w:ascii="宋体" w:hAnsi="宋体" w:cs="宋体" w:eastAsia="宋体" w:hint="default"/>
                <w:sz w:val="20"/>
                <w:szCs w:val="20"/>
              </w:rPr>
            </w:pPr>
            <w:r>
              <w:rPr>
                <w:rFonts w:ascii="宋体" w:hAnsi="宋体" w:cs="宋体" w:eastAsia="宋体" w:hint="default"/>
                <w:sz w:val="20"/>
                <w:szCs w:val="20"/>
              </w:rPr>
              <w:t>香港润和信息技术投资有限公司</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54" w:lineRule="exact"/>
              <w:ind w:right="230"/>
              <w:jc w:val="right"/>
              <w:rPr>
                <w:rFonts w:ascii="宋体" w:hAnsi="宋体" w:cs="宋体" w:eastAsia="宋体" w:hint="default"/>
                <w:sz w:val="20"/>
                <w:szCs w:val="20"/>
              </w:rPr>
            </w:pPr>
            <w:r>
              <w:rPr>
                <w:rFonts w:ascii="宋体" w:hAnsi="宋体" w:cs="宋体" w:eastAsia="宋体" w:hint="default"/>
                <w:w w:val="95"/>
                <w:sz w:val="20"/>
                <w:szCs w:val="20"/>
              </w:rPr>
              <w:t>香港润和</w:t>
            </w:r>
            <w:r>
              <w:rPr>
                <w:rFonts w:ascii="宋体" w:hAnsi="宋体" w:cs="宋体" w:eastAsia="宋体" w:hint="default"/>
                <w:sz w:val="20"/>
                <w:szCs w:val="20"/>
              </w:rPr>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8" w:right="0"/>
              <w:jc w:val="center"/>
              <w:rPr>
                <w:rFonts w:ascii="Times New Roman" w:hAnsi="Times New Roman" w:cs="Times New Roman" w:eastAsia="Times New Roman" w:hint="default"/>
                <w:sz w:val="20"/>
                <w:szCs w:val="20"/>
              </w:rPr>
            </w:pPr>
            <w:r>
              <w:rPr>
                <w:rFonts w:ascii="Times New Roman"/>
                <w:sz w:val="20"/>
              </w:rPr>
              <w:t>100</w:t>
            </w:r>
          </w:p>
        </w:tc>
        <w:tc>
          <w:tcPr>
            <w:tcW w:w="7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3" w:hRule="exact"/>
        </w:trPr>
        <w:tc>
          <w:tcPr>
            <w:tcW w:w="137" w:type="dxa"/>
            <w:tcBorders>
              <w:top w:val="nil" w:sz="6" w:space="0" w:color="auto"/>
              <w:left w:val="nil" w:sz="6" w:space="0" w:color="auto"/>
              <w:bottom w:val="nil" w:sz="6" w:space="0" w:color="auto"/>
              <w:right w:val="nil" w:sz="6" w:space="0" w:color="auto"/>
            </w:tcBorders>
          </w:tcPr>
          <w:p>
            <w:pPr/>
          </w:p>
        </w:tc>
        <w:tc>
          <w:tcPr>
            <w:tcW w:w="52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0"/>
                <w:szCs w:val="20"/>
              </w:rPr>
            </w:pPr>
            <w:r>
              <w:rPr>
                <w:rFonts w:ascii="Times New Roman"/>
                <w:sz w:val="20"/>
              </w:rPr>
              <w:t>24</w:t>
            </w:r>
          </w:p>
        </w:tc>
        <w:tc>
          <w:tcPr>
            <w:tcW w:w="391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110" w:right="0"/>
              <w:jc w:val="left"/>
              <w:rPr>
                <w:rFonts w:ascii="宋体" w:hAnsi="宋体" w:cs="宋体" w:eastAsia="宋体" w:hint="default"/>
                <w:sz w:val="20"/>
                <w:szCs w:val="20"/>
              </w:rPr>
            </w:pPr>
            <w:r>
              <w:rPr>
                <w:rFonts w:ascii="宋体" w:hAnsi="宋体" w:cs="宋体" w:eastAsia="宋体" w:hint="default"/>
                <w:sz w:val="20"/>
                <w:szCs w:val="20"/>
              </w:rPr>
              <w:t>上海菲耐得信息科技有限公司</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56" w:lineRule="exact"/>
              <w:ind w:right="331"/>
              <w:jc w:val="right"/>
              <w:rPr>
                <w:rFonts w:ascii="宋体" w:hAnsi="宋体" w:cs="宋体" w:eastAsia="宋体" w:hint="default"/>
                <w:sz w:val="20"/>
                <w:szCs w:val="20"/>
              </w:rPr>
            </w:pPr>
            <w:r>
              <w:rPr>
                <w:rFonts w:ascii="宋体" w:hAnsi="宋体" w:cs="宋体" w:eastAsia="宋体" w:hint="default"/>
                <w:w w:val="95"/>
                <w:sz w:val="20"/>
                <w:szCs w:val="20"/>
              </w:rPr>
              <w:t>菲耐得</w:t>
            </w:r>
            <w:r>
              <w:rPr>
                <w:rFonts w:ascii="宋体" w:hAnsi="宋体" w:cs="宋体" w:eastAsia="宋体" w:hint="default"/>
                <w:sz w:val="20"/>
                <w:szCs w:val="20"/>
              </w:rPr>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8" w:right="0"/>
              <w:jc w:val="center"/>
              <w:rPr>
                <w:rFonts w:ascii="Times New Roman" w:hAnsi="Times New Roman" w:cs="Times New Roman" w:eastAsia="Times New Roman" w:hint="default"/>
                <w:sz w:val="20"/>
                <w:szCs w:val="20"/>
              </w:rPr>
            </w:pPr>
            <w:r>
              <w:rPr>
                <w:rFonts w:ascii="Times New Roman"/>
                <w:sz w:val="20"/>
              </w:rPr>
              <w:t>100</w:t>
            </w:r>
          </w:p>
        </w:tc>
        <w:tc>
          <w:tcPr>
            <w:tcW w:w="7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bl>
    <w:p>
      <w:pPr>
        <w:spacing w:line="240" w:lineRule="auto" w:before="1"/>
        <w:rPr>
          <w:rFonts w:ascii="宋体" w:hAnsi="宋体" w:cs="宋体" w:eastAsia="宋体" w:hint="default"/>
          <w:sz w:val="21"/>
          <w:szCs w:val="21"/>
        </w:rPr>
      </w:pPr>
    </w:p>
    <w:p>
      <w:pPr>
        <w:pStyle w:val="BodyText"/>
        <w:spacing w:line="300" w:lineRule="auto" w:before="44"/>
        <w:ind w:left="584" w:right="0"/>
        <w:jc w:val="left"/>
      </w:pPr>
      <w:r>
        <w:rPr/>
        <w:t>注</w:t>
      </w:r>
      <w:r>
        <w:rPr>
          <w:rFonts w:ascii="Times New Roman" w:hAnsi="Times New Roman" w:cs="Times New Roman" w:eastAsia="Times New Roman" w:hint="default"/>
        </w:rPr>
        <w:t>1</w:t>
      </w:r>
      <w:r>
        <w:rPr/>
        <w:t>：深圳数码、新加坡数码为润和数码的全资子公司； </w:t>
      </w:r>
      <w:r>
        <w:rPr>
          <w:spacing w:val="-1"/>
        </w:rPr>
        <w:t>注</w:t>
      </w:r>
      <w:r>
        <w:rPr>
          <w:rFonts w:ascii="Times New Roman" w:hAnsi="Times New Roman" w:cs="Times New Roman" w:eastAsia="Times New Roman" w:hint="default"/>
          <w:spacing w:val="-1"/>
        </w:rPr>
        <w:t>2</w:t>
      </w:r>
      <w:r>
        <w:rPr>
          <w:spacing w:val="-1"/>
        </w:rPr>
        <w:t>：本公司直接拥有东京润和</w:t>
      </w:r>
      <w:r>
        <w:rPr>
          <w:rFonts w:ascii="Times New Roman" w:hAnsi="Times New Roman" w:cs="Times New Roman" w:eastAsia="Times New Roman" w:hint="default"/>
          <w:spacing w:val="-1"/>
        </w:rPr>
        <w:t>91.67%</w:t>
      </w:r>
      <w:r>
        <w:rPr>
          <w:spacing w:val="-1"/>
        </w:rPr>
        <w:t>的股权，东京润和持有</w:t>
      </w:r>
      <w:r>
        <w:rPr>
          <w:rFonts w:ascii="Times New Roman" w:hAnsi="Times New Roman" w:cs="Times New Roman" w:eastAsia="Times New Roman" w:hint="default"/>
          <w:spacing w:val="-1"/>
        </w:rPr>
        <w:t>8.33%</w:t>
      </w:r>
      <w:r>
        <w:rPr>
          <w:spacing w:val="-1"/>
        </w:rPr>
        <w:t>的库存股股权，该库存股股权不仅没有表决权，也</w:t>
      </w:r>
    </w:p>
    <w:p>
      <w:pPr>
        <w:pStyle w:val="BodyText"/>
        <w:spacing w:line="300" w:lineRule="auto" w:before="13"/>
        <w:ind w:right="142"/>
        <w:jc w:val="left"/>
      </w:pPr>
      <w:r>
        <w:rPr>
          <w:spacing w:val="-1"/>
        </w:rPr>
        <w:t>没有分红请求权和剩余财产分配请求权等其他权利，因此本公司实际拥有东京润和</w:t>
      </w:r>
      <w:r>
        <w:rPr>
          <w:rFonts w:ascii="Times New Roman" w:hAnsi="Times New Roman" w:cs="Times New Roman" w:eastAsia="Times New Roman" w:hint="default"/>
          <w:spacing w:val="-1"/>
        </w:rPr>
        <w:t>100%</w:t>
      </w:r>
      <w:r>
        <w:rPr>
          <w:spacing w:val="-1"/>
        </w:rPr>
        <w:t>权益；东京润和于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月更名为</w:t>
      </w:r>
      <w:r>
        <w:rPr/>
        <w:t> 株式会社ホープラン東京；</w:t>
      </w:r>
    </w:p>
    <w:p>
      <w:pPr>
        <w:pStyle w:val="BodyText"/>
        <w:spacing w:line="300" w:lineRule="auto" w:before="31"/>
        <w:ind w:left="584" w:right="3132"/>
        <w:jc w:val="left"/>
      </w:pPr>
      <w:r>
        <w:rPr/>
        <w:t>注</w:t>
      </w:r>
      <w:r>
        <w:rPr>
          <w:rFonts w:ascii="Times New Roman" w:hAnsi="Times New Roman" w:cs="Times New Roman" w:eastAsia="Times New Roman" w:hint="default"/>
        </w:rPr>
        <w:t>3</w:t>
      </w:r>
      <w:r>
        <w:rPr/>
        <w:t>：新加坡润和为东京润和持股</w:t>
      </w:r>
      <w:r>
        <w:rPr>
          <w:rFonts w:ascii="Times New Roman" w:hAnsi="Times New Roman" w:cs="Times New Roman" w:eastAsia="Times New Roman" w:hint="default"/>
        </w:rPr>
        <w:t>70%</w:t>
      </w:r>
      <w:r>
        <w:rPr/>
        <w:t>的控股子公司； 注</w:t>
      </w:r>
      <w:r>
        <w:rPr>
          <w:rFonts w:ascii="Times New Roman" w:hAnsi="Times New Roman" w:cs="Times New Roman" w:eastAsia="Times New Roman" w:hint="default"/>
        </w:rPr>
        <w:t>4</w:t>
      </w:r>
      <w:r>
        <w:rPr/>
        <w:t>：美国</w:t>
      </w:r>
      <w:r>
        <w:rPr>
          <w:rFonts w:ascii="Times New Roman" w:hAnsi="Times New Roman" w:cs="Times New Roman" w:eastAsia="Times New Roman" w:hint="default"/>
        </w:rPr>
        <w:t>SRS2</w:t>
      </w:r>
      <w:r>
        <w:rPr/>
        <w:t>、上海丝略为香港</w:t>
      </w:r>
      <w:r>
        <w:rPr>
          <w:rFonts w:ascii="Times New Roman" w:hAnsi="Times New Roman" w:cs="Times New Roman" w:eastAsia="Times New Roman" w:hint="default"/>
        </w:rPr>
        <w:t>SRS2</w:t>
      </w:r>
      <w:r>
        <w:rPr/>
        <w:t>的全资子公司； 注</w:t>
      </w:r>
      <w:r>
        <w:rPr>
          <w:rFonts w:ascii="Times New Roman" w:hAnsi="Times New Roman" w:cs="Times New Roman" w:eastAsia="Times New Roman" w:hint="default"/>
        </w:rPr>
        <w:t>5</w:t>
      </w:r>
      <w:r>
        <w:rPr/>
        <w:t>：上海捷科为捷科智诚的全资子公司，福州捷科为捷科智诚的控股子公司；</w:t>
      </w:r>
    </w:p>
    <w:p>
      <w:pPr>
        <w:pStyle w:val="BodyText"/>
        <w:spacing w:line="300" w:lineRule="auto" w:before="13"/>
        <w:ind w:right="155" w:firstLine="432"/>
        <w:jc w:val="both"/>
      </w:pPr>
      <w:r>
        <w:rPr>
          <w:spacing w:val="-2"/>
        </w:rPr>
        <w:t>注</w:t>
      </w:r>
      <w:r>
        <w:rPr>
          <w:rFonts w:ascii="Times New Roman" w:hAnsi="Times New Roman" w:cs="Times New Roman" w:eastAsia="Times New Roman" w:hint="default"/>
          <w:spacing w:val="-2"/>
        </w:rPr>
        <w:t>6</w:t>
      </w:r>
      <w:r>
        <w:rPr>
          <w:spacing w:val="-2"/>
        </w:rPr>
        <w:t>：重庆度融为联创智融的控股子公司，成都联创为联创智融的全资子公司，深圳联创智融信息技术有限公司（以下</w:t>
      </w:r>
      <w:r>
        <w:rPr/>
        <w:t> 简称</w:t>
      </w:r>
      <w:r>
        <w:rPr>
          <w:rFonts w:ascii="Times New Roman" w:hAnsi="Times New Roman" w:cs="Times New Roman" w:eastAsia="Times New Roman" w:hint="default"/>
        </w:rPr>
        <w:t>“</w:t>
      </w:r>
      <w:r>
        <w:rPr/>
        <w:t>深圳联创</w:t>
      </w:r>
      <w:r>
        <w:rPr>
          <w:rFonts w:ascii="Times New Roman" w:hAnsi="Times New Roman" w:cs="Times New Roman" w:eastAsia="Times New Roman" w:hint="default"/>
        </w:rPr>
        <w:t>”</w:t>
      </w:r>
      <w:r>
        <w:rPr/>
        <w:t>）是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月联创智融投资新设的全资子公司，注册资本人民币</w:t>
      </w:r>
      <w:r>
        <w:rPr>
          <w:rFonts w:ascii="Times New Roman" w:hAnsi="Times New Roman" w:cs="Times New Roman" w:eastAsia="Times New Roman" w:hint="default"/>
        </w:rPr>
        <w:t>1,000</w:t>
      </w:r>
      <w:r>
        <w:rPr/>
        <w:t>万元，联创智融持股比例</w:t>
      </w:r>
      <w:r>
        <w:rPr>
          <w:rFonts w:ascii="Times New Roman" w:hAnsi="Times New Roman" w:cs="Times New Roman" w:eastAsia="Times New Roman" w:hint="default"/>
        </w:rPr>
        <w:t>100.00%</w:t>
      </w:r>
      <w:r>
        <w:rPr/>
        <w:t>。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日，本公司尚未对深圳联创出资，深圳联创尚未正式开展经营。</w:t>
      </w:r>
    </w:p>
    <w:p>
      <w:pPr>
        <w:pStyle w:val="BodyText"/>
        <w:spacing w:line="240" w:lineRule="auto" w:before="13"/>
        <w:ind w:left="584" w:right="0"/>
        <w:jc w:val="left"/>
      </w:pPr>
      <w:r>
        <w:rPr/>
        <w:t>上述子公司具体情况详见本附注七</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pStyle w:val="BodyText"/>
        <w:spacing w:line="300" w:lineRule="auto" w:before="62"/>
        <w:ind w:left="584" w:right="6624" w:hanging="432"/>
        <w:jc w:val="left"/>
      </w:pPr>
      <w:r>
        <w:rPr/>
        <w:t>（</w:t>
      </w:r>
      <w:r>
        <w:rPr>
          <w:rFonts w:ascii="Times New Roman" w:hAnsi="Times New Roman" w:cs="Times New Roman" w:eastAsia="Times New Roman" w:hint="default"/>
        </w:rPr>
        <w:t>2</w:t>
      </w:r>
      <w:r>
        <w:rPr/>
        <w:t>）本公司本期合并财务报表范围变化 本期新增子公司：</w:t>
      </w:r>
    </w:p>
    <w:p>
      <w:pPr>
        <w:spacing w:line="240" w:lineRule="auto" w:before="0"/>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852"/>
        <w:gridCol w:w="3859"/>
        <w:gridCol w:w="1560"/>
        <w:gridCol w:w="2551"/>
      </w:tblGrid>
      <w:tr>
        <w:trPr>
          <w:trHeight w:val="350" w:hRule="exact"/>
        </w:trPr>
        <w:tc>
          <w:tcPr>
            <w:tcW w:w="85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385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sz w:val="20"/>
                <w:szCs w:val="20"/>
              </w:rPr>
              <w:t>子公司全称</w:t>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子公司简称</w:t>
            </w:r>
          </w:p>
        </w:tc>
        <w:tc>
          <w:tcPr>
            <w:tcW w:w="255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
              <w:ind w:right="3"/>
              <w:jc w:val="center"/>
              <w:rPr>
                <w:rFonts w:ascii="宋体" w:hAnsi="宋体" w:cs="宋体" w:eastAsia="宋体" w:hint="default"/>
                <w:sz w:val="20"/>
                <w:szCs w:val="20"/>
              </w:rPr>
            </w:pPr>
            <w:r>
              <w:rPr>
                <w:rFonts w:ascii="宋体" w:hAnsi="宋体" w:cs="宋体" w:eastAsia="宋体" w:hint="default"/>
                <w:sz w:val="20"/>
                <w:szCs w:val="20"/>
              </w:rPr>
              <w:t>本期纳入合并范围原因</w:t>
            </w:r>
          </w:p>
        </w:tc>
      </w:tr>
      <w:tr>
        <w:trPr>
          <w:trHeight w:val="346" w:hRule="exact"/>
        </w:trPr>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859"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北京联创智融信息技术有限公司</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联创智融</w:t>
            </w:r>
          </w:p>
        </w:tc>
        <w:tc>
          <w:tcPr>
            <w:tcW w:w="2551"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非同一控制下的企业合并</w:t>
            </w:r>
          </w:p>
        </w:tc>
      </w:tr>
      <w:tr>
        <w:trPr>
          <w:trHeight w:val="348" w:hRule="exact"/>
        </w:trPr>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85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重庆度融信息技术有限公司</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重庆度融</w:t>
            </w:r>
          </w:p>
        </w:tc>
        <w:tc>
          <w:tcPr>
            <w:tcW w:w="2551"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sz w:val="20"/>
                <w:szCs w:val="20"/>
              </w:rPr>
              <w:t>非同一控制下的企业合并</w:t>
            </w:r>
          </w:p>
        </w:tc>
      </w:tr>
      <w:tr>
        <w:trPr>
          <w:trHeight w:val="346" w:hRule="exact"/>
        </w:trPr>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859"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成都联创智融信息技术有限公司</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成都联创</w:t>
            </w:r>
          </w:p>
        </w:tc>
        <w:tc>
          <w:tcPr>
            <w:tcW w:w="2551"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非同一控制下的企业合并</w:t>
            </w:r>
          </w:p>
        </w:tc>
      </w:tr>
      <w:tr>
        <w:trPr>
          <w:trHeight w:val="348" w:hRule="exact"/>
        </w:trPr>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85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9" w:right="0"/>
              <w:jc w:val="left"/>
              <w:rPr>
                <w:rFonts w:ascii="宋体" w:hAnsi="宋体" w:cs="宋体" w:eastAsia="宋体" w:hint="default"/>
                <w:sz w:val="20"/>
                <w:szCs w:val="20"/>
              </w:rPr>
            </w:pPr>
            <w:r>
              <w:rPr>
                <w:rFonts w:ascii="宋体" w:hAnsi="宋体" w:cs="宋体" w:eastAsia="宋体" w:hint="default"/>
                <w:sz w:val="20"/>
                <w:szCs w:val="20"/>
              </w:rPr>
              <w:t>上海菲耐得信息科技有限公司</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菲耐得</w:t>
            </w:r>
          </w:p>
        </w:tc>
        <w:tc>
          <w:tcPr>
            <w:tcW w:w="2551"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sz w:val="20"/>
                <w:szCs w:val="20"/>
              </w:rPr>
              <w:t>非同一控制下的企业合并</w:t>
            </w:r>
          </w:p>
        </w:tc>
      </w:tr>
      <w:tr>
        <w:trPr>
          <w:trHeight w:val="348" w:hRule="exact"/>
        </w:trPr>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859"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深圳润和汇智信息技术有限公司</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深圳润和</w:t>
            </w:r>
          </w:p>
        </w:tc>
        <w:tc>
          <w:tcPr>
            <w:tcW w:w="2551"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6" w:hRule="exact"/>
        </w:trPr>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859"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香港润和信息技术投资有限公司</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香港润和</w:t>
            </w:r>
          </w:p>
        </w:tc>
        <w:tc>
          <w:tcPr>
            <w:tcW w:w="2551"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新设</w:t>
            </w:r>
          </w:p>
        </w:tc>
      </w:tr>
      <w:tr>
        <w:trPr>
          <w:trHeight w:val="348" w:hRule="exact"/>
        </w:trPr>
        <w:tc>
          <w:tcPr>
            <w:tcW w:w="8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85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9" w:right="0"/>
              <w:jc w:val="left"/>
              <w:rPr>
                <w:rFonts w:ascii="宋体" w:hAnsi="宋体" w:cs="宋体" w:eastAsia="宋体" w:hint="default"/>
                <w:sz w:val="20"/>
                <w:szCs w:val="20"/>
              </w:rPr>
            </w:pPr>
            <w:r>
              <w:rPr>
                <w:rFonts w:ascii="宋体" w:hAnsi="宋体" w:cs="宋体" w:eastAsia="宋体" w:hint="default"/>
                <w:sz w:val="20"/>
                <w:szCs w:val="20"/>
              </w:rPr>
              <w:t>江苏润和南京软件外包园置业有限公司</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外包园置业</w:t>
            </w:r>
          </w:p>
        </w:tc>
        <w:tc>
          <w:tcPr>
            <w:tcW w:w="2551"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sz w:val="20"/>
                <w:szCs w:val="20"/>
              </w:rPr>
              <w:t>新设</w:t>
            </w:r>
          </w:p>
        </w:tc>
      </w:tr>
    </w:tbl>
    <w:p>
      <w:pPr>
        <w:pStyle w:val="BodyText"/>
        <w:spacing w:line="240" w:lineRule="auto" w:before="6"/>
        <w:ind w:left="584" w:right="0"/>
        <w:jc w:val="left"/>
      </w:pPr>
      <w:r>
        <w:rPr/>
        <w:t>本期减少子公司：</w:t>
      </w:r>
    </w:p>
    <w:p>
      <w:pPr>
        <w:spacing w:line="240" w:lineRule="auto" w:before="3"/>
        <w:rPr>
          <w:rFonts w:ascii="宋体" w:hAnsi="宋体" w:cs="宋体" w:eastAsia="宋体" w:hint="default"/>
          <w:sz w:val="5"/>
          <w:szCs w:val="5"/>
        </w:rPr>
      </w:pPr>
    </w:p>
    <w:tbl>
      <w:tblPr>
        <w:tblW w:w="0" w:type="auto"/>
        <w:jc w:val="left"/>
        <w:tblInd w:w="253" w:type="dxa"/>
        <w:tblLayout w:type="fixed"/>
        <w:tblCellMar>
          <w:top w:w="0" w:type="dxa"/>
          <w:left w:w="0" w:type="dxa"/>
          <w:bottom w:w="0" w:type="dxa"/>
          <w:right w:w="0" w:type="dxa"/>
        </w:tblCellMar>
        <w:tblLook w:val="01E0"/>
      </w:tblPr>
      <w:tblGrid>
        <w:gridCol w:w="744"/>
        <w:gridCol w:w="3826"/>
        <w:gridCol w:w="1560"/>
        <w:gridCol w:w="1560"/>
      </w:tblGrid>
      <w:tr>
        <w:trPr>
          <w:trHeight w:val="662" w:hRule="exact"/>
        </w:trPr>
        <w:tc>
          <w:tcPr>
            <w:tcW w:w="7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382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sz w:val="20"/>
                <w:szCs w:val="20"/>
              </w:rPr>
              <w:t>子公司全称</w:t>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子公司简称</w:t>
            </w:r>
          </w:p>
        </w:tc>
        <w:tc>
          <w:tcPr>
            <w:tcW w:w="1560"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4"/>
              <w:ind w:left="371" w:right="82" w:hanging="300"/>
              <w:jc w:val="left"/>
              <w:rPr>
                <w:rFonts w:ascii="宋体" w:hAnsi="宋体" w:cs="宋体" w:eastAsia="宋体" w:hint="default"/>
                <w:sz w:val="20"/>
                <w:szCs w:val="20"/>
              </w:rPr>
            </w:pPr>
            <w:r>
              <w:rPr>
                <w:rFonts w:ascii="宋体" w:hAnsi="宋体" w:cs="宋体" w:eastAsia="宋体" w:hint="default"/>
                <w:sz w:val="20"/>
                <w:szCs w:val="20"/>
              </w:rPr>
              <w:t>本期未纳入合并</w:t>
            </w:r>
            <w:r>
              <w:rPr>
                <w:rFonts w:ascii="宋体" w:hAnsi="宋体" w:cs="宋体" w:eastAsia="宋体" w:hint="default"/>
                <w:w w:val="99"/>
                <w:sz w:val="20"/>
                <w:szCs w:val="20"/>
              </w:rPr>
              <w:t> </w:t>
            </w:r>
            <w:r>
              <w:rPr>
                <w:rFonts w:ascii="宋体" w:hAnsi="宋体" w:cs="宋体" w:eastAsia="宋体" w:hint="default"/>
                <w:sz w:val="20"/>
                <w:szCs w:val="20"/>
              </w:rPr>
              <w:t>范围原因</w:t>
            </w:r>
          </w:p>
        </w:tc>
      </w:tr>
      <w:tr>
        <w:trPr>
          <w:trHeight w:val="346" w:hRule="exact"/>
        </w:trPr>
        <w:tc>
          <w:tcPr>
            <w:tcW w:w="7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826"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南京润和数码有限公司</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润和数码</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10"/>
              <w:jc w:val="center"/>
              <w:rPr>
                <w:rFonts w:ascii="宋体" w:hAnsi="宋体" w:cs="宋体" w:eastAsia="宋体" w:hint="default"/>
                <w:sz w:val="20"/>
                <w:szCs w:val="20"/>
              </w:rPr>
            </w:pPr>
            <w:r>
              <w:rPr>
                <w:rFonts w:ascii="宋体" w:hAnsi="宋体" w:cs="宋体" w:eastAsia="宋体" w:hint="default"/>
                <w:sz w:val="20"/>
                <w:szCs w:val="20"/>
              </w:rPr>
              <w:t>出售股权</w:t>
            </w:r>
          </w:p>
        </w:tc>
      </w:tr>
      <w:tr>
        <w:trPr>
          <w:trHeight w:val="348" w:hRule="exact"/>
        </w:trPr>
        <w:tc>
          <w:tcPr>
            <w:tcW w:w="7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826"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深圳市润和创新信息科技有限公司</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深圳数码</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10"/>
              <w:jc w:val="center"/>
              <w:rPr>
                <w:rFonts w:ascii="宋体" w:hAnsi="宋体" w:cs="宋体" w:eastAsia="宋体" w:hint="default"/>
                <w:sz w:val="20"/>
                <w:szCs w:val="20"/>
              </w:rPr>
            </w:pPr>
            <w:r>
              <w:rPr>
                <w:rFonts w:ascii="宋体" w:hAnsi="宋体" w:cs="宋体" w:eastAsia="宋体" w:hint="default"/>
                <w:sz w:val="20"/>
                <w:szCs w:val="20"/>
              </w:rPr>
              <w:t>出售股权</w:t>
            </w:r>
          </w:p>
        </w:tc>
      </w:tr>
      <w:tr>
        <w:trPr>
          <w:trHeight w:val="346" w:hRule="exact"/>
        </w:trPr>
        <w:tc>
          <w:tcPr>
            <w:tcW w:w="7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8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 w:right="0"/>
              <w:jc w:val="left"/>
              <w:rPr>
                <w:rFonts w:ascii="Times New Roman" w:hAnsi="Times New Roman" w:cs="Times New Roman" w:eastAsia="Times New Roman" w:hint="default"/>
                <w:sz w:val="20"/>
                <w:szCs w:val="20"/>
              </w:rPr>
            </w:pPr>
            <w:r>
              <w:rPr>
                <w:rFonts w:ascii="Times New Roman"/>
                <w:sz w:val="20"/>
              </w:rPr>
              <w:t>HOPERUN MMAX DIGITAL PTE.</w:t>
            </w:r>
            <w:r>
              <w:rPr>
                <w:rFonts w:ascii="Times New Roman"/>
                <w:spacing w:val="-8"/>
                <w:sz w:val="20"/>
              </w:rPr>
              <w:t> </w:t>
            </w:r>
            <w:r>
              <w:rPr>
                <w:rFonts w:ascii="Times New Roman"/>
                <w:sz w:val="20"/>
              </w:rPr>
              <w:t>LTD.</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新加坡数码</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10"/>
              <w:jc w:val="center"/>
              <w:rPr>
                <w:rFonts w:ascii="宋体" w:hAnsi="宋体" w:cs="宋体" w:eastAsia="宋体" w:hint="default"/>
                <w:sz w:val="20"/>
                <w:szCs w:val="20"/>
              </w:rPr>
            </w:pPr>
            <w:r>
              <w:rPr>
                <w:rFonts w:ascii="宋体" w:hAnsi="宋体" w:cs="宋体" w:eastAsia="宋体" w:hint="default"/>
                <w:sz w:val="20"/>
                <w:szCs w:val="20"/>
              </w:rPr>
              <w:t>出售股权</w:t>
            </w:r>
          </w:p>
        </w:tc>
      </w:tr>
      <w:tr>
        <w:trPr>
          <w:trHeight w:val="348" w:hRule="exact"/>
        </w:trPr>
        <w:tc>
          <w:tcPr>
            <w:tcW w:w="7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826"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江苏润和南京软件外包园置业有限公司</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外包园置业</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10"/>
              <w:jc w:val="center"/>
              <w:rPr>
                <w:rFonts w:ascii="宋体" w:hAnsi="宋体" w:cs="宋体" w:eastAsia="宋体" w:hint="default"/>
                <w:sz w:val="20"/>
                <w:szCs w:val="20"/>
              </w:rPr>
            </w:pPr>
            <w:r>
              <w:rPr>
                <w:rFonts w:ascii="宋体" w:hAnsi="宋体" w:cs="宋体" w:eastAsia="宋体" w:hint="default"/>
                <w:sz w:val="20"/>
                <w:szCs w:val="20"/>
              </w:rPr>
              <w:t>出售股权</w:t>
            </w:r>
          </w:p>
        </w:tc>
      </w:tr>
    </w:tbl>
    <w:p>
      <w:pPr>
        <w:pStyle w:val="BodyText"/>
        <w:spacing w:line="240" w:lineRule="auto" w:before="8"/>
        <w:ind w:left="584" w:right="0"/>
        <w:jc w:val="left"/>
      </w:pPr>
      <w:r>
        <w:rPr/>
        <w:t>本期新增及减少子公司的具体情况详见本附注六</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240" w:lineRule="auto"/>
        <w:jc w:val="left"/>
        <w:sectPr>
          <w:pgSz w:w="11910" w:h="16840"/>
          <w:pgMar w:header="745" w:footer="982" w:top="106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0"/>
        <w:jc w:val="both"/>
        <w:rPr>
          <w:b w:val="0"/>
          <w:bCs w:val="0"/>
        </w:rPr>
      </w:pPr>
      <w:bookmarkStart w:name="四、财务报表的编制基础" w:id="159"/>
      <w:bookmarkEnd w:id="159"/>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0"/>
      <w:bookmarkEnd w:id="16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62" w:firstLine="432"/>
        <w:jc w:val="left"/>
      </w:pPr>
      <w:r>
        <w:rPr/>
        <w:t>本公司以持续经营为基础，根据实际发生的交易和事项，按照企业会计准则及其应用指南和准则解释的规定进行确认 和计量，在此基础上编制财务报表。</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持续经营" w:id="161"/>
      <w:bookmarkEnd w:id="16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62" w:firstLine="432"/>
        <w:jc w:val="left"/>
      </w:pPr>
      <w:r>
        <w:rPr/>
        <w:t>本公司对自</w:t>
      </w:r>
      <w:r>
        <w:rPr>
          <w:rFonts w:ascii="Times New Roman" w:hAnsi="Times New Roman" w:cs="Times New Roman" w:eastAsia="Times New Roman" w:hint="default"/>
        </w:rPr>
        <w:t>2015</w:t>
      </w:r>
      <w:r>
        <w:rPr/>
        <w:t>年末起</w:t>
      </w:r>
      <w:r>
        <w:rPr>
          <w:rFonts w:ascii="Times New Roman" w:hAnsi="Times New Roman" w:cs="Times New Roman" w:eastAsia="Times New Roman" w:hint="default"/>
        </w:rPr>
        <w:t>12</w:t>
      </w:r>
      <w:r>
        <w:rPr/>
        <w:t>个月的持续经营能力进行了评估，未发现影响本公司持续经营能力的事项，本公司以持续经 营为基础编制财务报表是合理的。</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五、重要会计政策及会计估计" w:id="162"/>
      <w:bookmarkEnd w:id="162"/>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84" w:right="342" w:hanging="432"/>
        <w:jc w:val="left"/>
      </w:pPr>
      <w:r>
        <w:rPr/>
        <w:t>具体会计政策和会计估计提示： 本公司下列重要会计政策、会计估计根据企业会计准则制定。未提及的业务按企业会计准则中相关会计政策执行。</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bookmarkStart w:name="1、遵循企业会计准则的声明" w:id="163"/>
      <w:bookmarkEnd w:id="16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62" w:firstLine="432"/>
        <w:jc w:val="left"/>
      </w:pPr>
      <w:r>
        <w:rPr/>
        <w:t>本公司所编制的财务报表符合企业会计准则的要求，真实、完整地反映了公司的财务状况、经营成果、所有者权益变 动和现金流量等有关信息。</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会计期间" w:id="164"/>
      <w:bookmarkEnd w:id="16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84" w:right="0"/>
        <w:jc w:val="left"/>
      </w:pPr>
      <w:r>
        <w:rPr/>
        <w:t>本公司会计年度采用公历制，即公历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日为一个会计年度。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3、营业周期" w:id="165"/>
      <w:bookmarkEnd w:id="16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spacing w:before="0"/>
        <w:ind w:left="613" w:right="0" w:firstLine="0"/>
        <w:jc w:val="left"/>
        <w:rPr>
          <w:rFonts w:ascii="宋体" w:hAnsi="宋体" w:cs="宋体" w:eastAsia="宋体" w:hint="default"/>
          <w:sz w:val="18"/>
          <w:szCs w:val="18"/>
        </w:rPr>
      </w:pPr>
      <w:r>
        <w:rPr>
          <w:rFonts w:ascii="宋体" w:hAnsi="宋体" w:cs="宋体" w:eastAsia="宋体" w:hint="default"/>
          <w:b/>
          <w:bCs/>
          <w:sz w:val="18"/>
          <w:szCs w:val="18"/>
        </w:rPr>
        <w:t>本公司正常营业周期为一个日历年度。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5"/>
          <w:szCs w:val="15"/>
        </w:rPr>
      </w:pPr>
    </w:p>
    <w:p>
      <w:pPr>
        <w:pStyle w:val="Heading3"/>
        <w:spacing w:line="240" w:lineRule="auto"/>
        <w:ind w:right="0"/>
        <w:jc w:val="both"/>
        <w:rPr>
          <w:b w:val="0"/>
          <w:bCs w:val="0"/>
        </w:rPr>
      </w:pPr>
      <w:bookmarkStart w:name="4、记账本位币" w:id="166"/>
      <w:bookmarkEnd w:id="16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84" w:right="0"/>
        <w:jc w:val="left"/>
      </w:pPr>
      <w:r>
        <w:rPr/>
        <w:t>本公司以人民币为记账本位币，境外子公司以所在国家或地区的货币为记账本位币。</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5、同一控制下和非同一控制下企业合并的会计处理方法" w:id="167"/>
      <w:bookmarkEnd w:id="16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84" w:right="162" w:hanging="72"/>
        <w:jc w:val="left"/>
      </w:pPr>
      <w:r>
        <w:rPr/>
        <w:t>（</w:t>
      </w:r>
      <w:r>
        <w:rPr>
          <w:rFonts w:ascii="Times New Roman" w:hAnsi="Times New Roman" w:cs="Times New Roman" w:eastAsia="Times New Roman" w:hint="default"/>
        </w:rPr>
        <w:t>1</w:t>
      </w:r>
      <w:r>
        <w:rPr/>
        <w:t>）同一控制下的企业合并 本公司在企业合并中取得的资产和负债，在合并日按取得被合并方在最终控制方合并财务报表中的账面价值计量。其</w:t>
      </w:r>
    </w:p>
    <w:p>
      <w:pPr>
        <w:pStyle w:val="BodyText"/>
        <w:spacing w:line="316" w:lineRule="auto" w:before="31"/>
        <w:ind w:right="150"/>
        <w:jc w:val="both"/>
      </w:pPr>
      <w:r>
        <w:rPr>
          <w:spacing w:val="-2"/>
        </w:rPr>
        <w:t>中，对于被合并方与本公司在企业合并前采用的会计政策不同的，基于重要性原则统一会计政策，即按照本公司的会计政策</w:t>
      </w:r>
      <w:r>
        <w:rPr>
          <w:spacing w:val="-63"/>
        </w:rPr>
        <w:t> </w:t>
      </w:r>
      <w:r>
        <w:rPr>
          <w:spacing w:val="-63"/>
        </w:rPr>
      </w:r>
      <w:r>
        <w:rPr>
          <w:spacing w:val="-2"/>
        </w:rPr>
        <w:t>对被合并方资产、负债的账面价值进行调整。本公司在企业合并中取得的净资产账面价值与所支付对价的账面价值之间存在</w:t>
      </w:r>
      <w:r>
        <w:rPr>
          <w:spacing w:val="-64"/>
        </w:rPr>
        <w:t> </w:t>
      </w:r>
      <w:r>
        <w:rPr>
          <w:spacing w:val="-64"/>
        </w:rPr>
      </w:r>
      <w:r>
        <w:rPr>
          <w:spacing w:val="-2"/>
        </w:rPr>
        <w:t>差额的，首先调整资本公积（资本溢价或股本溢价），资本公积（资本溢价或股本溢价）的余额不足冲减的，依次冲减盈余</w:t>
      </w:r>
      <w:r>
        <w:rPr>
          <w:spacing w:val="-73"/>
        </w:rPr>
        <w:t> </w:t>
      </w:r>
      <w:r>
        <w:rPr>
          <w:spacing w:val="-73"/>
        </w:rPr>
      </w:r>
      <w:r>
        <w:rPr/>
        <w:t>公积和未分配利润。</w:t>
      </w:r>
    </w:p>
    <w:p>
      <w:pPr>
        <w:pStyle w:val="BodyText"/>
        <w:spacing w:line="300" w:lineRule="auto" w:before="18"/>
        <w:ind w:left="656" w:right="141" w:hanging="144"/>
        <w:jc w:val="left"/>
      </w:pPr>
      <w:r>
        <w:rPr/>
        <w:t>（</w:t>
      </w:r>
      <w:r>
        <w:rPr>
          <w:rFonts w:ascii="Times New Roman" w:hAnsi="Times New Roman" w:cs="Times New Roman" w:eastAsia="Times New Roman" w:hint="default"/>
        </w:rPr>
        <w:t>2</w:t>
      </w:r>
      <w:r>
        <w:rPr/>
        <w:t>）非同一控制下的企业合并 </w:t>
      </w:r>
      <w:r>
        <w:rPr>
          <w:spacing w:val="-1"/>
        </w:rPr>
        <w:t>本公司在企业合并中取得的被购买方各项可辨认资产和负债，在购买日按其公允价值计量。其中，对于被购买方与本</w:t>
      </w:r>
    </w:p>
    <w:p>
      <w:pPr>
        <w:spacing w:after="0" w:line="300" w:lineRule="auto"/>
        <w:jc w:val="left"/>
        <w:sectPr>
          <w:footerReference w:type="default" r:id="rId17"/>
          <w:pgSz w:w="11910" w:h="16840"/>
          <w:pgMar w:footer="982" w:header="745" w:top="1060" w:bottom="1180" w:left="980" w:right="980"/>
          <w:pgNumType w:start="110"/>
        </w:sectPr>
      </w:pPr>
    </w:p>
    <w:p>
      <w:pPr>
        <w:spacing w:line="240" w:lineRule="auto" w:before="9"/>
        <w:rPr>
          <w:rFonts w:ascii="宋体" w:hAnsi="宋体" w:cs="宋体" w:eastAsia="宋体" w:hint="default"/>
          <w:sz w:val="25"/>
          <w:szCs w:val="25"/>
        </w:rPr>
      </w:pPr>
    </w:p>
    <w:p>
      <w:pPr>
        <w:pStyle w:val="BodyText"/>
        <w:spacing w:line="316" w:lineRule="auto" w:before="44"/>
        <w:ind w:right="150"/>
        <w:jc w:val="both"/>
      </w:pPr>
      <w:r>
        <w:rPr>
          <w:spacing w:val="-2"/>
        </w:rPr>
        <w:t>公司在企业合并前采用的会计政策不同的，基于重要性原则统一会计政策，即按照本公司的会计政策对被购买方资产、负债</w:t>
      </w:r>
      <w:r>
        <w:rPr>
          <w:spacing w:val="-63"/>
        </w:rPr>
        <w:t> </w:t>
      </w:r>
      <w:r>
        <w:rPr>
          <w:spacing w:val="-63"/>
        </w:rPr>
      </w:r>
      <w:r>
        <w:rPr>
          <w:spacing w:val="-2"/>
        </w:rPr>
        <w:t>的账面价值进行调整。本公司在购买日的合并成本大于企业合并中取得的被购买方可辨认资产、负债公允价值的差额，确认</w:t>
      </w:r>
      <w:r>
        <w:rPr>
          <w:spacing w:val="-65"/>
        </w:rPr>
        <w:t> </w:t>
      </w:r>
      <w:r>
        <w:rPr>
          <w:spacing w:val="-65"/>
        </w:rPr>
      </w:r>
      <w:r>
        <w:rPr>
          <w:spacing w:val="-2"/>
        </w:rPr>
        <w:t>为商誉；如果合并成本小于企业合并中取得的被购买方可辨认资产、负债公允价值的差额，首先对合并成本以及在企业合并</w:t>
      </w:r>
      <w:r>
        <w:rPr>
          <w:spacing w:val="-63"/>
        </w:rPr>
        <w:t> </w:t>
      </w:r>
      <w:r>
        <w:rPr>
          <w:spacing w:val="-63"/>
        </w:rPr>
      </w:r>
      <w:r>
        <w:rPr>
          <w:spacing w:val="-2"/>
        </w:rPr>
        <w:t>中取得的被购买方可辨认资产、负债的公允价值进行复核，经复核后合并成本仍小于取得的被购买方可辨认资产、负债公允</w:t>
      </w:r>
      <w:r>
        <w:rPr>
          <w:spacing w:val="-65"/>
        </w:rPr>
        <w:t> </w:t>
      </w:r>
      <w:r>
        <w:rPr>
          <w:spacing w:val="-65"/>
        </w:rPr>
      </w:r>
      <w:r>
        <w:rPr/>
        <w:t>价值的，其差额确认为合并当期损益。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68"/>
      <w:bookmarkEnd w:id="16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）合并范围的确定</w:t>
      </w:r>
    </w:p>
    <w:p>
      <w:pPr>
        <w:pStyle w:val="BodyText"/>
        <w:spacing w:line="300" w:lineRule="auto" w:before="62"/>
        <w:ind w:right="225" w:firstLine="432"/>
        <w:jc w:val="left"/>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不仅包括根据表决权（或类似表决权）本身或者结合其他安排确定 的子公司，也包括基于一项或多项合同安排决定的结构化主体。</w:t>
      </w:r>
    </w:p>
    <w:p>
      <w:pPr>
        <w:pStyle w:val="BodyText"/>
        <w:spacing w:line="316" w:lineRule="auto" w:before="31"/>
        <w:ind w:right="150" w:firstLine="432"/>
        <w:jc w:val="both"/>
      </w:pPr>
      <w:r>
        <w:rPr/>
        <w:t>控制是指本公司拥有对被投资方的权力，通过参与被投资方的相关活动而享有可变回报，并且有能力运用对被投资方 </w:t>
      </w:r>
      <w:r>
        <w:rPr>
          <w:spacing w:val="-2"/>
        </w:rPr>
        <w:t>的权力影响其回报金额。子公司是指被本公司控制的主体（含企业、被投资单位中可分割的部分，以及企业所控制的结构化</w:t>
      </w:r>
      <w:r>
        <w:rPr>
          <w:spacing w:val="-65"/>
        </w:rPr>
        <w:t> </w:t>
      </w:r>
      <w:r>
        <w:rPr>
          <w:spacing w:val="-65"/>
        </w:rPr>
      </w:r>
      <w:r>
        <w:rPr>
          <w:spacing w:val="-2"/>
        </w:rPr>
        <w:t>主体等），结构化主体是指在确定其控制方时没有将表决权或类似权利作为决定性因素而设计的主体（注：有时也称为特殊</w:t>
      </w:r>
      <w:r>
        <w:rPr>
          <w:spacing w:val="-66"/>
        </w:rPr>
        <w:t> </w:t>
      </w:r>
      <w:r>
        <w:rPr>
          <w:spacing w:val="-66"/>
        </w:rPr>
      </w:r>
      <w:r>
        <w:rPr/>
        <w:t>目的主体）。</w:t>
      </w:r>
    </w:p>
    <w:p>
      <w:pPr>
        <w:pStyle w:val="BodyText"/>
        <w:spacing w:line="300" w:lineRule="auto" w:before="18"/>
        <w:ind w:left="584" w:right="2682" w:hanging="432"/>
        <w:jc w:val="left"/>
      </w:pPr>
      <w:r>
        <w:rPr/>
        <w:t>（</w:t>
      </w:r>
      <w:r>
        <w:rPr>
          <w:rFonts w:ascii="Times New Roman" w:hAnsi="Times New Roman" w:cs="Times New Roman" w:eastAsia="Times New Roman" w:hint="default"/>
        </w:rPr>
        <w:t>2</w:t>
      </w:r>
      <w:r>
        <w:rPr/>
        <w:t>）合并财务报表的编制方法 本公司以自身和子公司的财务报表为基础，根据其他有关资料，编制合并财务报表。</w:t>
      </w:r>
    </w:p>
    <w:p>
      <w:pPr>
        <w:pStyle w:val="BodyText"/>
        <w:spacing w:line="316" w:lineRule="auto" w:before="31"/>
        <w:ind w:right="162" w:firstLine="432"/>
        <w:jc w:val="left"/>
      </w:pPr>
      <w:r>
        <w:rPr/>
        <w:t>本公司编制合并财务报表，将整个企业集团视为一个会计主体，依据相关企业会计准则的确认、计量和列报要求，按 照统一的会计政策，反映企业集团整体财务状况、经营成果和现金流量。</w:t>
      </w:r>
    </w:p>
    <w:p>
      <w:pPr>
        <w:pStyle w:val="BodyText"/>
        <w:spacing w:line="240" w:lineRule="auto" w:before="18"/>
        <w:ind w:left="512" w:right="0"/>
        <w:jc w:val="left"/>
      </w:pPr>
      <w:r>
        <w:rPr/>
        <w:t>①合并母公司与子公司的资产、负债、所有者权益、收入、费用和现金流等项目。</w:t>
      </w:r>
    </w:p>
    <w:p>
      <w:pPr>
        <w:pStyle w:val="BodyText"/>
        <w:spacing w:line="240" w:lineRule="auto" w:before="76"/>
        <w:ind w:left="512" w:right="0"/>
        <w:jc w:val="left"/>
      </w:pPr>
      <w:r>
        <w:rPr/>
        <w:t>②抵销母公司对子公司的长期股权投资与母公司在子公司所有者权益中所享有的份额。</w:t>
      </w:r>
    </w:p>
    <w:p>
      <w:pPr>
        <w:pStyle w:val="BodyText"/>
        <w:spacing w:line="316" w:lineRule="auto" w:before="76"/>
        <w:ind w:right="0" w:firstLine="360"/>
        <w:jc w:val="left"/>
      </w:pPr>
      <w:r>
        <w:rPr>
          <w:spacing w:val="-2"/>
        </w:rPr>
        <w:t>③抵销母公司与子公司、子公司相互之间发生的内部交易的影响。内部交易表明相关资产发生减值损失的，应当全额确</w:t>
      </w:r>
      <w:r>
        <w:rPr/>
        <w:t> 认该部分损失。</w:t>
      </w:r>
    </w:p>
    <w:p>
      <w:pPr>
        <w:pStyle w:val="BodyText"/>
        <w:spacing w:line="240" w:lineRule="auto" w:before="18"/>
        <w:ind w:left="512" w:right="0"/>
        <w:jc w:val="left"/>
      </w:pPr>
      <w:r>
        <w:rPr/>
        <w:t>④站在企业集团角度对特殊交易事项予以调整。</w:t>
      </w:r>
    </w:p>
    <w:p>
      <w:pPr>
        <w:pStyle w:val="BodyText"/>
        <w:spacing w:line="240" w:lineRule="auto" w:before="76"/>
        <w:ind w:right="0"/>
        <w:jc w:val="both"/>
      </w:pPr>
      <w:r>
        <w:rPr/>
        <w:t>（</w:t>
      </w:r>
      <w:r>
        <w:rPr>
          <w:rFonts w:ascii="Times New Roman" w:hAnsi="Times New Roman" w:cs="Times New Roman" w:eastAsia="Times New Roman" w:hint="default"/>
        </w:rPr>
        <w:t>3</w:t>
      </w:r>
      <w:r>
        <w:rPr/>
        <w:t>）报告期内增减子公司的处理</w:t>
      </w:r>
    </w:p>
    <w:p>
      <w:pPr>
        <w:pStyle w:val="BodyText"/>
        <w:spacing w:line="240" w:lineRule="auto" w:before="62"/>
        <w:ind w:left="584" w:right="0"/>
        <w:jc w:val="left"/>
      </w:pPr>
      <w:r>
        <w:rPr/>
        <w:t>①增加子公司或业务</w:t>
      </w:r>
    </w:p>
    <w:p>
      <w:pPr>
        <w:pStyle w:val="BodyText"/>
        <w:spacing w:line="240" w:lineRule="auto" w:before="76"/>
        <w:ind w:left="587" w:right="0"/>
        <w:jc w:val="left"/>
      </w:pPr>
      <w:r>
        <w:rPr>
          <w:rFonts w:ascii="Times New Roman" w:hAnsi="Times New Roman" w:cs="Times New Roman" w:eastAsia="Times New Roman" w:hint="default"/>
        </w:rPr>
        <w:t>A.</w:t>
      </w:r>
      <w:r>
        <w:rPr/>
        <w:t>同一控制下企业合并增加的子公司或业务</w:t>
      </w:r>
    </w:p>
    <w:p>
      <w:pPr>
        <w:pStyle w:val="BodyText"/>
        <w:spacing w:line="300" w:lineRule="auto" w:before="62"/>
        <w:ind w:right="0" w:firstLine="432"/>
        <w:jc w:val="left"/>
      </w:pPr>
      <w:r>
        <w:rPr>
          <w:spacing w:val="-2"/>
        </w:rPr>
        <w:t>（</w:t>
      </w:r>
      <w:r>
        <w:rPr>
          <w:rFonts w:ascii="Times New Roman" w:hAnsi="Times New Roman" w:cs="Times New Roman" w:eastAsia="Times New Roman" w:hint="default"/>
          <w:spacing w:val="-2"/>
        </w:rPr>
        <w:t>a</w:t>
      </w:r>
      <w:r>
        <w:rPr>
          <w:spacing w:val="-2"/>
        </w:rPr>
        <w:t>）编制合并资产负债表时，调整合并资产负债表的期初数，同时对比较报表的相关项目进行调整，视同合并后的报</w:t>
      </w:r>
      <w:r>
        <w:rPr/>
        <w:t> 告主体自最终控制方开始控制时点起一直存在。</w:t>
      </w:r>
    </w:p>
    <w:p>
      <w:pPr>
        <w:pStyle w:val="BodyText"/>
        <w:spacing w:line="300" w:lineRule="auto" w:before="31"/>
        <w:ind w:right="0" w:firstLine="432"/>
        <w:jc w:val="left"/>
      </w:pPr>
      <w:r>
        <w:rPr>
          <w:spacing w:val="-2"/>
        </w:rPr>
        <w:t>（</w:t>
      </w:r>
      <w:r>
        <w:rPr>
          <w:rFonts w:ascii="Times New Roman" w:hAnsi="Times New Roman" w:cs="Times New Roman" w:eastAsia="Times New Roman" w:hint="default"/>
          <w:spacing w:val="-2"/>
        </w:rPr>
        <w:t>b</w:t>
      </w:r>
      <w:r>
        <w:rPr>
          <w:spacing w:val="-2"/>
        </w:rPr>
        <w:t>）编制合并利润表时，将该子公司以及业务合并当期期初至报告期末的收入、费用、利润纳入合并利润表，同时对</w:t>
      </w:r>
      <w:r>
        <w:rPr/>
        <w:t> 比较报表的相关项目进行调整，视同合并后的报告主体自最终控制方开始控制时点起一直存在。</w:t>
      </w:r>
    </w:p>
    <w:p>
      <w:pPr>
        <w:pStyle w:val="BodyText"/>
        <w:spacing w:line="300" w:lineRule="auto" w:before="31"/>
        <w:ind w:right="0" w:firstLine="432"/>
        <w:jc w:val="left"/>
      </w:pPr>
      <w:r>
        <w:rPr>
          <w:spacing w:val="-2"/>
        </w:rPr>
        <w:t>（</w:t>
      </w:r>
      <w:r>
        <w:rPr>
          <w:rFonts w:ascii="Times New Roman" w:hAnsi="Times New Roman" w:cs="Times New Roman" w:eastAsia="Times New Roman" w:hint="default"/>
          <w:spacing w:val="-2"/>
        </w:rPr>
        <w:t>c</w:t>
      </w:r>
      <w:r>
        <w:rPr>
          <w:spacing w:val="-2"/>
        </w:rPr>
        <w:t>）编制合并现金流量表时，将该子公司以及业务合并当期期初至报告期末的现金流量纳入合并现金流量表，同时对</w:t>
      </w:r>
      <w:r>
        <w:rPr/>
        <w:t> 比较报表的相关项目进行调整，视同合并后的报告主体自最终控制方开始控制时点起一直存在。</w:t>
      </w:r>
    </w:p>
    <w:p>
      <w:pPr>
        <w:pStyle w:val="BodyText"/>
        <w:spacing w:line="240" w:lineRule="auto" w:before="31"/>
        <w:ind w:left="512" w:right="0"/>
        <w:jc w:val="left"/>
      </w:pPr>
      <w:r>
        <w:rPr>
          <w:rFonts w:ascii="Times New Roman" w:hAnsi="Times New Roman" w:cs="Times New Roman" w:eastAsia="Times New Roman" w:hint="default"/>
        </w:rPr>
        <w:t>B.</w:t>
      </w:r>
      <w:r>
        <w:rPr/>
        <w:t>非同一控制下企业合并增加的子公司或业务</w:t>
      </w:r>
    </w:p>
    <w:p>
      <w:pPr>
        <w:pStyle w:val="BodyText"/>
        <w:spacing w:line="240" w:lineRule="auto" w:before="62"/>
        <w:ind w:left="512" w:right="0"/>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40" w:lineRule="auto" w:before="62"/>
        <w:ind w:left="512" w:right="0"/>
        <w:jc w:val="left"/>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p>
    <w:p>
      <w:pPr>
        <w:pStyle w:val="BodyText"/>
        <w:spacing w:line="240" w:lineRule="auto" w:before="60"/>
        <w:ind w:left="512" w:right="0"/>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pStyle w:val="BodyText"/>
        <w:spacing w:line="240" w:lineRule="auto" w:before="62"/>
        <w:ind w:left="584" w:right="0"/>
        <w:jc w:val="left"/>
      </w:pPr>
      <w:r>
        <w:rPr/>
        <w:t>②处置子公司或业务</w:t>
      </w:r>
    </w:p>
    <w:p>
      <w:pPr>
        <w:pStyle w:val="BodyText"/>
        <w:spacing w:line="300" w:lineRule="auto" w:before="76"/>
        <w:ind w:left="584" w:right="1797" w:firstLine="2"/>
        <w:jc w:val="left"/>
      </w:pPr>
      <w:r>
        <w:rPr>
          <w:rFonts w:ascii="Times New Roman" w:hAnsi="Times New Roman" w:cs="Times New Roman" w:eastAsia="Times New Roman" w:hint="default"/>
        </w:rPr>
        <w:t>A.</w:t>
      </w:r>
      <w:r>
        <w:rPr/>
        <w:t>编制合并资产负债表时，不调整合并资产负债表的期初数。 </w:t>
      </w:r>
      <w:r>
        <w:rPr>
          <w:rFonts w:ascii="Times New Roman" w:hAnsi="Times New Roman" w:cs="Times New Roman" w:eastAsia="Times New Roman" w:hint="default"/>
        </w:rPr>
        <w:t>B.</w:t>
      </w:r>
      <w:r>
        <w:rPr/>
        <w:t>编制合并利润表时，将该子公司以及业务期初至处置日的收入、费用、利润纳入合并利润表。 </w:t>
      </w:r>
      <w:r>
        <w:rPr>
          <w:rFonts w:ascii="Times New Roman" w:hAnsi="Times New Roman" w:cs="Times New Roman" w:eastAsia="Times New Roman" w:hint="default"/>
        </w:rPr>
        <w:t>C.</w:t>
      </w:r>
      <w:r>
        <w:rPr/>
        <w:t>编制合并现金流量表时将该子公司以及业务期初至处置日的现金流量纳入合并现金流量表。</w:t>
      </w:r>
    </w:p>
    <w:p>
      <w:pPr>
        <w:pStyle w:val="BodyText"/>
        <w:spacing w:line="240" w:lineRule="auto" w:before="13"/>
        <w:ind w:left="512" w:right="0"/>
        <w:jc w:val="left"/>
      </w:pPr>
      <w:r>
        <w:rPr/>
        <w:t>（</w:t>
      </w:r>
      <w:r>
        <w:rPr>
          <w:rFonts w:ascii="Times New Roman" w:hAnsi="Times New Roman" w:cs="Times New Roman" w:eastAsia="Times New Roman" w:hint="default"/>
        </w:rPr>
        <w:t>4</w:t>
      </w:r>
      <w:r>
        <w:rPr/>
        <w:t>）合并抵销中的特殊考虑</w:t>
      </w:r>
    </w:p>
    <w:p>
      <w:pPr>
        <w:pStyle w:val="BodyText"/>
        <w:spacing w:line="316" w:lineRule="auto" w:before="62"/>
        <w:ind w:right="162" w:firstLine="432"/>
        <w:jc w:val="left"/>
      </w:pPr>
      <w:r>
        <w:rPr/>
        <w:t>①子公司持有本公司的长期股权投资，应当视为本公司的库存股，作为所有者权益的减项，在合并资产负债表中所有 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spacing w:after="0" w:line="316"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202" w:firstLine="432"/>
        <w:jc w:val="left"/>
      </w:pPr>
      <w:r>
        <w:rPr/>
        <w:t>子公司相互之间持有的长期股权投资，比照本公司对子公司的股权投资的抵销方法，将长期股权投资与其对应的子公 司所有者权益中所享有的份额相互抵销。</w:t>
      </w:r>
    </w:p>
    <w:p>
      <w:pPr>
        <w:pStyle w:val="BodyText"/>
        <w:spacing w:line="300" w:lineRule="auto" w:before="18"/>
        <w:ind w:right="90" w:firstLine="432"/>
        <w:jc w:val="left"/>
      </w:pPr>
      <w:r>
        <w:rPr>
          <w:spacing w:val="-1"/>
        </w:rPr>
        <w:t>②</w:t>
      </w:r>
      <w:r>
        <w:rPr>
          <w:rFonts w:ascii="Times New Roman" w:hAnsi="Times New Roman" w:cs="Times New Roman" w:eastAsia="Times New Roman" w:hint="default"/>
          <w:spacing w:val="-1"/>
        </w:rPr>
        <w:t>“</w:t>
      </w:r>
      <w:r>
        <w:rPr>
          <w:spacing w:val="-1"/>
        </w:rPr>
        <w:t>专项储备</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一般风险准备</w:t>
      </w:r>
      <w:r>
        <w:rPr>
          <w:rFonts w:ascii="Times New Roman" w:hAnsi="Times New Roman" w:cs="Times New Roman" w:eastAsia="Times New Roman" w:hint="default"/>
          <w:spacing w:val="-1"/>
        </w:rPr>
        <w:t>”</w:t>
      </w:r>
      <w:r>
        <w:rPr>
          <w:spacing w:val="-1"/>
        </w:rPr>
        <w:t>项目由于既不属于实收资本（或股本）、资本公积，也与留存收益、未分配利润不同，</w:t>
      </w:r>
      <w:r>
        <w:rPr/>
        <w:t> 在长期股权投资与子公司所有者权益相互抵销后，按归属于母公司所有者的份额予以恢复。</w:t>
      </w:r>
    </w:p>
    <w:p>
      <w:pPr>
        <w:pStyle w:val="BodyText"/>
        <w:spacing w:line="316" w:lineRule="auto" w:before="31"/>
        <w:ind w:right="190" w:firstLine="432"/>
        <w:jc w:val="both"/>
      </w:pPr>
      <w:r>
        <w:rPr/>
        <w:t>③因抵销未实现内部销售损益导致合并资产负债表中资产、负债的账面价值与其在所属纳税主体的计税基础之间产生 </w:t>
      </w:r>
      <w:r>
        <w:rPr>
          <w:spacing w:val="-2"/>
        </w:rPr>
        <w:t>暂时性差异的，在合并资产负债表中确认递延所得税资产或递延所得税负债，同时调整合并利润表中的所得税费用，但与直</w:t>
      </w:r>
      <w:r>
        <w:rPr>
          <w:spacing w:val="-63"/>
        </w:rPr>
        <w:t> </w:t>
      </w:r>
      <w:r>
        <w:rPr>
          <w:spacing w:val="-63"/>
        </w:rPr>
      </w:r>
      <w:r>
        <w:rPr/>
        <w:t>接计入所有者权益的交易或事项及企业合并相关的递延所得税除外。</w:t>
      </w:r>
    </w:p>
    <w:p>
      <w:pPr>
        <w:pStyle w:val="BodyText"/>
        <w:spacing w:line="300" w:lineRule="auto" w:before="18"/>
        <w:ind w:right="90" w:firstLine="432"/>
        <w:jc w:val="left"/>
      </w:pPr>
      <w:r>
        <w:rPr/>
        <w:t>④本公司向子公司出售资产所发生的未实现内部交易损益，应当全额抵销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。子公司向 本公司出售资产所发生的未实现内部交易损益，应当按照本公司对该子公司的分配比例在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 </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w:t>
      </w:r>
      <w:r>
        <w:rPr>
          <w:spacing w:val="-44"/>
        </w:rPr>
        <w:t> </w:t>
      </w:r>
      <w:r>
        <w:rPr>
          <w:spacing w:val="-44"/>
        </w:rPr>
      </w:r>
      <w:r>
        <w:rPr/>
        <w:t>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13"/>
        <w:ind w:right="202" w:firstLine="432"/>
        <w:jc w:val="left"/>
      </w:pPr>
      <w:r>
        <w:rPr/>
        <w:t>⑤子公司少数股东分担的当期亏损超过了少数股东在该子公司期初所有者权益中所享有的份额的，其余额仍应当冲减 少数股东权益。</w:t>
      </w:r>
    </w:p>
    <w:p>
      <w:pPr>
        <w:pStyle w:val="BodyText"/>
        <w:spacing w:line="240" w:lineRule="auto" w:before="18"/>
        <w:ind w:left="440" w:right="90"/>
        <w:jc w:val="left"/>
      </w:pPr>
      <w:r>
        <w:rPr/>
        <w:t>（</w:t>
      </w:r>
      <w:r>
        <w:rPr>
          <w:rFonts w:ascii="Times New Roman" w:hAnsi="Times New Roman" w:cs="Times New Roman" w:eastAsia="Times New Roman" w:hint="default"/>
        </w:rPr>
        <w:t>5</w:t>
      </w:r>
      <w:r>
        <w:rPr/>
        <w:t>）特殊交易的会计处理</w:t>
      </w:r>
    </w:p>
    <w:p>
      <w:pPr>
        <w:pStyle w:val="BodyText"/>
        <w:spacing w:line="316" w:lineRule="auto" w:before="62"/>
        <w:ind w:left="584" w:right="202"/>
        <w:jc w:val="left"/>
      </w:pPr>
      <w:r>
        <w:rPr/>
        <w:t>①购买少数股东股权 本公司购买子公司少数股东拥有的子公司股权，在个别财务报表中，购买少数股权新取得的长期股权投资的投资成本</w:t>
      </w:r>
    </w:p>
    <w:p>
      <w:pPr>
        <w:pStyle w:val="BodyText"/>
        <w:spacing w:line="316" w:lineRule="auto" w:before="18"/>
        <w:ind w:right="193"/>
        <w:jc w:val="both"/>
      </w:pPr>
      <w:r>
        <w:rPr>
          <w:spacing w:val="-2"/>
        </w:rPr>
        <w:t>按照所支付对价的公允价值计量。在合并财务报表中，因购买少数股权新取得的长期股权投资与按照新增持股比例计算应享</w:t>
      </w:r>
      <w:r>
        <w:rPr>
          <w:spacing w:val="-64"/>
        </w:rPr>
        <w:t> </w:t>
      </w:r>
      <w:r>
        <w:rPr>
          <w:spacing w:val="-64"/>
        </w:rPr>
      </w:r>
      <w:r>
        <w:rPr>
          <w:spacing w:val="-2"/>
        </w:rPr>
        <w:t>有子公司自购买日或合并日开始持续计算的净资产份额之间的差额，应当调整资本公积（资本溢价或股本溢价），资本公积</w:t>
      </w:r>
      <w:r>
        <w:rPr>
          <w:spacing w:val="-66"/>
        </w:rPr>
        <w:t> </w:t>
      </w:r>
      <w:r>
        <w:rPr>
          <w:spacing w:val="-66"/>
        </w:rPr>
      </w:r>
      <w:r>
        <w:rPr/>
        <w:t>不足冲减的，依次冲减盈余公积和未分配利润。</w:t>
      </w:r>
    </w:p>
    <w:p>
      <w:pPr>
        <w:pStyle w:val="BodyText"/>
        <w:spacing w:line="240" w:lineRule="auto" w:before="18"/>
        <w:ind w:left="584" w:right="90"/>
        <w:jc w:val="left"/>
      </w:pPr>
      <w:r>
        <w:rPr/>
        <w:t>②通过多次交易分步取得子公司控制权的</w:t>
      </w:r>
    </w:p>
    <w:p>
      <w:pPr>
        <w:pStyle w:val="BodyText"/>
        <w:spacing w:line="300" w:lineRule="auto" w:before="76"/>
        <w:ind w:left="584" w:right="222" w:firstLine="2"/>
        <w:jc w:val="left"/>
      </w:pPr>
      <w:r>
        <w:rPr>
          <w:rFonts w:ascii="Times New Roman" w:hAnsi="Times New Roman" w:cs="Times New Roman" w:eastAsia="Times New Roman" w:hint="default"/>
        </w:rPr>
        <w:t>A.</w:t>
      </w:r>
      <w:r>
        <w:rPr/>
        <w:t>通过多次交易分步实现同一控制下企业合并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的，本公司将各项交易作为一项取得子公司控制权的交易进行处理。在个别财务报表中，在合并日</w:t>
      </w:r>
    </w:p>
    <w:p>
      <w:pPr>
        <w:pStyle w:val="BodyText"/>
        <w:spacing w:line="316" w:lineRule="auto" w:before="13"/>
        <w:ind w:right="94"/>
        <w:jc w:val="left"/>
      </w:pPr>
      <w:r>
        <w:rPr>
          <w:spacing w:val="-2"/>
        </w:rPr>
        <w:t>之前的每次交易中，股权投资均确认为长期股权投资且其初始投资成本按照所对应的持股比例计算的对被合并方净资产在最</w:t>
      </w:r>
      <w:r>
        <w:rPr>
          <w:spacing w:val="-64"/>
        </w:rPr>
        <w:t> </w:t>
      </w:r>
      <w:r>
        <w:rPr>
          <w:spacing w:val="-64"/>
        </w:rPr>
      </w:r>
      <w:r>
        <w:rPr>
          <w:spacing w:val="-2"/>
        </w:rPr>
        <w:t>终控制方合并财务报表中的账面价值份额确定，长期股权投资的初始成本与支付对价的账面价值的差额调整资本公积（资本</w:t>
      </w:r>
      <w:r>
        <w:rPr>
          <w:spacing w:val="-64"/>
        </w:rPr>
        <w:t> </w:t>
      </w:r>
      <w:r>
        <w:rPr>
          <w:spacing w:val="-64"/>
        </w:rPr>
      </w:r>
      <w:r>
        <w:rPr>
          <w:spacing w:val="-2"/>
        </w:rPr>
        <w:t>溢价或股本溢价），资本公积（资本溢价或股本溢价）不足冲减的，依次冲减盈余公积和未分配利润。在后续计量时，长期</w:t>
      </w:r>
      <w:r>
        <w:rPr>
          <w:spacing w:val="-73"/>
        </w:rPr>
        <w:t> </w:t>
      </w:r>
      <w:r>
        <w:rPr>
          <w:spacing w:val="-73"/>
        </w:rPr>
      </w:r>
      <w:r>
        <w:rPr>
          <w:spacing w:val="-2"/>
        </w:rPr>
        <w:t>股权投资按照成本法核算，但不涉及合并财务报表编制问题。在合并日，本公司对子公司的长期股权投资初始成本按照对子</w:t>
      </w:r>
      <w:r>
        <w:rPr>
          <w:spacing w:val="-66"/>
        </w:rPr>
        <w:t> </w:t>
      </w:r>
      <w:r>
        <w:rPr>
          <w:spacing w:val="-66"/>
        </w:rPr>
      </w:r>
      <w:r>
        <w:rPr>
          <w:spacing w:val="-2"/>
        </w:rPr>
        <w:t>公司累计持股比例计算的对被合并方净资产在最终控制方合并财务报表中的账面价值份额确定，初始投资成本与达到合并前</w:t>
      </w:r>
      <w:r>
        <w:rPr>
          <w:spacing w:val="-64"/>
        </w:rPr>
        <w:t> </w:t>
      </w:r>
      <w:r>
        <w:rPr>
          <w:spacing w:val="-64"/>
        </w:rPr>
      </w:r>
      <w:r>
        <w:rPr>
          <w:spacing w:val="-2"/>
        </w:rPr>
        <w:t>的长期股权投资账面价值加上合并日取得进一步股份新支付对价的账面价值之和的差额，调整资本公积（资本溢价或股本溢</w:t>
      </w:r>
      <w:r>
        <w:rPr>
          <w:spacing w:val="-64"/>
        </w:rPr>
        <w:t> </w:t>
      </w:r>
      <w:r>
        <w:rPr>
          <w:spacing w:val="-64"/>
        </w:rPr>
      </w:r>
      <w:r>
        <w:rPr/>
        <w:t>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w:t>
      </w:r>
    </w:p>
    <w:p>
      <w:pPr>
        <w:pStyle w:val="BodyText"/>
        <w:spacing w:line="240" w:lineRule="auto" w:before="18"/>
        <w:ind w:left="584" w:right="90"/>
        <w:jc w:val="left"/>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pStyle w:val="BodyText"/>
        <w:spacing w:line="240" w:lineRule="auto" w:before="62"/>
        <w:ind w:left="512" w:right="90"/>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2"/>
        <w:ind w:left="512" w:right="90"/>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2"/>
        <w:ind w:left="512" w:right="90"/>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300" w:lineRule="auto" w:before="62"/>
        <w:ind w:left="584" w:right="222" w:hanging="72"/>
        <w:jc w:val="left"/>
      </w:pPr>
      <w:r>
        <w:rPr/>
        <w:t>（</w:t>
      </w:r>
      <w:r>
        <w:rPr>
          <w:rFonts w:ascii="Times New Roman" w:hAnsi="Times New Roman" w:cs="Times New Roman" w:eastAsia="Times New Roman" w:hint="default"/>
        </w:rPr>
        <w:t>d</w:t>
      </w:r>
      <w:r>
        <w:rPr/>
        <w:t>）一项交易单独考虑时是不经济的，但是和其他交易一并考虑时是经济的。 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的，在合并日之前的每次交易中，本公司所发生的每次交易按照所支付对价的公允价值确认为金</w:t>
      </w:r>
    </w:p>
    <w:p>
      <w:pPr>
        <w:pStyle w:val="BodyText"/>
        <w:spacing w:line="316" w:lineRule="auto" w:before="13"/>
        <w:ind w:right="190"/>
        <w:jc w:val="both"/>
      </w:pPr>
      <w:r>
        <w:rPr>
          <w:spacing w:val="-2"/>
        </w:rPr>
        <w:t>融资产（以公允价值计量且其变动计入当期损益的金融资产或可供出售金融资产）或按照权益法核算的长期股权投资。在合</w:t>
      </w:r>
      <w:r>
        <w:rPr>
          <w:spacing w:val="-63"/>
        </w:rPr>
        <w:t> </w:t>
      </w:r>
      <w:r>
        <w:rPr>
          <w:spacing w:val="-63"/>
        </w:rPr>
      </w:r>
      <w:r>
        <w:rPr>
          <w:spacing w:val="-2"/>
        </w:rPr>
        <w:t>并日，本公司在个别财务报表中，根据合并后应享有的子公司净资产在最终控制方合并财务报表中的账面价值的份额，确定</w:t>
      </w:r>
      <w:r>
        <w:rPr>
          <w:spacing w:val="-63"/>
        </w:rPr>
        <w:t> </w:t>
      </w:r>
      <w:r>
        <w:rPr>
          <w:spacing w:val="-63"/>
        </w:rPr>
      </w:r>
      <w:r>
        <w:rPr>
          <w:spacing w:val="-2"/>
        </w:rPr>
        <w:t>长期股权投资的初始投资成本。合并日长期股权投资的初始投资成本，与达到合并前的长期股权投资账面价值加上合并日进</w:t>
      </w:r>
      <w:r>
        <w:rPr>
          <w:spacing w:val="-64"/>
        </w:rPr>
        <w:t> </w:t>
      </w:r>
      <w:r>
        <w:rPr>
          <w:spacing w:val="-64"/>
        </w:rPr>
      </w:r>
      <w:r>
        <w:rPr>
          <w:spacing w:val="-2"/>
        </w:rPr>
        <w:t>一步取得股份新支付对价的账面价值之和的差额，调整资本公积（资本溢价或股本溢价），资本公积不足冲减的，依次冲减</w:t>
      </w:r>
      <w:r>
        <w:rPr>
          <w:spacing w:val="-67"/>
        </w:rPr>
        <w:t> </w:t>
      </w:r>
      <w:r>
        <w:rPr>
          <w:spacing w:val="-67"/>
        </w:rPr>
      </w:r>
      <w:r>
        <w:rPr/>
        <w:t>盈余公积和未分配利润。</w:t>
      </w:r>
    </w:p>
    <w:p>
      <w:pPr>
        <w:pStyle w:val="BodyText"/>
        <w:spacing w:line="316" w:lineRule="auto" w:before="18"/>
        <w:ind w:right="190" w:firstLine="504"/>
        <w:jc w:val="both"/>
      </w:pPr>
      <w:r>
        <w:rPr>
          <w:spacing w:val="-1"/>
        </w:rPr>
        <w:t>本公司在合并财务报表中，视同参与合并的各方在最终控制方开始控制时即以目前的状态存在进行调整，在编制合并</w:t>
      </w:r>
      <w:r>
        <w:rPr/>
        <w:t> </w:t>
      </w:r>
      <w:r>
        <w:rPr>
          <w:spacing w:val="-2"/>
        </w:rPr>
        <w:t>财务报表时，以不早于合并方和被合并方处于最终控制方的控制之下的时点为限，将被合并方的有关资产、负债并入合并方</w:t>
      </w:r>
      <w:r>
        <w:rPr>
          <w:spacing w:val="-63"/>
        </w:rPr>
        <w:t> </w:t>
      </w:r>
      <w:r>
        <w:rPr>
          <w:spacing w:val="-63"/>
        </w:rPr>
      </w:r>
      <w:r>
        <w:rPr>
          <w:spacing w:val="-5"/>
        </w:rPr>
        <w:t>合并财务报表的比较报表中，并将合并增加的净资产在比较报表中调整所有者权益项下的相关项目。因合并方的资本公积（资</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0"/>
        <w:jc w:val="both"/>
      </w:pPr>
      <w:r>
        <w:rPr>
          <w:spacing w:val="-2"/>
        </w:rPr>
        <w:t>本溢价或股本溢价）余额不足，被合并方在合并前实现的留存收益中归属于合并方的部分在合并财务报表中未予以全额恢复</w:t>
      </w:r>
      <w:r>
        <w:rPr>
          <w:spacing w:val="-64"/>
        </w:rPr>
        <w:t> </w:t>
      </w:r>
      <w:r>
        <w:rPr>
          <w:spacing w:val="-64"/>
        </w:rPr>
      </w:r>
      <w:r>
        <w:rPr>
          <w:spacing w:val="-2"/>
        </w:rPr>
        <w:t>的，本公司在报表附注中对这一情况进行说明，包括被合并方在合并前实现的留存收益金额、归属于本公司的金额及因资本</w:t>
      </w:r>
      <w:r>
        <w:rPr>
          <w:spacing w:val="-63"/>
        </w:rPr>
        <w:t> </w:t>
      </w:r>
      <w:r>
        <w:rPr>
          <w:spacing w:val="-63"/>
        </w:rPr>
      </w:r>
      <w:r>
        <w:rPr/>
        <w:t>公积余额不足在合并资产负债表中未转入留存收益的金额等。</w:t>
      </w:r>
    </w:p>
    <w:p>
      <w:pPr>
        <w:pStyle w:val="BodyText"/>
        <w:spacing w:line="316" w:lineRule="auto" w:before="18"/>
        <w:ind w:right="193" w:firstLine="432"/>
        <w:jc w:val="both"/>
      </w:pPr>
      <w:r>
        <w:rPr/>
        <w:t>合并方在取得被合并方控制权之前持有的股权投资且按权益法核算的，在取得原股权之日与合并方和被合并方同处于 </w:t>
      </w:r>
      <w:r>
        <w:rPr>
          <w:spacing w:val="-2"/>
        </w:rPr>
        <w:t>同一方最终控制之日孰晚日起至合并日之间已确认有关损益、其他综合收益以及其他所有者权益变动，应分别冲减比较报表</w:t>
      </w:r>
      <w:r>
        <w:rPr>
          <w:spacing w:val="-64"/>
        </w:rPr>
        <w:t> </w:t>
      </w:r>
      <w:r>
        <w:rPr>
          <w:spacing w:val="-64"/>
        </w:rPr>
      </w:r>
      <w:r>
        <w:rPr/>
        <w:t>期间的期初留存收益。</w:t>
      </w:r>
    </w:p>
    <w:p>
      <w:pPr>
        <w:pStyle w:val="BodyText"/>
        <w:spacing w:line="300" w:lineRule="auto" w:before="18"/>
        <w:ind w:left="584" w:right="222"/>
        <w:jc w:val="left"/>
      </w:pPr>
      <w:r>
        <w:rPr>
          <w:rFonts w:ascii="Times New Roman" w:hAnsi="Times New Roman" w:cs="Times New Roman" w:eastAsia="Times New Roman" w:hint="default"/>
        </w:rPr>
        <w:t>B.</w:t>
      </w:r>
      <w:r>
        <w:rPr/>
        <w:t>通过多次交易分步实现非同一控制下企业合并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的，本公司将各项交易作为一项取得子公司控制权的交易进行处理。在个别财务报表中，在合并日</w:t>
      </w:r>
    </w:p>
    <w:p>
      <w:pPr>
        <w:pStyle w:val="BodyText"/>
        <w:spacing w:line="316" w:lineRule="auto" w:before="13"/>
        <w:ind w:right="94"/>
        <w:jc w:val="left"/>
      </w:pPr>
      <w:r>
        <w:rPr>
          <w:spacing w:val="-2"/>
        </w:rPr>
        <w:t>之前的每次交易中，股权投资均确认为长期股权投资且其初始投资成本按照所支付对价的公允价值确定。在后续计量时，长</w:t>
      </w:r>
      <w:r>
        <w:rPr>
          <w:spacing w:val="-63"/>
        </w:rPr>
        <w:t> </w:t>
      </w:r>
      <w:r>
        <w:rPr>
          <w:spacing w:val="-63"/>
        </w:rPr>
      </w:r>
      <w:r>
        <w:rPr>
          <w:spacing w:val="-2"/>
        </w:rPr>
        <w:t>期股权投资按照成本法核算，但不涉及合并财务报表编制问题。在合并日，在个别财务报表中，按照原持有的长期股权投资</w:t>
      </w:r>
      <w:r>
        <w:rPr>
          <w:spacing w:val="-64"/>
        </w:rPr>
        <w:t> </w:t>
      </w:r>
      <w:r>
        <w:rPr>
          <w:spacing w:val="-64"/>
        </w:rPr>
      </w:r>
      <w:r>
        <w:rPr/>
        <w:t>的账面价值加上新增投资成本（进一步取得股份所支付对价的公允价值）之和，作为合并日长期股权投资的初始投资成本。 </w:t>
      </w:r>
      <w:r>
        <w:rPr>
          <w:spacing w:val="-2"/>
        </w:rPr>
        <w:t>在合并财务报表中，初始投资成本与对子公司可辨认净资产公允价值所享有的份额进行抵销，差额确认为商誉或计入合并当</w:t>
      </w:r>
      <w:r>
        <w:rPr>
          <w:spacing w:val="-64"/>
        </w:rPr>
        <w:t> </w:t>
      </w:r>
      <w:r>
        <w:rPr>
          <w:spacing w:val="-64"/>
        </w:rPr>
      </w:r>
      <w:r>
        <w:rPr/>
        <w:t>期损益。</w:t>
      </w:r>
    </w:p>
    <w:p>
      <w:pPr>
        <w:pStyle w:val="BodyText"/>
        <w:spacing w:line="314" w:lineRule="auto" w:before="18"/>
        <w:ind w:right="190" w:firstLine="432"/>
        <w:jc w:val="both"/>
      </w:pPr>
      <w:r>
        <w:rPr/>
        <w:t>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的，在合并日之前的每次交易中，投资方所发生的每次交易按照所支付对价的公允价值确认为金 </w:t>
      </w:r>
      <w:r>
        <w:rPr>
          <w:spacing w:val="-2"/>
        </w:rPr>
        <w:t>融资产（以公允价值计量且其变动计入当期损益的金融资产或可供出售金融资产）或按照权益法核算的长期股权投资。在合</w:t>
      </w:r>
      <w:r>
        <w:rPr>
          <w:spacing w:val="-63"/>
        </w:rPr>
        <w:t> </w:t>
      </w:r>
      <w:r>
        <w:rPr>
          <w:spacing w:val="-63"/>
        </w:rPr>
      </w:r>
      <w:r>
        <w:rPr>
          <w:spacing w:val="-2"/>
        </w:rPr>
        <w:t>并日，在个别财务报表中，按照原持有的股权投资（金融资产或按照权益法核算的长期股权投资）的账面价值加上新增投资</w:t>
      </w:r>
      <w:r>
        <w:rPr>
          <w:spacing w:val="-64"/>
        </w:rPr>
        <w:t> </w:t>
      </w:r>
      <w:r>
        <w:rPr>
          <w:spacing w:val="-64"/>
        </w:rPr>
      </w:r>
      <w:r>
        <w:rPr>
          <w:spacing w:val="-2"/>
        </w:rPr>
        <w:t>成本之和，作为改按成本法核算长期股权投资的初始成本。在合并财务报表中，对于购买日之前持有的被购买方的股权，按</w:t>
      </w:r>
      <w:r>
        <w:rPr>
          <w:spacing w:val="-64"/>
        </w:rPr>
        <w:t> </w:t>
      </w:r>
      <w:r>
        <w:rPr>
          <w:spacing w:val="-64"/>
        </w:rPr>
      </w:r>
      <w:r>
        <w:rPr>
          <w:spacing w:val="-2"/>
        </w:rPr>
        <w:t>照该股权在购买日的公允价值进行重新计量，公允价值与其账面价值的差额计入当期投资收益；购买日之前持有的被购买方</w:t>
      </w:r>
      <w:r>
        <w:rPr>
          <w:spacing w:val="-64"/>
        </w:rPr>
        <w:t> </w:t>
      </w:r>
      <w:r>
        <w:rPr>
          <w:spacing w:val="-64"/>
        </w:rPr>
      </w:r>
      <w:r>
        <w:rPr>
          <w:spacing w:val="-2"/>
        </w:rPr>
        <w:t>的股权涉及权益法核算下的其他综合收益等的，与其相关的其他综合收益等转为购买日所属当期收益，但由于被合并方重新</w:t>
      </w:r>
      <w:r>
        <w:rPr>
          <w:spacing w:val="-64"/>
        </w:rPr>
        <w:t> </w:t>
      </w:r>
      <w:r>
        <w:rPr>
          <w:spacing w:val="-64"/>
        </w:rPr>
      </w:r>
      <w:r>
        <w:rPr>
          <w:spacing w:val="-2"/>
        </w:rPr>
        <w:t>计量设定受益计划净资产或净负债变动而产生的其他综合收益除外。本公司在附注中披露其在购买日之前持有的被购买方的</w:t>
      </w:r>
      <w:r>
        <w:rPr>
          <w:spacing w:val="-64"/>
        </w:rPr>
        <w:t> </w:t>
      </w:r>
      <w:r>
        <w:rPr>
          <w:spacing w:val="-64"/>
        </w:rPr>
      </w:r>
      <w:r>
        <w:rPr/>
        <w:t>股权在购买日的公允价值、按照公允价值重新计量产生的相关利得或损失的金额。</w:t>
      </w:r>
    </w:p>
    <w:p>
      <w:pPr>
        <w:pStyle w:val="BodyText"/>
        <w:spacing w:line="316" w:lineRule="auto" w:before="20"/>
        <w:ind w:left="584" w:right="202"/>
        <w:jc w:val="left"/>
      </w:pPr>
      <w:r>
        <w:rPr/>
        <w:t>③本公司处置对子公司长期股权投资但未丧失控制权 母公司在不丧失控制权的情况下部分处置对子公司的长期股权投资，在合并财务报表中，处置价款与处置长期股权投</w:t>
      </w:r>
    </w:p>
    <w:p>
      <w:pPr>
        <w:pStyle w:val="BodyText"/>
        <w:spacing w:line="316" w:lineRule="auto" w:before="18"/>
        <w:ind w:right="90"/>
        <w:jc w:val="left"/>
      </w:pPr>
      <w:r>
        <w:rPr>
          <w:spacing w:val="-2"/>
        </w:rPr>
        <w:t>资相对应享有子公司自购买日或合并日开始持续计算的净资产份额之间的差额，调整资本公积（资本溢价或股本溢价），资</w:t>
      </w:r>
      <w:r>
        <w:rPr>
          <w:spacing w:val="-66"/>
        </w:rPr>
        <w:t> </w:t>
      </w:r>
      <w:r>
        <w:rPr>
          <w:spacing w:val="-66"/>
        </w:rPr>
      </w:r>
      <w:r>
        <w:rPr/>
        <w:t>本公积不足冲减的，调整留存收益。</w:t>
      </w:r>
    </w:p>
    <w:p>
      <w:pPr>
        <w:pStyle w:val="BodyText"/>
        <w:spacing w:line="240" w:lineRule="auto" w:before="18"/>
        <w:ind w:left="584" w:right="90"/>
        <w:jc w:val="left"/>
      </w:pPr>
      <w:r>
        <w:rPr/>
        <w:t>④本公司处置对子公司长期股权投资且丧失控制权</w:t>
      </w:r>
    </w:p>
    <w:p>
      <w:pPr>
        <w:pStyle w:val="BodyText"/>
        <w:spacing w:line="300" w:lineRule="auto" w:before="76"/>
        <w:ind w:left="584" w:right="202" w:firstLine="2"/>
        <w:jc w:val="left"/>
      </w:pPr>
      <w:r>
        <w:rPr>
          <w:rFonts w:ascii="Times New Roman" w:hAnsi="Times New Roman" w:cs="Times New Roman" w:eastAsia="Times New Roman" w:hint="default"/>
        </w:rPr>
        <w:t>A.</w:t>
      </w:r>
      <w:r>
        <w:rPr/>
        <w:t>一次交易处置 本公司因处置部分股权投资等原因丧失了对被投资方的控制权的，在编制合并财务报表时，对于剩余股权，按照其在</w:t>
      </w:r>
    </w:p>
    <w:p>
      <w:pPr>
        <w:pStyle w:val="BodyText"/>
        <w:spacing w:line="316" w:lineRule="auto" w:before="31"/>
        <w:ind w:right="94"/>
        <w:jc w:val="left"/>
      </w:pPr>
      <w:r>
        <w:rPr>
          <w:spacing w:val="-2"/>
        </w:rPr>
        <w:t>丧失控制权日的公允价值进行重新计量。处置股权取得的对价与剩余股权公允价值之和，减去按原持股比例计算应享有原有</w:t>
      </w:r>
      <w:r>
        <w:rPr>
          <w:spacing w:val="-64"/>
        </w:rPr>
        <w:t> </w:t>
      </w:r>
      <w:r>
        <w:rPr>
          <w:spacing w:val="-64"/>
        </w:rPr>
      </w:r>
      <w:r>
        <w:rPr/>
        <w:t>子公司自购买日或合并日开始持续计算的净资产的份额之间的差额，计入丧失控制权当期的投资收益，同时冲减商誉（注： </w:t>
      </w:r>
      <w:r>
        <w:rPr>
          <w:spacing w:val="-2"/>
        </w:rPr>
        <w:t>如果原企业合并为非同一控制下的且存在商誉的）。与原有子公司股权投资相关的其他综合收益等，在丧失控制权时转为当</w:t>
      </w:r>
      <w:r>
        <w:rPr>
          <w:spacing w:val="-66"/>
        </w:rPr>
        <w:t> </w:t>
      </w:r>
      <w:r>
        <w:rPr>
          <w:spacing w:val="-66"/>
        </w:rPr>
      </w:r>
      <w:r>
        <w:rPr/>
        <w:t>期投资收益。</w:t>
      </w:r>
    </w:p>
    <w:p>
      <w:pPr>
        <w:pStyle w:val="BodyText"/>
        <w:spacing w:line="316" w:lineRule="auto" w:before="18"/>
        <w:ind w:right="219" w:firstLine="432"/>
        <w:jc w:val="both"/>
      </w:pPr>
      <w:r>
        <w:rPr/>
        <w:t>此外，与原子公司的股权投资相关的其他综合收益、其他所有者权益变动，在丧失控制权时转入当期损益，由于被投 资方重新计量设定受益计划净负债或净资产变动而产生的其他综合收益除外。</w:t>
      </w:r>
    </w:p>
    <w:p>
      <w:pPr>
        <w:pStyle w:val="BodyText"/>
        <w:spacing w:line="300" w:lineRule="auto" w:before="18"/>
        <w:ind w:left="584" w:right="4182"/>
        <w:jc w:val="left"/>
      </w:pPr>
      <w:r>
        <w:rPr>
          <w:rFonts w:ascii="Times New Roman" w:hAnsi="Times New Roman" w:cs="Times New Roman" w:eastAsia="Times New Roman" w:hint="default"/>
        </w:rPr>
        <w:t>B.</w:t>
      </w:r>
      <w:r>
        <w:rPr/>
        <w:t>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300" w:lineRule="auto" w:before="13"/>
        <w:ind w:right="193" w:firstLine="432"/>
        <w:jc w:val="both"/>
      </w:pPr>
      <w:r>
        <w:rPr>
          <w:spacing w:val="-1"/>
        </w:rPr>
        <w:t>如果分步交易不属于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的，则在丧失对子公司控制权之前的各项交易，应按照</w:t>
      </w:r>
      <w:r>
        <w:rPr>
          <w:rFonts w:ascii="Times New Roman" w:hAnsi="Times New Roman" w:cs="Times New Roman" w:eastAsia="Times New Roman" w:hint="default"/>
          <w:spacing w:val="-1"/>
        </w:rPr>
        <w:t>“</w:t>
      </w:r>
      <w:r>
        <w:rPr>
          <w:spacing w:val="-1"/>
        </w:rPr>
        <w:t>母公司处置对子公司长期股</w:t>
      </w:r>
      <w:r>
        <w:rPr/>
        <w:t> 权投资但未丧失控制权</w:t>
      </w:r>
      <w:r>
        <w:rPr>
          <w:rFonts w:ascii="Times New Roman" w:hAnsi="Times New Roman" w:cs="Times New Roman" w:eastAsia="Times New Roman" w:hint="default"/>
        </w:rPr>
        <w:t>”</w:t>
      </w:r>
      <w:r>
        <w:rPr/>
        <w:t>的有关规定处理。</w:t>
      </w:r>
    </w:p>
    <w:p>
      <w:pPr>
        <w:pStyle w:val="BodyText"/>
        <w:spacing w:line="309" w:lineRule="auto" w:before="13"/>
        <w:ind w:right="193" w:firstLine="432"/>
        <w:jc w:val="both"/>
      </w:pPr>
      <w:r>
        <w:rPr/>
        <w:t>如果分步交易属于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的，应当将各项交易作为一项处置子公司并丧失控制权的交易进行会计处理；其中， </w:t>
      </w:r>
      <w:r>
        <w:rPr>
          <w:spacing w:val="-2"/>
        </w:rPr>
        <w:t>对于丧失控制权之前每一次交易，处置价款与处置投资对应的享有该子公司净资产份额的差额，在合并财务报表中应当确认</w:t>
      </w:r>
      <w:r>
        <w:rPr>
          <w:spacing w:val="-64"/>
        </w:rPr>
        <w:t> </w:t>
      </w:r>
      <w:r>
        <w:rPr>
          <w:spacing w:val="-64"/>
        </w:rPr>
      </w:r>
      <w:r>
        <w:rPr/>
        <w:t>为其他综合收益，在丧失控制权时一并转入丧失控制权当期的损益。</w:t>
      </w:r>
    </w:p>
    <w:p>
      <w:pPr>
        <w:pStyle w:val="BodyText"/>
        <w:spacing w:line="316" w:lineRule="auto" w:before="24"/>
        <w:ind w:left="584" w:right="202"/>
        <w:jc w:val="left"/>
      </w:pPr>
      <w:r>
        <w:rPr/>
        <w:t>⑤因子公司的少数股东增资而稀释母公司拥有的股权比例 子公司的其他股东（少数股东）对子公司进行增资，由此稀释了母公司对子公司的股权比例。在合并财务报表中，按</w:t>
      </w:r>
    </w:p>
    <w:p>
      <w:pPr>
        <w:pStyle w:val="BodyText"/>
        <w:spacing w:line="240" w:lineRule="auto" w:before="18"/>
        <w:ind w:right="90"/>
        <w:jc w:val="left"/>
      </w:pPr>
      <w:r>
        <w:rPr/>
        <w:t>照增资前的母公司股权比例计算其在增资前子公司账面净资产中的份额</w:t>
      </w:r>
      <w:r>
        <w:rPr>
          <w:spacing w:val="-82"/>
        </w:rPr>
        <w:t>，</w:t>
      </w:r>
      <w:r>
        <w:rPr/>
        <w:t>该份额与增资后按照母公司持股比例计算的在增资</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0"/>
        <w:jc w:val="left"/>
      </w:pPr>
      <w:r>
        <w:rPr>
          <w:spacing w:val="-4"/>
        </w:rPr>
        <w:t>后子公司账面净资产份额之间的差额调整资本公积（资本溢价或股本溢价），资本公积（资本溢价或股本溢价）不足冲减的，</w:t>
      </w:r>
      <w:r>
        <w:rPr>
          <w:spacing w:val="-43"/>
        </w:rPr>
        <w:t> </w:t>
      </w:r>
      <w:r>
        <w:rPr>
          <w:spacing w:val="-43"/>
        </w:rPr>
      </w:r>
      <w:r>
        <w:rPr/>
        <w:t>调整留存收益。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69"/>
      <w:bookmarkEnd w:id="16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8、现金及现金等价物的确定标准" w:id="170"/>
      <w:bookmarkEnd w:id="17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0" w:firstLine="432"/>
        <w:jc w:val="left"/>
      </w:pPr>
      <w:r>
        <w:rPr>
          <w:spacing w:val="-2"/>
        </w:rPr>
        <w:t>现金指企业库存现金及可以随时用于支付的存款。现金等价物指持有的期限短（一般是指从购买日起三个月内到期）、</w:t>
      </w:r>
      <w:r>
        <w:rPr/>
        <w:t> 流动性强、易于转换为已知金额现金、价值变动风险很小的投资。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1"/>
      <w:bookmarkEnd w:id="17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84" w:right="3442" w:hanging="72"/>
        <w:jc w:val="left"/>
      </w:pPr>
      <w:r>
        <w:rPr/>
        <w:t>（</w:t>
      </w:r>
      <w:r>
        <w:rPr>
          <w:rFonts w:ascii="Times New Roman" w:hAnsi="Times New Roman" w:cs="Times New Roman" w:eastAsia="Times New Roman" w:hint="default"/>
        </w:rPr>
        <w:t>1</w:t>
      </w:r>
      <w:r>
        <w:rPr/>
        <w:t>）外币交易时折算汇率的确定方法 本公司外币交易初始确认时采用交易发生日的即期汇率折算为记账本位币。</w:t>
      </w:r>
    </w:p>
    <w:p>
      <w:pPr>
        <w:pStyle w:val="BodyText"/>
        <w:spacing w:line="300" w:lineRule="auto" w:before="31"/>
        <w:ind w:left="584" w:right="202" w:hanging="72"/>
        <w:jc w:val="left"/>
      </w:pPr>
      <w:r>
        <w:rPr/>
        <w:t>（</w:t>
      </w:r>
      <w:r>
        <w:rPr>
          <w:rFonts w:ascii="Times New Roman" w:hAnsi="Times New Roman" w:cs="Times New Roman" w:eastAsia="Times New Roman" w:hint="default"/>
        </w:rPr>
        <w:t>2</w:t>
      </w:r>
      <w:r>
        <w:rPr/>
        <w:t>）资产负债表日外币货币性项目的折算方法 在资产负债表日，对于外币货币性项目，采用资产负债表日的即期汇率折算。因资产负债表日即期汇率与初始确认时</w:t>
      </w:r>
    </w:p>
    <w:p>
      <w:pPr>
        <w:pStyle w:val="BodyText"/>
        <w:spacing w:line="240" w:lineRule="auto" w:before="31"/>
        <w:ind w:right="0"/>
        <w:jc w:val="both"/>
      </w:pPr>
      <w:r>
        <w:rPr/>
        <w:t>或前一资产负债表日即期汇率不同而产生的汇兑差额，计入当期损益。</w:t>
      </w:r>
    </w:p>
    <w:p>
      <w:pPr>
        <w:pStyle w:val="BodyText"/>
        <w:spacing w:line="300" w:lineRule="auto" w:before="76"/>
        <w:ind w:left="584" w:right="90" w:hanging="72"/>
        <w:jc w:val="left"/>
      </w:pPr>
      <w:r>
        <w:rPr/>
        <w:t>（</w:t>
      </w:r>
      <w:r>
        <w:rPr>
          <w:rFonts w:ascii="Times New Roman" w:hAnsi="Times New Roman" w:cs="Times New Roman" w:eastAsia="Times New Roman" w:hint="default"/>
        </w:rPr>
        <w:t>3</w:t>
      </w:r>
      <w:r>
        <w:rPr/>
        <w:t>）外币报表折算方法 </w:t>
      </w:r>
      <w:r>
        <w:rPr>
          <w:spacing w:val="-2"/>
        </w:rPr>
        <w:t>对企业境外经营财务报表进行折算前先调整境外经营的会计期间和会计政策，使之与企业会计期间和会计政策相一致，</w:t>
      </w:r>
    </w:p>
    <w:p>
      <w:pPr>
        <w:pStyle w:val="BodyText"/>
        <w:spacing w:line="316" w:lineRule="auto" w:before="31"/>
        <w:ind w:right="90"/>
        <w:jc w:val="left"/>
      </w:pPr>
      <w:r>
        <w:rPr>
          <w:spacing w:val="-2"/>
        </w:rPr>
        <w:t>再根据调整后会计政策及会计期间编制相应货币（记账本位币以外的货币）的财务报表，再按照以下方法对境外经营财务报</w:t>
      </w:r>
      <w:r>
        <w:rPr>
          <w:spacing w:val="-65"/>
        </w:rPr>
        <w:t> </w:t>
      </w:r>
      <w:r>
        <w:rPr>
          <w:spacing w:val="-65"/>
        </w:rPr>
      </w:r>
      <w:r>
        <w:rPr/>
        <w:t>表进行折算：</w:t>
      </w:r>
    </w:p>
    <w:p>
      <w:pPr>
        <w:pStyle w:val="BodyText"/>
        <w:spacing w:line="300" w:lineRule="auto" w:before="18"/>
        <w:ind w:right="222" w:firstLine="432"/>
        <w:jc w:val="left"/>
      </w:pPr>
      <w:r>
        <w:rPr/>
        <w:t>①资产负债表中的资产和负债项目，采用资产负债表日的即期汇率折算，所有者权益项目除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 他项目采用发生时的即期汇率折算。</w:t>
      </w:r>
    </w:p>
    <w:p>
      <w:pPr>
        <w:pStyle w:val="BodyText"/>
        <w:spacing w:line="240" w:lineRule="auto" w:before="31"/>
        <w:ind w:left="584" w:right="90"/>
        <w:jc w:val="left"/>
      </w:pPr>
      <w:r>
        <w:rPr/>
        <w:t>②利润表中的收入和费用项目，采用交易发生日的即期汇率或即期汇率的近似汇率折算。</w:t>
      </w:r>
    </w:p>
    <w:p>
      <w:pPr>
        <w:pStyle w:val="BodyText"/>
        <w:spacing w:line="300" w:lineRule="auto" w:before="76"/>
        <w:ind w:right="90" w:firstLine="432"/>
        <w:jc w:val="left"/>
      </w:pPr>
      <w:r>
        <w:rPr>
          <w:spacing w:val="-2"/>
        </w:rPr>
        <w:t>③产生的外币财务报表折算差额，在编制合并财务报表时，在合并资产负债表中所有者权益项目下单独列示</w:t>
      </w:r>
      <w:r>
        <w:rPr>
          <w:rFonts w:ascii="Times New Roman" w:hAnsi="Times New Roman" w:cs="Times New Roman" w:eastAsia="Times New Roman" w:hint="default"/>
          <w:spacing w:val="-2"/>
        </w:rPr>
        <w:t>“</w:t>
      </w:r>
      <w:r>
        <w:rPr>
          <w:spacing w:val="-2"/>
        </w:rPr>
        <w:t>其他综合</w:t>
      </w:r>
      <w:r>
        <w:rPr/>
        <w:t> 收益</w:t>
      </w:r>
      <w:r>
        <w:rPr>
          <w:rFonts w:ascii="Times New Roman" w:hAnsi="Times New Roman" w:cs="Times New Roman" w:eastAsia="Times New Roman" w:hint="default"/>
        </w:rPr>
        <w:t>”</w:t>
      </w:r>
      <w:r>
        <w:rPr/>
        <w:t>。</w:t>
      </w:r>
    </w:p>
    <w:p>
      <w:pPr>
        <w:pStyle w:val="BodyText"/>
        <w:spacing w:line="316" w:lineRule="auto" w:before="13"/>
        <w:ind w:right="202" w:firstLine="432"/>
        <w:jc w:val="left"/>
      </w:pPr>
      <w:r>
        <w:rPr/>
        <w:t>④外币现金流量以及境外子公司的现金流量，采用现金流量发生日的即期汇率或即期汇率的近似汇率折算。汇率变动 对现金的影响额应当作为调节项目，在现金流量表中单独列报。</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10、金融工具" w:id="172"/>
      <w:bookmarkEnd w:id="17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90"/>
        <w:jc w:val="left"/>
      </w:pPr>
      <w:r>
        <w:rPr/>
        <w:t>（</w:t>
      </w:r>
      <w:r>
        <w:rPr>
          <w:rFonts w:ascii="Times New Roman" w:hAnsi="Times New Roman" w:cs="Times New Roman" w:eastAsia="Times New Roman" w:hint="default"/>
        </w:rPr>
        <w:t>1</w:t>
      </w:r>
      <w:r>
        <w:rPr/>
        <w:t>）金融资产的分类</w:t>
      </w:r>
    </w:p>
    <w:p>
      <w:pPr>
        <w:pStyle w:val="BodyText"/>
        <w:spacing w:line="316" w:lineRule="auto" w:before="62"/>
        <w:ind w:left="584" w:right="202"/>
        <w:jc w:val="left"/>
      </w:pPr>
      <w:r>
        <w:rPr/>
        <w:t>①以公允价值计量且其变动计入当期损益的金融资产 包括交易性金融资产和直接指定为以公允价值计量且其变动计入当期损益的金融资产，前者主要是指本公司为了近期</w:t>
      </w:r>
    </w:p>
    <w:p>
      <w:pPr>
        <w:pStyle w:val="BodyText"/>
        <w:spacing w:line="316" w:lineRule="auto" w:before="18"/>
        <w:ind w:right="193"/>
        <w:jc w:val="both"/>
      </w:pPr>
      <w:r>
        <w:rPr>
          <w:spacing w:val="-2"/>
        </w:rPr>
        <w:t>内出售而持有的股票、债券、基金以及不作为有效套期工具的衍生工具投资。这类资产在初始计量时按照取得时的公允价值</w:t>
      </w:r>
      <w:r>
        <w:rPr>
          <w:spacing w:val="-65"/>
        </w:rPr>
        <w:t> </w:t>
      </w:r>
      <w:r>
        <w:rPr>
          <w:spacing w:val="-65"/>
        </w:rPr>
      </w:r>
      <w:r>
        <w:rPr>
          <w:spacing w:val="-2"/>
        </w:rPr>
        <w:t>作为初始确认金额，相关的交易费用在发生时计入当期损益。支付的价款中包含已宣告但尚未发放的现金股利或已到付息但</w:t>
      </w:r>
      <w:r>
        <w:rPr>
          <w:spacing w:val="-64"/>
        </w:rPr>
        <w:t> </w:t>
      </w:r>
      <w:r>
        <w:rPr>
          <w:spacing w:val="-64"/>
        </w:rPr>
      </w:r>
      <w:r>
        <w:rPr>
          <w:spacing w:val="-2"/>
        </w:rPr>
        <w:t>尚未领取的债券利息，单独确认为应收项目。在持有期间取得利息或现金股利，确认为投资收益。资产负债表日，本公司将</w:t>
      </w:r>
      <w:r>
        <w:rPr>
          <w:spacing w:val="-67"/>
        </w:rPr>
        <w:t> </w:t>
      </w:r>
      <w:r>
        <w:rPr>
          <w:spacing w:val="-67"/>
        </w:rPr>
      </w:r>
      <w:r>
        <w:rPr>
          <w:spacing w:val="-2"/>
        </w:rPr>
        <w:t>这类金融资产以公允价值计量且其变动计入当期损益。这类金融资产在处置时，其公允价值与初始入账金额之间的差额确认</w:t>
      </w:r>
      <w:r>
        <w:rPr>
          <w:spacing w:val="-64"/>
        </w:rPr>
        <w:t> </w:t>
      </w:r>
      <w:r>
        <w:rPr>
          <w:spacing w:val="-64"/>
        </w:rPr>
      </w:r>
      <w:r>
        <w:rPr/>
        <w:t>为投资收益，同时调整公允价值变动损益。</w:t>
      </w:r>
    </w:p>
    <w:p>
      <w:pPr>
        <w:pStyle w:val="BodyText"/>
        <w:spacing w:line="316" w:lineRule="auto" w:before="18"/>
        <w:ind w:left="584" w:right="202"/>
        <w:jc w:val="left"/>
      </w:pPr>
      <w:r>
        <w:rPr/>
        <w:t>②持有至到期投资 主要是指到期日固定、回收金额固定或可确定，且本公司具有明确意图和能力持有至到期的国债、公司债券等。这类</w:t>
      </w:r>
    </w:p>
    <w:p>
      <w:pPr>
        <w:pStyle w:val="BodyText"/>
        <w:spacing w:line="316" w:lineRule="auto" w:before="18"/>
        <w:ind w:right="90"/>
        <w:jc w:val="left"/>
      </w:pPr>
      <w:r>
        <w:rPr>
          <w:spacing w:val="-2"/>
        </w:rPr>
        <w:t>金融资产按照取得时的公允价值和相关交易费用之和作为初始确认金额。支付价款中包含的已到付息期但尚未发放的债券利</w:t>
      </w:r>
      <w:r>
        <w:rPr>
          <w:spacing w:val="-64"/>
        </w:rPr>
        <w:t> </w:t>
      </w:r>
      <w:r>
        <w:rPr>
          <w:spacing w:val="-64"/>
        </w:rPr>
      </w:r>
      <w:r>
        <w:rPr>
          <w:spacing w:val="-2"/>
        </w:rPr>
        <w:t>息，单独确认为应收项目。持有至到期投资在持有期间按照摊余成本和实际利率计算确认利息收入，计入投资收益。处置持</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有至到期投资时，将所取得价款与该投资账面价值之间的差额计入投资收益。</w:t>
      </w:r>
    </w:p>
    <w:p>
      <w:pPr>
        <w:pStyle w:val="BodyText"/>
        <w:spacing w:line="316" w:lineRule="auto" w:before="76"/>
        <w:ind w:left="584" w:right="202"/>
        <w:jc w:val="left"/>
      </w:pPr>
      <w:r>
        <w:rPr/>
        <w:t>③应收款项 应收款项主要包括应收账款和其他应收款等。应收账款是指本公司销售商品或提供劳务形成的应收款项。应收账款按</w:t>
      </w:r>
    </w:p>
    <w:p>
      <w:pPr>
        <w:pStyle w:val="BodyText"/>
        <w:spacing w:line="240" w:lineRule="auto" w:before="18"/>
        <w:ind w:right="0"/>
        <w:jc w:val="both"/>
      </w:pPr>
      <w:r>
        <w:rPr/>
        <w:t>从购货方应收的合同或协议价款作为初始确认金额。</w:t>
      </w:r>
    </w:p>
    <w:p>
      <w:pPr>
        <w:pStyle w:val="BodyText"/>
        <w:spacing w:line="316" w:lineRule="auto" w:before="76"/>
        <w:ind w:left="584" w:right="202"/>
        <w:jc w:val="left"/>
      </w:pPr>
      <w:r>
        <w:rPr/>
        <w:t>④可供出售金融资产 主要是指本公司没有划分为以公允价值计量且其变动计入当期损益的金融资产、持有至到期投资、贷款和应收款项的</w:t>
      </w:r>
    </w:p>
    <w:p>
      <w:pPr>
        <w:pStyle w:val="BodyText"/>
        <w:spacing w:line="316" w:lineRule="auto" w:before="18"/>
        <w:ind w:right="193"/>
        <w:jc w:val="both"/>
      </w:pPr>
      <w:r>
        <w:rPr>
          <w:spacing w:val="-2"/>
        </w:rPr>
        <w:t>金融资产。可供出售金融资产按照取得该金融资产的公允价值和相关交易费用之和作为初始确认金额。支付的价款中包含的</w:t>
      </w:r>
      <w:r>
        <w:rPr>
          <w:spacing w:val="-64"/>
        </w:rPr>
        <w:t> </w:t>
      </w:r>
      <w:r>
        <w:rPr>
          <w:spacing w:val="-64"/>
        </w:rPr>
      </w:r>
      <w:r>
        <w:rPr>
          <w:spacing w:val="-2"/>
        </w:rPr>
        <w:t>已到付息期但尚未领取的债券利息或已宣告但尚未发放的现金股利，单独确认为应收项目。可供出售金融资产持有期间取得</w:t>
      </w:r>
      <w:r>
        <w:rPr>
          <w:spacing w:val="-64"/>
        </w:rPr>
        <w:t> </w:t>
      </w:r>
      <w:r>
        <w:rPr>
          <w:spacing w:val="-64"/>
        </w:rPr>
      </w:r>
      <w:r>
        <w:rPr/>
        <w:t>的利息或现金股利计入投资收益。</w:t>
      </w:r>
    </w:p>
    <w:p>
      <w:pPr>
        <w:pStyle w:val="BodyText"/>
        <w:spacing w:line="316" w:lineRule="auto" w:before="18"/>
        <w:ind w:right="94" w:firstLine="432"/>
        <w:jc w:val="left"/>
      </w:pPr>
      <w:r>
        <w:rPr/>
        <w:t>可供出售金融资产是外币货币性金融资产的，其形成的汇兑损益应当计入当期损益。采用实际利率法计算的可供出售 </w:t>
      </w:r>
      <w:r>
        <w:rPr>
          <w:spacing w:val="-2"/>
        </w:rPr>
        <w:t>债务工具投资的利息，计入当期损益；可供出售权益工具投资的现金股利，在被投资单位宣告发放股利时计入当期损益。资</w:t>
      </w:r>
      <w:r>
        <w:rPr>
          <w:spacing w:val="-64"/>
        </w:rPr>
        <w:t> </w:t>
      </w:r>
      <w:r>
        <w:rPr>
          <w:spacing w:val="-64"/>
        </w:rPr>
      </w:r>
      <w:r>
        <w:rPr>
          <w:spacing w:val="-2"/>
        </w:rPr>
        <w:t>产负债表日，可供出售金融资产以公允价值计量，且其变动计入其他综合收益。处置可供出售金融资产时，将取得的价款与</w:t>
      </w:r>
      <w:r>
        <w:rPr>
          <w:spacing w:val="-65"/>
        </w:rPr>
        <w:t> </w:t>
      </w:r>
      <w:r>
        <w:rPr>
          <w:spacing w:val="-65"/>
        </w:rPr>
      </w:r>
      <w:r>
        <w:rPr/>
        <w:t>该金融资产账面价值之间差额计入投资收益；同时，将原计入所有者权益的公允价值变动累计额对应处置部分的金额转出， 计入投资收益。</w:t>
      </w:r>
    </w:p>
    <w:p>
      <w:pPr>
        <w:pStyle w:val="BodyText"/>
        <w:spacing w:line="240" w:lineRule="auto" w:before="18"/>
        <w:ind w:left="512" w:right="90"/>
        <w:jc w:val="left"/>
      </w:pPr>
      <w:r>
        <w:rPr/>
        <w:t>（</w:t>
      </w:r>
      <w:r>
        <w:rPr>
          <w:rFonts w:ascii="Times New Roman" w:hAnsi="Times New Roman" w:cs="Times New Roman" w:eastAsia="Times New Roman" w:hint="default"/>
        </w:rPr>
        <w:t>2</w:t>
      </w:r>
      <w:r>
        <w:rPr/>
        <w:t>）金融负债的分类</w:t>
      </w:r>
    </w:p>
    <w:p>
      <w:pPr>
        <w:pStyle w:val="BodyText"/>
        <w:spacing w:line="316" w:lineRule="auto" w:before="62"/>
        <w:ind w:right="190" w:firstLine="432"/>
        <w:jc w:val="both"/>
      </w:pPr>
      <w:r>
        <w:rPr/>
        <w:t>①以公允价值计量且其变动计入当期损益的金融负债，包括交易性金融负债和指定为以公允价值计量且其变动计入当 </w:t>
      </w:r>
      <w:r>
        <w:rPr>
          <w:spacing w:val="-2"/>
        </w:rPr>
        <w:t>期损益的金融负债；这类金融负债初始确认时以公允价值计量，相关交易费用直接计入当期损益，资产负债表日将公允价值</w:t>
      </w:r>
      <w:r>
        <w:rPr>
          <w:spacing w:val="-63"/>
        </w:rPr>
        <w:t> </w:t>
      </w:r>
      <w:r>
        <w:rPr>
          <w:spacing w:val="-63"/>
        </w:rPr>
      </w:r>
      <w:r>
        <w:rPr/>
        <w:t>变动计入当期损益。</w:t>
      </w:r>
    </w:p>
    <w:p>
      <w:pPr>
        <w:pStyle w:val="BodyText"/>
        <w:spacing w:line="240" w:lineRule="auto" w:before="18"/>
        <w:ind w:left="584" w:right="90"/>
        <w:jc w:val="left"/>
      </w:pPr>
      <w:r>
        <w:rPr/>
        <w:t>②其他金融负债，是指以公允价值计量且其变动计入当期损益的金融负债以外的金融负债。</w:t>
      </w:r>
    </w:p>
    <w:p>
      <w:pPr>
        <w:pStyle w:val="BodyText"/>
        <w:spacing w:line="300" w:lineRule="auto" w:before="76"/>
        <w:ind w:left="584" w:right="90" w:hanging="72"/>
        <w:jc w:val="left"/>
      </w:pPr>
      <w:r>
        <w:rPr/>
        <w:t>（</w:t>
      </w:r>
      <w:r>
        <w:rPr>
          <w:rFonts w:ascii="Times New Roman" w:hAnsi="Times New Roman" w:cs="Times New Roman" w:eastAsia="Times New Roman" w:hint="default"/>
        </w:rPr>
        <w:t>3</w:t>
      </w:r>
      <w:r>
        <w:rPr/>
        <w:t>）金融资产的重分类 </w:t>
      </w:r>
      <w:r>
        <w:rPr>
          <w:spacing w:val="-2"/>
        </w:rPr>
        <w:t>因持有意图或能力发生改变，使某项投资不再适合划分为持有至到期投资的，本公司将其重分类为可供出售金融资产，</w:t>
      </w:r>
    </w:p>
    <w:p>
      <w:pPr>
        <w:pStyle w:val="BodyText"/>
        <w:spacing w:line="312" w:lineRule="auto" w:before="31"/>
        <w:ind w:right="190"/>
        <w:jc w:val="both"/>
      </w:pPr>
      <w:r>
        <w:rPr>
          <w:spacing w:val="-2"/>
        </w:rPr>
        <w:t>并以公允价值进行后续计量。持有至到期投资部分出售或重分类的金额较大，且不属于《企业会计准则第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65"/>
        </w:rPr>
        <w:t> </w:t>
      </w:r>
      <w:r>
        <w:rPr>
          <w:spacing w:val="-65"/>
        </w:rPr>
      </w:r>
      <w:r>
        <w:rPr>
          <w:spacing w:val="-2"/>
        </w:rPr>
        <w:t>确认和计量》第十六条所指的例外情况，使该投资的剩余部分不再适合划分为持有至到期投资的，本公司应当将该投资的剩</w:t>
      </w:r>
      <w:r>
        <w:rPr>
          <w:spacing w:val="-63"/>
        </w:rPr>
        <w:t> </w:t>
      </w:r>
      <w:r>
        <w:rPr>
          <w:spacing w:val="-63"/>
        </w:rPr>
      </w:r>
      <w:r>
        <w:rPr>
          <w:spacing w:val="-2"/>
        </w:rPr>
        <w:t>余部分重分类为可供出售金融资产，并以公允价值进行后续计量，但在本会计年度及以后两个完整的会计年度内不再将该金</w:t>
      </w:r>
      <w:r>
        <w:rPr>
          <w:spacing w:val="-64"/>
        </w:rPr>
        <w:t> </w:t>
      </w:r>
      <w:r>
        <w:rPr>
          <w:spacing w:val="-64"/>
        </w:rPr>
      </w:r>
      <w:r>
        <w:rPr/>
        <w:t>融资产划分为持有至到期投资。</w:t>
      </w:r>
    </w:p>
    <w:p>
      <w:pPr>
        <w:pStyle w:val="BodyText"/>
        <w:spacing w:line="316" w:lineRule="auto" w:before="22"/>
        <w:ind w:right="202" w:firstLine="432"/>
        <w:jc w:val="left"/>
      </w:pPr>
      <w:r>
        <w:rPr/>
        <w:t>重分类日，该投资的账面价值与公允价值之间的差额计入其他综合收益，在该可供出售金融资产发生减值或终止确认 时转出，计入当期损益。</w:t>
      </w:r>
    </w:p>
    <w:p>
      <w:pPr>
        <w:pStyle w:val="BodyText"/>
        <w:spacing w:line="300" w:lineRule="auto" w:before="18"/>
        <w:ind w:left="584" w:right="4522" w:hanging="72"/>
        <w:jc w:val="left"/>
      </w:pPr>
      <w:r>
        <w:rPr/>
        <w:t>（</w:t>
      </w:r>
      <w:r>
        <w:rPr>
          <w:rFonts w:ascii="Times New Roman" w:hAnsi="Times New Roman" w:cs="Times New Roman" w:eastAsia="Times New Roman" w:hint="default"/>
        </w:rPr>
        <w:t>4</w:t>
      </w:r>
      <w:r>
        <w:rPr/>
        <w:t>）金融负债与权益工具的区分 除特殊情况外，金融负债与权益工具按照下列原则进行区分：</w:t>
      </w:r>
    </w:p>
    <w:p>
      <w:pPr>
        <w:pStyle w:val="BodyText"/>
        <w:spacing w:line="316" w:lineRule="auto" w:before="31"/>
        <w:ind w:right="90" w:firstLine="432"/>
        <w:jc w:val="left"/>
      </w:pPr>
      <w:r>
        <w:rPr>
          <w:spacing w:val="-2"/>
        </w:rPr>
        <w:t>①如果本公司不能无条件地避免以交付现金或其他金融资产来履行一项合同义务，则该合同义务符合金融负债的定义。</w:t>
      </w:r>
      <w:r>
        <w:rPr/>
        <w:t>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w:t>
      </w:r>
    </w:p>
    <w:p>
      <w:pPr>
        <w:pStyle w:val="BodyText"/>
        <w:spacing w:line="316" w:lineRule="auto" w:before="18"/>
        <w:ind w:right="193" w:firstLine="432"/>
        <w:jc w:val="both"/>
      </w:pPr>
      <w:r>
        <w:rPr/>
        <w:t>②如果一项金融工具须用或可用本公司自身权益工具进行结算，需要考虑用于结算该工具的本公司自身权益工具，是 </w:t>
      </w:r>
      <w:r>
        <w:rPr>
          <w:spacing w:val="-2"/>
        </w:rPr>
        <w:t>作为现金或其他金融资产的替代品，还是为了使该工具持有方享有在发行方扣除所有负债后的资产中的剩余权益。如果是前</w:t>
      </w:r>
      <w:r>
        <w:rPr>
          <w:spacing w:val="-64"/>
        </w:rPr>
        <w:t> </w:t>
      </w:r>
      <w:r>
        <w:rPr>
          <w:spacing w:val="-64"/>
        </w:rPr>
      </w:r>
      <w:r>
        <w:rPr>
          <w:spacing w:val="-2"/>
        </w:rPr>
        <w:t>者，该工具是发行方的金融负债；如果是后者，该工具是发行方的权益工具。在某些情况下，一项金融工具合同规定本公司</w:t>
      </w:r>
      <w:r>
        <w:rPr>
          <w:spacing w:val="-67"/>
        </w:rPr>
        <w:t> </w:t>
      </w:r>
      <w:r>
        <w:rPr>
          <w:spacing w:val="-67"/>
        </w:rPr>
      </w:r>
      <w:r>
        <w:rPr>
          <w:spacing w:val="-2"/>
        </w:rPr>
        <w:t>须用或可用自身权益工具结算该金融工具，其中合同权利或合同义务的金额等于可获取或需交付的自身权益工具的数量乘以</w:t>
      </w:r>
      <w:r>
        <w:rPr>
          <w:spacing w:val="-64"/>
        </w:rPr>
        <w:t> </w:t>
      </w:r>
      <w:r>
        <w:rPr>
          <w:spacing w:val="-64"/>
        </w:rPr>
      </w:r>
      <w:r>
        <w:rPr>
          <w:spacing w:val="-2"/>
        </w:rPr>
        <w:t>其结算时的公允价值，则无论该合同权利或合同义务的金额是固定的，还是完全或部分地基于除本公司自身权益工具的市场</w:t>
      </w:r>
      <w:r>
        <w:rPr>
          <w:spacing w:val="-64"/>
        </w:rPr>
        <w:t> </w:t>
      </w:r>
      <w:r>
        <w:rPr>
          <w:spacing w:val="-64"/>
        </w:rPr>
      </w:r>
      <w:r>
        <w:rPr/>
        <w:t>价格以外变量（例如利率、某种商品的价格或某项金融工具的价格）的变动而变动，该合同分类为金融负债。</w:t>
      </w:r>
    </w:p>
    <w:p>
      <w:pPr>
        <w:pStyle w:val="BodyText"/>
        <w:spacing w:line="300" w:lineRule="auto" w:before="18"/>
        <w:ind w:left="584" w:right="6682" w:hanging="72"/>
        <w:jc w:val="left"/>
      </w:pPr>
      <w:r>
        <w:rPr/>
        <w:t>（</w:t>
      </w:r>
      <w:r>
        <w:rPr>
          <w:rFonts w:ascii="Times New Roman" w:hAnsi="Times New Roman" w:cs="Times New Roman" w:eastAsia="Times New Roman" w:hint="default"/>
        </w:rPr>
        <w:t>5</w:t>
      </w:r>
      <w:r>
        <w:rPr/>
        <w:t>）金融资产转移 金融资产转移是指下列两种情形：</w:t>
      </w:r>
    </w:p>
    <w:p>
      <w:pPr>
        <w:pStyle w:val="BodyText"/>
        <w:spacing w:line="300" w:lineRule="auto" w:before="31"/>
        <w:ind w:left="584" w:right="217" w:firstLine="2"/>
        <w:jc w:val="left"/>
      </w:pPr>
      <w:r>
        <w:rPr>
          <w:rFonts w:ascii="Times New Roman" w:hAnsi="Times New Roman" w:cs="Times New Roman" w:eastAsia="Times New Roman" w:hint="default"/>
        </w:rPr>
        <w:t>A.</w:t>
      </w:r>
      <w:r>
        <w:rPr/>
        <w:t>将收取金融资产现金流量的合同权利转移给另一方； </w:t>
      </w:r>
      <w:r>
        <w:rPr>
          <w:rFonts w:ascii="Times New Roman" w:hAnsi="Times New Roman" w:cs="Times New Roman" w:eastAsia="Times New Roman" w:hint="default"/>
        </w:rPr>
        <w:t>B.</w:t>
      </w:r>
      <w:r>
        <w:rPr/>
        <w:t>将金融资产整体或部分转移给另一方，但保留收取金融资产现金流量的合同权利，并承担将收取的现金流量支付给</w:t>
      </w:r>
    </w:p>
    <w:p>
      <w:pPr>
        <w:pStyle w:val="BodyText"/>
        <w:spacing w:line="240" w:lineRule="auto" w:before="13"/>
        <w:ind w:right="0"/>
        <w:jc w:val="both"/>
      </w:pPr>
      <w:r>
        <w:rPr/>
        <w:t>一个或多个收款方的合同义务。</w:t>
      </w:r>
    </w:p>
    <w:p>
      <w:pPr>
        <w:pStyle w:val="BodyText"/>
        <w:spacing w:line="240" w:lineRule="auto" w:before="76"/>
        <w:ind w:left="584" w:right="90"/>
        <w:jc w:val="left"/>
      </w:pPr>
      <w:r>
        <w:rPr/>
        <w:t>①终止确认所转移的金融资产</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219" w:firstLine="432"/>
        <w:jc w:val="both"/>
      </w:pPr>
      <w:r>
        <w:rPr/>
        <w:t>已将金融资产所有权上几乎所有的风险和报酬转移给转入方的，或既没有转移也没有保留金融资产所有权上几乎所有 的风险和报酬的，但放弃了对该金融资产控制的，终止确认该金融资产。</w:t>
      </w:r>
    </w:p>
    <w:p>
      <w:pPr>
        <w:pStyle w:val="BodyText"/>
        <w:spacing w:line="316" w:lineRule="auto" w:before="18"/>
        <w:ind w:right="193" w:firstLine="432"/>
        <w:jc w:val="both"/>
      </w:pPr>
      <w:r>
        <w:rPr/>
        <w:t>在判断是否已放弃对所转移金融资产的控制时，注重转入方出售该金融资产的实际能力。转入方能够单独将转入的金 </w:t>
      </w:r>
      <w:r>
        <w:rPr>
          <w:spacing w:val="-2"/>
        </w:rPr>
        <w:t>融资产整体出售给与其不存在关联方关系的第三方，且没有额外条件对此项出售加以限制的，表明企业已放弃对该金融资产</w:t>
      </w:r>
      <w:r>
        <w:rPr>
          <w:spacing w:val="-64"/>
        </w:rPr>
        <w:t> </w:t>
      </w:r>
      <w:r>
        <w:rPr>
          <w:spacing w:val="-64"/>
        </w:rPr>
      </w:r>
      <w:r>
        <w:rPr/>
        <w:t>的控制。</w:t>
      </w:r>
    </w:p>
    <w:p>
      <w:pPr>
        <w:pStyle w:val="BodyText"/>
        <w:spacing w:line="316" w:lineRule="auto" w:before="18"/>
        <w:ind w:left="584" w:right="2182"/>
        <w:jc w:val="left"/>
      </w:pPr>
      <w:r>
        <w:rPr/>
        <w:t>本公司在判断金融资产转移是否满足金融资产终止确认条件时，注重金融资产转移的实质。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300" w:lineRule="auto"/>
        <w:ind w:right="235" w:firstLine="432"/>
        <w:jc w:val="both"/>
      </w:pPr>
      <w:r>
        <w:rPr>
          <w:rFonts w:ascii="Times New Roman" w:hAnsi="Times New Roman" w:cs="Times New Roman" w:eastAsia="Times New Roman" w:hint="default"/>
        </w:rPr>
        <w:t>B.</w:t>
      </w:r>
      <w:r>
        <w:rPr/>
        <w:t>因转移而收到的对价，与原直接计入所有者权益的公允价值变动累计额（涉及转移的金融资产为可供出售金融资产 的情形）之和。</w:t>
      </w:r>
    </w:p>
    <w:p>
      <w:pPr>
        <w:pStyle w:val="BodyText"/>
        <w:spacing w:line="316" w:lineRule="auto" w:before="31"/>
        <w:ind w:right="190" w:firstLine="432"/>
        <w:jc w:val="both"/>
      </w:pPr>
      <w:r>
        <w:rPr/>
        <w:t>金融资产部分转移满足终止确认条件的，将所转移金融资产整体的账面价值，在终止确认部分和未终止确认部分（在 </w:t>
      </w:r>
      <w:r>
        <w:rPr>
          <w:spacing w:val="-2"/>
        </w:rPr>
        <w:t>此种情况下，所保留的服务资产视同未终止确认金融资产的一部分）之间，按照各自的相对公允价值进行分摊，并将下列两</w:t>
      </w:r>
      <w:r>
        <w:rPr>
          <w:spacing w:val="-64"/>
        </w:rPr>
        <w:t> </w:t>
      </w:r>
      <w:r>
        <w:rPr>
          <w:spacing w:val="-64"/>
        </w:rPr>
      </w:r>
      <w:r>
        <w:rPr/>
        <w:t>项金额的差额计入当期损益：</w:t>
      </w:r>
    </w:p>
    <w:p>
      <w:pPr>
        <w:pStyle w:val="BodyText"/>
        <w:spacing w:line="300" w:lineRule="auto" w:before="18"/>
        <w:ind w:left="584" w:right="217" w:firstLine="2"/>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rPr>
        <w:t>B.</w:t>
      </w:r>
      <w:r>
        <w:rPr/>
        <w:t>终止确认部分的对价，与原直接计入所有者权益的公允价值变动累计额中对应终止确认部分的金额（涉及转移的金</w:t>
      </w:r>
    </w:p>
    <w:p>
      <w:pPr>
        <w:pStyle w:val="BodyText"/>
        <w:spacing w:line="240" w:lineRule="auto" w:before="13"/>
        <w:ind w:right="90"/>
        <w:jc w:val="left"/>
      </w:pPr>
      <w:r>
        <w:rPr/>
        <w:t>融资产为可供出售金融资产的情形）之和。</w:t>
      </w:r>
    </w:p>
    <w:p>
      <w:pPr>
        <w:pStyle w:val="BodyText"/>
        <w:spacing w:line="316" w:lineRule="auto" w:before="76"/>
        <w:ind w:left="584" w:right="202"/>
        <w:jc w:val="left"/>
      </w:pPr>
      <w:r>
        <w:rPr/>
        <w:t>②继续涉入所转移的金融资产 既没有转移也没有保留金融资产所有权上几乎所有的风险和报酬的，且未放弃对该金融资产控制的，应当按照其继续</w:t>
      </w:r>
    </w:p>
    <w:p>
      <w:pPr>
        <w:pStyle w:val="BodyText"/>
        <w:spacing w:line="316" w:lineRule="auto" w:before="18"/>
        <w:ind w:left="584" w:right="2722" w:hanging="432"/>
        <w:jc w:val="left"/>
      </w:pPr>
      <w:r>
        <w:rPr/>
        <w:t>涉入所转移金融资产的程度确认有关金融资产，并相应确认有关负债。 继续涉入所转移金融资产的程度，是指该金融资产价值变动使企业面临的风险水平。</w:t>
      </w:r>
    </w:p>
    <w:p>
      <w:pPr>
        <w:pStyle w:val="BodyText"/>
        <w:spacing w:line="316" w:lineRule="auto" w:before="18"/>
        <w:ind w:left="584" w:right="202"/>
        <w:jc w:val="left"/>
      </w:pPr>
      <w:r>
        <w:rPr/>
        <w:t>③继续确认所转移的金融资产 仍保留与所转移金融资产所有权上几乎所有的风险和报酬的，应当继续确认所转移金融资产整体，并将收到的对价确</w:t>
      </w:r>
    </w:p>
    <w:p>
      <w:pPr>
        <w:pStyle w:val="BodyText"/>
        <w:spacing w:line="316" w:lineRule="auto" w:before="18"/>
        <w:ind w:left="584" w:right="202" w:hanging="432"/>
        <w:jc w:val="left"/>
      </w:pPr>
      <w:r>
        <w:rPr/>
        <w:t>认为一项金融负债。 该金融资产与确认的相关金融负债不得相互抵销。在随后的会计期间，企业应当继续确认该金融资产产生的收入和该</w:t>
      </w:r>
    </w:p>
    <w:p>
      <w:pPr>
        <w:pStyle w:val="BodyText"/>
        <w:spacing w:line="316" w:lineRule="auto" w:before="18"/>
        <w:ind w:right="90"/>
        <w:jc w:val="left"/>
      </w:pPr>
      <w:r>
        <w:rPr>
          <w:spacing w:val="-2"/>
        </w:rPr>
        <w:t>金融负债产生的费用。所转移的金融资产以摊余成本计量的，确认的相关负债不得指定为以公允价值计量且其变动计入当期</w:t>
      </w:r>
      <w:r>
        <w:rPr>
          <w:spacing w:val="-64"/>
        </w:rPr>
        <w:t> </w:t>
      </w:r>
      <w:r>
        <w:rPr>
          <w:spacing w:val="-64"/>
        </w:rPr>
      </w:r>
      <w:r>
        <w:rPr/>
        <w:t>损益的金融负债。</w:t>
      </w:r>
    </w:p>
    <w:p>
      <w:pPr>
        <w:pStyle w:val="BodyText"/>
        <w:spacing w:line="300" w:lineRule="auto" w:before="18"/>
        <w:ind w:left="584" w:right="3082" w:hanging="72"/>
        <w:jc w:val="left"/>
      </w:pPr>
      <w:r>
        <w:rPr/>
        <w:t>（</w:t>
      </w:r>
      <w:r>
        <w:rPr>
          <w:rFonts w:ascii="Times New Roman" w:hAnsi="Times New Roman" w:cs="Times New Roman" w:eastAsia="Times New Roman" w:hint="default"/>
        </w:rPr>
        <w:t>6</w:t>
      </w:r>
      <w:r>
        <w:rPr/>
        <w:t>）金融负债终止确认 金融负债的现时义务全部或部分已经解除的，终止确认该金融负债或其一部分。</w:t>
      </w:r>
    </w:p>
    <w:p>
      <w:pPr>
        <w:pStyle w:val="BodyText"/>
        <w:spacing w:line="316" w:lineRule="auto" w:before="31"/>
        <w:ind w:right="90" w:firstLine="432"/>
        <w:jc w:val="left"/>
      </w:pPr>
      <w:r>
        <w:rPr/>
        <w:t>将用于偿付金融负债的资产转入某个机构或设立信托，偿付债务的现时义务仍存在的，不终止确认该金融负债，也不 终止确认转出的资产。 </w:t>
      </w:r>
      <w:r>
        <w:rPr>
          <w:spacing w:val="-4"/>
        </w:rPr>
        <w:t>与债权人之间签订协议，以承担新金融负债方式替换现存金融负债，且新金融负债与现存金融负债的合同条款实质上不同的，</w:t>
      </w:r>
      <w:r>
        <w:rPr>
          <w:spacing w:val="-44"/>
        </w:rPr>
        <w:t> </w:t>
      </w:r>
      <w:r>
        <w:rPr>
          <w:spacing w:val="-44"/>
        </w:rPr>
      </w:r>
      <w:r>
        <w:rPr/>
        <w:t>终止确认现存金融负债，并同时确认新金融负债。</w:t>
      </w:r>
    </w:p>
    <w:p>
      <w:pPr>
        <w:pStyle w:val="BodyText"/>
        <w:spacing w:line="316" w:lineRule="auto" w:before="18"/>
        <w:ind w:right="219" w:firstLine="432"/>
        <w:jc w:val="both"/>
      </w:pPr>
      <w:r>
        <w:rPr/>
        <w:t>对现存金融负债全部或部分的合同条款作出实质性修改的，终止确认现存金融负债或其一部分，同时将修改条款后的 金融负债确认为一项新金融负债。</w:t>
      </w:r>
    </w:p>
    <w:p>
      <w:pPr>
        <w:pStyle w:val="BodyText"/>
        <w:spacing w:line="316" w:lineRule="auto" w:before="18"/>
        <w:ind w:right="219" w:firstLine="432"/>
        <w:jc w:val="both"/>
      </w:pPr>
      <w:r>
        <w:rPr/>
        <w:t>金融负债全部或部分终止确认的，将终止确认部分的账面价值与支付的对价（包括转出的非现金资产或承担的新金融 负债）之间的差额，计入当期损益。</w:t>
      </w:r>
    </w:p>
    <w:p>
      <w:pPr>
        <w:pStyle w:val="BodyText"/>
        <w:spacing w:line="300" w:lineRule="auto" w:before="18"/>
        <w:ind w:left="584" w:right="202" w:hanging="72"/>
        <w:jc w:val="left"/>
      </w:pPr>
      <w:r>
        <w:rPr/>
        <w:t>（</w:t>
      </w:r>
      <w:r>
        <w:rPr>
          <w:rFonts w:ascii="Times New Roman" w:hAnsi="Times New Roman" w:cs="Times New Roman" w:eastAsia="Times New Roman" w:hint="default"/>
        </w:rPr>
        <w:t>7</w:t>
      </w:r>
      <w:r>
        <w:rPr/>
        <w:t>）金融资产和金融负债的抵销 金融资产和金融负债应当在资产负债表内分别列示，不得相互抵销。但同时满足下列条件的，以相互抵销后的净额在</w:t>
      </w:r>
    </w:p>
    <w:p>
      <w:pPr>
        <w:pStyle w:val="BodyText"/>
        <w:spacing w:line="316" w:lineRule="auto" w:before="31"/>
        <w:ind w:left="584" w:right="3442" w:hanging="432"/>
        <w:jc w:val="left"/>
      </w:pPr>
      <w:r>
        <w:rPr/>
        <w:t>资产负债表内列示： 本公司具有抵销已确认金额的法定权利，且该种法定权利是当前可执行的； 本公司计划以净额结算，或同时变现该金融资产和清偿该金融负债。</w:t>
      </w:r>
    </w:p>
    <w:p>
      <w:pPr>
        <w:pStyle w:val="BodyText"/>
        <w:spacing w:line="240" w:lineRule="auto" w:before="18"/>
        <w:ind w:left="584" w:right="90"/>
        <w:jc w:val="left"/>
      </w:pPr>
      <w:r>
        <w:rPr/>
        <w:t>不满足终止确认条件的金融资产转移，转出方不得将已转移的金融资产和相关负债进行抵销。</w:t>
      </w:r>
    </w:p>
    <w:p>
      <w:pPr>
        <w:pStyle w:val="BodyText"/>
        <w:spacing w:line="240" w:lineRule="auto" w:before="76"/>
        <w:ind w:left="440" w:right="90"/>
        <w:jc w:val="left"/>
      </w:pPr>
      <w:r>
        <w:rPr/>
        <w:t>（</w:t>
      </w:r>
      <w:r>
        <w:rPr>
          <w:rFonts w:ascii="Times New Roman" w:hAnsi="Times New Roman" w:cs="Times New Roman" w:eastAsia="Times New Roman" w:hint="default"/>
        </w:rPr>
        <w:t>8</w:t>
      </w:r>
      <w:r>
        <w:rPr/>
        <w:t>）金融资产减值测试方法及减值准备计提方法</w:t>
      </w:r>
    </w:p>
    <w:p>
      <w:pPr>
        <w:pStyle w:val="BodyText"/>
        <w:spacing w:line="240" w:lineRule="auto" w:before="62"/>
        <w:ind w:left="584" w:right="90"/>
        <w:jc w:val="left"/>
      </w:pPr>
      <w:r>
        <w:rPr/>
        <w:t>①金融资产发生减值的客观证据：</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84" w:right="3277" w:firstLine="2"/>
        <w:jc w:val="left"/>
      </w:pP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债权人出于经济或法律等方面的考虑，对发生财务困难的债务人作出让步； </w:t>
      </w:r>
      <w:r>
        <w:rPr>
          <w:rFonts w:ascii="Times New Roman" w:hAnsi="Times New Roman" w:cs="Times New Roman" w:eastAsia="Times New Roman" w:hint="default"/>
        </w:rPr>
        <w:t>D.</w:t>
      </w:r>
      <w:r>
        <w:rPr/>
        <w:t>债务人可能倒闭或进行其他财务重组；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300" w:lineRule="auto" w:before="13"/>
        <w:ind w:right="237" w:firstLine="432"/>
        <w:jc w:val="left"/>
      </w:pPr>
      <w:r>
        <w:rPr>
          <w:rFonts w:ascii="Times New Roman" w:hAnsi="Times New Roman" w:cs="Times New Roman" w:eastAsia="Times New Roman" w:hint="default"/>
        </w:rPr>
        <w:t>F.</w:t>
      </w:r>
      <w:r>
        <w:rPr/>
        <w:t>无法辨认一组金融资产中的某项资产的现金流量是否已经减少，但根据公开的数据对其进行总体评价后发现，该组 金融资产自初始确认以来的预计未来现金流量确已减少且可计量；</w:t>
      </w:r>
    </w:p>
    <w:p>
      <w:pPr>
        <w:pStyle w:val="BodyText"/>
        <w:spacing w:line="300" w:lineRule="auto" w:before="31"/>
        <w:ind w:left="512" w:right="277" w:firstLine="2"/>
        <w:jc w:val="left"/>
      </w:pPr>
      <w:r>
        <w:rPr>
          <w:rFonts w:ascii="Times New Roman" w:hAnsi="Times New Roman" w:cs="Times New Roman" w:eastAsia="Times New Roman" w:hint="default"/>
        </w:rPr>
        <w:t>G.</w:t>
      </w:r>
      <w:r>
        <w:rPr/>
        <w:t>债务人经营所处的技术、市场、经济或法律环境等发生重大不利变化，使权益工具投资人可能无法收回投资成本； </w:t>
      </w:r>
      <w:r>
        <w:rPr>
          <w:rFonts w:ascii="Times New Roman" w:hAnsi="Times New Roman" w:cs="Times New Roman" w:eastAsia="Times New Roman" w:hint="default"/>
        </w:rPr>
        <w:t>H.</w:t>
      </w:r>
      <w:r>
        <w:rPr/>
        <w:t>权益工具投资的公允价值发生严重或非暂时性下跌；</w:t>
      </w:r>
    </w:p>
    <w:p>
      <w:pPr>
        <w:pStyle w:val="BodyText"/>
        <w:spacing w:line="240" w:lineRule="auto" w:before="13"/>
        <w:ind w:left="584" w:right="90"/>
        <w:jc w:val="left"/>
      </w:pPr>
      <w:r>
        <w:rPr>
          <w:rFonts w:ascii="Times New Roman" w:hAnsi="Times New Roman" w:cs="Times New Roman" w:eastAsia="Times New Roman" w:hint="default"/>
        </w:rPr>
        <w:t>I.</w:t>
      </w:r>
      <w:r>
        <w:rPr/>
        <w:t>其他表明金融资产发生减值的客观证据。</w:t>
      </w:r>
    </w:p>
    <w:p>
      <w:pPr>
        <w:pStyle w:val="BodyText"/>
        <w:spacing w:line="240" w:lineRule="auto" w:before="62"/>
        <w:ind w:left="512" w:right="90"/>
        <w:jc w:val="left"/>
      </w:pPr>
      <w:r>
        <w:rPr/>
        <w:t>②金融资产的减值测试（不包括应收款项）</w:t>
      </w:r>
    </w:p>
    <w:p>
      <w:pPr>
        <w:pStyle w:val="BodyText"/>
        <w:spacing w:line="300" w:lineRule="auto" w:before="76"/>
        <w:ind w:left="584" w:right="202" w:hanging="70"/>
        <w:jc w:val="left"/>
      </w:pPr>
      <w:r>
        <w:rPr>
          <w:rFonts w:ascii="Times New Roman" w:hAnsi="Times New Roman" w:cs="Times New Roman" w:eastAsia="Times New Roman" w:hint="default"/>
        </w:rPr>
        <w:t>A</w:t>
      </w:r>
      <w:r>
        <w:rPr/>
        <w:t>．持有至到期投资减值测试 持有至到期投资发生减值时，将该持有至到期投资的账面价值减记至预计未来现金流量（不包括尚未发生的未来信用</w:t>
      </w:r>
    </w:p>
    <w:p>
      <w:pPr>
        <w:pStyle w:val="BodyText"/>
        <w:spacing w:line="316" w:lineRule="auto" w:before="31"/>
        <w:ind w:left="512" w:right="90" w:hanging="360"/>
        <w:jc w:val="left"/>
      </w:pPr>
      <w:r>
        <w:rPr/>
        <w:t>损失）现值，减记的金额确认为资产减值损失，计入当期损益。 </w:t>
      </w:r>
      <w:r>
        <w:rPr>
          <w:spacing w:val="-2"/>
        </w:rPr>
        <w:t>预计未来现金流量现值，按照该持有至到期投资的原实际利率折现确定，并考虑相关担保物的价值（取得和出售该担保</w:t>
      </w:r>
    </w:p>
    <w:p>
      <w:pPr>
        <w:pStyle w:val="BodyText"/>
        <w:spacing w:line="316" w:lineRule="auto" w:before="18"/>
        <w:ind w:right="193"/>
        <w:jc w:val="both"/>
      </w:pPr>
      <w:r>
        <w:rPr>
          <w:spacing w:val="-2"/>
        </w:rPr>
        <w:t>物发生的费用予以扣除）。原实际利率是初始确认该持有至到期投资时计算确定的实际利率。对于浮动利率的持有至到期投</w:t>
      </w:r>
      <w:r>
        <w:rPr>
          <w:spacing w:val="-66"/>
        </w:rPr>
        <w:t> </w:t>
      </w:r>
      <w:r>
        <w:rPr>
          <w:spacing w:val="-66"/>
        </w:rPr>
      </w:r>
      <w:r>
        <w:rPr/>
        <w:t>资，在计算未来现金流量现值时可采用合同规定的现行实际利率作为折现率。</w:t>
      </w:r>
    </w:p>
    <w:p>
      <w:pPr>
        <w:pStyle w:val="BodyText"/>
        <w:spacing w:line="316" w:lineRule="auto" w:before="18"/>
        <w:ind w:right="202" w:firstLine="432"/>
        <w:jc w:val="left"/>
      </w:pPr>
      <w:r>
        <w:rPr/>
        <w:t>即使合同条款因债务方或金融资产发行方发生财务困难而重新商定或修改，在确认减值损失时，仍用条款修改前所计 算的该金融资产的原实际利率计算。</w:t>
      </w:r>
    </w:p>
    <w:p>
      <w:pPr>
        <w:pStyle w:val="BodyText"/>
        <w:spacing w:line="316" w:lineRule="auto" w:before="18"/>
        <w:ind w:right="90" w:firstLine="360"/>
        <w:jc w:val="left"/>
      </w:pPr>
      <w:r>
        <w:rPr>
          <w:spacing w:val="-2"/>
        </w:rPr>
        <w:t>对持有至到期投资确认减值损失后，如有客观证据表明该持有至到期投资价值已恢复，且客观上与确认该损失后发生的</w:t>
      </w:r>
      <w:r>
        <w:rPr/>
        <w:t> 事项有关（如债务人的信用评级已提高等），原确认的减值损失予以转回，计入当期损益。</w:t>
      </w:r>
    </w:p>
    <w:p>
      <w:pPr>
        <w:pStyle w:val="BodyText"/>
        <w:spacing w:line="309" w:lineRule="auto" w:before="18"/>
        <w:ind w:left="584" w:right="90"/>
        <w:jc w:val="left"/>
      </w:pPr>
      <w:r>
        <w:rPr>
          <w:spacing w:val="-2"/>
        </w:rPr>
        <w:t>持有至到期投资发生减值后，利息收入按照确定减值损失时对未来现金流量进行折现采用的折现率作为利率计算确认。</w:t>
      </w:r>
      <w:r>
        <w:rPr>
          <w:spacing w:val="-51"/>
        </w:rPr>
        <w:t> </w:t>
      </w:r>
      <w:r>
        <w:rPr>
          <w:spacing w:val="-51"/>
        </w:rPr>
      </w: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可供出售金融资产减值测试 在资产负债表日本公司对可供出售金融资产的减值情况进行分析，判断该项金融资产公允价值是否持续下降。通常情</w:t>
      </w:r>
    </w:p>
    <w:p>
      <w:pPr>
        <w:pStyle w:val="BodyText"/>
        <w:spacing w:line="316" w:lineRule="auto" w:before="24"/>
        <w:ind w:right="190"/>
        <w:jc w:val="both"/>
      </w:pPr>
      <w:r>
        <w:rPr/>
        <w:t>况下，如果可供出售金融资产的期末公允价值相对于成本发生较大幅度下降，或者在综合考虑各种相关因素后，</w:t>
      </w:r>
      <w:r>
        <w:rPr>
          <w:spacing w:val="-18"/>
        </w:rPr>
        <w:t> </w:t>
      </w:r>
      <w:r>
        <w:rPr/>
        <w:t>预期这种</w:t>
      </w:r>
      <w:r>
        <w:rPr/>
        <w:t> </w:t>
      </w:r>
      <w:r>
        <w:rPr>
          <w:spacing w:val="-2"/>
        </w:rPr>
        <w:t>下降趋势属于非暂时性的，可以认定该可供出售金融资产已发生减值，确认减值损失。可供出售金融资产发生减值的，在确</w:t>
      </w:r>
      <w:r>
        <w:rPr>
          <w:spacing w:val="-64"/>
        </w:rPr>
        <w:t> </w:t>
      </w:r>
      <w:r>
        <w:rPr>
          <w:spacing w:val="-64"/>
        </w:rPr>
      </w:r>
      <w:r>
        <w:rPr/>
        <w:t>认减值损失时，将原直接计入所有者权益的公允价值下降形成的累计损失一并转出，计入资产减值损失。</w:t>
      </w:r>
    </w:p>
    <w:p>
      <w:pPr>
        <w:pStyle w:val="BodyText"/>
        <w:spacing w:line="316" w:lineRule="auto" w:before="18"/>
        <w:ind w:left="584" w:right="202"/>
        <w:jc w:val="left"/>
      </w:pPr>
      <w:r>
        <w:rPr/>
        <w:t>可供出售债务工具金融资产是否发生减值，可参照上述可供出售权益工具投资进行分析判断。 可供出售权益工具投资发生的减值损失，不得通过损益转回。 可供出售债务工具金融资产发生减值后，利息收入按照确定减值损失时对未来现金流量进行折现采用的折现率作为利</w:t>
      </w:r>
    </w:p>
    <w:p>
      <w:pPr>
        <w:pStyle w:val="BodyText"/>
        <w:spacing w:line="240" w:lineRule="auto" w:before="18"/>
        <w:ind w:right="0"/>
        <w:jc w:val="both"/>
      </w:pPr>
      <w:r>
        <w:rPr/>
        <w:t>率计算确认</w:t>
      </w:r>
    </w:p>
    <w:p>
      <w:pPr>
        <w:pStyle w:val="BodyText"/>
        <w:spacing w:line="316" w:lineRule="auto" w:before="76"/>
        <w:ind w:right="202" w:firstLine="432"/>
        <w:jc w:val="left"/>
      </w:pPr>
      <w:r>
        <w:rPr/>
        <w:t>对于已确认减值损失的可供出售债务工具，在随后的会计期间公允价值已上升且客观上与确认原减值损失确认后发生 的事项有关的，原确认的减值损失予以转回，计入当期损益。</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11、应收款项" w:id="173"/>
      <w:bookmarkEnd w:id="17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74"/>
      <w:bookmarkEnd w:id="17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万元以上应收账款，</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万元以上其他应收款确 定为单项金额重大。</w:t>
            </w:r>
          </w:p>
        </w:tc>
      </w:tr>
      <w:tr>
        <w:trPr>
          <w:trHeight w:val="1337"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 证据表明其发生了减值的，根据其未来现金流量现值低于其 账面价值的差额，确认减值损失，并据此计提相应的坏账准 备。</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40"/>
        </w:sectPr>
      </w:pPr>
    </w:p>
    <w:p>
      <w:pPr>
        <w:spacing w:line="240" w:lineRule="auto" w:before="10"/>
        <w:rPr>
          <w:rFonts w:ascii="宋体" w:hAnsi="宋体" w:cs="宋体" w:eastAsia="宋体" w:hint="default"/>
          <w:b/>
          <w:bCs/>
          <w:sz w:val="24"/>
          <w:szCs w:val="24"/>
        </w:rPr>
      </w:pPr>
    </w:p>
    <w:p>
      <w:pPr>
        <w:pStyle w:val="Heading3"/>
        <w:spacing w:line="240" w:lineRule="auto" w:before="36"/>
        <w:ind w:right="90"/>
        <w:jc w:val="left"/>
        <w:rPr>
          <w:b w:val="0"/>
          <w:bCs w:val="0"/>
        </w:rPr>
      </w:pPr>
      <w:bookmarkStart w:name="（2）按信用风险特征组合计提坏账准备的应收款项" w:id="175"/>
      <w:bookmarkEnd w:id="17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90"/>
        <w:jc w:val="left"/>
      </w:pPr>
      <w:r>
        <w:rPr/>
        <w:t>组合中，采用账龄分析法计提坏账准备的：</w:t>
      </w:r>
    </w:p>
    <w:p>
      <w:pPr>
        <w:pStyle w:val="BodyText"/>
        <w:spacing w:line="240" w:lineRule="auto" w:before="115"/>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90"/>
        <w:jc w:val="left"/>
      </w:pPr>
      <w:r>
        <w:rPr/>
        <w:t>组合中，采用余额百分比法计提坏账准备的：</w:t>
      </w:r>
    </w:p>
    <w:p>
      <w:pPr>
        <w:pStyle w:val="BodyText"/>
        <w:spacing w:line="338" w:lineRule="auto" w:before="117"/>
        <w:ind w:right="65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0"/>
        <w:jc w:val="left"/>
        <w:rPr>
          <w:b w:val="0"/>
          <w:bCs w:val="0"/>
        </w:rPr>
      </w:pPr>
      <w:bookmarkStart w:name="（3）单项金额不重大但单独计提坏账准备的应收款项" w:id="176"/>
      <w:bookmarkEnd w:id="17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102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对单项金额不重大但已有客观证据表明其发生了减值的应收 款项，按账龄分析法计提的坏账准备不能反映实际情况，本 公司单独进行减值测试</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损失，并据此计提相应的坏账准备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90"/>
        <w:jc w:val="left"/>
        <w:rPr>
          <w:b w:val="0"/>
          <w:bCs w:val="0"/>
        </w:rPr>
      </w:pPr>
      <w:bookmarkStart w:name="12、存货" w:id="177"/>
      <w:bookmarkEnd w:id="177"/>
      <w:r>
        <w:rPr>
          <w:b w:val="0"/>
          <w:bCs w:val="0"/>
        </w:rPr>
      </w: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94" w:firstLine="432"/>
        <w:jc w:val="left"/>
      </w:pPr>
      <w:r>
        <w:rPr>
          <w:rFonts w:ascii="Times New Roman" w:hAnsi="Times New Roman" w:cs="Times New Roman" w:eastAsia="Times New Roman" w:hint="default"/>
        </w:rPr>
        <w:t>(1)</w:t>
      </w:r>
      <w:r>
        <w:rPr/>
        <w:t>存货分类：存货是指本公司在日常活动中持有以备出售的产成品或商品、处在生产过程中的在产品、在生产过程或</w:t>
      </w:r>
      <w:r>
        <w:rPr>
          <w:w w:val="99"/>
        </w:rPr>
        <w:t> </w:t>
      </w:r>
      <w:r>
        <w:rPr/>
        <w:t>提供劳务过程中耗用的材料和物料、处在开发过程中的软件产品、外购的以备出售的软件产品等，包括原材料、周转材料、</w:t>
      </w:r>
      <w:r>
        <w:rPr>
          <w:w w:val="99"/>
        </w:rPr>
        <w:t> </w:t>
      </w:r>
      <w:r>
        <w:rPr/>
        <w:t>库存商品、发出商品、工程施工等。</w:t>
      </w:r>
    </w:p>
    <w:p>
      <w:pPr>
        <w:pStyle w:val="BodyText"/>
        <w:spacing w:line="300" w:lineRule="auto" w:before="24"/>
        <w:ind w:left="584" w:right="172"/>
        <w:jc w:val="left"/>
      </w:pPr>
      <w:r>
        <w:rPr>
          <w:rFonts w:ascii="Times New Roman" w:hAnsi="Times New Roman" w:cs="Times New Roman" w:eastAsia="Times New Roman" w:hint="default"/>
        </w:rPr>
        <w:t>(2)</w:t>
      </w:r>
      <w:r>
        <w:rPr/>
        <w:t>发出存货的计价方法：发出时按加权平均法。</w:t>
      </w:r>
      <w:r>
        <w:rPr>
          <w:w w:val="99"/>
        </w:rPr>
        <w:t> </w:t>
      </w:r>
      <w:r>
        <w:rPr>
          <w:rFonts w:ascii="Times New Roman" w:hAnsi="Times New Roman" w:cs="Times New Roman" w:eastAsia="Times New Roman" w:hint="default"/>
        </w:rPr>
        <w:t>(3)</w:t>
      </w:r>
      <w:r>
        <w:rPr/>
        <w:t>工程施工核算方法：工程施工按累计已发生的成本和累计已确认的毛利（亏损）减已办理结算的价款金额计价。工</w:t>
      </w:r>
    </w:p>
    <w:p>
      <w:pPr>
        <w:pStyle w:val="BodyText"/>
        <w:spacing w:line="307" w:lineRule="auto" w:before="13"/>
        <w:ind w:left="584" w:right="172" w:hanging="432"/>
        <w:jc w:val="left"/>
      </w:pPr>
      <w:r>
        <w:rPr/>
        <w:t>程施工成本以实际成本核算，包括已安装产品及耗用的材料成本、劳务费及其他费用。 </w:t>
      </w:r>
      <w:r>
        <w:rPr>
          <w:rFonts w:ascii="Times New Roman" w:hAnsi="Times New Roman" w:cs="Times New Roman" w:eastAsia="Times New Roman" w:hint="default"/>
        </w:rPr>
        <w:t>(4)</w:t>
      </w:r>
      <w:r>
        <w:rPr/>
        <w:t>存货的盘存制度：采用永续盘存制。 </w:t>
      </w:r>
      <w:r>
        <w:rPr>
          <w:rFonts w:ascii="Times New Roman" w:hAnsi="Times New Roman" w:cs="Times New Roman" w:eastAsia="Times New Roman" w:hint="default"/>
        </w:rPr>
        <w:t>(5)</w:t>
      </w:r>
      <w:r>
        <w:rPr/>
        <w:t>资产负债表日按成本与可变现净值孰低计量，存货成本高于其可变现净值的，计提存货跌价准备，计入当期损益。 在确定存货的可变现净值时，以取得的可靠证据为基础，并且考虑持有存货的目的、资产负债表日后事项的影响等因</w:t>
      </w:r>
    </w:p>
    <w:p>
      <w:pPr>
        <w:pStyle w:val="BodyText"/>
        <w:spacing w:line="240" w:lineRule="auto" w:before="26"/>
        <w:ind w:right="90"/>
        <w:jc w:val="left"/>
      </w:pPr>
      <w:r>
        <w:rPr/>
        <w:t>素。</w:t>
      </w:r>
    </w:p>
    <w:p>
      <w:pPr>
        <w:pStyle w:val="BodyText"/>
        <w:spacing w:line="240" w:lineRule="auto" w:before="76"/>
        <w:ind w:left="584" w:right="90"/>
        <w:jc w:val="left"/>
      </w:pPr>
      <w:r>
        <w:rPr/>
        <w:t>①产成品、库存商品、用于出售的材料和软件产品等等直接用于出售的存货，在正常生产经营过程中，以该存货的估</w:t>
      </w:r>
    </w:p>
    <w:p>
      <w:pPr>
        <w:pStyle w:val="BodyText"/>
        <w:spacing w:line="316" w:lineRule="auto" w:before="76"/>
        <w:ind w:right="193"/>
        <w:jc w:val="both"/>
      </w:pPr>
      <w:r>
        <w:rPr>
          <w:spacing w:val="-2"/>
        </w:rPr>
        <w:t>计售价减去估计的销售费用和相关税费后的金额确定其可变现净值。为执行销售合同或者劳务合同而持有的存货，以合同价</w:t>
      </w:r>
      <w:r>
        <w:rPr>
          <w:spacing w:val="-64"/>
        </w:rPr>
        <w:t> </w:t>
      </w:r>
      <w:r>
        <w:rPr>
          <w:spacing w:val="-64"/>
        </w:rPr>
      </w:r>
      <w:r>
        <w:rPr>
          <w:spacing w:val="-2"/>
        </w:rPr>
        <w:t>格作为其可变现净值的计量基础；如果持有存货的数量多于销售合同订购数量，超出部分的存货可变现净值以一般销售价格</w:t>
      </w:r>
      <w:r>
        <w:rPr>
          <w:spacing w:val="-64"/>
        </w:rPr>
        <w:t> </w:t>
      </w:r>
      <w:r>
        <w:rPr>
          <w:spacing w:val="-64"/>
        </w:rPr>
      </w:r>
      <w:r>
        <w:rPr/>
        <w:t>为计量基础。用于出售的材料等，以市场价格作为其可变现净值的计量基础。</w:t>
      </w:r>
    </w:p>
    <w:p>
      <w:pPr>
        <w:pStyle w:val="BodyText"/>
        <w:spacing w:line="240" w:lineRule="auto" w:before="18"/>
        <w:ind w:left="584" w:right="90"/>
        <w:jc w:val="left"/>
      </w:pPr>
      <w:r>
        <w:rPr/>
        <w:t>②需要经过加工的材料存货，在正常生产经营过程中，以所生产的产成品的估计售价减去至完工时估计将要发生的成</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04"/>
        <w:jc w:val="both"/>
      </w:pPr>
      <w:r>
        <w:rPr>
          <w:spacing w:val="-2"/>
        </w:rPr>
        <w:t>本、估计的销售费用和相关税费后的金额确定其可变现净值。如果用其生产的产成品的可变现净值高于成本，则该材料按成</w:t>
      </w:r>
      <w:r>
        <w:rPr>
          <w:spacing w:val="-63"/>
        </w:rPr>
        <w:t> </w:t>
      </w:r>
      <w:r>
        <w:rPr>
          <w:spacing w:val="-63"/>
        </w:rPr>
      </w:r>
      <w:r>
        <w:rPr>
          <w:spacing w:val="-4"/>
        </w:rPr>
        <w:t>本计量；如果材料价格的下降表明产成品的可变现净值低于成本，则该材料按可变现净值计量，按其差额计提存货跌价准备。</w:t>
      </w:r>
    </w:p>
    <w:p>
      <w:pPr>
        <w:pStyle w:val="BodyText"/>
        <w:spacing w:line="316" w:lineRule="auto" w:before="18"/>
        <w:ind w:right="219" w:firstLine="432"/>
        <w:jc w:val="both"/>
      </w:pPr>
      <w:r>
        <w:rPr/>
        <w:t>③工程施工成本，对预计工程总成本超过预计总收入（扣除相关税费）的工程项目，按照预计工程总成本超过预计总 收入（扣除相关税费）的部分，计提存货跌价准备。</w:t>
      </w:r>
    </w:p>
    <w:p>
      <w:pPr>
        <w:pStyle w:val="BodyText"/>
        <w:spacing w:line="240" w:lineRule="auto" w:before="18"/>
        <w:ind w:left="584" w:right="90"/>
        <w:jc w:val="left"/>
      </w:pPr>
      <w:r>
        <w:rPr/>
        <w:t>④存货跌价准备一般按单个存货项目计提；对于数量繁多、单价较低的存货，按存货类别计提。</w:t>
      </w:r>
    </w:p>
    <w:p>
      <w:pPr>
        <w:pStyle w:val="BodyText"/>
        <w:spacing w:line="316" w:lineRule="auto" w:before="76"/>
        <w:ind w:right="219" w:firstLine="432"/>
        <w:jc w:val="both"/>
      </w:pPr>
      <w:r>
        <w:rPr/>
        <w:t>⑤资产负债表日如果以前减记存货价值的影响因素已经消失，则减记的金额予以恢复，并在原已计提的存货跌价准备 的金额内转回，转回的金额计入当期损益。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13、划分为持有待售资产" w:id="178"/>
      <w:bookmarkEnd w:id="178"/>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14、长期股权投资" w:id="179"/>
      <w:bookmarkEnd w:id="17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219" w:firstLine="432"/>
        <w:jc w:val="both"/>
      </w:pPr>
      <w:r>
        <w:rPr/>
        <w:t>本公司长期股权投资包括对被投资单位实施控制、重大影响的权益性投资，以及对合营企业的权益性投资。本公司能 够对被投资单位施加重大影响的，为本公司的联营企业。</w:t>
      </w:r>
    </w:p>
    <w:p>
      <w:pPr>
        <w:pStyle w:val="BodyText"/>
        <w:spacing w:line="300" w:lineRule="auto" w:before="18"/>
        <w:ind w:left="584" w:right="202" w:hanging="72"/>
        <w:jc w:val="left"/>
      </w:pPr>
      <w:r>
        <w:rPr/>
        <w:t>（</w:t>
      </w:r>
      <w:r>
        <w:rPr>
          <w:rFonts w:ascii="Times New Roman" w:hAnsi="Times New Roman" w:cs="Times New Roman" w:eastAsia="Times New Roman" w:hint="default"/>
        </w:rPr>
        <w:t>1</w:t>
      </w:r>
      <w:r>
        <w:rPr/>
        <w:t>）确定对被投资单位具有共同控制、重大影响的依据 共同控制，是指按照相关约定对某项安排所共有的控制，并且该安排的相关活动必须经过分享控制权的参与方一致同</w:t>
      </w:r>
    </w:p>
    <w:p>
      <w:pPr>
        <w:pStyle w:val="BodyText"/>
        <w:spacing w:line="316" w:lineRule="auto" w:before="31"/>
        <w:ind w:right="190"/>
        <w:jc w:val="both"/>
      </w:pPr>
      <w:r>
        <w:rPr>
          <w:spacing w:val="-2"/>
        </w:rPr>
        <w:t>意后才能决策。在判断是否存在共同控制时，首先判断所有参与方或参与方组合是否集体控制该安排，如果所有参与方或一</w:t>
      </w:r>
      <w:r>
        <w:rPr>
          <w:spacing w:val="-63"/>
        </w:rPr>
        <w:t> </w:t>
      </w:r>
      <w:r>
        <w:rPr>
          <w:spacing w:val="-63"/>
        </w:rPr>
      </w:r>
      <w:r>
        <w:rPr>
          <w:spacing w:val="-2"/>
        </w:rPr>
        <w:t>组参与方必须一致行动才能决定某项安排的相关活动，则认为所有参与方或一组参与方集体控制该安排。其次再判断该安排</w:t>
      </w:r>
      <w:r>
        <w:rPr>
          <w:spacing w:val="-64"/>
        </w:rPr>
        <w:t> </w:t>
      </w:r>
      <w:r>
        <w:rPr>
          <w:spacing w:val="-64"/>
        </w:rPr>
      </w:r>
      <w:r>
        <w:rPr>
          <w:spacing w:val="-2"/>
        </w:rPr>
        <w:t>相关活动的决策是否必须经过这些集体控制该安排的参与方一致同意。如果存在两个或两个以上的参与方组合能够集体控制</w:t>
      </w:r>
      <w:r>
        <w:rPr>
          <w:spacing w:val="-64"/>
        </w:rPr>
        <w:t> </w:t>
      </w:r>
      <w:r>
        <w:rPr>
          <w:spacing w:val="-64"/>
        </w:rPr>
      </w:r>
      <w:r>
        <w:rPr/>
        <w:t>某项安排的，不构成共同控制。判断是否存在共同控制时，不考虑享有的保护性权利。</w:t>
      </w:r>
    </w:p>
    <w:p>
      <w:pPr>
        <w:pStyle w:val="BodyText"/>
        <w:spacing w:line="316" w:lineRule="auto" w:before="18"/>
        <w:ind w:right="193" w:firstLine="432"/>
        <w:jc w:val="both"/>
      </w:pPr>
      <w:r>
        <w:rPr/>
        <w:t>重大影响，是指投资方对被投资单位的财务和经营政策有参与决策的权力，但并不能够控制或者与其他方一起共同控 </w:t>
      </w:r>
      <w:r>
        <w:rPr>
          <w:spacing w:val="-2"/>
        </w:rPr>
        <w:t>制这些政策的制定。在确定能否对被投资单位施加重大影响时，考虑投资方直接或间接持有被投资单位的表决权股份以及投</w:t>
      </w:r>
      <w:r>
        <w:rPr>
          <w:spacing w:val="-64"/>
        </w:rPr>
        <w:t> </w:t>
      </w:r>
      <w:r>
        <w:rPr>
          <w:spacing w:val="-64"/>
        </w:rPr>
      </w:r>
      <w:r>
        <w:rPr>
          <w:spacing w:val="-2"/>
        </w:rPr>
        <w:t>资方及其他方持有的当期可执行潜在表决权在假定转换为对被投资方单位的股权后产生的影响，包括被投资单位发行的当期</w:t>
      </w:r>
      <w:r>
        <w:rPr>
          <w:spacing w:val="-64"/>
        </w:rPr>
        <w:t> </w:t>
      </w:r>
      <w:r>
        <w:rPr>
          <w:spacing w:val="-64"/>
        </w:rPr>
      </w:r>
      <w:r>
        <w:rPr/>
        <w:t>可转换的认股权证、股份期权及可转换公司债券等的影响。</w:t>
      </w:r>
    </w:p>
    <w:p>
      <w:pPr>
        <w:pStyle w:val="BodyText"/>
        <w:spacing w:line="300" w:lineRule="auto" w:before="18"/>
        <w:ind w:right="193" w:firstLine="432"/>
        <w:jc w:val="both"/>
      </w:pPr>
      <w:r>
        <w:rPr>
          <w:spacing w:val="-2"/>
        </w:rPr>
        <w:t>当本公司直接或通过子公司间接拥有被投资单位</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）以上但低于</w:t>
      </w:r>
      <w:r>
        <w:rPr>
          <w:rFonts w:ascii="Times New Roman" w:hAnsi="Times New Roman" w:cs="Times New Roman" w:eastAsia="Times New Roman" w:hint="default"/>
          <w:spacing w:val="-2"/>
        </w:rPr>
        <w:t>50%</w:t>
      </w:r>
      <w:r>
        <w:rPr>
          <w:spacing w:val="-2"/>
        </w:rPr>
        <w:t>的表决权股份时，一般认为对被投资单</w:t>
      </w:r>
      <w:r>
        <w:rPr/>
        <w:t> 位具有重大影响，除非有明确证据表明该种情况下不能参与被投资单位的生产经营决策，不形成重大影响。</w:t>
      </w:r>
    </w:p>
    <w:p>
      <w:pPr>
        <w:pStyle w:val="BodyText"/>
        <w:spacing w:line="240" w:lineRule="auto" w:before="31"/>
        <w:ind w:left="512" w:right="90"/>
        <w:jc w:val="left"/>
      </w:pPr>
      <w:r>
        <w:rPr/>
        <w:t>（</w:t>
      </w:r>
      <w:r>
        <w:rPr>
          <w:rFonts w:ascii="Times New Roman" w:hAnsi="Times New Roman" w:cs="Times New Roman" w:eastAsia="Times New Roman" w:hint="default"/>
        </w:rPr>
        <w:t>2</w:t>
      </w:r>
      <w:r>
        <w:rPr/>
        <w:t>）初始投资成本确定</w:t>
      </w:r>
    </w:p>
    <w:p>
      <w:pPr>
        <w:pStyle w:val="BodyText"/>
        <w:spacing w:line="240" w:lineRule="auto" w:before="62"/>
        <w:ind w:left="584" w:right="90"/>
        <w:jc w:val="left"/>
      </w:pPr>
      <w:r>
        <w:rPr/>
        <w:t>①</w:t>
      </w:r>
      <w:r>
        <w:rPr>
          <w:spacing w:val="-45"/>
        </w:rPr>
        <w:t> </w:t>
      </w:r>
      <w:r>
        <w:rPr/>
        <w:t>企业合并形成的长期股权投资，按照下列规定确定其投资成本：</w:t>
      </w:r>
    </w:p>
    <w:p>
      <w:pPr>
        <w:pStyle w:val="BodyText"/>
        <w:spacing w:line="312" w:lineRule="auto" w:before="76"/>
        <w:ind w:right="190" w:firstLine="434"/>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13"/>
        </w:rPr>
        <w:t> </w:t>
      </w:r>
      <w:r>
        <w:rPr/>
        <w:t>同一控制下的企业合并，合并方以支付现金、转让非现金资产或承担债务方式作为合并对价的，在合并日按照被合 </w:t>
      </w:r>
      <w:r>
        <w:rPr>
          <w:spacing w:val="-2"/>
        </w:rPr>
        <w:t>并方所有者权益在最终控制方合并财务报表中的账面价值的份额作为长期股权投资的初始投资成本。长期股权投资初始投资</w:t>
      </w:r>
      <w:r>
        <w:rPr>
          <w:spacing w:val="-64"/>
        </w:rPr>
        <w:t> </w:t>
      </w:r>
      <w:r>
        <w:rPr>
          <w:spacing w:val="-64"/>
        </w:rPr>
      </w:r>
      <w:r>
        <w:rPr>
          <w:spacing w:val="-2"/>
        </w:rPr>
        <w:t>成本与支付的现金、转让的非现金资产以及所承担债务账面价值之间的差额，调整资本公积；资本公积不足冲减的，调整留</w:t>
      </w:r>
      <w:r>
        <w:rPr>
          <w:spacing w:val="-64"/>
        </w:rPr>
        <w:t> </w:t>
      </w:r>
      <w:r>
        <w:rPr>
          <w:spacing w:val="-64"/>
        </w:rPr>
      </w:r>
      <w:r>
        <w:rPr/>
        <w:t>存收益；</w:t>
      </w:r>
    </w:p>
    <w:p>
      <w:pPr>
        <w:pStyle w:val="BodyText"/>
        <w:spacing w:line="309" w:lineRule="auto" w:before="22"/>
        <w:ind w:right="193" w:firstLine="432"/>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3"/>
        </w:rPr>
        <w:t> </w:t>
      </w:r>
      <w:r>
        <w:rPr/>
        <w:t>同一控制下的企业合并，合并方以发行权益性证券作为合并对价的，在合并日按照被合并方所有者权益在最终控制 </w:t>
      </w:r>
      <w:r>
        <w:rPr>
          <w:spacing w:val="-2"/>
        </w:rPr>
        <w:t>方合并财务报表中的账面价值的份额作为长期股权投资的初始投资成本。按照发行股份的面值总额作为股本，长期股权投资</w:t>
      </w:r>
      <w:r>
        <w:rPr>
          <w:spacing w:val="-64"/>
        </w:rPr>
        <w:t> </w:t>
      </w:r>
      <w:r>
        <w:rPr>
          <w:spacing w:val="-64"/>
        </w:rPr>
      </w:r>
      <w:r>
        <w:rPr/>
        <w:t>初始投资成本与所发行股份面值总额之间的差额，调整资本公积；资本公积不足冲减的，调整留存收益；</w:t>
      </w:r>
    </w:p>
    <w:p>
      <w:pPr>
        <w:pStyle w:val="BodyText"/>
        <w:spacing w:line="309" w:lineRule="auto" w:before="24"/>
        <w:ind w:right="193" w:firstLine="432"/>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3"/>
        </w:rPr>
        <w:t> </w:t>
      </w:r>
      <w:r>
        <w:rPr/>
        <w:t>非同一控制下的企业合并，以购买日为取得对被购买方的控制权而付出的资产、发生或承担的负债以及发行的权益 </w:t>
      </w:r>
      <w:r>
        <w:rPr>
          <w:spacing w:val="-2"/>
        </w:rPr>
        <w:t>性证券的公允价值确定为合并成本作为长期股权投资的初始投资成本。合并方为企业合并发生的审计、法律服务、评估咨询</w:t>
      </w:r>
      <w:r>
        <w:rPr>
          <w:spacing w:val="-66"/>
        </w:rPr>
        <w:t> </w:t>
      </w:r>
      <w:r>
        <w:rPr>
          <w:spacing w:val="-66"/>
        </w:rPr>
      </w:r>
      <w:r>
        <w:rPr/>
        <w:t>等中介费用以及其他相关管理费用，于发生时计入当期损益。</w:t>
      </w:r>
    </w:p>
    <w:p>
      <w:pPr>
        <w:pStyle w:val="BodyText"/>
        <w:spacing w:line="240" w:lineRule="auto" w:before="24"/>
        <w:ind w:left="584" w:right="90"/>
        <w:jc w:val="left"/>
      </w:pPr>
      <w:r>
        <w:rPr/>
        <w:t>②</w:t>
      </w:r>
      <w:r>
        <w:rPr>
          <w:spacing w:val="-45"/>
        </w:rPr>
        <w:t> </w:t>
      </w:r>
      <w:r>
        <w:rPr/>
        <w:t>除企业合并形成的长期股权投资以外，其他方式取得的长期股权投资，按照下列规定确定其投资成本：</w:t>
      </w:r>
    </w:p>
    <w:p>
      <w:pPr>
        <w:pStyle w:val="BodyText"/>
        <w:spacing w:line="300" w:lineRule="auto" w:before="76"/>
        <w:ind w:right="195" w:firstLine="434"/>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15"/>
        </w:rPr>
        <w:t> </w:t>
      </w:r>
      <w:r>
        <w:rPr/>
        <w:t>以支付现金取得的长期股权投资，按照实际支付的购买价款作为投资成本。初始投资成本包括与取得长期股权投资 直接相关的费用、税金及其他必要支出；</w:t>
      </w:r>
    </w:p>
    <w:p>
      <w:pPr>
        <w:pStyle w:val="BodyText"/>
        <w:spacing w:line="240" w:lineRule="auto" w:before="31"/>
        <w:ind w:left="584" w:right="9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以发行权益性证券取得的长期股权投资，按照发行权益性证券的公允价值作为初始投资成本；</w:t>
      </w:r>
    </w:p>
    <w:p>
      <w:pPr>
        <w:pStyle w:val="BodyText"/>
        <w:spacing w:line="240" w:lineRule="auto" w:before="62"/>
        <w:ind w:left="584" w:right="9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5"/>
        </w:rPr>
        <w:t> </w:t>
      </w:r>
      <w:r>
        <w:rPr/>
        <w:t>通过非货币性资产交换取得的长期股权投资，如果该项交换具有商业实质且换入资产或换出资产的公允价值能可靠</w:t>
      </w:r>
    </w:p>
    <w:p>
      <w:pPr>
        <w:spacing w:after="0" w:line="240" w:lineRule="auto"/>
        <w:jc w:val="left"/>
        <w:sectPr>
          <w:footerReference w:type="default" r:id="rId18"/>
          <w:pgSz w:w="11910" w:h="16840"/>
          <w:pgMar w:footer="982" w:header="745" w:top="1060" w:bottom="1180" w:left="980" w:right="940"/>
          <w:pgNumType w:start="119"/>
        </w:sectPr>
      </w:pPr>
    </w:p>
    <w:p>
      <w:pPr>
        <w:spacing w:line="240" w:lineRule="auto" w:before="9"/>
        <w:rPr>
          <w:rFonts w:ascii="宋体" w:hAnsi="宋体" w:cs="宋体" w:eastAsia="宋体" w:hint="default"/>
          <w:sz w:val="25"/>
          <w:szCs w:val="25"/>
        </w:rPr>
      </w:pPr>
    </w:p>
    <w:p>
      <w:pPr>
        <w:pStyle w:val="BodyText"/>
        <w:spacing w:line="316" w:lineRule="auto" w:before="44"/>
        <w:ind w:right="94"/>
        <w:jc w:val="left"/>
      </w:pPr>
      <w:r>
        <w:rPr/>
        <w:t>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p>
    <w:p>
      <w:pPr>
        <w:pStyle w:val="BodyText"/>
        <w:spacing w:line="300" w:lineRule="auto" w:before="18"/>
        <w:ind w:right="195" w:firstLine="432"/>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13"/>
        </w:rPr>
        <w:t> </w:t>
      </w:r>
      <w:r>
        <w:rPr/>
        <w:t>通过债务重组取得的长期股权投资，按取得的股权的公允价值作为初始投资成本，初始投资成本与债权账面价值之 间的差额计入当期损益。</w:t>
      </w:r>
    </w:p>
    <w:p>
      <w:pPr>
        <w:pStyle w:val="BodyText"/>
        <w:spacing w:line="300" w:lineRule="auto" w:before="31"/>
        <w:ind w:left="584" w:right="202" w:hanging="72"/>
        <w:jc w:val="left"/>
      </w:pPr>
      <w:r>
        <w:rPr/>
        <w:t>（</w:t>
      </w:r>
      <w:r>
        <w:rPr>
          <w:rFonts w:ascii="Times New Roman" w:hAnsi="Times New Roman" w:cs="Times New Roman" w:eastAsia="Times New Roman" w:hint="default"/>
        </w:rPr>
        <w:t>3</w:t>
      </w:r>
      <w:r>
        <w:rPr/>
        <w:t>）后续计量及损益确认方法 本公司能够对被投资单位实施控制的长期股权投资采用成本法核算；对联营企业和合营企业的长期股权投资采用权益</w:t>
      </w:r>
    </w:p>
    <w:p>
      <w:pPr>
        <w:pStyle w:val="BodyText"/>
        <w:spacing w:line="240" w:lineRule="auto" w:before="31"/>
        <w:ind w:right="90"/>
        <w:jc w:val="left"/>
      </w:pPr>
      <w:r>
        <w:rPr/>
        <w:t>法核算。</w:t>
      </w:r>
    </w:p>
    <w:p>
      <w:pPr>
        <w:pStyle w:val="BodyText"/>
        <w:spacing w:line="316" w:lineRule="auto" w:before="76"/>
        <w:ind w:left="584" w:right="202"/>
        <w:jc w:val="left"/>
      </w:pPr>
      <w:r>
        <w:rPr/>
        <w:t>①成本法 采用成本法核算的长期股权投资，追加或收回投资时调整长期股权投资的成本；被投资单位宣告分派的现金股利或利</w:t>
      </w:r>
    </w:p>
    <w:p>
      <w:pPr>
        <w:pStyle w:val="BodyText"/>
        <w:spacing w:line="240" w:lineRule="auto" w:before="18"/>
        <w:ind w:right="90"/>
        <w:jc w:val="left"/>
      </w:pPr>
      <w:r>
        <w:rPr/>
        <w:t>润，确认为当期投资收益。</w:t>
      </w:r>
    </w:p>
    <w:p>
      <w:pPr>
        <w:pStyle w:val="BodyText"/>
        <w:spacing w:line="316" w:lineRule="auto" w:before="76"/>
        <w:ind w:left="584" w:right="5242"/>
        <w:jc w:val="left"/>
      </w:pPr>
      <w:r>
        <w:rPr/>
        <w:t>②权益法 按照权益法核算的长期股权投资，一般会计处理为：</w:t>
      </w:r>
    </w:p>
    <w:p>
      <w:pPr>
        <w:pStyle w:val="BodyText"/>
        <w:spacing w:line="316" w:lineRule="auto" w:before="18"/>
        <w:ind w:right="193" w:firstLine="432"/>
        <w:jc w:val="both"/>
      </w:pPr>
      <w:r>
        <w:rPr/>
        <w:t>本公司长期股权投资的投资成本大于投资时应享有被投资单位可辨认净资产公允价值份额的，不调整长期股权投资的 </w:t>
      </w:r>
      <w:r>
        <w:rPr>
          <w:spacing w:val="-2"/>
        </w:rPr>
        <w:t>初始投资成本；长期股权投资的初始投资成本小于投资时应享有被投资单位可辨认净资产公允价值份额的，其差额计入当期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8"/>
        <w:ind w:right="145" w:firstLine="504"/>
        <w:jc w:val="both"/>
      </w:pPr>
      <w:r>
        <w:rPr/>
        <w:t>本公司按照应享有或应分担的被投资单位实现的净损益和其他综合收益的份额，分别确认投资收益和其他综合收益， </w:t>
      </w:r>
      <w:r>
        <w:rPr>
          <w:spacing w:val="-2"/>
        </w:rPr>
        <w:t>同时调整长期股权投资的账面价值；本公司按照被投资单位宣告分派的利润或现金股利计算应享有的部分，相应减少长期股</w:t>
      </w:r>
      <w:r>
        <w:rPr>
          <w:spacing w:val="-64"/>
        </w:rPr>
        <w:t> </w:t>
      </w:r>
      <w:r>
        <w:rPr>
          <w:spacing w:val="-64"/>
        </w:rPr>
      </w:r>
      <w:r>
        <w:rPr>
          <w:spacing w:val="-2"/>
        </w:rPr>
        <w:t>权投资的账面价值；被投资单位除净损益、其他综合收益和利润分配以外所有者权益的其他变动，调整长期股权投资的账面</w:t>
      </w:r>
      <w:r>
        <w:rPr>
          <w:spacing w:val="-63"/>
        </w:rPr>
        <w:t> </w:t>
      </w:r>
      <w:r>
        <w:rPr>
          <w:spacing w:val="-63"/>
        </w:rPr>
      </w:r>
      <w:r>
        <w:rPr>
          <w:spacing w:val="-2"/>
        </w:rPr>
        <w:t>价值并计入所有者权益。在确认应享有被投资单位净损益的份额时，以取得投资时被投资单位可辨认净资产的公允价值为基</w:t>
      </w:r>
      <w:r>
        <w:rPr>
          <w:spacing w:val="-64"/>
        </w:rPr>
        <w:t> </w:t>
      </w:r>
      <w:r>
        <w:rPr>
          <w:spacing w:val="-64"/>
        </w:rPr>
      </w:r>
      <w:r>
        <w:rPr>
          <w:spacing w:val="-2"/>
        </w:rPr>
        <w:t>础，对被投资单位的净利润进行调整后确认。被投资单位采用的会计政策及会计期间与本公司不一致的，应按照本公司的会</w:t>
      </w:r>
      <w:r>
        <w:rPr>
          <w:spacing w:val="-63"/>
        </w:rPr>
        <w:t> </w:t>
      </w:r>
      <w:r>
        <w:rPr>
          <w:spacing w:val="-63"/>
        </w:rPr>
      </w:r>
      <w:r>
        <w:rPr>
          <w:spacing w:val="-2"/>
        </w:rPr>
        <w:t>计政策及会计期间对被投资单位的财务报表进行调整，并据以确认投资收益和其他综合收益等。本公司与联营企业及合营企</w:t>
      </w:r>
      <w:r>
        <w:rPr>
          <w:spacing w:val="-64"/>
        </w:rPr>
        <w:t> </w:t>
      </w:r>
      <w:r>
        <w:rPr>
          <w:spacing w:val="-64"/>
        </w:rPr>
      </w:r>
      <w:r>
        <w:rPr>
          <w:spacing w:val="-2"/>
        </w:rPr>
        <w:t>业之间发生的未实现内部交易损益按照享有的比例计算归属于本公司的部分予以抵销，在此基础上确认投资损益。本公司与</w:t>
      </w:r>
      <w:r>
        <w:rPr>
          <w:spacing w:val="-64"/>
        </w:rPr>
        <w:t> </w:t>
      </w:r>
      <w:r>
        <w:rPr>
          <w:spacing w:val="-64"/>
        </w:rPr>
      </w:r>
      <w:r>
        <w:rPr/>
        <w:t>被投资单位发生的未实行内部交易损失属于资产减值损失的，应全额确认。</w:t>
      </w:r>
    </w:p>
    <w:p>
      <w:pPr>
        <w:pStyle w:val="BodyText"/>
        <w:spacing w:line="316" w:lineRule="auto" w:before="18"/>
        <w:ind w:right="90" w:firstLine="432"/>
        <w:jc w:val="left"/>
      </w:pPr>
      <w:r>
        <w:rPr/>
        <w:t>因追加投资等原因能够对被投资单位施加重大影响或实施共同控制但不构成控制的，按照原持有的股权投资的公允价 </w:t>
      </w:r>
      <w:r>
        <w:rPr>
          <w:spacing w:val="-2"/>
        </w:rPr>
        <w:t>值加上新增投资成本之和，作为改按权益法核算的初始投资成本。原持有的股权投资分类为可供出售金融资产的，其公允价</w:t>
      </w:r>
      <w:r>
        <w:rPr>
          <w:spacing w:val="-63"/>
        </w:rPr>
        <w:t> </w:t>
      </w:r>
      <w:r>
        <w:rPr>
          <w:spacing w:val="-63"/>
        </w:rPr>
      </w:r>
      <w:r>
        <w:rPr/>
        <w:t>值与账面价值之间的差额，以及原计入其他综合收益的累计公允价值变动应当转入改按权益法核算的当期损益。 </w:t>
      </w:r>
      <w:r>
        <w:rPr>
          <w:spacing w:val="-2"/>
        </w:rPr>
        <w:t>因处置部分股权投资等原因丧失了对被投资单位的共同控制或重大影响的，处置后的剩余股权改按其在丧失共同控制或重大</w:t>
      </w:r>
      <w:r>
        <w:rPr>
          <w:spacing w:val="-64"/>
        </w:rPr>
        <w:t> </w:t>
      </w:r>
      <w:r>
        <w:rPr>
          <w:spacing w:val="-64"/>
        </w:rPr>
      </w:r>
      <w:r>
        <w:rPr>
          <w:spacing w:val="-2"/>
        </w:rPr>
        <w:t>影响之日的公允价值与账面价值之间的差额计入当期损益。原股权投资因采用权益法核算而确认的其他综合收益，在终止采</w:t>
      </w:r>
      <w:r>
        <w:rPr>
          <w:spacing w:val="-64"/>
        </w:rPr>
        <w:t> </w:t>
      </w:r>
      <w:r>
        <w:rPr>
          <w:spacing w:val="-64"/>
        </w:rPr>
      </w:r>
      <w:r>
        <w:rPr/>
        <w:t>用权益法核算时采用与被投资单位直接处置相关资产或负债相同的基础进行会计处理。</w:t>
      </w:r>
    </w:p>
    <w:p>
      <w:pPr>
        <w:spacing w:line="240" w:lineRule="auto" w:before="12"/>
        <w:rPr>
          <w:rFonts w:ascii="宋体" w:hAnsi="宋体" w:cs="宋体" w:eastAsia="宋体" w:hint="default"/>
          <w:sz w:val="22"/>
          <w:szCs w:val="22"/>
        </w:rPr>
      </w:pPr>
    </w:p>
    <w:p>
      <w:pPr>
        <w:pStyle w:val="Heading3"/>
        <w:spacing w:line="240" w:lineRule="auto"/>
        <w:ind w:right="90"/>
        <w:jc w:val="left"/>
        <w:rPr>
          <w:b w:val="0"/>
          <w:bCs w:val="0"/>
        </w:rPr>
      </w:pPr>
      <w:bookmarkStart w:name="15、投资性房地产" w:id="180"/>
      <w:bookmarkEnd w:id="18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4"/>
        <w:jc w:val="left"/>
      </w:pPr>
      <w:r>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90"/>
        <w:jc w:val="left"/>
        <w:rPr>
          <w:b w:val="0"/>
          <w:bCs w:val="0"/>
        </w:rPr>
      </w:pPr>
      <w:bookmarkStart w:name="16、固定资产" w:id="181"/>
      <w:bookmarkEnd w:id="18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bookmarkStart w:name="（1）确认条件" w:id="182"/>
      <w:bookmarkEnd w:id="18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542"/>
        <w:jc w:val="both"/>
      </w:pPr>
      <w:r>
        <w:rPr>
          <w:spacing w:val="-2"/>
        </w:rPr>
        <w:t>固定资产是指为生产商品、提供劳务、出租或经营管理而持有的使用年限超过一年的单位价值较高的有形资产。固定</w:t>
      </w:r>
      <w:r>
        <w:rPr/>
        <w:t> 资产在同时满足下列条件时，按取得时的实际成本予以确认：①</w:t>
      </w:r>
      <w:r>
        <w:rPr>
          <w:spacing w:val="-41"/>
        </w:rPr>
        <w:t> </w:t>
      </w:r>
      <w:r>
        <w:rPr/>
        <w:t>与该固定资产有关的经济利益很可能流入企业。②</w:t>
      </w:r>
      <w:r>
        <w:rPr>
          <w:spacing w:val="-41"/>
        </w:rPr>
        <w:t> </w:t>
      </w:r>
      <w:r>
        <w:rPr/>
        <w:t>该固定</w:t>
      </w:r>
      <w:r>
        <w:rPr>
          <w:spacing w:val="-3"/>
        </w:rPr>
        <w:t> </w:t>
      </w:r>
      <w:r>
        <w:rPr>
          <w:spacing w:val="-2"/>
        </w:rPr>
        <w:t>资产的成本能够可靠地计量。固定资产发生的后续支出，符合固定资产确认条件的计入固定资产成本；不符合固定资产确认</w:t>
      </w:r>
      <w:r>
        <w:rPr>
          <w:spacing w:val="-63"/>
        </w:rPr>
        <w:t> </w:t>
      </w:r>
      <w:r>
        <w:rPr>
          <w:spacing w:val="-63"/>
        </w:rPr>
      </w:r>
      <w:r>
        <w:rPr/>
        <w:t>条件的在发生时计入当期损益。</w:t>
      </w:r>
    </w:p>
    <w:p>
      <w:pPr>
        <w:spacing w:after="0" w:line="316" w:lineRule="auto"/>
        <w:jc w:val="both"/>
        <w:sectPr>
          <w:footerReference w:type="default" r:id="rId19"/>
          <w:pgSz w:w="11910" w:h="16840"/>
          <w:pgMar w:footer="982" w:header="745" w:top="1060" w:bottom="1180" w:left="980" w:right="94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90"/>
        <w:jc w:val="left"/>
        <w:rPr>
          <w:b w:val="0"/>
          <w:bCs w:val="0"/>
        </w:rPr>
      </w:pPr>
      <w:bookmarkStart w:name="（2）折旧方法" w:id="183"/>
      <w:bookmarkEnd w:id="18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1.90%-4.75%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3）融资租入固定资产的认定依据、计价和折旧方法" w:id="184"/>
      <w:bookmarkEnd w:id="18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7、在建工程" w:id="185"/>
      <w:bookmarkEnd w:id="18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84" w:right="686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在建工程类别</w:t>
      </w:r>
      <w:r>
        <w:rPr>
          <w:w w:val="99"/>
        </w:rPr>
        <w:t> </w:t>
      </w:r>
      <w:r>
        <w:rPr/>
        <w:t>在建工程以立项项目分类核算。</w:t>
      </w:r>
    </w:p>
    <w:p>
      <w:pPr>
        <w:pStyle w:val="BodyText"/>
        <w:spacing w:line="300" w:lineRule="auto" w:before="31"/>
        <w:ind w:left="584" w:right="2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在建工程结转为固定资产的标准和时点</w:t>
      </w:r>
      <w:r>
        <w:rPr>
          <w:w w:val="99"/>
        </w:rPr>
        <w:t> </w:t>
      </w:r>
      <w:r>
        <w:rPr/>
        <w:t>在建工程项目按建造该项资产达到预定可使用状态前所发生的全部支出，作为固定资产的入账价值。包括建筑费用、</w:t>
      </w:r>
    </w:p>
    <w:p>
      <w:pPr>
        <w:pStyle w:val="BodyText"/>
        <w:spacing w:line="316" w:lineRule="auto" w:before="31"/>
        <w:ind w:right="190"/>
        <w:jc w:val="both"/>
      </w:pPr>
      <w:r>
        <w:rPr>
          <w:spacing w:val="-2"/>
        </w:rPr>
        <w:t>机器设备原价、其他为使在建工程达到预定可使用状态所发生的必要支出以及在资产达到预定可使用状态之前为该项目专门</w:t>
      </w:r>
      <w:r>
        <w:rPr>
          <w:spacing w:val="-64"/>
        </w:rPr>
        <w:t> </w:t>
      </w:r>
      <w:r>
        <w:rPr>
          <w:spacing w:val="-64"/>
        </w:rPr>
      </w:r>
      <w:r>
        <w:rPr>
          <w:spacing w:val="-2"/>
        </w:rPr>
        <w:t>借款所发生的借款费用及占用的一般借款发生的借款费用。本公司在工程安装或建设完成达到预定可使用状态时将在建工程</w:t>
      </w:r>
      <w:r>
        <w:rPr>
          <w:spacing w:val="-64"/>
        </w:rPr>
        <w:t> </w:t>
      </w:r>
      <w:r>
        <w:rPr>
          <w:spacing w:val="-64"/>
        </w:rPr>
      </w:r>
      <w:r>
        <w:rPr>
          <w:spacing w:val="-2"/>
        </w:rPr>
        <w:t>转入固定资产。所建造的已达到预定可使用状态、但尚未办理竣工决算的固定资产，自达到预定可使用状态之日起，根据工</w:t>
      </w:r>
      <w:r>
        <w:rPr>
          <w:spacing w:val="-65"/>
        </w:rPr>
        <w:t> </w:t>
      </w:r>
      <w:r>
        <w:rPr>
          <w:spacing w:val="-65"/>
        </w:rPr>
      </w:r>
      <w:r>
        <w:rPr>
          <w:spacing w:val="-2"/>
        </w:rPr>
        <w:t>程预算、造价或者工程实际成本等，按估计的价值转入固定资产，并按本公司固定资产折旧政策计提固定资产的折旧，待办</w:t>
      </w:r>
      <w:r>
        <w:rPr>
          <w:spacing w:val="-65"/>
        </w:rPr>
        <w:t> </w:t>
      </w:r>
      <w:r>
        <w:rPr>
          <w:spacing w:val="-65"/>
        </w:rPr>
      </w:r>
      <w:r>
        <w:rPr/>
        <w:t>理竣工决算后，再按实际成本调整原来的暂估价值，但不调整原已计提的折旧额。</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18、借款费用" w:id="186"/>
      <w:bookmarkEnd w:id="18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84" w:right="2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借款费用资本化的确认原则和资本化期间</w:t>
      </w:r>
      <w:r>
        <w:rPr>
          <w:w w:val="99"/>
        </w:rPr>
        <w:t> </w:t>
      </w:r>
      <w:r>
        <w:rPr/>
        <w:t>本公司发生的可直接归属于符合资本化条件的资产的购建或生产的借款费用在同时满足下列条件时予以资本化计入相</w:t>
      </w:r>
    </w:p>
    <w:p>
      <w:pPr>
        <w:pStyle w:val="BodyText"/>
        <w:spacing w:line="240" w:lineRule="auto" w:before="31"/>
        <w:ind w:right="0"/>
        <w:jc w:val="both"/>
      </w:pPr>
      <w:r>
        <w:rPr/>
        <w:t>关资产成本：</w:t>
      </w:r>
    </w:p>
    <w:p>
      <w:pPr>
        <w:pStyle w:val="BodyText"/>
        <w:spacing w:line="240" w:lineRule="auto" w:before="76"/>
        <w:ind w:left="584" w:right="90"/>
        <w:jc w:val="left"/>
      </w:pPr>
      <w:r>
        <w:rPr/>
        <w:t>①</w:t>
      </w:r>
      <w:r>
        <w:rPr>
          <w:spacing w:val="-18"/>
        </w:rPr>
        <w:t> </w:t>
      </w:r>
      <w:r>
        <w:rPr/>
        <w:t>资产支出已经发生；</w:t>
      </w:r>
    </w:p>
    <w:p>
      <w:pPr>
        <w:pStyle w:val="BodyText"/>
        <w:spacing w:line="240" w:lineRule="auto" w:before="76"/>
        <w:ind w:left="584" w:right="90"/>
        <w:jc w:val="left"/>
      </w:pPr>
      <w:r>
        <w:rPr/>
        <w:t>②</w:t>
      </w:r>
      <w:r>
        <w:rPr>
          <w:spacing w:val="-18"/>
        </w:rPr>
        <w:t> </w:t>
      </w:r>
      <w:r>
        <w:rPr/>
        <w:t>借款费用已经发生；</w:t>
      </w:r>
    </w:p>
    <w:p>
      <w:pPr>
        <w:pStyle w:val="BodyText"/>
        <w:spacing w:line="312" w:lineRule="auto" w:before="76"/>
        <w:ind w:left="584" w:right="91"/>
        <w:jc w:val="left"/>
      </w:pPr>
      <w:r>
        <w:rPr/>
        <w:t>③</w:t>
      </w:r>
      <w:r>
        <w:rPr>
          <w:spacing w:val="-18"/>
        </w:rPr>
        <w:t> </w:t>
      </w:r>
      <w:r>
        <w:rPr/>
        <w:t>为使资产达到预定可使用状态所必要的购建或者生产活动已经开始。</w:t>
      </w:r>
      <w:r>
        <w:rPr/>
        <w:t> 其他的借款利息、折价或溢价和汇兑差额，计入发生当期的损益。 </w:t>
      </w:r>
      <w:r>
        <w:rPr>
          <w:spacing w:val="-3"/>
        </w:rPr>
        <w:t>符合资本化条件的资产在购建或者生产过程中发生非正常中断，且中断时间连续超过</w:t>
      </w:r>
      <w:r>
        <w:rPr>
          <w:rFonts w:ascii="Times New Roman" w:hAnsi="Times New Roman" w:cs="Times New Roman" w:eastAsia="Times New Roman" w:hint="default"/>
          <w:spacing w:val="-3"/>
        </w:rPr>
        <w:t>3</w:t>
      </w:r>
      <w:r>
        <w:rPr>
          <w:spacing w:val="-3"/>
        </w:rPr>
        <w:t>个月的，暂停借款费用的资本化。</w:t>
      </w:r>
      <w:r>
        <w:rPr>
          <w:spacing w:val="-87"/>
        </w:rPr>
        <w:t> </w:t>
      </w:r>
      <w:r>
        <w:rPr>
          <w:spacing w:val="-87"/>
        </w:rPr>
      </w:r>
      <w:r>
        <w:rPr/>
        <w:t>当购建或者生产符合资本化条件的资产达到预定可使用或者可销售状态时，停止其借款费用的资本化；以后发生的借</w:t>
      </w:r>
    </w:p>
    <w:p>
      <w:pPr>
        <w:pStyle w:val="BodyText"/>
        <w:spacing w:line="240" w:lineRule="auto" w:before="22"/>
        <w:ind w:right="0"/>
        <w:jc w:val="both"/>
      </w:pPr>
      <w:r>
        <w:rPr/>
        <w:t>款费用于发生当期确认为费用。</w:t>
      </w:r>
    </w:p>
    <w:p>
      <w:pPr>
        <w:pStyle w:val="BodyText"/>
        <w:spacing w:line="300" w:lineRule="auto" w:before="76"/>
        <w:ind w:left="584" w:right="2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借款费用资本化金额的计算方法</w:t>
      </w:r>
      <w:r>
        <w:rPr>
          <w:w w:val="99"/>
        </w:rPr>
        <w:t> </w:t>
      </w:r>
      <w:r>
        <w:rPr/>
        <w:t>为购建或者生产符合资本化条件的资产而借入专门借款的，以专门借款当期实际发生的利息费用，减去将尚未动用的</w:t>
      </w:r>
    </w:p>
    <w:p>
      <w:pPr>
        <w:pStyle w:val="BodyText"/>
        <w:spacing w:line="316" w:lineRule="auto" w:before="31"/>
        <w:ind w:left="584" w:right="94" w:hanging="432"/>
        <w:jc w:val="left"/>
      </w:pPr>
      <w:r>
        <w:rPr/>
        <w:t>借款资金存入银行取得的利息收入或者进行暂时性投资取得的投资收益后的金额，确定为专门借款利息费用的资本化金额。 购建或者生产符合资本化条件的资产占用了一般借款的，一般借款应予资本化的利息金额按累计资产支出超过专门借</w:t>
      </w:r>
    </w:p>
    <w:p>
      <w:pPr>
        <w:pStyle w:val="BodyText"/>
        <w:spacing w:line="316" w:lineRule="auto" w:before="18"/>
        <w:ind w:right="90"/>
        <w:jc w:val="left"/>
      </w:pPr>
      <w:r>
        <w:rPr>
          <w:spacing w:val="-2"/>
        </w:rPr>
        <w:t>款部分的资产支出加权平均数乘以所占用一般借款的资本化率，计算确定一般借款应予资本化的利息金额。资本化率根据一</w:t>
      </w:r>
      <w:r>
        <w:rPr>
          <w:spacing w:val="-64"/>
        </w:rPr>
        <w:t> </w:t>
      </w:r>
      <w:r>
        <w:rPr>
          <w:spacing w:val="-64"/>
        </w:rPr>
      </w:r>
      <w:r>
        <w:rPr/>
        <w:t>般借款加权平均利率计算确定。</w:t>
      </w:r>
    </w:p>
    <w:p>
      <w:pPr>
        <w:spacing w:after="0" w:line="316"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19、生物资产" w:id="187"/>
      <w:bookmarkEnd w:id="18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0、油气资产" w:id="188"/>
      <w:bookmarkEnd w:id="18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21、无形资产" w:id="189"/>
      <w:bookmarkEnd w:id="18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90"/>
      <w:bookmarkEnd w:id="19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84" w:right="707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无形资产的计价方法</w:t>
      </w:r>
      <w:r>
        <w:rPr>
          <w:w w:val="99"/>
        </w:rPr>
        <w:t> </w:t>
      </w:r>
      <w:r>
        <w:rPr/>
        <w:t>按取得时的实际成本入账。</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无形资产使用寿命及摊销</w:t>
      </w:r>
    </w:p>
    <w:p>
      <w:pPr>
        <w:pStyle w:val="BodyText"/>
        <w:spacing w:line="240" w:lineRule="auto" w:before="5"/>
        <w:ind w:left="584" w:right="0"/>
        <w:jc w:val="left"/>
      </w:pPr>
      <w:r>
        <w:rPr/>
        <w:t>①</w:t>
      </w:r>
      <w:r>
        <w:rPr>
          <w:spacing w:val="-16"/>
        </w:rPr>
        <w:t> </w:t>
      </w:r>
      <w:r>
        <w:rPr/>
        <w:t>使用寿命有限的无形资产的使用寿命估计情况：</w:t>
      </w:r>
    </w:p>
    <w:p>
      <w:pPr>
        <w:spacing w:line="240" w:lineRule="auto" w:before="6"/>
        <w:rPr>
          <w:rFonts w:ascii="宋体" w:hAnsi="宋体" w:cs="宋体" w:eastAsia="宋体" w:hint="default"/>
          <w:sz w:val="14"/>
          <w:szCs w:val="14"/>
        </w:rPr>
      </w:pPr>
    </w:p>
    <w:p>
      <w:pPr>
        <w:spacing w:line="1020" w:lineRule="exact"/>
        <w:ind w:left="160" w:right="0" w:firstLine="0"/>
        <w:rPr>
          <w:rFonts w:ascii="宋体" w:hAnsi="宋体" w:cs="宋体" w:eastAsia="宋体" w:hint="default"/>
          <w:sz w:val="20"/>
          <w:szCs w:val="20"/>
        </w:rPr>
      </w:pPr>
      <w:r>
        <w:rPr>
          <w:rFonts w:ascii="宋体" w:hAnsi="宋体" w:cs="宋体" w:eastAsia="宋体" w:hint="default"/>
          <w:position w:val="-19"/>
          <w:sz w:val="20"/>
          <w:szCs w:val="20"/>
        </w:rPr>
        <w:drawing>
          <wp:inline distT="0" distB="0" distL="0" distR="0">
            <wp:extent cx="4961997" cy="6477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0" cstate="print"/>
                    <a:stretch>
                      <a:fillRect/>
                    </a:stretch>
                  </pic:blipFill>
                  <pic:spPr>
                    <a:xfrm>
                      <a:off x="0" y="0"/>
                      <a:ext cx="4961997" cy="647700"/>
                    </a:xfrm>
                    <a:prstGeom prst="rect">
                      <a:avLst/>
                    </a:prstGeom>
                  </pic:spPr>
                </pic:pic>
              </a:graphicData>
            </a:graphic>
          </wp:inline>
        </w:drawing>
      </w:r>
      <w:r>
        <w:rPr>
          <w:rFonts w:ascii="宋体" w:hAnsi="宋体" w:cs="宋体" w:eastAsia="宋体" w:hint="default"/>
          <w:position w:val="-19"/>
          <w:sz w:val="20"/>
          <w:szCs w:val="20"/>
        </w:rPr>
      </w:r>
    </w:p>
    <w:p>
      <w:pPr>
        <w:pStyle w:val="BodyText"/>
        <w:spacing w:line="316" w:lineRule="auto" w:before="115"/>
        <w:ind w:right="162" w:firstLine="432"/>
        <w:jc w:val="left"/>
      </w:pPr>
      <w:r>
        <w:rPr/>
        <w:t>每年年度终了，公司对使用寿命有限的无形资产的使用寿命及摊销方法进行复核。经复核，本年末无形资产的使用寿 命及摊销方法与以前估计未有不同。</w:t>
      </w:r>
    </w:p>
    <w:p>
      <w:pPr>
        <w:pStyle w:val="BodyText"/>
        <w:spacing w:line="316" w:lineRule="auto" w:before="18"/>
        <w:ind w:right="0" w:firstLine="432"/>
        <w:jc w:val="left"/>
      </w:pPr>
      <w:r>
        <w:rPr/>
        <w:t>②</w:t>
      </w:r>
      <w:r>
        <w:rPr>
          <w:spacing w:val="27"/>
        </w:rPr>
        <w:t> </w:t>
      </w:r>
      <w:r>
        <w:rPr/>
        <w:t>无法预见无形资产为企业带来经济利益期限的，视为使用寿命不确定的无形资产。对于使用寿命不确定的无形资</w:t>
      </w:r>
      <w:r>
        <w:rPr/>
        <w:t> </w:t>
      </w:r>
      <w:r>
        <w:rPr>
          <w:spacing w:val="-2"/>
        </w:rPr>
        <w:t>产，公司在每年年度终了对使用寿命不确定的无形资产的使用寿命进行复核，如果重新复核后仍为不确定的，于在资产负债</w:t>
      </w:r>
      <w:r>
        <w:rPr>
          <w:spacing w:val="-63"/>
        </w:rPr>
        <w:t> </w:t>
      </w:r>
      <w:r>
        <w:rPr>
          <w:spacing w:val="-63"/>
        </w:rPr>
      </w:r>
      <w:r>
        <w:rPr/>
        <w:t>表日进行减值测试。</w:t>
      </w:r>
    </w:p>
    <w:p>
      <w:pPr>
        <w:pStyle w:val="BodyText"/>
        <w:spacing w:line="316" w:lineRule="auto" w:before="18"/>
        <w:ind w:left="584" w:right="162"/>
        <w:jc w:val="left"/>
      </w:pPr>
      <w:r>
        <w:rPr/>
        <w:t>③</w:t>
      </w:r>
      <w:r>
        <w:rPr>
          <w:spacing w:val="-18"/>
        </w:rPr>
        <w:t> </w:t>
      </w:r>
      <w:r>
        <w:rPr/>
        <w:t>无形资产的摊销</w:t>
      </w:r>
      <w:r>
        <w:rPr/>
        <w:t> 对于使用寿命有限的无形资产，本公司在取得时判定其使用寿命，在使用寿命内系统合理摊销，摊销金额按受益项目</w:t>
      </w:r>
    </w:p>
    <w:p>
      <w:pPr>
        <w:pStyle w:val="BodyText"/>
        <w:spacing w:line="316" w:lineRule="auto" w:before="18"/>
        <w:ind w:right="150"/>
        <w:jc w:val="both"/>
      </w:pPr>
      <w:r>
        <w:rPr>
          <w:spacing w:val="-2"/>
        </w:rPr>
        <w:t>计入当期损益。具体应摊销金额为其成本扣除预计残值后的金额。已计提减值准备的无形资产，还应扣除已计提的无形资产</w:t>
      </w:r>
      <w:r>
        <w:rPr>
          <w:spacing w:val="-63"/>
        </w:rPr>
        <w:t> </w:t>
      </w:r>
      <w:r>
        <w:rPr>
          <w:spacing w:val="-63"/>
        </w:rPr>
      </w:r>
      <w:r>
        <w:rPr>
          <w:spacing w:val="-2"/>
        </w:rPr>
        <w:t>减值准备累计金额，残值为零。但下列情况除外：有第三方承诺在无形资产使用寿命结束时购买该无形资产或可以根据活跃</w:t>
      </w:r>
      <w:r>
        <w:rPr>
          <w:spacing w:val="-66"/>
        </w:rPr>
        <w:t> </w:t>
      </w:r>
      <w:r>
        <w:rPr>
          <w:spacing w:val="-66"/>
        </w:rPr>
      </w:r>
      <w:r>
        <w:rPr/>
        <w:t>市场得到预计残值信息，并且该市场在无形资产使用寿命结束时很可能存在。</w:t>
      </w:r>
    </w:p>
    <w:p>
      <w:pPr>
        <w:pStyle w:val="BodyText"/>
        <w:spacing w:line="316" w:lineRule="auto" w:before="18"/>
        <w:ind w:right="162" w:firstLine="432"/>
        <w:jc w:val="left"/>
      </w:pPr>
      <w:r>
        <w:rPr/>
        <w:t>对使用寿命不确定的无形资产，不予摊销。每年年度终了对使用寿命不确定的无形资产的使用寿命进行复核，如果有 证据表明无形资产的使用寿命是有限的，估计其使用寿命并在预计使用年限内系统合理摊销。</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2）内部研究开发支出会计政策" w:id="191"/>
      <w:bookmarkEnd w:id="19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33" w:firstLine="432"/>
        <w:jc w:val="left"/>
      </w:pPr>
      <w:r>
        <w:rPr/>
        <w:t>①</w:t>
      </w:r>
      <w:r>
        <w:rPr>
          <w:spacing w:val="-61"/>
        </w:rPr>
        <w:t> </w:t>
      </w:r>
      <w:r>
        <w:rPr/>
        <w:t>本公司将为进一步开发活动进行的资料及相关方面的准备活动作为研究阶段，无形资产研究阶段的支出在发生时计</w:t>
      </w:r>
      <w:r>
        <w:rPr/>
        <w:t> 入当期损益。</w:t>
      </w:r>
    </w:p>
    <w:p>
      <w:pPr>
        <w:pStyle w:val="BodyText"/>
        <w:spacing w:line="240" w:lineRule="auto" w:before="18"/>
        <w:ind w:left="584" w:right="0"/>
        <w:jc w:val="left"/>
      </w:pPr>
      <w:r>
        <w:rPr/>
        <w:t>②</w:t>
      </w:r>
      <w:r>
        <w:rPr>
          <w:spacing w:val="-16"/>
        </w:rPr>
        <w:t> </w:t>
      </w:r>
      <w:r>
        <w:rPr/>
        <w:t>在本公司已完成研究阶段的工作后再进行的开发活动作为开发阶段。</w:t>
      </w:r>
    </w:p>
    <w:p>
      <w:pPr>
        <w:pStyle w:val="BodyText"/>
        <w:spacing w:line="240" w:lineRule="auto" w:before="76"/>
        <w:ind w:left="584" w:right="0"/>
        <w:jc w:val="left"/>
      </w:pPr>
      <w:r>
        <w:rPr/>
        <w:t>③</w:t>
      </w:r>
      <w:r>
        <w:rPr>
          <w:spacing w:val="-16"/>
        </w:rPr>
        <w:t> </w:t>
      </w:r>
      <w:r>
        <w:rPr/>
        <w:t>开发阶段的支出同时满足下列条件时确认为无形资产：</w:t>
      </w:r>
    </w:p>
    <w:p>
      <w:pPr>
        <w:pStyle w:val="BodyText"/>
        <w:spacing w:line="240" w:lineRule="auto" w:before="76"/>
        <w:ind w:left="587"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4"/>
        </w:rPr>
        <w:t> </w:t>
      </w:r>
      <w:r>
        <w:rPr/>
        <w:t>完成该无形资产以使其能够使用或出售在技术上具有可行性；</w:t>
      </w:r>
    </w:p>
    <w:p>
      <w:pPr>
        <w:pStyle w:val="BodyText"/>
        <w:spacing w:line="240" w:lineRule="auto" w:before="62"/>
        <w:ind w:left="584"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28"/>
        </w:rPr>
        <w:t> </w:t>
      </w:r>
      <w:r>
        <w:rPr/>
        <w:t>具有完成该无形资产并使用或出售的意图；</w:t>
      </w:r>
    </w:p>
    <w:p>
      <w:pPr>
        <w:pStyle w:val="BodyText"/>
        <w:spacing w:line="300" w:lineRule="auto" w:before="62"/>
        <w:ind w:right="133" w:firstLine="432"/>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t>无形资产产生经济利益的方式，包括能够证明运用该无形资产生产的产品存在市场或无形资产自身存在市场，无形 资产将在内部使用的，能够证明其有用性；</w:t>
      </w:r>
    </w:p>
    <w:p>
      <w:pPr>
        <w:pStyle w:val="BodyText"/>
        <w:spacing w:line="240" w:lineRule="auto" w:before="31"/>
        <w:ind w:left="584" w:right="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6"/>
        </w:rPr>
        <w:t> </w:t>
      </w:r>
      <w:r>
        <w:rPr/>
        <w:t>有足够的技术、财务资源和其他资源支持，以完成该无形资产的开发，并有能力使用或出售该无形资产；</w:t>
      </w:r>
    </w:p>
    <w:p>
      <w:pPr>
        <w:pStyle w:val="BodyText"/>
        <w:spacing w:line="240" w:lineRule="auto" w:before="62"/>
        <w:ind w:left="584" w:right="0"/>
        <w:jc w:val="left"/>
      </w:pPr>
      <w:r>
        <w:rPr>
          <w:rFonts w:ascii="Times New Roman" w:hAnsi="Times New Roman" w:cs="Times New Roman" w:eastAsia="Times New Roman" w:hint="default"/>
        </w:rPr>
        <w:t>E. </w:t>
      </w:r>
      <w:r>
        <w:rPr>
          <w:rFonts w:ascii="Times New Roman" w:hAnsi="Times New Roman" w:cs="Times New Roman" w:eastAsia="Times New Roman" w:hint="default"/>
          <w:spacing w:val="28"/>
        </w:rPr>
        <w:t> </w:t>
      </w:r>
      <w:r>
        <w:rPr/>
        <w:t>归属于该无形资产开发阶段的支出能够可靠地计量。</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22、长期资产减值" w:id="192"/>
      <w:bookmarkEnd w:id="192"/>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84" w:right="202"/>
        <w:jc w:val="left"/>
      </w:pPr>
      <w:r>
        <w:rPr/>
        <w:t>（</w:t>
      </w:r>
      <w:r>
        <w:rPr>
          <w:rFonts w:ascii="Times New Roman" w:hAnsi="Times New Roman" w:cs="Times New Roman" w:eastAsia="Times New Roman" w:hint="default"/>
        </w:rPr>
        <w:t>1</w:t>
      </w:r>
      <w:r>
        <w:rPr/>
        <w:t>）长期股权投资减值测试方法及会计处理方法 本公司在资产负债表日对长期股权投资进行逐项检查，根据被投资单位经营政策、法律环境、市场需求、行业及盈利</w:t>
      </w:r>
    </w:p>
    <w:p>
      <w:pPr>
        <w:pStyle w:val="BodyText"/>
        <w:spacing w:line="316" w:lineRule="auto" w:before="31"/>
        <w:ind w:right="193"/>
        <w:jc w:val="both"/>
      </w:pPr>
      <w:r>
        <w:rPr>
          <w:spacing w:val="-2"/>
        </w:rPr>
        <w:t>能力等的各种变化判断长期股权投资是否存在减值迹象。当长期股权投资可收回金额低于账面价值时，将可收回金额低于长</w:t>
      </w:r>
      <w:r>
        <w:rPr>
          <w:spacing w:val="-64"/>
        </w:rPr>
        <w:t> </w:t>
      </w:r>
      <w:r>
        <w:rPr>
          <w:spacing w:val="-64"/>
        </w:rPr>
      </w:r>
      <w:r>
        <w:rPr/>
        <w:t>期股权投资账面价值的差额作为长期股权投资减值准备予以计提。资产减值损失一经确认，在以后会计期间不再转回。</w:t>
      </w:r>
    </w:p>
    <w:p>
      <w:pPr>
        <w:pStyle w:val="BodyText"/>
        <w:spacing w:line="300" w:lineRule="auto" w:before="18"/>
        <w:ind w:left="584" w:right="202"/>
        <w:jc w:val="left"/>
      </w:pPr>
      <w:r>
        <w:rPr/>
        <w:t>（</w:t>
      </w:r>
      <w:r>
        <w:rPr>
          <w:rFonts w:ascii="Times New Roman" w:hAnsi="Times New Roman" w:cs="Times New Roman" w:eastAsia="Times New Roman" w:hint="default"/>
        </w:rPr>
        <w:t>2</w:t>
      </w:r>
      <w:r>
        <w:rPr/>
        <w:t>）投资性房地产减值测试方法及会计处理方法 资产负债表日按投资性房产的成本与可收回金额孰低计价，可收回金额低于成本的，按两者的差额计提减值准备。如</w:t>
      </w:r>
    </w:p>
    <w:p>
      <w:pPr>
        <w:pStyle w:val="BodyText"/>
        <w:spacing w:line="240" w:lineRule="auto" w:before="31"/>
        <w:ind w:right="0"/>
        <w:jc w:val="both"/>
      </w:pPr>
      <w:r>
        <w:rPr/>
        <w:t>果已经计提减值准备的投资性房地产的价值又得以恢复，前期已计提的减值准备不得转回。</w:t>
      </w:r>
    </w:p>
    <w:p>
      <w:pPr>
        <w:pStyle w:val="BodyText"/>
        <w:spacing w:line="300" w:lineRule="auto" w:before="76"/>
        <w:ind w:left="584" w:right="202"/>
        <w:jc w:val="left"/>
      </w:pPr>
      <w:r>
        <w:rPr/>
        <w:t>（</w:t>
      </w:r>
      <w:r>
        <w:rPr>
          <w:rFonts w:ascii="Times New Roman" w:hAnsi="Times New Roman" w:cs="Times New Roman" w:eastAsia="Times New Roman" w:hint="default"/>
        </w:rPr>
        <w:t>3</w:t>
      </w:r>
      <w:r>
        <w:rPr/>
        <w:t>）固定资产的减值测试方法及会计处理方法 本公司在资产负债表日对各项固定资产进行判断，当存在减值迹象，估计可收回金额低于其账面价值时，账面价值减</w:t>
      </w:r>
    </w:p>
    <w:p>
      <w:pPr>
        <w:pStyle w:val="BodyText"/>
        <w:spacing w:line="316" w:lineRule="auto" w:before="31"/>
        <w:ind w:right="104"/>
        <w:jc w:val="both"/>
      </w:pPr>
      <w:r>
        <w:rPr>
          <w:spacing w:val="-4"/>
        </w:rPr>
        <w:t>记至可收回金额，减记的金额确认为资产减值损失，计入当期损益，同时计提相应的资产减值准备。资产减值损失一经确认，</w:t>
      </w:r>
      <w:r>
        <w:rPr>
          <w:spacing w:val="-46"/>
        </w:rPr>
        <w:t> </w:t>
      </w:r>
      <w:r>
        <w:rPr>
          <w:spacing w:val="-46"/>
        </w:rPr>
      </w:r>
      <w:r>
        <w:rPr/>
        <w:t>在以后会计期间不再转回。当存在下列迹象的，按固定资产单项项目全额计提减值准备：</w:t>
      </w:r>
    </w:p>
    <w:p>
      <w:pPr>
        <w:pStyle w:val="BodyText"/>
        <w:spacing w:line="240" w:lineRule="auto" w:before="18"/>
        <w:ind w:left="584" w:right="90"/>
        <w:jc w:val="left"/>
      </w:pPr>
      <w:r>
        <w:rPr/>
        <w:t>①长期闲置不用，在可预见的未来不会再使用，且已无转让价值的固定资产；</w:t>
      </w:r>
    </w:p>
    <w:p>
      <w:pPr>
        <w:pStyle w:val="BodyText"/>
        <w:spacing w:line="240" w:lineRule="auto" w:before="76"/>
        <w:ind w:left="584" w:right="90"/>
        <w:jc w:val="left"/>
      </w:pPr>
      <w:r>
        <w:rPr/>
        <w:t>②由于技术进步等原因，已不可使用的固定资产；</w:t>
      </w:r>
    </w:p>
    <w:p>
      <w:pPr>
        <w:pStyle w:val="BodyText"/>
        <w:spacing w:line="240" w:lineRule="auto" w:before="76"/>
        <w:ind w:left="584" w:right="90"/>
        <w:jc w:val="left"/>
      </w:pPr>
      <w:r>
        <w:rPr/>
        <w:t>③虽然固定资产尚可使用，但使用后产生大量不合格品的固定资产；</w:t>
      </w:r>
    </w:p>
    <w:p>
      <w:pPr>
        <w:pStyle w:val="BodyText"/>
        <w:spacing w:line="240" w:lineRule="auto" w:before="76"/>
        <w:ind w:left="584" w:right="90"/>
        <w:jc w:val="left"/>
      </w:pPr>
      <w:r>
        <w:rPr/>
        <w:t>④已遭毁损，以至于不再具有使用价值和转让价值的固定资产；</w:t>
      </w:r>
    </w:p>
    <w:p>
      <w:pPr>
        <w:pStyle w:val="BodyText"/>
        <w:spacing w:line="240" w:lineRule="auto" w:before="76"/>
        <w:ind w:left="584" w:right="90"/>
        <w:jc w:val="left"/>
      </w:pPr>
      <w:r>
        <w:rPr/>
        <w:t>⑤其他实质上已经不能再给公司带来经济利益的固定资产。</w:t>
      </w:r>
    </w:p>
    <w:p>
      <w:pPr>
        <w:pStyle w:val="BodyText"/>
        <w:spacing w:line="300" w:lineRule="auto" w:before="76"/>
        <w:ind w:left="584" w:right="202" w:hanging="72"/>
        <w:jc w:val="left"/>
      </w:pPr>
      <w:r>
        <w:rPr/>
        <w:t>（</w:t>
      </w:r>
      <w:r>
        <w:rPr>
          <w:rFonts w:ascii="Times New Roman" w:hAnsi="Times New Roman" w:cs="Times New Roman" w:eastAsia="Times New Roman" w:hint="default"/>
        </w:rPr>
        <w:t>4</w:t>
      </w:r>
      <w:r>
        <w:rPr/>
        <w:t>）在建工程减值测试方法及会计处理方法 本公司于资产负债表日对在建工程进行全面检查，如果有证据表明在建工程已经发生了减值，估计可收回金额低于其</w:t>
      </w:r>
    </w:p>
    <w:p>
      <w:pPr>
        <w:pStyle w:val="BodyText"/>
        <w:spacing w:line="316" w:lineRule="auto" w:before="31"/>
        <w:ind w:right="104"/>
        <w:jc w:val="both"/>
      </w:pPr>
      <w:r>
        <w:rPr>
          <w:spacing w:val="-4"/>
        </w:rPr>
        <w:t>账面价值时，账面价值减记至可收回金额，减记的金额确认为资产减值损失，计入当期损益，同时计提相应的资产减值准备。</w:t>
      </w:r>
      <w:r>
        <w:rPr>
          <w:spacing w:val="-46"/>
        </w:rPr>
        <w:t> </w:t>
      </w:r>
      <w:r>
        <w:rPr>
          <w:spacing w:val="-46"/>
        </w:rPr>
      </w:r>
      <w:r>
        <w:rPr/>
        <w:t>资产减值损失一经确认，在以后会计期间不再转回。存在下列一项或若干项情况的，对在建工程进行减值测试：</w:t>
      </w:r>
    </w:p>
    <w:p>
      <w:pPr>
        <w:pStyle w:val="BodyText"/>
        <w:spacing w:line="240" w:lineRule="auto" w:before="18"/>
        <w:ind w:left="584" w:right="90"/>
        <w:jc w:val="left"/>
      </w:pPr>
      <w:r>
        <w:rPr/>
        <w:t>①长期停建并且预计在未来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62"/>
        <w:ind w:left="584" w:right="90"/>
        <w:jc w:val="left"/>
      </w:pPr>
      <w:r>
        <w:rPr/>
        <w:t>②所建项目无论在性能上，还是在技术上已经落后，并且给企业带来的经济利益具有很大的不确定性；</w:t>
      </w:r>
    </w:p>
    <w:p>
      <w:pPr>
        <w:pStyle w:val="BodyText"/>
        <w:spacing w:line="240" w:lineRule="auto" w:before="76"/>
        <w:ind w:left="584" w:right="90"/>
        <w:jc w:val="left"/>
      </w:pPr>
      <w:r>
        <w:rPr/>
        <w:t>③其他足以证明在建工程已经发生减值的情形。</w:t>
      </w:r>
    </w:p>
    <w:p>
      <w:pPr>
        <w:pStyle w:val="BodyText"/>
        <w:spacing w:line="300" w:lineRule="auto" w:before="76"/>
        <w:ind w:left="584" w:right="90" w:hanging="72"/>
        <w:jc w:val="left"/>
      </w:pPr>
      <w:r>
        <w:rPr/>
        <w:t>（</w:t>
      </w:r>
      <w:r>
        <w:rPr>
          <w:rFonts w:ascii="Times New Roman" w:hAnsi="Times New Roman" w:cs="Times New Roman" w:eastAsia="Times New Roman" w:hint="default"/>
        </w:rPr>
        <w:t>5</w:t>
      </w:r>
      <w:r>
        <w:rPr/>
        <w:t>）无形资产减值测试方法及会计处理方法 </w:t>
      </w:r>
      <w:r>
        <w:rPr>
          <w:spacing w:val="-2"/>
        </w:rPr>
        <w:t>当无形资产的可收回金额低于其账面价值时，将资产的账面价值减记至可收回金额，减记的金额确认为资产减值损失，</w:t>
      </w:r>
    </w:p>
    <w:p>
      <w:pPr>
        <w:pStyle w:val="BodyText"/>
        <w:spacing w:line="316" w:lineRule="auto" w:before="31"/>
        <w:ind w:right="190"/>
        <w:jc w:val="both"/>
      </w:pPr>
      <w:r>
        <w:rPr>
          <w:spacing w:val="-2"/>
        </w:rPr>
        <w:t>计入当期损益，同时计提相应的无形资产减值准备。无形资产减值损失一经确认，在以后会计期间不再转回。存在下列一项</w:t>
      </w:r>
      <w:r>
        <w:rPr>
          <w:spacing w:val="-65"/>
        </w:rPr>
        <w:t> </w:t>
      </w:r>
      <w:r>
        <w:rPr>
          <w:spacing w:val="-65"/>
        </w:rPr>
      </w:r>
      <w:r>
        <w:rPr/>
        <w:t>或多项以下情况的，对无形资产进行减值测试：</w:t>
      </w:r>
    </w:p>
    <w:p>
      <w:pPr>
        <w:pStyle w:val="BodyText"/>
        <w:spacing w:line="240" w:lineRule="auto" w:before="18"/>
        <w:ind w:left="584" w:right="90"/>
        <w:jc w:val="left"/>
      </w:pPr>
      <w:r>
        <w:rPr/>
        <w:t>①该无形资产已被其他新技术等所替代，使其为企业创造经济利益的能力受到重大不利影响；</w:t>
      </w:r>
    </w:p>
    <w:p>
      <w:pPr>
        <w:pStyle w:val="BodyText"/>
        <w:spacing w:line="240" w:lineRule="auto" w:before="76"/>
        <w:ind w:left="584" w:right="90"/>
        <w:jc w:val="left"/>
      </w:pPr>
      <w:r>
        <w:rPr/>
        <w:t>②该无形资产的市价在当期大幅下跌，并在剩余年限内可能不会回升；</w:t>
      </w:r>
    </w:p>
    <w:p>
      <w:pPr>
        <w:pStyle w:val="BodyText"/>
        <w:spacing w:line="240" w:lineRule="auto" w:before="76"/>
        <w:ind w:left="584" w:right="90"/>
        <w:jc w:val="left"/>
      </w:pPr>
      <w:r>
        <w:rPr/>
        <w:t>③其他足以表明该无形资产的账面价值已超过可收回金额的情况。</w:t>
      </w:r>
    </w:p>
    <w:p>
      <w:pPr>
        <w:pStyle w:val="BodyText"/>
        <w:spacing w:line="300" w:lineRule="auto" w:before="76"/>
        <w:ind w:left="584" w:right="202" w:hanging="72"/>
        <w:jc w:val="left"/>
      </w:pPr>
      <w:r>
        <w:rPr/>
        <w:t>（</w:t>
      </w:r>
      <w:r>
        <w:rPr>
          <w:rFonts w:ascii="Times New Roman" w:hAnsi="Times New Roman" w:cs="Times New Roman" w:eastAsia="Times New Roman" w:hint="default"/>
        </w:rPr>
        <w:t>6</w:t>
      </w:r>
      <w:r>
        <w:rPr/>
        <w:t>）商誉减值测试 企业合并形成的商誉，至少在每年年度终了进行减值测试。本公司在对包含商誉的相关资产组或者资产组组合进行减</w:t>
      </w:r>
    </w:p>
    <w:p>
      <w:pPr>
        <w:pStyle w:val="BodyText"/>
        <w:spacing w:line="314" w:lineRule="auto" w:before="31"/>
        <w:ind w:left="584" w:right="202" w:hanging="432"/>
        <w:jc w:val="left"/>
      </w:pPr>
      <w:r>
        <w:rPr/>
        <w:t>值测试时，如与商誉相关的资产组或者资产组组合存在减值迹象的，按以下步骤处理： 首先对不包含商誉的资产组或者资产组组合进行减值测试，计算可收回金额，并与相关资产账面价值比较，确认相应</w:t>
      </w:r>
    </w:p>
    <w:p>
      <w:pPr>
        <w:pStyle w:val="BodyText"/>
        <w:spacing w:line="240" w:lineRule="auto" w:before="20"/>
        <w:ind w:right="0"/>
        <w:jc w:val="both"/>
      </w:pPr>
      <w:r>
        <w:rPr/>
        <w:t>的减值损失；然后再对包含商誉的资产组或者资产组这组合进行减值测试，比较这些相关资产组或者资产组组合的账面价值</w:t>
      </w:r>
    </w:p>
    <w:p>
      <w:pPr>
        <w:pStyle w:val="BodyText"/>
        <w:spacing w:line="316" w:lineRule="auto" w:before="76"/>
        <w:ind w:right="193"/>
        <w:jc w:val="both"/>
      </w:pPr>
      <w:r>
        <w:rPr>
          <w:spacing w:val="-2"/>
        </w:rPr>
        <w:t>（包括所分摊的商誉的账面价值部分）与其可收回金额，如相关资产组或者资产组组合的可收回金额低于其账面价值的，就</w:t>
      </w:r>
      <w:r>
        <w:rPr>
          <w:spacing w:val="-66"/>
        </w:rPr>
        <w:t> </w:t>
      </w:r>
      <w:r>
        <w:rPr>
          <w:spacing w:val="-66"/>
        </w:rPr>
      </w:r>
      <w:r>
        <w:rPr>
          <w:spacing w:val="-2"/>
        </w:rPr>
        <w:t>其差额确认减值损失。减值损失金额首先抵减分摊至资产组或者资产组组合中商誉的账面价值；再根据资产组或者资产组组</w:t>
      </w:r>
      <w:r>
        <w:rPr>
          <w:spacing w:val="-64"/>
        </w:rPr>
        <w:t> </w:t>
      </w:r>
      <w:r>
        <w:rPr>
          <w:spacing w:val="-64"/>
        </w:rPr>
      </w:r>
      <w:r>
        <w:rPr/>
        <w:t>合中除商誉之外的其他各项资产的账面价值所占比重，按比例抵减其他各项资产的账面价值。</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23、长期待摊费用" w:id="193"/>
      <w:bookmarkEnd w:id="19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84" w:right="90"/>
        <w:jc w:val="left"/>
      </w:pPr>
      <w:r>
        <w:rPr/>
        <w:t>长期待摊费用在受益期内平均摊销，其中经营租赁方式租入的固定资产改良支出，按最佳预期经济利益实现方式合理</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摊销。</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4、职工薪酬" w:id="194"/>
      <w:bookmarkEnd w:id="19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195"/>
      <w:bookmarkEnd w:id="19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432"/>
        <w:jc w:val="both"/>
      </w:pPr>
      <w:r>
        <w:rPr/>
        <w:t>职工薪酬，是指本公司为获得职工提供的服务或解除劳动关系而给予的各种形式的报酬或补偿。职工薪酬包括短期薪 </w:t>
      </w:r>
      <w:r>
        <w:rPr>
          <w:spacing w:val="-2"/>
        </w:rPr>
        <w:t>酬、离职后福利、辞退福利和其他长期职工福利。本公司提供给职工配偶、子女、受赡养人、已故员工遗属及其他受益人等</w:t>
      </w:r>
      <w:r>
        <w:rPr>
          <w:spacing w:val="-68"/>
        </w:rPr>
        <w:t> </w:t>
      </w:r>
      <w:r>
        <w:rPr>
          <w:spacing w:val="-68"/>
        </w:rPr>
      </w:r>
      <w:r>
        <w:rPr/>
        <w:t>的福利，也属于职工薪酬。</w:t>
      </w:r>
    </w:p>
    <w:p>
      <w:pPr>
        <w:pStyle w:val="BodyText"/>
        <w:spacing w:line="240" w:lineRule="auto" w:before="18"/>
        <w:ind w:left="512" w:right="0"/>
        <w:jc w:val="left"/>
      </w:pPr>
      <w:r>
        <w:rPr/>
        <w:t>（</w:t>
      </w:r>
      <w:r>
        <w:rPr>
          <w:rFonts w:ascii="Times New Roman" w:hAnsi="Times New Roman" w:cs="Times New Roman" w:eastAsia="Times New Roman" w:hint="default"/>
        </w:rPr>
        <w:t>1</w:t>
      </w:r>
      <w:r>
        <w:rPr/>
        <w:t>）短期薪酬的会计处理方法</w:t>
      </w:r>
    </w:p>
    <w:p>
      <w:pPr>
        <w:pStyle w:val="BodyText"/>
        <w:spacing w:line="316" w:lineRule="auto" w:before="62"/>
        <w:ind w:left="584" w:right="162"/>
        <w:jc w:val="left"/>
      </w:pPr>
      <w:r>
        <w:rPr/>
        <w:t>①职工基本薪酬（工资、奖金、津贴、补贴） 本公司在职工为其提供服务的会计期间，将实际发生的短期薪酬确认为负债，并计入当期损益，其他会计准则要求或</w:t>
      </w:r>
    </w:p>
    <w:p>
      <w:pPr>
        <w:pStyle w:val="BodyText"/>
        <w:spacing w:line="240" w:lineRule="auto" w:before="18"/>
        <w:ind w:right="0"/>
        <w:jc w:val="both"/>
      </w:pPr>
      <w:r>
        <w:rPr/>
        <w:t>允许计入资产成本的除外。</w:t>
      </w:r>
    </w:p>
    <w:p>
      <w:pPr>
        <w:pStyle w:val="BodyText"/>
        <w:spacing w:line="316" w:lineRule="auto" w:before="76"/>
        <w:ind w:left="656" w:right="141" w:hanging="72"/>
        <w:jc w:val="left"/>
      </w:pPr>
      <w:r>
        <w:rPr/>
        <w:t>②职工福利费 </w:t>
      </w:r>
      <w:r>
        <w:rPr>
          <w:spacing w:val="-1"/>
        </w:rPr>
        <w:t>本公司发生的职工福利费，在实际发生时根据实际发生额计入当期损益或相关资产成本。职工福利费为非货币性福利</w:t>
      </w:r>
    </w:p>
    <w:p>
      <w:pPr>
        <w:pStyle w:val="BodyText"/>
        <w:spacing w:line="240" w:lineRule="auto" w:before="18"/>
        <w:ind w:right="0"/>
        <w:jc w:val="both"/>
      </w:pPr>
      <w:r>
        <w:rPr/>
        <w:t>的，按照公允价值计量。</w:t>
      </w:r>
    </w:p>
    <w:p>
      <w:pPr>
        <w:pStyle w:val="BodyText"/>
        <w:spacing w:line="316" w:lineRule="auto" w:before="76"/>
        <w:ind w:left="584" w:right="162"/>
        <w:jc w:val="left"/>
      </w:pPr>
      <w:r>
        <w:rPr/>
        <w:t>③医疗保险费、工伤保险费、生育保险费等社会保险费和住房公积金，以及工会经费和职工教育经费 本公司为职工缴纳的医疗保险费、工伤保险费、生育保险费等社会保险费和住房公积金，以及按规定提取的工会经费</w:t>
      </w:r>
    </w:p>
    <w:p>
      <w:pPr>
        <w:pStyle w:val="BodyText"/>
        <w:spacing w:line="316" w:lineRule="auto" w:before="18"/>
        <w:ind w:right="0"/>
        <w:jc w:val="left"/>
      </w:pPr>
      <w:r>
        <w:rPr>
          <w:spacing w:val="-2"/>
        </w:rPr>
        <w:t>和职工教育经费，在职工为其提供服务的会计期间，根据规定的计提基础和计提比例计算确定相应的职工薪酬金额，并确认</w:t>
      </w:r>
      <w:r>
        <w:rPr>
          <w:spacing w:val="-63"/>
        </w:rPr>
        <w:t> </w:t>
      </w:r>
      <w:r>
        <w:rPr>
          <w:spacing w:val="-63"/>
        </w:rPr>
      </w:r>
      <w:r>
        <w:rPr/>
        <w:t>相应负债，计入当期损益或相关资产成本。</w:t>
      </w:r>
    </w:p>
    <w:p>
      <w:pPr>
        <w:pStyle w:val="BodyText"/>
        <w:spacing w:line="316" w:lineRule="auto" w:before="18"/>
        <w:ind w:left="584" w:right="162"/>
        <w:jc w:val="left"/>
      </w:pPr>
      <w:r>
        <w:rPr/>
        <w:t>④短期带薪缺勤 本公司在职工提供服务从而增加了其未来享有的带薪缺勤权利时，确认与累积带薪缺勤相关的职工薪酬，并以累积未</w:t>
      </w:r>
    </w:p>
    <w:p>
      <w:pPr>
        <w:pStyle w:val="BodyText"/>
        <w:spacing w:line="240" w:lineRule="auto" w:before="18"/>
        <w:ind w:right="0"/>
        <w:jc w:val="both"/>
      </w:pPr>
      <w:r>
        <w:rPr/>
        <w:t>行使权利而增加的预期支付金额计量。本公司在职工实际发生缺勤的会计期间确认与非累积带薪缺勤相关的职工薪酬。</w:t>
      </w:r>
    </w:p>
    <w:p>
      <w:pPr>
        <w:pStyle w:val="BodyText"/>
        <w:spacing w:line="312" w:lineRule="auto" w:before="76"/>
        <w:ind w:left="584" w:right="3762"/>
        <w:jc w:val="left"/>
      </w:pPr>
      <w:r>
        <w:rPr/>
        <w:t>⑤短期利润分享计划 利润分享计划同时满足下列条件的，本公司确认相关的应付职工薪酬： </w:t>
      </w:r>
      <w:r>
        <w:rPr>
          <w:rFonts w:ascii="Times New Roman" w:hAnsi="Times New Roman" w:cs="Times New Roman" w:eastAsia="Times New Roman" w:hint="default"/>
        </w:rPr>
        <w:t>A.</w:t>
      </w:r>
      <w:r>
        <w:rPr/>
        <w:t>企业因过去事项导致现在具有支付职工薪酬的法定义务或推定义务；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9"/>
        <w:rPr>
          <w:rFonts w:ascii="宋体" w:hAnsi="宋体" w:cs="宋体" w:eastAsia="宋体" w:hint="default"/>
          <w:sz w:val="21"/>
          <w:szCs w:val="21"/>
        </w:rPr>
      </w:pPr>
    </w:p>
    <w:p>
      <w:pPr>
        <w:pStyle w:val="Heading3"/>
        <w:spacing w:line="240" w:lineRule="auto"/>
        <w:ind w:right="0"/>
        <w:jc w:val="both"/>
        <w:rPr>
          <w:b w:val="0"/>
          <w:bCs w:val="0"/>
        </w:rPr>
      </w:pPr>
      <w:bookmarkStart w:name="（2）离职后福利的会计处理方法" w:id="196"/>
      <w:bookmarkEnd w:id="19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84" w:right="162"/>
        <w:jc w:val="left"/>
      </w:pPr>
      <w:r>
        <w:rPr/>
        <w:t>①设定提存计划 本公司在职工为其提供服务的会计期间，将根据设定提存计划计算的应缴存金额确认为负债，并计入当期损益或相关</w:t>
      </w:r>
    </w:p>
    <w:p>
      <w:pPr>
        <w:pStyle w:val="BodyText"/>
        <w:spacing w:line="240" w:lineRule="auto" w:before="18"/>
        <w:ind w:right="0"/>
        <w:jc w:val="both"/>
      </w:pPr>
      <w:r>
        <w:rPr/>
        <w:t>资产成本。</w:t>
      </w:r>
    </w:p>
    <w:p>
      <w:pPr>
        <w:pStyle w:val="BodyText"/>
        <w:spacing w:line="316" w:lineRule="auto" w:before="76"/>
        <w:ind w:right="153" w:firstLine="432"/>
        <w:jc w:val="both"/>
      </w:pPr>
      <w:r>
        <w:rPr/>
        <w:t>根据设定提存计划，预期不会在职工提供相关服务的年度报告期结束后十二个月内支付全部应缴存金额的，本公司参 </w:t>
      </w:r>
      <w:r>
        <w:rPr>
          <w:spacing w:val="-2"/>
        </w:rPr>
        <w:t>照相应的折现率（根据资产负债表日与设定提存计划义务期限和币种相匹配的国债或活跃市场上的高质量公司债券的市场收</w:t>
      </w:r>
      <w:r>
        <w:rPr>
          <w:spacing w:val="-64"/>
        </w:rPr>
        <w:t> </w:t>
      </w:r>
      <w:r>
        <w:rPr>
          <w:spacing w:val="-64"/>
        </w:rPr>
      </w:r>
      <w:r>
        <w:rPr/>
        <w:t>益率确定），将全部应缴存金额以折现后的金额计量应付职工薪酬。</w:t>
      </w:r>
    </w:p>
    <w:p>
      <w:pPr>
        <w:pStyle w:val="BodyText"/>
        <w:spacing w:line="240" w:lineRule="auto" w:before="18"/>
        <w:ind w:left="512" w:right="0"/>
        <w:jc w:val="left"/>
      </w:pPr>
      <w:r>
        <w:rPr/>
        <w:t>②设定受益计划</w:t>
      </w:r>
    </w:p>
    <w:p>
      <w:pPr>
        <w:pStyle w:val="BodyText"/>
        <w:spacing w:line="300" w:lineRule="auto" w:before="76"/>
        <w:ind w:left="584" w:right="162" w:firstLine="2"/>
        <w:jc w:val="left"/>
      </w:pPr>
      <w:r>
        <w:rPr>
          <w:rFonts w:ascii="Times New Roman" w:hAnsi="Times New Roman" w:cs="Times New Roman" w:eastAsia="Times New Roman" w:hint="default"/>
        </w:rPr>
        <w:t>A</w:t>
      </w:r>
      <w:r>
        <w:rPr/>
        <w:t>．确定设定受益计划义务的现值和当期服务成本 根据预期累计福利单位法，采用无偏且相互一致的精算假设对有关人口统计变量和财务变量等做出估计，计量设定受</w:t>
      </w:r>
    </w:p>
    <w:p>
      <w:pPr>
        <w:pStyle w:val="BodyText"/>
        <w:spacing w:line="316" w:lineRule="auto" w:before="31"/>
        <w:ind w:right="150"/>
        <w:jc w:val="both"/>
      </w:pPr>
      <w:r>
        <w:rPr>
          <w:spacing w:val="-2"/>
        </w:rPr>
        <w:t>益计划所产生的义务，并确定相关义务的归属期间。本公司按照相应的折现率（根据资产负债表日与设定受益计划义务期限</w:t>
      </w:r>
      <w:r>
        <w:rPr>
          <w:spacing w:val="-63"/>
        </w:rPr>
        <w:t> </w:t>
      </w:r>
      <w:r>
        <w:rPr>
          <w:spacing w:val="-63"/>
        </w:rPr>
      </w:r>
      <w:r>
        <w:rPr>
          <w:spacing w:val="-2"/>
        </w:rPr>
        <w:t>和币种相匹配的国债或活跃市场上的高质量公司债券的市场收益率确定）将设定受益计划所产生的义务予以折现，以确定设</w:t>
      </w:r>
      <w:r>
        <w:rPr>
          <w:spacing w:val="-64"/>
        </w:rPr>
        <w:t> </w:t>
      </w:r>
      <w:r>
        <w:rPr>
          <w:spacing w:val="-64"/>
        </w:rPr>
      </w:r>
      <w:r>
        <w:rPr/>
        <w:t>定受益计划义务的现值和当期服务成本。</w:t>
      </w:r>
    </w:p>
    <w:p>
      <w:pPr>
        <w:pStyle w:val="BodyText"/>
        <w:spacing w:line="300" w:lineRule="auto" w:before="18"/>
        <w:ind w:left="584" w:right="162" w:hanging="72"/>
        <w:jc w:val="left"/>
      </w:pPr>
      <w:r>
        <w:rPr>
          <w:rFonts w:ascii="Times New Roman" w:hAnsi="Times New Roman" w:cs="Times New Roman" w:eastAsia="Times New Roman" w:hint="default"/>
        </w:rPr>
        <w:t>B.</w:t>
      </w:r>
      <w:r>
        <w:rPr/>
        <w:t>确认设定受益计划净负债或净资产 设定受益计划存在资产的，本公司将设定受益计划义务现值减去设定受益计划资产公允价值所形成的赤字或盈余确认</w:t>
      </w:r>
    </w:p>
    <w:p>
      <w:pPr>
        <w:pStyle w:val="BodyText"/>
        <w:spacing w:line="240" w:lineRule="auto" w:before="31"/>
        <w:ind w:right="0"/>
        <w:jc w:val="both"/>
      </w:pPr>
      <w:r>
        <w:rPr/>
        <w:t>为一项设定受益计划净负债或净资产。</w:t>
      </w:r>
    </w:p>
    <w:p>
      <w:pPr>
        <w:spacing w:after="0" w:line="240" w:lineRule="auto"/>
        <w:jc w:val="both"/>
        <w:sectPr>
          <w:footerReference w:type="default" r:id="rId21"/>
          <w:pgSz w:w="11910" w:h="16840"/>
          <w:pgMar w:footer="982" w:header="745" w:top="1060" w:bottom="1180" w:left="980" w:right="980"/>
          <w:pgNumType w:start="124"/>
        </w:sectPr>
      </w:pPr>
    </w:p>
    <w:p>
      <w:pPr>
        <w:spacing w:line="240" w:lineRule="auto" w:before="9"/>
        <w:rPr>
          <w:rFonts w:ascii="宋体" w:hAnsi="宋体" w:cs="宋体" w:eastAsia="宋体" w:hint="default"/>
          <w:sz w:val="25"/>
          <w:szCs w:val="25"/>
        </w:rPr>
      </w:pPr>
    </w:p>
    <w:p>
      <w:pPr>
        <w:pStyle w:val="BodyText"/>
        <w:spacing w:line="309" w:lineRule="auto" w:before="44"/>
        <w:ind w:left="584" w:right="162"/>
        <w:jc w:val="left"/>
      </w:pPr>
      <w:r>
        <w:rPr/>
        <w:t>设定受益计划存在盈余的，本公司以设定受益计划的盈余和资产上限两项的孰低者计量设定受益计划净资产。 </w:t>
      </w:r>
      <w:r>
        <w:rPr>
          <w:rFonts w:ascii="Times New Roman" w:hAnsi="Times New Roman" w:cs="Times New Roman" w:eastAsia="Times New Roman" w:hint="default"/>
        </w:rPr>
        <w:t>C.</w:t>
      </w:r>
      <w:r>
        <w:rPr/>
        <w:t>确定应计入资产成本或当期损益的金额 服务成本，包括当期服务成本、过去服务成本和结算利得或损失。其中，除了其他会计准则要求或允许计入资产成本</w:t>
      </w:r>
    </w:p>
    <w:p>
      <w:pPr>
        <w:pStyle w:val="BodyText"/>
        <w:spacing w:line="316" w:lineRule="auto" w:before="24"/>
        <w:ind w:left="584" w:right="162" w:hanging="432"/>
        <w:jc w:val="left"/>
      </w:pPr>
      <w:r>
        <w:rPr/>
        <w:t>的当期服务成本之外，其他服务成本均计入当期损益。 设定受益计划净负债或净资产的利息净额，包括计划资产的利息收益、设定受益计划义务的利息费用以及资产上限影</w:t>
      </w:r>
    </w:p>
    <w:p>
      <w:pPr>
        <w:pStyle w:val="BodyText"/>
        <w:spacing w:line="240" w:lineRule="auto" w:before="18"/>
        <w:ind w:right="0"/>
        <w:jc w:val="left"/>
      </w:pPr>
      <w:r>
        <w:rPr/>
        <w:t>响的利息，均计入当期损益。</w:t>
      </w:r>
    </w:p>
    <w:p>
      <w:pPr>
        <w:pStyle w:val="BodyText"/>
        <w:spacing w:line="300" w:lineRule="auto" w:before="76"/>
        <w:ind w:left="584" w:right="4482" w:hanging="72"/>
        <w:jc w:val="left"/>
      </w:pPr>
      <w:r>
        <w:rPr>
          <w:rFonts w:ascii="Times New Roman" w:hAnsi="Times New Roman" w:cs="Times New Roman" w:eastAsia="Times New Roman" w:hint="default"/>
        </w:rPr>
        <w:t>D.</w:t>
      </w:r>
      <w:r>
        <w:rPr/>
        <w:t>确定应计入其他综合收益的金额 重新计量设定受益计划净负债或净资产所产生的变动，包括：</w:t>
      </w:r>
    </w:p>
    <w:p>
      <w:pPr>
        <w:pStyle w:val="BodyText"/>
        <w:spacing w:line="240" w:lineRule="auto" w:before="31"/>
        <w:ind w:left="512" w:right="0"/>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pStyle w:val="BodyText"/>
        <w:spacing w:line="240" w:lineRule="auto" w:before="62"/>
        <w:ind w:left="512"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w:t>
      </w:r>
    </w:p>
    <w:p>
      <w:pPr>
        <w:pStyle w:val="BodyText"/>
        <w:spacing w:line="300" w:lineRule="auto" w:before="62"/>
        <w:ind w:left="584" w:right="225" w:hanging="72"/>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上述重新计量设定受益计划净负债或净资产所产生的变动直接计入其他综合收益</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并且在后续会计期间不允许转回至</w:t>
      </w:r>
    </w:p>
    <w:p>
      <w:pPr>
        <w:pStyle w:val="BodyText"/>
        <w:spacing w:line="240" w:lineRule="auto" w:before="13"/>
        <w:ind w:right="0"/>
        <w:jc w:val="left"/>
      </w:pPr>
      <w:r>
        <w:rPr/>
        <w:t>损益，但本公司可以在权益范围内转移这些在其他综合收益中确认的金额。</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bookmarkStart w:name="（3）辞退福利的会计处理方法" w:id="197"/>
      <w:bookmarkEnd w:id="19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6" w:right="0"/>
        <w:jc w:val="left"/>
      </w:pPr>
      <w:r>
        <w:rPr/>
        <w:t>本公司向职工提供辞退福利的，在下列两者孰早日确认辞退福利产生的职工薪酬负债，并计入当期损益：</w:t>
      </w:r>
    </w:p>
    <w:p>
      <w:pPr>
        <w:pStyle w:val="BodyText"/>
        <w:spacing w:line="240" w:lineRule="auto" w:before="76"/>
        <w:ind w:left="584" w:right="0"/>
        <w:jc w:val="left"/>
      </w:pPr>
      <w:r>
        <w:rPr/>
        <w:t>①企业不能单方面撤回因解除劳动关系计划或裁减建议所提供的辞退福利时；</w:t>
      </w:r>
    </w:p>
    <w:p>
      <w:pPr>
        <w:pStyle w:val="BodyText"/>
        <w:spacing w:line="316" w:lineRule="auto" w:before="76"/>
        <w:ind w:left="584" w:right="162"/>
        <w:jc w:val="left"/>
      </w:pPr>
      <w:r>
        <w:rPr/>
        <w:t>②企业确认与涉及支付辞退福利的重组相关的成本或费用时。 辞退福利预期在年度报告期结束后十二个月内不能完全支付的，参照相应的折现率（根据资产负债表日与设定受益计</w:t>
      </w:r>
    </w:p>
    <w:p>
      <w:pPr>
        <w:pStyle w:val="BodyText"/>
        <w:spacing w:line="316" w:lineRule="auto" w:before="18"/>
        <w:ind w:right="0"/>
        <w:jc w:val="left"/>
      </w:pPr>
      <w:r>
        <w:rPr>
          <w:spacing w:val="-2"/>
        </w:rPr>
        <w:t>划义务期限和币种相匹配的国债或活跃市场上的高质量公司债券的市场收益率确定）将辞退福利金额予以折现，以折现后的</w:t>
      </w:r>
      <w:r>
        <w:rPr>
          <w:spacing w:val="-64"/>
        </w:rPr>
        <w:t> </w:t>
      </w:r>
      <w:r>
        <w:rPr>
          <w:spacing w:val="-64"/>
        </w:rPr>
      </w:r>
      <w:r>
        <w:rPr/>
        <w:t>金额计量应付职工薪酬。</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198"/>
      <w:bookmarkEnd w:id="19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84" w:right="162"/>
        <w:jc w:val="left"/>
      </w:pPr>
      <w:r>
        <w:rPr/>
        <w:t>①符合设定提存计划条件的 本公司向职工提供的其他长期职工福利，符合设定提存计划条件的，将全部应缴存金额以折现后的金额计量应付职工</w:t>
      </w:r>
    </w:p>
    <w:p>
      <w:pPr>
        <w:pStyle w:val="BodyText"/>
        <w:spacing w:line="240" w:lineRule="auto" w:before="18"/>
        <w:ind w:right="0"/>
        <w:jc w:val="left"/>
      </w:pPr>
      <w:r>
        <w:rPr/>
        <w:t>薪酬。</w:t>
      </w:r>
    </w:p>
    <w:p>
      <w:pPr>
        <w:pStyle w:val="BodyText"/>
        <w:spacing w:line="316" w:lineRule="auto" w:before="76"/>
        <w:ind w:left="584" w:right="2682"/>
        <w:jc w:val="left"/>
      </w:pPr>
      <w:r>
        <w:rPr/>
        <w:t>②符合设定受益计划条件的 在报告期末，本公司将其他长期职工福利产生的职工薪酬成本确认为下列组成部分： </w:t>
      </w:r>
      <w:r>
        <w:rPr>
          <w:rFonts w:ascii="Times New Roman" w:hAnsi="Times New Roman" w:cs="Times New Roman" w:eastAsia="Times New Roman" w:hint="default"/>
        </w:rPr>
        <w:t>A.</w:t>
      </w:r>
      <w:r>
        <w:rPr/>
        <w:t>服务成本；</w:t>
      </w:r>
    </w:p>
    <w:p>
      <w:pPr>
        <w:pStyle w:val="BodyText"/>
        <w:spacing w:line="300" w:lineRule="auto"/>
        <w:ind w:left="584" w:right="3582"/>
        <w:jc w:val="left"/>
      </w:pP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 为简化相关会计处理，上述项目的总净额计入当期损益或相关资产成本。</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25、预计负债" w:id="199"/>
      <w:bookmarkEnd w:id="19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84" w:right="0"/>
        <w:jc w:val="left"/>
      </w:pPr>
      <w:r>
        <w:rPr/>
        <w:t>如果与或有事项相关的义务同时符合以下条件，本公司将其确认为预计负债：</w:t>
      </w:r>
    </w:p>
    <w:p>
      <w:pPr>
        <w:pStyle w:val="BodyText"/>
        <w:spacing w:line="240" w:lineRule="auto" w:before="76"/>
        <w:ind w:left="512"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2"/>
        <w:ind w:left="512" w:right="0"/>
        <w:jc w:val="left"/>
      </w:pPr>
      <w:r>
        <w:rPr/>
        <w:t>（</w:t>
      </w:r>
      <w:r>
        <w:rPr>
          <w:rFonts w:ascii="Times New Roman" w:hAnsi="Times New Roman" w:cs="Times New Roman" w:eastAsia="Times New Roman" w:hint="default"/>
        </w:rPr>
        <w:t>2</w:t>
      </w:r>
      <w:r>
        <w:rPr/>
        <w:t>）该义务的履行很可能导致经济利益流出本公司；</w:t>
      </w:r>
    </w:p>
    <w:p>
      <w:pPr>
        <w:pStyle w:val="BodyText"/>
        <w:spacing w:line="300" w:lineRule="auto" w:before="62"/>
        <w:ind w:left="584" w:right="162" w:hanging="72"/>
        <w:jc w:val="left"/>
      </w:pPr>
      <w:r>
        <w:rPr/>
        <w:t>（</w:t>
      </w:r>
      <w:r>
        <w:rPr>
          <w:rFonts w:ascii="Times New Roman" w:hAnsi="Times New Roman" w:cs="Times New Roman" w:eastAsia="Times New Roman" w:hint="default"/>
        </w:rPr>
        <w:t>3</w:t>
      </w:r>
      <w:r>
        <w:rPr/>
        <w:t>）该义务的金额能够可靠地计量。 预计负债按照履行相关现时义务所需支出的最佳估计数进行初始计量，并综合考虑与或事项有关的风险、不确定性和</w:t>
      </w:r>
    </w:p>
    <w:p>
      <w:pPr>
        <w:pStyle w:val="BodyText"/>
        <w:spacing w:line="316" w:lineRule="auto" w:before="31"/>
        <w:ind w:right="0"/>
        <w:jc w:val="left"/>
      </w:pP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after="0" w:line="316"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0"/>
        <w:jc w:val="left"/>
        <w:rPr>
          <w:b w:val="0"/>
          <w:bCs w:val="0"/>
        </w:rPr>
      </w:pPr>
      <w:bookmarkStart w:name="26、股份支付" w:id="200"/>
      <w:bookmarkEnd w:id="20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84" w:right="3802" w:hanging="72"/>
        <w:jc w:val="left"/>
      </w:pPr>
      <w:r>
        <w:rPr/>
        <w:t>（</w:t>
      </w:r>
      <w:r>
        <w:rPr>
          <w:rFonts w:ascii="Times New Roman" w:hAnsi="Times New Roman" w:cs="Times New Roman" w:eastAsia="Times New Roman" w:hint="default"/>
        </w:rPr>
        <w:t>1</w:t>
      </w:r>
      <w:r>
        <w:rPr/>
        <w:t>）股份支付的种类 本公司股份支付包括以现金结算的股份支付和以权益结算的股份支付。</w:t>
      </w:r>
    </w:p>
    <w:p>
      <w:pPr>
        <w:pStyle w:val="BodyText"/>
        <w:spacing w:line="240" w:lineRule="auto" w:before="31"/>
        <w:ind w:left="512" w:right="90"/>
        <w:jc w:val="left"/>
      </w:pPr>
      <w:r>
        <w:rPr/>
        <w:t>（</w:t>
      </w:r>
      <w:r>
        <w:rPr>
          <w:rFonts w:ascii="Times New Roman" w:hAnsi="Times New Roman" w:cs="Times New Roman" w:eastAsia="Times New Roman" w:hint="default"/>
        </w:rPr>
        <w:t>2</w:t>
      </w:r>
      <w:r>
        <w:rPr/>
        <w:t>）权益工具公允价值的确定方法</w:t>
      </w:r>
    </w:p>
    <w:p>
      <w:pPr>
        <w:pStyle w:val="BodyText"/>
        <w:spacing w:line="316" w:lineRule="auto" w:before="62"/>
        <w:ind w:right="202" w:firstLine="432"/>
        <w:jc w:val="left"/>
      </w:pPr>
      <w:r>
        <w:rPr/>
        <w:t>①对于授予职工的股份，其公允价值按公司股份的市场价格计量，同时考虑授予股份所依据的条款和条件（不包括市 场条件之外的可行权条件）进行调整。</w:t>
      </w:r>
    </w:p>
    <w:p>
      <w:pPr>
        <w:pStyle w:val="BodyText"/>
        <w:spacing w:line="316" w:lineRule="auto" w:before="18"/>
        <w:ind w:right="202" w:firstLine="432"/>
        <w:jc w:val="left"/>
      </w:pPr>
      <w:r>
        <w:rPr/>
        <w:t>②对于授予职工的股票期权，在许多情况下难以获得其市场价格。如果不存在条款和条件相似的交易期权，公司选择 适用的期权定价模型估计所授予的期权的公允价值。</w:t>
      </w:r>
    </w:p>
    <w:p>
      <w:pPr>
        <w:pStyle w:val="BodyText"/>
        <w:spacing w:line="300" w:lineRule="auto" w:before="18"/>
        <w:ind w:left="584" w:right="202" w:hanging="72"/>
        <w:jc w:val="left"/>
      </w:pPr>
      <w:r>
        <w:rPr/>
        <w:t>（</w:t>
      </w:r>
      <w:r>
        <w:rPr>
          <w:rFonts w:ascii="Times New Roman" w:hAnsi="Times New Roman" w:cs="Times New Roman" w:eastAsia="Times New Roman" w:hint="default"/>
        </w:rPr>
        <w:t>3</w:t>
      </w:r>
      <w:r>
        <w:rPr/>
        <w:t>）确认可行权权益工具最佳估计的依据 在等待期内每个资产负债表日，公司根据最新取得的可行权职工人数变动等后续信息作出最佳估计，修正预计可行权</w:t>
      </w:r>
    </w:p>
    <w:p>
      <w:pPr>
        <w:pStyle w:val="BodyText"/>
        <w:spacing w:line="240" w:lineRule="auto" w:before="31"/>
        <w:ind w:right="90"/>
        <w:jc w:val="left"/>
      </w:pPr>
      <w:r>
        <w:rPr/>
        <w:t>的权益工具数量，以作出可行权权益工具的最佳估计。</w:t>
      </w:r>
    </w:p>
    <w:p>
      <w:pPr>
        <w:pStyle w:val="BodyText"/>
        <w:spacing w:line="240" w:lineRule="auto" w:before="76"/>
        <w:ind w:left="512" w:right="90"/>
        <w:jc w:val="left"/>
      </w:pPr>
      <w:r>
        <w:rPr/>
        <w:t>（</w:t>
      </w:r>
      <w:r>
        <w:rPr>
          <w:rFonts w:ascii="Times New Roman" w:hAnsi="Times New Roman" w:cs="Times New Roman" w:eastAsia="Times New Roman" w:hint="default"/>
        </w:rPr>
        <w:t>4</w:t>
      </w:r>
      <w:r>
        <w:rPr/>
        <w:t>）股份支付计划实施的会计处理</w:t>
      </w:r>
    </w:p>
    <w:p>
      <w:pPr>
        <w:pStyle w:val="BodyText"/>
        <w:spacing w:line="316" w:lineRule="auto" w:before="62"/>
        <w:ind w:right="202" w:firstLine="432"/>
        <w:jc w:val="left"/>
      </w:pPr>
      <w:r>
        <w:rPr/>
        <w:t>①授予后立即可行权的以现金结算的股份支付，在授予日以本公司承担负债的公允价值计入相关成本或费用，相应增 加负债。并在结算前的每个资产负债表日和结算日对负债的公允价值重新计量，将其变动计入损益。</w:t>
      </w:r>
    </w:p>
    <w:p>
      <w:pPr>
        <w:pStyle w:val="BodyText"/>
        <w:spacing w:line="316" w:lineRule="auto" w:before="18"/>
        <w:ind w:right="94" w:firstLine="432"/>
        <w:jc w:val="left"/>
      </w:pPr>
      <w:r>
        <w:rPr/>
        <w:t>②完成等待期内的服务或达到规定业绩条件以后才可行权的以现金结算的股份支付，在等待期内的每个资产负债表日 以对可行权情况的最佳估计为基础，按本公司承担负债的公允价值金额，将当期取得的服务计入成本或费用和相应的负债。</w:t>
      </w:r>
    </w:p>
    <w:p>
      <w:pPr>
        <w:pStyle w:val="BodyText"/>
        <w:spacing w:line="316" w:lineRule="auto" w:before="18"/>
        <w:ind w:right="90" w:firstLine="432"/>
        <w:jc w:val="left"/>
      </w:pPr>
      <w:r>
        <w:rPr>
          <w:spacing w:val="-2"/>
        </w:rPr>
        <w:t>③授予后立即可行权的换取职工服务的以权益结算的股份支付，在授予日以权益工具的公允价值计入相关成本或费用，</w:t>
      </w:r>
      <w:r>
        <w:rPr/>
        <w:t> 相应增加资本公积。</w:t>
      </w:r>
    </w:p>
    <w:p>
      <w:pPr>
        <w:pStyle w:val="BodyText"/>
        <w:spacing w:line="316" w:lineRule="auto" w:before="18"/>
        <w:ind w:right="190" w:firstLine="432"/>
        <w:jc w:val="both"/>
      </w:pPr>
      <w:r>
        <w:rPr/>
        <w:t>④完成等待期内的服务或达到规定业绩条件以后才可行权换取职工服务的以权益结算的股份支付，在等待期内的每个 </w:t>
      </w:r>
      <w:r>
        <w:rPr>
          <w:spacing w:val="-2"/>
        </w:rPr>
        <w:t>资产负债表日，以对可行权权益工具数量的最佳估计为基础，按权益工具授予日的公允价值，将当期取得的服务计入成本或</w:t>
      </w:r>
      <w:r>
        <w:rPr>
          <w:spacing w:val="-63"/>
        </w:rPr>
        <w:t> </w:t>
      </w:r>
      <w:r>
        <w:rPr>
          <w:spacing w:val="-63"/>
        </w:rPr>
      </w:r>
      <w:r>
        <w:rPr/>
        <w:t>费用和资本公积。</w:t>
      </w:r>
    </w:p>
    <w:p>
      <w:pPr>
        <w:pStyle w:val="BodyText"/>
        <w:spacing w:line="300" w:lineRule="auto" w:before="18"/>
        <w:ind w:left="584" w:right="202" w:hanging="72"/>
        <w:jc w:val="left"/>
      </w:pPr>
      <w:r>
        <w:rPr/>
        <w:t>（</w:t>
      </w:r>
      <w:r>
        <w:rPr>
          <w:rFonts w:ascii="Times New Roman" w:hAnsi="Times New Roman" w:cs="Times New Roman" w:eastAsia="Times New Roman" w:hint="default"/>
        </w:rPr>
        <w:t>5</w:t>
      </w:r>
      <w:r>
        <w:rPr/>
        <w:t>）股份支付计划修改的会计处理 本公司对股份支付计划进行修改时，若修改增加了所授予权益工具的公允价值，按照权益工具公允价值的增加相应地</w:t>
      </w:r>
    </w:p>
    <w:p>
      <w:pPr>
        <w:pStyle w:val="BodyText"/>
        <w:spacing w:line="316" w:lineRule="auto" w:before="31"/>
        <w:ind w:right="90"/>
        <w:jc w:val="left"/>
      </w:pPr>
      <w:r>
        <w:rPr>
          <w:spacing w:val="-4"/>
        </w:rPr>
        <w:t>确认取得服务的增加；若修改增加了所授予权益工具的数量，则将增加的权益工具的公允价值相应地确认为取得服务的增加。</w:t>
      </w:r>
      <w:r>
        <w:rPr>
          <w:spacing w:val="-44"/>
        </w:rPr>
        <w:t> </w:t>
      </w:r>
      <w:r>
        <w:rPr>
          <w:spacing w:val="-44"/>
        </w:rPr>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pStyle w:val="BodyText"/>
        <w:spacing w:line="300" w:lineRule="auto" w:before="18"/>
        <w:ind w:left="584" w:right="202" w:hanging="72"/>
        <w:jc w:val="left"/>
      </w:pPr>
      <w:r>
        <w:rPr/>
        <w:t>（</w:t>
      </w:r>
      <w:r>
        <w:rPr>
          <w:rFonts w:ascii="Times New Roman" w:hAnsi="Times New Roman" w:cs="Times New Roman" w:eastAsia="Times New Roman" w:hint="default"/>
        </w:rPr>
        <w:t>6</w:t>
      </w:r>
      <w:r>
        <w:rPr/>
        <w:t>）股份支付计划终止的会计处理 如果在等待期内取消了所授予的权益工具或结算了所授予的权益工具（因未满足可行权条件而被取消的除外），本公</w:t>
      </w:r>
    </w:p>
    <w:p>
      <w:pPr>
        <w:pStyle w:val="BodyText"/>
        <w:spacing w:line="240" w:lineRule="auto" w:before="31"/>
        <w:ind w:right="90"/>
        <w:jc w:val="left"/>
      </w:pPr>
      <w:r>
        <w:rPr/>
        <w:t>司：</w:t>
      </w:r>
    </w:p>
    <w:p>
      <w:pPr>
        <w:pStyle w:val="BodyText"/>
        <w:spacing w:line="240" w:lineRule="auto" w:before="76"/>
        <w:ind w:left="512" w:right="90"/>
        <w:jc w:val="left"/>
      </w:pPr>
      <w:r>
        <w:rPr/>
        <w:t>①将取消或结算作为加速可行权处理，立即确认原本应在剩余等待期内确认的金额；</w:t>
      </w:r>
    </w:p>
    <w:p>
      <w:pPr>
        <w:pStyle w:val="BodyText"/>
        <w:spacing w:line="316" w:lineRule="auto" w:before="76"/>
        <w:ind w:right="90" w:firstLine="360"/>
        <w:jc w:val="left"/>
      </w:pPr>
      <w:r>
        <w:rPr>
          <w:spacing w:val="-2"/>
        </w:rPr>
        <w:t>②在取消或结算时支付给职工的所有款项均作为权益的回购处理，回购支付的金额高于该权益工具在回购日公允价值的</w:t>
      </w:r>
      <w:r>
        <w:rPr/>
        <w:t> 部分，计入当期费用。</w:t>
      </w:r>
    </w:p>
    <w:p>
      <w:pPr>
        <w:pStyle w:val="BodyText"/>
        <w:spacing w:line="314" w:lineRule="auto" w:before="18"/>
        <w:ind w:right="202" w:firstLine="432"/>
        <w:jc w:val="left"/>
      </w:pPr>
      <w:r>
        <w:rPr/>
        <w:t>本公司如果回购其职工已可行权的权益工具，冲减企业的所有者权益；回购支付的款项高于该权益工具在回购日公允 价值的部分，计入当期损益。</w:t>
      </w:r>
    </w:p>
    <w:p>
      <w:pPr>
        <w:spacing w:line="240" w:lineRule="auto" w:before="1"/>
        <w:rPr>
          <w:rFonts w:ascii="宋体" w:hAnsi="宋体" w:cs="宋体" w:eastAsia="宋体" w:hint="default"/>
          <w:sz w:val="23"/>
          <w:szCs w:val="23"/>
        </w:rPr>
      </w:pPr>
    </w:p>
    <w:p>
      <w:pPr>
        <w:pStyle w:val="Heading3"/>
        <w:spacing w:line="240" w:lineRule="auto"/>
        <w:ind w:right="90"/>
        <w:jc w:val="left"/>
        <w:rPr>
          <w:b w:val="0"/>
          <w:bCs w:val="0"/>
        </w:rPr>
      </w:pPr>
      <w:bookmarkStart w:name="27、优先股、永续债等其他金融工具" w:id="201"/>
      <w:bookmarkEnd w:id="20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bookmarkStart w:name="28、收入" w:id="202"/>
      <w:bookmarkEnd w:id="202"/>
      <w:r>
        <w:rPr>
          <w:b w:val="0"/>
          <w:bCs w:val="0"/>
        </w:rPr>
      </w: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656" w:right="181" w:hanging="144"/>
        <w:jc w:val="left"/>
      </w:pPr>
      <w:r>
        <w:rPr/>
        <w:t>（</w:t>
      </w:r>
      <w:r>
        <w:rPr>
          <w:rFonts w:ascii="Times New Roman" w:hAnsi="Times New Roman" w:cs="Times New Roman" w:eastAsia="Times New Roman" w:hint="default"/>
        </w:rPr>
        <w:t>1</w:t>
      </w:r>
      <w:r>
        <w:rPr/>
        <w:t>）销售商品收入 </w:t>
      </w:r>
      <w:r>
        <w:rPr>
          <w:spacing w:val="-1"/>
        </w:rPr>
        <w:t>公司已将商品所有权上的主要风险和报酬转移给购买方；公司既没有保留与所有权相联系的继续管理权，也没有对已</w:t>
      </w:r>
    </w:p>
    <w:p>
      <w:pPr>
        <w:pStyle w:val="BodyText"/>
        <w:spacing w:line="316" w:lineRule="auto" w:before="31"/>
        <w:ind w:right="90"/>
        <w:jc w:val="left"/>
      </w:pPr>
      <w:r>
        <w:rPr>
          <w:spacing w:val="-2"/>
        </w:rPr>
        <w:t>售出的商品实施有效控制；收入的金额能够可靠地计量；相关的经济利益很可能流入企业；相关的已发生或将发生的成本能</w:t>
      </w:r>
      <w:r>
        <w:rPr>
          <w:spacing w:val="-63"/>
        </w:rPr>
        <w:t> </w:t>
      </w:r>
      <w:r>
        <w:rPr>
          <w:spacing w:val="-63"/>
        </w:rPr>
      </w:r>
      <w:r>
        <w:rPr/>
        <w:t>够可靠地计量时，确认商品销售收入实现。</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84" w:right="202" w:hanging="72"/>
        <w:jc w:val="left"/>
      </w:pPr>
      <w:r>
        <w:rPr/>
        <w:t>（</w:t>
      </w:r>
      <w:r>
        <w:rPr>
          <w:rFonts w:ascii="Times New Roman" w:hAnsi="Times New Roman" w:cs="Times New Roman" w:eastAsia="Times New Roman" w:hint="default"/>
        </w:rPr>
        <w:t>2</w:t>
      </w:r>
      <w:r>
        <w:rPr/>
        <w:t>）提供劳务收入 在资产负债表日提供劳务交易的结果能够可靠估计的，采用完工百分比法确认提供劳务收入。提供劳务交易的完工进</w:t>
      </w:r>
    </w:p>
    <w:p>
      <w:pPr>
        <w:pStyle w:val="BodyText"/>
        <w:spacing w:line="316" w:lineRule="auto" w:before="31"/>
        <w:ind w:right="90"/>
        <w:jc w:val="left"/>
      </w:pPr>
      <w:r>
        <w:rPr/>
        <w:t>度，依据已完工作的测量确定。 </w:t>
      </w:r>
      <w:r>
        <w:rPr>
          <w:spacing w:val="-2"/>
        </w:rPr>
        <w:t>按照已收或应收的合同或协议价款确定提供劳务收入总额，但已收或应收的合同或协议价款不公允的除外。资产负债表日按</w:t>
      </w:r>
      <w:r>
        <w:rPr>
          <w:spacing w:val="-64"/>
        </w:rPr>
        <w:t> </w:t>
      </w:r>
      <w:r>
        <w:rPr>
          <w:spacing w:val="-64"/>
        </w:rPr>
      </w:r>
      <w:r>
        <w:rPr>
          <w:spacing w:val="-2"/>
        </w:rPr>
        <w:t>照提供劳务收入总额乘以完工进度扣除以前会计期间累计已确认提供劳务收入后的金额，确认当期提供劳务收入；同时，按</w:t>
      </w:r>
      <w:r>
        <w:rPr>
          <w:spacing w:val="-63"/>
        </w:rPr>
        <w:t> </w:t>
      </w:r>
      <w:r>
        <w:rPr>
          <w:spacing w:val="-63"/>
        </w:rPr>
      </w:r>
      <w:r>
        <w:rPr/>
        <w:t>照提供劳务估计总成本乘以完工进度扣除以前会计期间累计已确认劳务成本后的金额，结转当期劳务成本。</w:t>
      </w:r>
    </w:p>
    <w:p>
      <w:pPr>
        <w:pStyle w:val="BodyText"/>
        <w:spacing w:line="240" w:lineRule="auto" w:before="18"/>
        <w:ind w:left="584" w:right="90"/>
        <w:jc w:val="left"/>
      </w:pPr>
      <w:r>
        <w:rPr/>
        <w:t>在资产负债表日提供劳务交易结果不能够可靠估计的，分别下列情况处理：</w:t>
      </w:r>
    </w:p>
    <w:p>
      <w:pPr>
        <w:pStyle w:val="BodyText"/>
        <w:spacing w:line="316" w:lineRule="auto" w:before="76"/>
        <w:ind w:right="238" w:firstLine="432"/>
        <w:jc w:val="left"/>
      </w:pPr>
      <w:r>
        <w:rPr/>
        <w:t>①</w:t>
      </w:r>
      <w:r>
        <w:rPr>
          <w:spacing w:val="-60"/>
        </w:rPr>
        <w:t> </w:t>
      </w:r>
      <w:r>
        <w:rPr/>
        <w:t>已经发生的劳务成本预计能够得到补偿的，按照已经发生的劳务成本金额确认提供劳务收入，并按相同金额结转劳</w:t>
      </w:r>
      <w:r>
        <w:rPr/>
        <w:t> 务成本。</w:t>
      </w:r>
    </w:p>
    <w:p>
      <w:pPr>
        <w:pStyle w:val="BodyText"/>
        <w:spacing w:line="240" w:lineRule="auto" w:before="18"/>
        <w:ind w:left="584" w:right="90"/>
        <w:jc w:val="left"/>
      </w:pPr>
      <w:r>
        <w:rPr/>
        <w:t>②</w:t>
      </w:r>
      <w:r>
        <w:rPr>
          <w:spacing w:val="-16"/>
        </w:rPr>
        <w:t> </w:t>
      </w:r>
      <w:r>
        <w:rPr/>
        <w:t>已经发生的劳务成本预计不能够得到补偿的，将已经发生的劳务成本计入当期损益，不确认提供劳务收入。</w:t>
      </w:r>
    </w:p>
    <w:p>
      <w:pPr>
        <w:pStyle w:val="BodyText"/>
        <w:spacing w:line="300" w:lineRule="auto" w:before="76"/>
        <w:ind w:left="584" w:right="90" w:hanging="72"/>
        <w:jc w:val="left"/>
      </w:pPr>
      <w:r>
        <w:rPr/>
        <w:t>（</w:t>
      </w:r>
      <w:r>
        <w:rPr>
          <w:rFonts w:ascii="Times New Roman" w:hAnsi="Times New Roman" w:cs="Times New Roman" w:eastAsia="Times New Roman" w:hint="default"/>
        </w:rPr>
        <w:t>3</w:t>
      </w:r>
      <w:r>
        <w:rPr/>
        <w:t>）让渡资产使用权收入 </w:t>
      </w:r>
      <w:r>
        <w:rPr>
          <w:spacing w:val="-2"/>
        </w:rPr>
        <w:t>与交易相关的经济利益很可能流入企业，收入的金额能够可靠地计量时，分别下列情况确定让渡资产使用权收入金额：</w:t>
      </w:r>
    </w:p>
    <w:p>
      <w:pPr>
        <w:pStyle w:val="BodyText"/>
        <w:spacing w:line="240" w:lineRule="auto" w:before="31"/>
        <w:ind w:left="584" w:right="90"/>
        <w:jc w:val="left"/>
      </w:pPr>
      <w:r>
        <w:rPr/>
        <w:t>①</w:t>
      </w:r>
      <w:r>
        <w:rPr>
          <w:spacing w:val="27"/>
        </w:rPr>
        <w:t> </w:t>
      </w:r>
      <w:r>
        <w:rPr/>
        <w:t>利息收入金额，按照他人使用本公司货币资金的时间和实际利率计算确定；</w:t>
      </w:r>
    </w:p>
    <w:p>
      <w:pPr>
        <w:pStyle w:val="BodyText"/>
        <w:spacing w:line="240" w:lineRule="auto" w:before="76"/>
        <w:ind w:left="584" w:right="90"/>
        <w:jc w:val="left"/>
      </w:pPr>
      <w:r>
        <w:rPr/>
        <w:t>②</w:t>
      </w:r>
      <w:r>
        <w:rPr>
          <w:spacing w:val="27"/>
        </w:rPr>
        <w:t> </w:t>
      </w:r>
      <w:r>
        <w:rPr/>
        <w:t>使用费收入金额，按照有关合同或协议约定的收费时间和方法计算确定。</w:t>
      </w:r>
    </w:p>
    <w:p>
      <w:pPr>
        <w:pStyle w:val="BodyText"/>
        <w:spacing w:line="300" w:lineRule="auto" w:before="76"/>
        <w:ind w:left="584" w:right="202" w:hanging="72"/>
        <w:jc w:val="left"/>
      </w:pPr>
      <w:r>
        <w:rPr/>
        <w:t>（</w:t>
      </w:r>
      <w:r>
        <w:rPr>
          <w:rFonts w:ascii="Times New Roman" w:hAnsi="Times New Roman" w:cs="Times New Roman" w:eastAsia="Times New Roman" w:hint="default"/>
        </w:rPr>
        <w:t>4</w:t>
      </w:r>
      <w:r>
        <w:rPr/>
        <w:t>）建造合同收入 在建造合同的结果能够可靠估计的情况下，于资产负债表日根据完工百分比法确认合同收入和合同费用。完工百分比</w:t>
      </w:r>
    </w:p>
    <w:p>
      <w:pPr>
        <w:pStyle w:val="BodyText"/>
        <w:spacing w:line="316" w:lineRule="auto" w:before="31"/>
        <w:ind w:left="584" w:right="90" w:hanging="432"/>
        <w:jc w:val="left"/>
      </w:pPr>
      <w:r>
        <w:rPr/>
        <w:t>法根据合同完工进度确认收入与费用。合同完工进度按累计实际发生的合同成本占合同预计总成本的比例确定。 </w:t>
      </w:r>
      <w:r>
        <w:rPr>
          <w:spacing w:val="-2"/>
        </w:rPr>
        <w:t>如果建造合同的结果不能可靠地估计，但预计合同成本能够收回时，合同收入根据能够收回的实际合同成本予以确认，</w:t>
      </w:r>
    </w:p>
    <w:p>
      <w:pPr>
        <w:pStyle w:val="BodyText"/>
        <w:spacing w:line="316" w:lineRule="auto" w:before="18"/>
        <w:ind w:left="584" w:right="94" w:hanging="432"/>
        <w:jc w:val="left"/>
      </w:pPr>
      <w:r>
        <w:rPr/>
        <w:t>合同成本在其发生的当期确认为合同费用；预计合同成本不可能收回时，在发生时立即确认为合同费用，不确认合同收入。 如果预计合同总成本超过合同总收入，则将预计损失确认为当期费用。</w:t>
      </w:r>
    </w:p>
    <w:p>
      <w:pPr>
        <w:pStyle w:val="BodyText"/>
        <w:spacing w:line="240" w:lineRule="auto" w:before="18"/>
        <w:ind w:left="584" w:right="9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本公司收入确认的具体原则</w:t>
      </w:r>
    </w:p>
    <w:p>
      <w:pPr>
        <w:pStyle w:val="BodyText"/>
        <w:spacing w:line="316" w:lineRule="auto" w:before="62"/>
        <w:ind w:left="584" w:right="6502"/>
        <w:jc w:val="left"/>
      </w:pPr>
      <w:r>
        <w:rPr/>
        <w:t>①软件开发业务 本公司软件开发业务分为以下两类：</w:t>
      </w:r>
    </w:p>
    <w:p>
      <w:pPr>
        <w:pStyle w:val="BodyText"/>
        <w:spacing w:line="300" w:lineRule="auto" w:before="18"/>
        <w:ind w:right="257" w:firstLine="432"/>
        <w:jc w:val="left"/>
      </w:pPr>
      <w:r>
        <w:rPr>
          <w:rFonts w:ascii="Times New Roman" w:hAnsi="Times New Roman" w:cs="Times New Roman" w:eastAsia="Times New Roman" w:hint="default"/>
        </w:rPr>
        <w:t>a.</w:t>
      </w:r>
      <w:r>
        <w:rPr/>
        <w:t>软件外包业务：软件外包业务分为软件定制业务和技术服务业务，其中软件定制业务按照合同约定提交软件开发成 果并经客户验收后确认收入；技术服务业务按照合同约定提供服务并经客户确认后确认收入。</w:t>
      </w:r>
    </w:p>
    <w:p>
      <w:pPr>
        <w:pStyle w:val="BodyText"/>
        <w:spacing w:line="240" w:lineRule="auto" w:before="31"/>
        <w:ind w:left="656" w:right="90"/>
        <w:jc w:val="left"/>
      </w:pPr>
      <w:r>
        <w:rPr>
          <w:rFonts w:ascii="Times New Roman" w:hAnsi="Times New Roman" w:cs="Times New Roman" w:eastAsia="Times New Roman" w:hint="default"/>
        </w:rPr>
        <w:t>b.</w:t>
      </w:r>
      <w:r>
        <w:rPr/>
        <w:t>自主软件产品销售：按照合同约定在产品交付并经客户验收后确认收入。</w:t>
      </w:r>
    </w:p>
    <w:p>
      <w:pPr>
        <w:pStyle w:val="BodyText"/>
        <w:spacing w:line="316" w:lineRule="auto" w:before="62"/>
        <w:ind w:left="656" w:right="181" w:hanging="72"/>
        <w:jc w:val="left"/>
      </w:pPr>
      <w:r>
        <w:rPr/>
        <w:t>②外购产品销售业务 </w:t>
      </w:r>
      <w:r>
        <w:rPr>
          <w:spacing w:val="-1"/>
        </w:rPr>
        <w:t>合同约定需要安装的在产品安装完成并经客户验收后确认收入，合同约定不需要安装的以产品交付并经客户验收后确</w:t>
      </w:r>
    </w:p>
    <w:p>
      <w:pPr>
        <w:pStyle w:val="BodyText"/>
        <w:spacing w:line="240" w:lineRule="auto" w:before="18"/>
        <w:ind w:right="90"/>
        <w:jc w:val="left"/>
      </w:pPr>
      <w:r>
        <w:rPr/>
        <w:t>认收入。</w:t>
      </w:r>
    </w:p>
    <w:p>
      <w:pPr>
        <w:spacing w:line="240" w:lineRule="auto" w:before="0"/>
        <w:rPr>
          <w:rFonts w:ascii="宋体" w:hAnsi="宋体" w:cs="宋体" w:eastAsia="宋体" w:hint="default"/>
          <w:sz w:val="18"/>
          <w:szCs w:val="18"/>
        </w:rPr>
      </w:pPr>
    </w:p>
    <w:p>
      <w:pPr>
        <w:pStyle w:val="Heading3"/>
        <w:spacing w:line="240" w:lineRule="auto" w:before="122"/>
        <w:ind w:right="90"/>
        <w:jc w:val="left"/>
        <w:rPr>
          <w:b w:val="0"/>
          <w:bCs w:val="0"/>
        </w:rPr>
      </w:pPr>
      <w:bookmarkStart w:name="29、政府补助" w:id="203"/>
      <w:bookmarkEnd w:id="20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bookmarkStart w:name="（1）与资产相关的政府补助判断依据及会计处理方法" w:id="204"/>
      <w:bookmarkEnd w:id="20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84" w:right="202"/>
        <w:jc w:val="left"/>
      </w:pPr>
      <w:r>
        <w:rPr/>
        <w:t>本公司从政府取得的、用于购建或以其他方式形成长期资产的补助，确认为与资产相关的政府补助。 与资产相关的政府补助，确认为递延收益，并在相关资产使用寿命内平均分配，计入当期损益。但是，以名义金额计</w:t>
      </w:r>
    </w:p>
    <w:p>
      <w:pPr>
        <w:pStyle w:val="BodyText"/>
        <w:spacing w:line="240" w:lineRule="auto" w:before="18"/>
        <w:ind w:right="90"/>
        <w:jc w:val="left"/>
      </w:pPr>
      <w:r>
        <w:rPr/>
        <w:t>量的政府补助，直接计入当期损益。</w:t>
      </w:r>
    </w:p>
    <w:p>
      <w:pPr>
        <w:spacing w:line="240" w:lineRule="auto" w:before="0"/>
        <w:rPr>
          <w:rFonts w:ascii="宋体" w:hAnsi="宋体" w:cs="宋体" w:eastAsia="宋体" w:hint="default"/>
          <w:sz w:val="18"/>
          <w:szCs w:val="18"/>
        </w:rPr>
      </w:pPr>
    </w:p>
    <w:p>
      <w:pPr>
        <w:pStyle w:val="Heading3"/>
        <w:spacing w:line="240" w:lineRule="auto" w:before="120"/>
        <w:ind w:right="90"/>
        <w:jc w:val="left"/>
        <w:rPr>
          <w:b w:val="0"/>
          <w:bCs w:val="0"/>
        </w:rPr>
      </w:pPr>
      <w:bookmarkStart w:name="（2）与收益相关的政府补助判断依据及会计处理方法" w:id="205"/>
      <w:bookmarkEnd w:id="20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02" w:firstLine="432"/>
        <w:jc w:val="left"/>
      </w:pPr>
      <w:r>
        <w:rPr/>
        <w:t>本公司将从政府取得的各种奖励、定额补贴、财政贴息、拨付的研发经费（不包括购建固定资产）等与资产相关的政 府补助之外的政府补助，确认为与收益相关的政府补助。</w:t>
      </w:r>
    </w:p>
    <w:p>
      <w:pPr>
        <w:pStyle w:val="BodyText"/>
        <w:spacing w:line="240" w:lineRule="auto" w:before="18"/>
        <w:ind w:left="584" w:right="90"/>
        <w:jc w:val="left"/>
      </w:pPr>
      <w:r>
        <w:rPr/>
        <w:t>与收益相关的政府补助，分别下列情况处理：</w:t>
      </w:r>
    </w:p>
    <w:p>
      <w:pPr>
        <w:pStyle w:val="BodyText"/>
        <w:spacing w:line="240" w:lineRule="auto" w:before="76"/>
        <w:ind w:left="584" w:right="90"/>
        <w:jc w:val="left"/>
      </w:pPr>
      <w:r>
        <w:rPr/>
        <w:t>①用于补偿公司以后期间的相关费用或损失的，确认为递延收益，并在确认相关费用的期间，计入当期损益；</w:t>
      </w:r>
    </w:p>
    <w:p>
      <w:pPr>
        <w:pStyle w:val="BodyText"/>
        <w:spacing w:line="240" w:lineRule="auto" w:before="76"/>
        <w:ind w:left="584" w:right="90"/>
        <w:jc w:val="left"/>
      </w:pPr>
      <w:r>
        <w:rPr/>
        <w:t>②用于补偿公司已发生的相关费用或损失的，计入当期损益。</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0、递延所得税资产/递延所得税负债" w:id="206"/>
      <w:bookmarkEnd w:id="206"/>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79" w:firstLine="432"/>
        <w:jc w:val="both"/>
      </w:pPr>
      <w:r>
        <w:rPr/>
        <w:t>本公司通常根据资产与负债在资产负债表日的账面价值与计税基础之间的暂时性差异，采用资产负债表债务法将应纳 税暂时性差异或可抵扣暂时性差异对所得税的影响额确认和计量递延所得税负债或递延所得税资产。</w:t>
      </w:r>
    </w:p>
    <w:p>
      <w:pPr>
        <w:pStyle w:val="BodyText"/>
        <w:spacing w:line="300" w:lineRule="auto" w:before="18"/>
        <w:ind w:left="584" w:right="162" w:hanging="72"/>
        <w:jc w:val="left"/>
      </w:pPr>
      <w:r>
        <w:rPr/>
        <w:t>（</w:t>
      </w:r>
      <w:r>
        <w:rPr>
          <w:rFonts w:ascii="Times New Roman" w:hAnsi="Times New Roman" w:cs="Times New Roman" w:eastAsia="Times New Roman" w:hint="default"/>
        </w:rPr>
        <w:t>1</w:t>
      </w:r>
      <w:r>
        <w:rPr/>
        <w:t>）递延所得税资产的确认 对于可抵扣暂时性差异，其对所得税的影响额按预计转回期间的所得税税率计算，并将该影响额确认为递延所得税资</w:t>
      </w:r>
    </w:p>
    <w:p>
      <w:pPr>
        <w:pStyle w:val="BodyText"/>
        <w:spacing w:line="316" w:lineRule="auto" w:before="31"/>
        <w:ind w:left="584" w:right="162" w:hanging="432"/>
        <w:jc w:val="left"/>
      </w:pPr>
      <w:r>
        <w:rPr/>
        <w:t>产，但是以本公司很可能取得用来抵扣可抵扣暂时性差异、可抵扣亏损和税款抵减的未来应纳税所得额为限。 同时具有下列特征的交易或事项中因资产或负债的初始确认所产生的可抵扣暂时性差异对所得税的影响额不确认为递</w:t>
      </w:r>
    </w:p>
    <w:p>
      <w:pPr>
        <w:pStyle w:val="BodyText"/>
        <w:spacing w:line="240" w:lineRule="auto" w:before="18"/>
        <w:ind w:right="0"/>
        <w:jc w:val="left"/>
      </w:pPr>
      <w:r>
        <w:rPr/>
        <w:t>延所得税资产：</w:t>
      </w:r>
    </w:p>
    <w:p>
      <w:pPr>
        <w:pStyle w:val="BodyText"/>
        <w:spacing w:line="240" w:lineRule="auto" w:before="76"/>
        <w:ind w:left="587"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4"/>
        </w:rPr>
        <w:t> </w:t>
      </w:r>
      <w:r>
        <w:rPr/>
        <w:t>该项交易不是企业合并；</w:t>
      </w:r>
    </w:p>
    <w:p>
      <w:pPr>
        <w:pStyle w:val="BodyText"/>
        <w:spacing w:line="300" w:lineRule="auto" w:before="62"/>
        <w:ind w:left="584" w:right="16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交易发生时既不影响会计利润也不影响应纳税所得额（或可抵扣亏损）。 本公司对与子公司、联营公司及合营企业投资相关的可抵扣暂时性差异，同时满足下列两项条件的，其对所得税的影</w:t>
      </w:r>
    </w:p>
    <w:p>
      <w:pPr>
        <w:pStyle w:val="BodyText"/>
        <w:spacing w:line="240" w:lineRule="auto" w:before="31"/>
        <w:ind w:right="0"/>
        <w:jc w:val="left"/>
      </w:pPr>
      <w:r>
        <w:rPr/>
        <w:t>响额确认为递延所得税资产：</w:t>
      </w:r>
    </w:p>
    <w:p>
      <w:pPr>
        <w:pStyle w:val="BodyText"/>
        <w:spacing w:line="240" w:lineRule="auto" w:before="76"/>
        <w:ind w:left="587"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4"/>
        </w:rPr>
        <w:t> </w:t>
      </w:r>
      <w:r>
        <w:rPr/>
        <w:t>暂时性差异在可预见的未来很可能转回；</w:t>
      </w:r>
    </w:p>
    <w:p>
      <w:pPr>
        <w:pStyle w:val="BodyText"/>
        <w:spacing w:line="300" w:lineRule="auto" w:before="62"/>
        <w:ind w:left="584" w:right="16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未来很可能获得用来抵扣可抵扣暂时性差异的应纳税所得额； 资产负债表日，有确凿证据表明未来期间很可能获得足够的应纳税所得额用来抵扣可抵扣暂时性差异的，确认以前期</w:t>
      </w:r>
    </w:p>
    <w:p>
      <w:pPr>
        <w:pStyle w:val="BodyText"/>
        <w:spacing w:line="316" w:lineRule="auto" w:before="31"/>
        <w:ind w:left="584" w:right="162" w:hanging="432"/>
        <w:jc w:val="left"/>
      </w:pPr>
      <w:r>
        <w:rPr/>
        <w:t>间未确认的递延所得税资产。 在资产负债表日，本公司对递延所得税资产的账面价值进行复核。如果未来期间很可能无法获得足够的应纳税所得额</w:t>
      </w:r>
    </w:p>
    <w:p>
      <w:pPr>
        <w:pStyle w:val="BodyText"/>
        <w:spacing w:line="316" w:lineRule="auto" w:before="18"/>
        <w:ind w:right="0"/>
        <w:jc w:val="left"/>
      </w:pPr>
      <w:r>
        <w:rPr>
          <w:spacing w:val="-2"/>
        </w:rPr>
        <w:t>用以抵扣递延所得税资产的利益，减记递延所得税资产的账面价值。在很可能获得足够的应纳税所得额时，减记的金额予以</w:t>
      </w:r>
      <w:r>
        <w:rPr>
          <w:spacing w:val="-63"/>
        </w:rPr>
        <w:t> </w:t>
      </w:r>
      <w:r>
        <w:rPr>
          <w:spacing w:val="-63"/>
        </w:rPr>
      </w:r>
      <w:r>
        <w:rPr/>
        <w:t>转回。</w:t>
      </w:r>
    </w:p>
    <w:p>
      <w:pPr>
        <w:pStyle w:val="BodyText"/>
        <w:spacing w:line="300" w:lineRule="auto" w:before="18"/>
        <w:ind w:left="584" w:right="162" w:hanging="72"/>
        <w:jc w:val="left"/>
      </w:pPr>
      <w:r>
        <w:rPr/>
        <w:t>（</w:t>
      </w:r>
      <w:r>
        <w:rPr>
          <w:rFonts w:ascii="Times New Roman" w:hAnsi="Times New Roman" w:cs="Times New Roman" w:eastAsia="Times New Roman" w:hint="default"/>
        </w:rPr>
        <w:t>2</w:t>
      </w:r>
      <w:r>
        <w:rPr/>
        <w:t>）递延所得税负债的确认 本公司所有应纳税暂时性差异均按预计转回期间的所得税税率计量对所得税的影响，并将该影响额确认为递延所得税</w:t>
      </w:r>
    </w:p>
    <w:p>
      <w:pPr>
        <w:pStyle w:val="BodyText"/>
        <w:spacing w:line="240" w:lineRule="auto" w:before="31"/>
        <w:ind w:right="0"/>
        <w:jc w:val="left"/>
      </w:pPr>
      <w:r>
        <w:rPr/>
        <w:t>负债，但下列情况的除外：</w:t>
      </w:r>
    </w:p>
    <w:p>
      <w:pPr>
        <w:pStyle w:val="BodyText"/>
        <w:spacing w:line="240" w:lineRule="auto" w:before="76"/>
        <w:ind w:left="584" w:right="0"/>
        <w:jc w:val="left"/>
      </w:pPr>
      <w:r>
        <w:rPr/>
        <w:t>①因下列交易或事项中产生的应纳税暂时性差异对所得税的影响不确认为递延所得税负债：</w:t>
      </w:r>
    </w:p>
    <w:p>
      <w:pPr>
        <w:pStyle w:val="BodyText"/>
        <w:spacing w:line="300" w:lineRule="auto" w:before="76"/>
        <w:ind w:left="584" w:right="177" w:firstLine="2"/>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rPr>
        <w:t>B.</w:t>
      </w:r>
      <w:r>
        <w:rPr/>
        <w:t>具有以下特征的交易中产生的资产或负债的初始确认：该交易不是企业合并，并且交易发生时既不影响会计利润也</w:t>
      </w:r>
    </w:p>
    <w:p>
      <w:pPr>
        <w:pStyle w:val="BodyText"/>
        <w:spacing w:line="240" w:lineRule="auto" w:before="13"/>
        <w:ind w:right="0"/>
        <w:jc w:val="left"/>
      </w:pPr>
      <w:r>
        <w:rPr/>
        <w:t>不影响应纳税所得额或可抵扣亏损。</w:t>
      </w:r>
    </w:p>
    <w:p>
      <w:pPr>
        <w:pStyle w:val="BodyText"/>
        <w:spacing w:line="316" w:lineRule="auto" w:before="76"/>
        <w:ind w:right="179" w:firstLine="432"/>
        <w:jc w:val="both"/>
      </w:pPr>
      <w:r>
        <w:rPr/>
        <w:t>②本公司对与子公司、合营企业及联营企业投资相关的应纳税暂时性差异，其对所得税的影响额一般确认为递延所得 税负债，但同时满足以下两项条件的除外：</w:t>
      </w:r>
    </w:p>
    <w:p>
      <w:pPr>
        <w:pStyle w:val="BodyText"/>
        <w:spacing w:line="300" w:lineRule="auto" w:before="18"/>
        <w:ind w:left="584" w:right="5397" w:firstLine="2"/>
        <w:jc w:val="left"/>
      </w:pPr>
      <w:r>
        <w:rPr>
          <w:rFonts w:ascii="Times New Roman" w:hAnsi="Times New Roman" w:cs="Times New Roman" w:eastAsia="Times New Roman" w:hint="default"/>
        </w:rPr>
        <w:t>A.</w:t>
      </w:r>
      <w:r>
        <w:rPr/>
        <w:t>本公司能够控制暂时性差异转回的时间； </w:t>
      </w:r>
      <w:r>
        <w:rPr>
          <w:rFonts w:ascii="Times New Roman" w:hAnsi="Times New Roman" w:cs="Times New Roman" w:eastAsia="Times New Roman" w:hint="default"/>
        </w:rPr>
        <w:t>B.</w:t>
      </w:r>
      <w:r>
        <w:rPr/>
        <w:t>该暂时性差异在可预见的未来很可能不会转回。</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1、租赁" w:id="207"/>
      <w:bookmarkEnd w:id="207"/>
      <w:r>
        <w:rPr>
          <w:b w:val="0"/>
          <w:bCs w:val="0"/>
        </w:rPr>
      </w: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8"/>
      <w:bookmarkEnd w:id="20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432"/>
        <w:jc w:val="both"/>
      </w:pPr>
      <w:r>
        <w:rPr/>
        <w:t>①本公司作为经营租赁承租人时，将经营租赁的租金支出，在租赁期内各个期间按照直线法或根据租赁资产的使用量 </w:t>
      </w:r>
      <w:r>
        <w:rPr>
          <w:spacing w:val="-2"/>
        </w:rPr>
        <w:t>计入当期损益。出租人提供免租期的，本公司将租金总额在不扣除免租期的整个租赁期内，按直线法或其他合理的方法进行</w:t>
      </w:r>
      <w:r>
        <w:rPr>
          <w:spacing w:val="-63"/>
        </w:rPr>
        <w:t> </w:t>
      </w:r>
      <w:r>
        <w:rPr>
          <w:spacing w:val="-63"/>
        </w:rPr>
      </w:r>
      <w:r>
        <w:rPr>
          <w:spacing w:val="-2"/>
        </w:rPr>
        <w:t>分摊，免租期内确认租金费用及相应的负债。出租人承担了承租人某些费用的，本公司按该费用从租金费用总额中扣除后的</w:t>
      </w:r>
      <w:r>
        <w:rPr>
          <w:spacing w:val="-63"/>
        </w:rPr>
        <w:t> </w:t>
      </w:r>
      <w:r>
        <w:rPr>
          <w:spacing w:val="-63"/>
        </w:rPr>
      </w:r>
      <w:r>
        <w:rPr/>
        <w:t>租金费用余额在租赁期内进行分摊。</w:t>
      </w:r>
    </w:p>
    <w:p>
      <w:pPr>
        <w:pStyle w:val="BodyText"/>
        <w:spacing w:line="240" w:lineRule="auto" w:before="18"/>
        <w:ind w:left="584" w:right="0"/>
        <w:jc w:val="left"/>
      </w:pPr>
      <w:r>
        <w:rPr/>
        <w:t>初始直接费用，计入当期损益。如协议约定或有租金的在实际发生时计入当期损益。</w:t>
      </w:r>
    </w:p>
    <w:p>
      <w:pPr>
        <w:pStyle w:val="BodyText"/>
        <w:spacing w:line="316" w:lineRule="auto" w:before="76"/>
        <w:ind w:right="150" w:firstLine="432"/>
        <w:jc w:val="both"/>
      </w:pPr>
      <w:r>
        <w:rPr/>
        <w:t>②本公司作为经营租赁出租人时，采用直线法将收到的租金在租赁期内确认为收益。出租人提供免租期的，出租人将 </w:t>
      </w:r>
      <w:r>
        <w:rPr>
          <w:spacing w:val="-2"/>
        </w:rPr>
        <w:t>租金总额在不扣除免租期的整个租赁期内，按直线法或其他合理的方法进行分配，免租期内出租人也确认租金收入。承担了</w:t>
      </w:r>
      <w:r>
        <w:rPr>
          <w:spacing w:val="-63"/>
        </w:rPr>
        <w:t> </w:t>
      </w:r>
      <w:r>
        <w:rPr>
          <w:spacing w:val="-63"/>
        </w:rPr>
      </w:r>
      <w:r>
        <w:rPr/>
        <w:t>承租人某些费用的，本公司按该费用自租金收入总额中扣除后的租金收入余额在租赁期内进行分配。</w:t>
      </w:r>
    </w:p>
    <w:p>
      <w:pPr>
        <w:pStyle w:val="BodyText"/>
        <w:spacing w:line="240" w:lineRule="auto" w:before="18"/>
        <w:ind w:left="656" w:right="0"/>
        <w:jc w:val="left"/>
      </w:pPr>
      <w:r>
        <w:rPr/>
        <w:t>初始直接费用，计入当期损益。金额较大的予以资本化，在整个经营租赁期内按照与确认租金收入相同的基础分期计</w:t>
      </w:r>
    </w:p>
    <w:p>
      <w:pPr>
        <w:spacing w:after="0" w:line="240" w:lineRule="auto"/>
        <w:jc w:val="left"/>
        <w:sectPr>
          <w:footerReference w:type="default" r:id="rId22"/>
          <w:pgSz w:w="11910" w:h="16840"/>
          <w:pgMar w:footer="982" w:header="745" w:top="1060" w:bottom="1180" w:left="980" w:right="980"/>
          <w:pgNumType w:start="128"/>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入当期损益。如协议约定或有租金的在实际发生时计入当期收益。</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融资租赁的会计处理方法" w:id="209"/>
      <w:bookmarkEnd w:id="20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432"/>
        <w:jc w:val="both"/>
      </w:pPr>
      <w:r>
        <w:rPr/>
        <w:t>①本公司作为融资租赁承租人时，在租赁期开始日，将租赁开始日租赁资产公允价值与最低租赁付款额现值两者中较 </w:t>
      </w:r>
      <w:r>
        <w:rPr>
          <w:spacing w:val="-2"/>
        </w:rPr>
        <w:t>低者作为租入资产的入账价值，将最低租赁付款额作为长期应付款的入账价值，其差额作为未确认融资费用。在租赁期内各</w:t>
      </w:r>
      <w:r>
        <w:rPr>
          <w:spacing w:val="-63"/>
        </w:rPr>
        <w:t> </w:t>
      </w:r>
      <w:r>
        <w:rPr>
          <w:spacing w:val="-63"/>
        </w:rPr>
      </w:r>
      <w:r>
        <w:rPr/>
        <w:t>个期间采用实际利率法进行分摊，确认为当期融资费用，计入财务费用。</w:t>
      </w:r>
    </w:p>
    <w:p>
      <w:pPr>
        <w:pStyle w:val="BodyText"/>
        <w:spacing w:line="316" w:lineRule="auto" w:before="18"/>
        <w:ind w:left="584" w:right="162"/>
        <w:jc w:val="left"/>
      </w:pPr>
      <w:r>
        <w:rPr/>
        <w:t>发生的初始直接费用，计入租入资产价值。 在计提融资租赁资产折旧时，本公司采用与自有应折旧资产相一致的折旧政策，折旧期间以租赁合同而定。如果能够</w:t>
      </w:r>
    </w:p>
    <w:p>
      <w:pPr>
        <w:pStyle w:val="BodyText"/>
        <w:spacing w:line="316" w:lineRule="auto" w:before="18"/>
        <w:ind w:right="0"/>
        <w:jc w:val="left"/>
      </w:pPr>
      <w:r>
        <w:rPr>
          <w:spacing w:val="-2"/>
        </w:rPr>
        <w:t>合理确定租赁期届满时本公司将会取得租赁资产所有权，以租赁期开始日租赁资产的寿命作为折旧期间；如果无法合理确定</w:t>
      </w:r>
      <w:r>
        <w:rPr>
          <w:spacing w:val="-64"/>
        </w:rPr>
        <w:t> </w:t>
      </w:r>
      <w:r>
        <w:rPr>
          <w:spacing w:val="-64"/>
        </w:rPr>
      </w:r>
      <w:r>
        <w:rPr/>
        <w:t>租赁期届满后本公司是否能够取得租赁资产的所有权，以租赁期与租赁资产寿命两者中较短者作为折旧期间。</w:t>
      </w:r>
    </w:p>
    <w:p>
      <w:pPr>
        <w:pStyle w:val="BodyText"/>
        <w:spacing w:line="316" w:lineRule="auto" w:before="18"/>
        <w:ind w:right="150" w:firstLine="432"/>
        <w:jc w:val="both"/>
      </w:pPr>
      <w:r>
        <w:rPr/>
        <w:t>②本公司作为融资租赁出租人时，于租赁期开始日将租赁开始日最低租赁应收款额与初始直接费用之和作为应收融资 </w:t>
      </w:r>
      <w:r>
        <w:rPr>
          <w:spacing w:val="-2"/>
        </w:rPr>
        <w:t>租赁款的入账价值，计入资产负债表的长期应收款，同时记录未担保余值；将最低租赁应收款额、初始直接费用及未担保余</w:t>
      </w:r>
      <w:r>
        <w:rPr>
          <w:spacing w:val="-65"/>
        </w:rPr>
        <w:t> </w:t>
      </w:r>
      <w:r>
        <w:rPr>
          <w:spacing w:val="-65"/>
        </w:rPr>
      </w:r>
      <w:r>
        <w:rPr>
          <w:spacing w:val="-2"/>
        </w:rPr>
        <w:t>值之和与其现值之和的差额作为未实现融资收益，在租赁期内各个期间采用实际利率法确认为租赁收入，计入租赁收入其他</w:t>
      </w:r>
      <w:r>
        <w:rPr>
          <w:spacing w:val="-64"/>
        </w:rPr>
        <w:t> </w:t>
      </w:r>
      <w:r>
        <w:rPr>
          <w:spacing w:val="-64"/>
        </w:rPr>
      </w:r>
      <w:r>
        <w:rPr/>
        <w:t>业务收入。</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10"/>
      <w:bookmarkEnd w:id="21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1"/>
      <w:bookmarkEnd w:id="21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624" w:lineRule="exact" w:before="55"/>
        <w:ind w:left="152" w:right="8334"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34、其他" w:id="214"/>
      <w:bookmarkEnd w:id="214"/>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15"/>
      <w:bookmarkEnd w:id="215"/>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0"/>
        <w:jc w:val="left"/>
        <w:rPr>
          <w:b w:val="0"/>
          <w:bCs w:val="0"/>
        </w:rPr>
      </w:pPr>
      <w:bookmarkStart w:name="1、主要税种及税率" w:id="216"/>
      <w:bookmarkEnd w:id="21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应税销售额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84" w:right="90" w:hanging="72"/>
        <w:jc w:val="left"/>
      </w:pPr>
      <w:r>
        <w:rPr/>
        <w:t>（</w:t>
      </w:r>
      <w:r>
        <w:rPr>
          <w:rFonts w:ascii="Times New Roman" w:hAnsi="Times New Roman" w:cs="Times New Roman" w:eastAsia="Times New Roman" w:hint="default"/>
        </w:rPr>
        <w:t>1</w:t>
      </w:r>
      <w:r>
        <w:rPr/>
        <w:t>）增值税 </w:t>
      </w:r>
      <w:r>
        <w:rPr>
          <w:spacing w:val="-1"/>
        </w:rPr>
        <w:t>根据国务院《进一步鼓励软件产业和集成电路产业发展的若干政策》的通知（国发</w:t>
      </w:r>
      <w:r>
        <w:rPr>
          <w:rFonts w:ascii="Times New Roman" w:hAnsi="Times New Roman" w:cs="Times New Roman" w:eastAsia="Times New Roman" w:hint="default"/>
          <w:spacing w:val="-1"/>
        </w:rPr>
        <w:t>[2011]4</w:t>
      </w:r>
      <w:r>
        <w:rPr>
          <w:spacing w:val="-1"/>
        </w:rPr>
        <w:t>号）和财政部、国家税务总</w:t>
      </w:r>
    </w:p>
    <w:p>
      <w:pPr>
        <w:pStyle w:val="BodyText"/>
        <w:spacing w:line="300" w:lineRule="auto" w:before="13"/>
        <w:ind w:right="195" w:hanging="1"/>
        <w:jc w:val="both"/>
      </w:pPr>
      <w:r>
        <w:rPr>
          <w:spacing w:val="-2"/>
        </w:rPr>
        <w:t>局《关于软件产品增值税政策的通知》（财税</w:t>
      </w:r>
      <w:r>
        <w:rPr>
          <w:rFonts w:ascii="Times New Roman" w:hAnsi="Times New Roman" w:cs="Times New Roman" w:eastAsia="Times New Roman" w:hint="default"/>
          <w:spacing w:val="-2"/>
        </w:rPr>
        <w:t>[2011]100</w:t>
      </w:r>
      <w:r>
        <w:rPr>
          <w:spacing w:val="-2"/>
        </w:rPr>
        <w:t>号），本公司销售其自行开发生产的软件产品，按</w:t>
      </w:r>
      <w:r>
        <w:rPr>
          <w:rFonts w:ascii="Times New Roman" w:hAnsi="Times New Roman" w:cs="Times New Roman" w:eastAsia="Times New Roman" w:hint="default"/>
          <w:spacing w:val="-2"/>
        </w:rPr>
        <w:t>17%</w:t>
      </w:r>
      <w:r>
        <w:rPr>
          <w:spacing w:val="-2"/>
        </w:rPr>
        <w:t>的法定税率征</w:t>
      </w:r>
      <w:r>
        <w:rPr>
          <w:spacing w:val="-61"/>
        </w:rPr>
        <w:t> </w:t>
      </w:r>
      <w:r>
        <w:rPr/>
        <w:t>收增值税，对实际税负超过</w:t>
      </w:r>
      <w:r>
        <w:rPr>
          <w:rFonts w:ascii="Times New Roman" w:hAnsi="Times New Roman" w:cs="Times New Roman" w:eastAsia="Times New Roman" w:hint="default"/>
        </w:rPr>
        <w:t>3%</w:t>
      </w:r>
      <w:r>
        <w:rPr/>
        <w:t>的部分即征即退。</w:t>
      </w:r>
    </w:p>
    <w:p>
      <w:pPr>
        <w:pStyle w:val="BodyText"/>
        <w:spacing w:line="304" w:lineRule="auto" w:before="13"/>
        <w:ind w:right="90" w:firstLine="432"/>
        <w:jc w:val="left"/>
      </w:pPr>
      <w:r>
        <w:rPr/>
        <w:t>根据财政部、国家税务总局下发《关于在全国开展交通运输业和部分现代服务业营业税改征增值税试点税收政策的通 </w:t>
      </w:r>
      <w:r>
        <w:rPr>
          <w:spacing w:val="-1"/>
        </w:rPr>
        <w:t>知》（财税</w:t>
      </w:r>
      <w:r>
        <w:rPr>
          <w:rFonts w:ascii="Times New Roman" w:hAnsi="Times New Roman" w:cs="Times New Roman" w:eastAsia="Times New Roman" w:hint="default"/>
          <w:spacing w:val="-1"/>
        </w:rPr>
        <w:t>[2013]37</w:t>
      </w:r>
      <w:r>
        <w:rPr>
          <w:spacing w:val="-1"/>
        </w:rPr>
        <w:t>号），本公司、北京润和、江苏开拓、上海丝略、上海润和、捷科智诚、上海捷科、福州捷科、联创智</w:t>
      </w:r>
      <w:r>
        <w:rPr>
          <w:spacing w:val="-63"/>
        </w:rPr>
        <w:t> </w:t>
      </w:r>
      <w:r>
        <w:rPr>
          <w:spacing w:val="-63"/>
        </w:rPr>
      </w:r>
      <w:r>
        <w:rPr>
          <w:spacing w:val="-2"/>
        </w:rPr>
        <w:t>融、菲耐得软件开发业务、运行维护等服务业务按照</w:t>
      </w:r>
      <w:r>
        <w:rPr>
          <w:rFonts w:ascii="Times New Roman" w:hAnsi="Times New Roman" w:cs="Times New Roman" w:eastAsia="Times New Roman" w:hint="default"/>
          <w:spacing w:val="-2"/>
        </w:rPr>
        <w:t>6%</w:t>
      </w:r>
      <w:r>
        <w:rPr>
          <w:spacing w:val="-2"/>
        </w:rPr>
        <w:t>的法定税率征收增值税；西安润和自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月开始实行营业税（税</w:t>
      </w:r>
      <w:r>
        <w:rPr>
          <w:spacing w:val="-35"/>
        </w:rPr>
        <w:t> </w:t>
      </w:r>
      <w:r>
        <w:rPr>
          <w:spacing w:val="-35"/>
        </w:rPr>
      </w:r>
      <w:r>
        <w:rPr/>
        <w:t>率</w:t>
      </w:r>
      <w:r>
        <w:rPr>
          <w:rFonts w:ascii="Times New Roman" w:hAnsi="Times New Roman" w:cs="Times New Roman" w:eastAsia="Times New Roman" w:hint="default"/>
        </w:rPr>
        <w:t>5%</w:t>
      </w:r>
      <w:r>
        <w:rPr/>
        <w:t>）改为增值税（税率</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月后由小规模增值税纳税人变更为一般纳税人，软件开发业务、运行维护等服务 业务按照</w:t>
      </w:r>
      <w:r>
        <w:rPr>
          <w:rFonts w:ascii="Times New Roman" w:hAnsi="Times New Roman" w:cs="Times New Roman" w:eastAsia="Times New Roman" w:hint="default"/>
        </w:rPr>
        <w:t>6%</w:t>
      </w:r>
      <w:r>
        <w:rPr/>
        <w:t>的法定税率征收增值税；深圳润和汇智、重庆度融、成都联创属于增值税小规模纳税人。</w:t>
      </w:r>
    </w:p>
    <w:p>
      <w:pPr>
        <w:pStyle w:val="BodyText"/>
        <w:spacing w:line="309" w:lineRule="auto" w:before="9"/>
        <w:ind w:right="190" w:firstLine="432"/>
        <w:jc w:val="both"/>
      </w:pPr>
      <w:r>
        <w:rPr>
          <w:spacing w:val="-5"/>
        </w:rPr>
        <w:t>根据《财政部、国家税务总局关于在北京等</w:t>
      </w:r>
      <w:r>
        <w:rPr>
          <w:rFonts w:ascii="Times New Roman" w:hAnsi="Times New Roman" w:cs="Times New Roman" w:eastAsia="Times New Roman" w:hint="default"/>
          <w:spacing w:val="-5"/>
        </w:rPr>
        <w:t>8</w:t>
      </w:r>
      <w:r>
        <w:rPr>
          <w:spacing w:val="-5"/>
        </w:rPr>
        <w:t>省市开展交通运输业和部分现代服务业营业税改征增值税试点的通知》（财</w:t>
      </w:r>
      <w:r>
        <w:rPr/>
        <w:t> 税</w:t>
      </w:r>
      <w:r>
        <w:rPr>
          <w:rFonts w:ascii="Times New Roman" w:hAnsi="Times New Roman" w:cs="Times New Roman" w:eastAsia="Times New Roman" w:hint="default"/>
        </w:rPr>
        <w:t>[2012]71</w:t>
      </w:r>
      <w:r>
        <w:rPr/>
        <w:t>号）及《关于在全国开展交通运输业和部分现代服务业营业税改征增值税试点税收政策的通知》（财税</w:t>
      </w:r>
      <w:r>
        <w:rPr>
          <w:rFonts w:ascii="Times New Roman" w:hAnsi="Times New Roman" w:cs="Times New Roman" w:eastAsia="Times New Roman" w:hint="default"/>
        </w:rPr>
        <w:t>[2013]37 </w:t>
      </w:r>
      <w:r>
        <w:rPr>
          <w:spacing w:val="-2"/>
        </w:rPr>
        <w:t>号）本公司、西安润和、江苏开拓、北京润和、深圳润和汇智、上海丝略、上海润和、捷科智诚、上海捷科、福州捷科、菲</w:t>
      </w:r>
      <w:r>
        <w:rPr>
          <w:spacing w:val="-70"/>
        </w:rPr>
        <w:t> </w:t>
      </w:r>
      <w:r>
        <w:rPr>
          <w:spacing w:val="-70"/>
        </w:rPr>
      </w:r>
      <w:r>
        <w:rPr>
          <w:spacing w:val="-2"/>
        </w:rPr>
        <w:t>耐得、联创智融、重庆度融、成都联创所属从事的技术转让、技术开发业务及与之相关的技术咨询、技术服务业务取得的收</w:t>
      </w:r>
      <w:r>
        <w:rPr>
          <w:spacing w:val="-65"/>
        </w:rPr>
        <w:t> </w:t>
      </w:r>
      <w:r>
        <w:rPr>
          <w:spacing w:val="-65"/>
        </w:rPr>
      </w:r>
      <w:r>
        <w:rPr/>
        <w:t>入在取得技术合同认定并经税务局备案后由原先免征营业税部分继续免征增值税。</w:t>
      </w:r>
    </w:p>
    <w:p>
      <w:pPr>
        <w:pStyle w:val="BodyText"/>
        <w:spacing w:line="300" w:lineRule="auto" w:before="24"/>
        <w:ind w:left="584" w:right="1162" w:hanging="72"/>
        <w:jc w:val="left"/>
      </w:pPr>
      <w:r>
        <w:rPr/>
        <w:t>（</w:t>
      </w:r>
      <w:r>
        <w:rPr>
          <w:rFonts w:ascii="Times New Roman" w:hAnsi="Times New Roman" w:cs="Times New Roman" w:eastAsia="Times New Roman" w:hint="default"/>
        </w:rPr>
        <w:t>2</w:t>
      </w:r>
      <w:r>
        <w:rPr/>
        <w:t>）营业税 外包园公司、西安润和对外出租房屋的收入按</w:t>
      </w:r>
      <w:r>
        <w:rPr>
          <w:rFonts w:ascii="Times New Roman" w:hAnsi="Times New Roman" w:cs="Times New Roman" w:eastAsia="Times New Roman" w:hint="default"/>
        </w:rPr>
        <w:t>5%</w:t>
      </w:r>
      <w:r>
        <w:rPr/>
        <w:t>征收营业税；江苏开拓工程施工收入按</w:t>
      </w:r>
      <w:r>
        <w:rPr>
          <w:rFonts w:ascii="Times New Roman" w:hAnsi="Times New Roman" w:cs="Times New Roman" w:eastAsia="Times New Roman" w:hint="default"/>
        </w:rPr>
        <w:t>3%</w:t>
      </w:r>
      <w:r>
        <w:rPr/>
        <w:t>征收营业税。</w:t>
      </w:r>
    </w:p>
    <w:p>
      <w:pPr>
        <w:pStyle w:val="BodyText"/>
        <w:spacing w:line="300" w:lineRule="auto" w:before="13"/>
        <w:ind w:left="584" w:right="5422" w:hanging="72"/>
        <w:jc w:val="left"/>
      </w:pPr>
      <w:r>
        <w:rPr/>
        <w:t>（</w:t>
      </w:r>
      <w:r>
        <w:rPr>
          <w:rFonts w:ascii="Times New Roman" w:hAnsi="Times New Roman" w:cs="Times New Roman" w:eastAsia="Times New Roman" w:hint="default"/>
        </w:rPr>
        <w:t>3</w:t>
      </w:r>
      <w:r>
        <w:rPr/>
        <w:t>）企业所得税 本公司境内子公司存在不同企业所得税税率的情况</w:t>
      </w:r>
    </w:p>
    <w:p>
      <w:pPr>
        <w:spacing w:line="240" w:lineRule="auto" w:before="5"/>
        <w:rPr>
          <w:rFonts w:ascii="宋体" w:hAnsi="宋体" w:cs="宋体" w:eastAsia="宋体" w:hint="default"/>
          <w:sz w:val="11"/>
          <w:szCs w:val="11"/>
        </w:rPr>
      </w:pPr>
    </w:p>
    <w:p>
      <w:pPr>
        <w:spacing w:line="1635" w:lineRule="exact"/>
        <w:ind w:left="160"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3249375" cy="10382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3" cstate="print"/>
                    <a:stretch>
                      <a:fillRect/>
                    </a:stretch>
                  </pic:blipFill>
                  <pic:spPr>
                    <a:xfrm>
                      <a:off x="0" y="0"/>
                      <a:ext cx="3249375" cy="1038225"/>
                    </a:xfrm>
                    <a:prstGeom prst="rect">
                      <a:avLst/>
                    </a:prstGeom>
                  </pic:spPr>
                </pic:pic>
              </a:graphicData>
            </a:graphic>
          </wp:inline>
        </w:drawing>
      </w:r>
      <w:r>
        <w:rPr>
          <w:rFonts w:ascii="宋体" w:hAnsi="宋体" w:cs="宋体" w:eastAsia="宋体" w:hint="default"/>
          <w:position w:val="-32"/>
          <w:sz w:val="20"/>
          <w:szCs w:val="20"/>
        </w:rPr>
      </w:r>
    </w:p>
    <w:p>
      <w:pPr>
        <w:pStyle w:val="BodyText"/>
        <w:spacing w:line="300" w:lineRule="auto" w:before="120"/>
        <w:ind w:left="584" w:right="90"/>
        <w:jc w:val="left"/>
      </w:pPr>
      <w:r>
        <w:rPr>
          <w:rFonts w:ascii="Times New Roman" w:hAnsi="Times New Roman" w:cs="Times New Roman" w:eastAsia="Times New Roman" w:hint="default"/>
        </w:rPr>
        <w:t>1</w:t>
      </w:r>
      <w:r>
        <w:rPr/>
        <w:t>）本公司 </w:t>
      </w:r>
      <w:r>
        <w:rPr>
          <w:spacing w:val="-1"/>
        </w:rPr>
        <w:t>根据《中华人民共和国企业所得税法》规定</w:t>
      </w:r>
      <w:r>
        <w:rPr>
          <w:rFonts w:ascii="Times New Roman" w:hAnsi="Times New Roman" w:cs="Times New Roman" w:eastAsia="Times New Roman" w:hint="default"/>
          <w:spacing w:val="-1"/>
        </w:rPr>
        <w:t>“</w:t>
      </w:r>
      <w:r>
        <w:rPr>
          <w:spacing w:val="-1"/>
        </w:rPr>
        <w:t>对国家需要重点扶持的高新技术企业，减按</w:t>
      </w:r>
      <w:r>
        <w:rPr>
          <w:rFonts w:ascii="Times New Roman" w:hAnsi="Times New Roman" w:cs="Times New Roman" w:eastAsia="Times New Roman" w:hint="default"/>
          <w:spacing w:val="-1"/>
        </w:rPr>
        <w:t>15%</w:t>
      </w:r>
      <w:r>
        <w:rPr>
          <w:spacing w:val="-1"/>
        </w:rPr>
        <w:t>的税率征收企业所得税</w:t>
      </w:r>
      <w:r>
        <w:rPr>
          <w:rFonts w:ascii="Times New Roman" w:hAnsi="Times New Roman" w:cs="Times New Roman" w:eastAsia="Times New Roman" w:hint="default"/>
          <w:spacing w:val="-1"/>
        </w:rPr>
        <w:t>”</w:t>
      </w:r>
      <w:r>
        <w:rPr>
          <w:spacing w:val="-1"/>
        </w:rPr>
        <w:t>。</w:t>
      </w:r>
    </w:p>
    <w:p>
      <w:pPr>
        <w:pStyle w:val="BodyText"/>
        <w:spacing w:line="300" w:lineRule="auto" w:before="13"/>
        <w:ind w:right="190"/>
        <w:jc w:val="both"/>
      </w:pPr>
      <w:r>
        <w:rPr>
          <w:spacing w:val="-2"/>
        </w:rPr>
        <w:t>本公司已于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日取得江苏省科学技术厅、江苏省财政厅、江苏省国家税务局、江苏省地方税务局批准的《高新技</w:t>
      </w:r>
      <w:r>
        <w:rPr>
          <w:spacing w:val="-60"/>
        </w:rPr>
        <w:t> </w:t>
      </w:r>
      <w:r>
        <w:rPr>
          <w:spacing w:val="-60"/>
        </w:rPr>
      </w:r>
      <w:r>
        <w:rPr/>
        <w:t>术企业证书》（证书编号</w:t>
      </w:r>
      <w:r>
        <w:rPr>
          <w:rFonts w:ascii="Times New Roman" w:hAnsi="Times New Roman" w:cs="Times New Roman" w:eastAsia="Times New Roman" w:hint="default"/>
        </w:rPr>
        <w:t>GR201032000841</w:t>
      </w:r>
      <w:r>
        <w:rPr/>
        <w:t>），有效期三年，</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日，经江苏省高新技术企业认定管理工作协调小 </w:t>
      </w:r>
      <w:r>
        <w:rPr>
          <w:spacing w:val="-1"/>
        </w:rPr>
        <w:t>组文件苏高企协</w:t>
      </w:r>
      <w:r>
        <w:rPr>
          <w:rFonts w:ascii="Times New Roman" w:hAnsi="Times New Roman" w:cs="Times New Roman" w:eastAsia="Times New Roman" w:hint="default"/>
          <w:spacing w:val="-1"/>
        </w:rPr>
        <w:t>[2013]18</w:t>
      </w:r>
      <w:r>
        <w:rPr>
          <w:spacing w:val="-1"/>
        </w:rPr>
        <w:t>号《关于公示江苏省</w:t>
      </w:r>
      <w:r>
        <w:rPr>
          <w:rFonts w:ascii="Times New Roman" w:hAnsi="Times New Roman" w:cs="Times New Roman" w:eastAsia="Times New Roman" w:hint="default"/>
          <w:spacing w:val="-1"/>
        </w:rPr>
        <w:t>2013</w:t>
      </w:r>
      <w:r>
        <w:rPr>
          <w:spacing w:val="-1"/>
        </w:rPr>
        <w:t>年第二批复审通过高新技术企业名单的通知》，本公司高新技术企业复审</w:t>
      </w:r>
      <w:r>
        <w:rPr>
          <w:spacing w:val="-61"/>
        </w:rPr>
        <w:t> </w:t>
      </w:r>
      <w:r>
        <w:rPr>
          <w:spacing w:val="-61"/>
        </w:rPr>
      </w:r>
      <w:r>
        <w:rPr/>
        <w:t>通过。公司</w:t>
      </w:r>
      <w:r>
        <w:rPr>
          <w:rFonts w:ascii="Times New Roman" w:hAnsi="Times New Roman" w:cs="Times New Roman" w:eastAsia="Times New Roman" w:hint="default"/>
        </w:rPr>
        <w:t>2013</w:t>
      </w:r>
      <w:r>
        <w:rPr/>
        <w:t>年度、</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2015</w:t>
      </w:r>
      <w:r>
        <w:rPr/>
        <w:t>年度享受高新技术企业减按</w:t>
      </w:r>
      <w:r>
        <w:rPr>
          <w:rFonts w:ascii="Times New Roman" w:hAnsi="Times New Roman" w:cs="Times New Roman" w:eastAsia="Times New Roman" w:hint="default"/>
        </w:rPr>
        <w:t>15%</w:t>
      </w:r>
      <w:r>
        <w:rPr/>
        <w:t>税率征收企业所得税的税收优惠政策。</w:t>
      </w:r>
    </w:p>
    <w:p>
      <w:pPr>
        <w:pStyle w:val="BodyText"/>
        <w:spacing w:line="300" w:lineRule="auto" w:before="13"/>
        <w:ind w:left="584" w:right="90"/>
        <w:jc w:val="left"/>
      </w:pPr>
      <w:r>
        <w:rPr>
          <w:rFonts w:ascii="Times New Roman" w:hAnsi="Times New Roman" w:cs="Times New Roman" w:eastAsia="Times New Roman" w:hint="default"/>
        </w:rPr>
        <w:t>2</w:t>
      </w:r>
      <w:r>
        <w:rPr/>
        <w:t>）江苏开拓 </w:t>
      </w:r>
      <w:r>
        <w:rPr>
          <w:spacing w:val="-1"/>
        </w:rPr>
        <w:t>根据《中华人民共和国企业所得税法》规定</w:t>
      </w:r>
      <w:r>
        <w:rPr>
          <w:rFonts w:ascii="Times New Roman" w:hAnsi="Times New Roman" w:cs="Times New Roman" w:eastAsia="Times New Roman" w:hint="default"/>
          <w:spacing w:val="-1"/>
        </w:rPr>
        <w:t>“</w:t>
      </w:r>
      <w:r>
        <w:rPr>
          <w:spacing w:val="-1"/>
        </w:rPr>
        <w:t>对国家需要重点扶持的高新技术企业，减按</w:t>
      </w:r>
      <w:r>
        <w:rPr>
          <w:rFonts w:ascii="Times New Roman" w:hAnsi="Times New Roman" w:cs="Times New Roman" w:eastAsia="Times New Roman" w:hint="default"/>
          <w:spacing w:val="-1"/>
        </w:rPr>
        <w:t>15%</w:t>
      </w:r>
      <w:r>
        <w:rPr>
          <w:spacing w:val="-1"/>
        </w:rPr>
        <w:t>的税率征收企业所得税</w:t>
      </w:r>
      <w:r>
        <w:rPr>
          <w:rFonts w:ascii="Times New Roman" w:hAnsi="Times New Roman" w:cs="Times New Roman" w:eastAsia="Times New Roman" w:hint="default"/>
          <w:spacing w:val="-1"/>
        </w:rPr>
        <w:t>”</w:t>
      </w:r>
      <w:r>
        <w:rPr>
          <w:spacing w:val="-1"/>
        </w:rPr>
        <w:t>。</w:t>
      </w:r>
    </w:p>
    <w:p>
      <w:pPr>
        <w:pStyle w:val="BodyText"/>
        <w:spacing w:line="300" w:lineRule="auto" w:before="13"/>
        <w:ind w:left="153" w:right="190" w:hanging="1"/>
        <w:jc w:val="both"/>
      </w:pPr>
      <w:r>
        <w:rPr>
          <w:spacing w:val="-2"/>
        </w:rPr>
        <w:t>江苏开拓已于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日取得江苏省科学技术厅、江苏省财政厅、江苏省国家税务局、江苏省地方税务局批准的《高新技</w:t>
      </w:r>
      <w:r>
        <w:rPr>
          <w:spacing w:val="-61"/>
        </w:rPr>
        <w:t> </w:t>
      </w:r>
      <w:r>
        <w:rPr>
          <w:spacing w:val="-61"/>
        </w:rPr>
      </w:r>
      <w:r>
        <w:rPr/>
        <w:t>术企业证书》（证书编号</w:t>
      </w:r>
      <w:r>
        <w:rPr>
          <w:rFonts w:ascii="Times New Roman" w:hAnsi="Times New Roman" w:cs="Times New Roman" w:eastAsia="Times New Roman" w:hint="default"/>
        </w:rPr>
        <w:t>GR201532000183</w:t>
      </w:r>
      <w:r>
        <w:rPr/>
        <w:t>），有效期三年，经税务局备案。公司</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年度享受高新 技术企业减按</w:t>
      </w:r>
      <w:r>
        <w:rPr>
          <w:rFonts w:ascii="Times New Roman" w:hAnsi="Times New Roman" w:cs="Times New Roman" w:eastAsia="Times New Roman" w:hint="default"/>
        </w:rPr>
        <w:t>15%</w:t>
      </w:r>
      <w:r>
        <w:rPr/>
        <w:t>税率征收企业所得税的税收优惠政策。</w:t>
      </w:r>
    </w:p>
    <w:p>
      <w:pPr>
        <w:pStyle w:val="BodyText"/>
        <w:spacing w:line="300" w:lineRule="auto" w:before="13"/>
        <w:ind w:left="585" w:right="90"/>
        <w:jc w:val="left"/>
      </w:pPr>
      <w:r>
        <w:rPr>
          <w:rFonts w:ascii="Times New Roman" w:hAnsi="Times New Roman" w:cs="Times New Roman" w:eastAsia="Times New Roman" w:hint="default"/>
        </w:rPr>
        <w:t>3</w:t>
      </w:r>
      <w:r>
        <w:rPr/>
        <w:t>）捷科智诚 </w:t>
      </w:r>
      <w:r>
        <w:rPr>
          <w:spacing w:val="-1"/>
        </w:rPr>
        <w:t>根据《财政部、国家税务总局关于企业所得税若干优惠政策的通知》（财税</w:t>
      </w:r>
      <w:r>
        <w:rPr>
          <w:rFonts w:ascii="Times New Roman" w:hAnsi="Times New Roman" w:cs="Times New Roman" w:eastAsia="Times New Roman" w:hint="default"/>
          <w:spacing w:val="-1"/>
        </w:rPr>
        <w:t>[2008]1</w:t>
      </w:r>
      <w:r>
        <w:rPr>
          <w:spacing w:val="-1"/>
        </w:rPr>
        <w:t>号）第一条第二款和《关于执行企</w:t>
      </w:r>
    </w:p>
    <w:p>
      <w:pPr>
        <w:pStyle w:val="BodyText"/>
        <w:spacing w:line="300" w:lineRule="auto" w:before="13"/>
        <w:ind w:left="153" w:right="193"/>
        <w:jc w:val="both"/>
      </w:pPr>
      <w:r>
        <w:rPr>
          <w:spacing w:val="-1"/>
        </w:rPr>
        <w:t>业所得税优惠政策若干问题的通知》（财税</w:t>
      </w:r>
      <w:r>
        <w:rPr>
          <w:rFonts w:ascii="Times New Roman" w:hAnsi="Times New Roman" w:cs="Times New Roman" w:eastAsia="Times New Roman" w:hint="default"/>
          <w:spacing w:val="-1"/>
        </w:rPr>
        <w:t>[2009]69</w:t>
      </w:r>
      <w:r>
        <w:rPr>
          <w:spacing w:val="-1"/>
        </w:rPr>
        <w:t>号）第九条之规定，捷科智诚享受企业所得税优惠政策，即自首个获利</w:t>
      </w:r>
      <w:r>
        <w:rPr>
          <w:spacing w:val="-59"/>
        </w:rPr>
        <w:t> </w:t>
      </w:r>
      <w:r>
        <w:rPr>
          <w:spacing w:val="-59"/>
        </w:rPr>
      </w:r>
      <w:r>
        <w:rPr/>
        <w:t>年度起，</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2012</w:t>
      </w:r>
      <w:r>
        <w:rPr/>
        <w:t>年免缴企业所得税，自</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年减半缴纳企业所得税，适用</w:t>
      </w:r>
      <w:r>
        <w:rPr>
          <w:rFonts w:ascii="Times New Roman" w:hAnsi="Times New Roman" w:cs="Times New Roman" w:eastAsia="Times New Roman" w:hint="default"/>
        </w:rPr>
        <w:t>12.5%</w:t>
      </w:r>
      <w:r>
        <w:rPr/>
        <w:t>的企业所得税率。</w:t>
      </w:r>
    </w:p>
    <w:p>
      <w:pPr>
        <w:pStyle w:val="BodyText"/>
        <w:spacing w:line="300" w:lineRule="auto" w:before="13"/>
        <w:ind w:left="585" w:right="261"/>
        <w:jc w:val="left"/>
      </w:pPr>
      <w:r>
        <w:rPr>
          <w:rFonts w:ascii="Times New Roman" w:hAnsi="Times New Roman" w:cs="Times New Roman" w:eastAsia="Times New Roman" w:hint="default"/>
        </w:rPr>
        <w:t>4</w:t>
      </w:r>
      <w:r>
        <w:rPr/>
        <w:t>）联创智融 根据《财政部、国家税务总局关于企业所得税若干优惠政策的通知》财税</w:t>
      </w:r>
      <w:r>
        <w:rPr>
          <w:rFonts w:ascii="Times New Roman" w:hAnsi="Times New Roman" w:cs="Times New Roman" w:eastAsia="Times New Roman" w:hint="default"/>
        </w:rPr>
        <w:t>[2008]1</w:t>
      </w:r>
      <w:r>
        <w:rPr/>
        <w:t>号文的规定，联创智融于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p>
    <w:p>
      <w:pPr>
        <w:pStyle w:val="BodyText"/>
        <w:spacing w:line="240" w:lineRule="auto" w:before="13"/>
        <w:ind w:left="153" w:right="0"/>
        <w:jc w:val="both"/>
      </w:pPr>
      <w:r>
        <w:rPr>
          <w:rFonts w:ascii="Times New Roman" w:hAnsi="Times New Roman" w:cs="Times New Roman" w:eastAsia="Times New Roman" w:hint="default"/>
        </w:rPr>
        <w:t>20</w:t>
      </w:r>
      <w:r>
        <w:rPr/>
        <w:t>日被北京市经济和信息化委员会认定为软件企业，自获利年度起，第一年和第二年免征企业所得税，第三年至第五年减半</w:t>
      </w:r>
    </w:p>
    <w:p>
      <w:pPr>
        <w:spacing w:after="0" w:line="24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06"/>
        <w:jc w:val="both"/>
      </w:pPr>
      <w:r>
        <w:rPr/>
        <w:t>征收企业所得税。联创智融自</w:t>
      </w:r>
      <w:r>
        <w:rPr>
          <w:rFonts w:ascii="Times New Roman" w:hAnsi="Times New Roman" w:cs="Times New Roman" w:eastAsia="Times New Roman" w:hint="default"/>
        </w:rPr>
        <w:t>2012</w:t>
      </w:r>
      <w:r>
        <w:rPr/>
        <w:t>年起开始获利，</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年享受免税政策，自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年减半缴纳企业所得税， 适用</w:t>
      </w:r>
      <w:r>
        <w:rPr>
          <w:rFonts w:ascii="Times New Roman" w:hAnsi="Times New Roman" w:cs="Times New Roman" w:eastAsia="Times New Roman" w:hint="default"/>
        </w:rPr>
        <w:t>12.5%</w:t>
      </w:r>
      <w:r>
        <w:rPr/>
        <w:t>的企业所得税率。</w:t>
      </w:r>
    </w:p>
    <w:p>
      <w:pPr>
        <w:pStyle w:val="BodyText"/>
        <w:spacing w:line="300" w:lineRule="auto" w:before="13"/>
        <w:ind w:left="656" w:right="90" w:hanging="72"/>
        <w:jc w:val="left"/>
      </w:pPr>
      <w:r>
        <w:rPr>
          <w:rFonts w:ascii="Times New Roman" w:hAnsi="Times New Roman" w:cs="Times New Roman" w:eastAsia="Times New Roman" w:hint="default"/>
        </w:rPr>
        <w:t>5</w:t>
      </w:r>
      <w:r>
        <w:rPr/>
        <w:t>）西安润和 </w:t>
      </w:r>
      <w:r>
        <w:rPr>
          <w:spacing w:val="-2"/>
        </w:rPr>
        <w:t>根据《中华人民共和国企业所得税法》规定</w:t>
      </w:r>
      <w:r>
        <w:rPr>
          <w:rFonts w:ascii="Times New Roman" w:hAnsi="Times New Roman" w:cs="Times New Roman" w:eastAsia="Times New Roman" w:hint="default"/>
          <w:spacing w:val="-2"/>
        </w:rPr>
        <w:t>“</w:t>
      </w:r>
      <w:r>
        <w:rPr>
          <w:spacing w:val="-2"/>
        </w:rPr>
        <w:t>对国家需要重点扶持的高新技术企业，减按</w:t>
      </w:r>
      <w:r>
        <w:rPr>
          <w:rFonts w:ascii="Times New Roman" w:hAnsi="Times New Roman" w:cs="Times New Roman" w:eastAsia="Times New Roman" w:hint="default"/>
          <w:spacing w:val="-2"/>
        </w:rPr>
        <w:t>15%</w:t>
      </w:r>
      <w:r>
        <w:rPr>
          <w:spacing w:val="-2"/>
        </w:rPr>
        <w:t>的税率征收企业所得税</w:t>
      </w:r>
      <w:r>
        <w:rPr>
          <w:rFonts w:ascii="Times New Roman" w:hAnsi="Times New Roman" w:cs="Times New Roman" w:eastAsia="Times New Roman" w:hint="default"/>
          <w:spacing w:val="-2"/>
        </w:rPr>
        <w:t>”</w:t>
      </w:r>
      <w:r>
        <w:rPr>
          <w:spacing w:val="-2"/>
        </w:rPr>
        <w:t>。</w:t>
      </w:r>
    </w:p>
    <w:p>
      <w:pPr>
        <w:pStyle w:val="BodyText"/>
        <w:spacing w:line="300" w:lineRule="auto" w:before="13"/>
        <w:ind w:right="190"/>
        <w:jc w:val="both"/>
      </w:pPr>
      <w:r>
        <w:rPr>
          <w:spacing w:val="-2"/>
        </w:rPr>
        <w:t>西安润和于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日取得陕西省科学技术厅、陕西省财政厅、陕西省国家税务局、陕西省地方税务局批准的《高新技</w:t>
      </w:r>
      <w:r>
        <w:rPr>
          <w:spacing w:val="-60"/>
        </w:rPr>
        <w:t> </w:t>
      </w:r>
      <w:r>
        <w:rPr>
          <w:spacing w:val="-60"/>
        </w:rPr>
      </w:r>
      <w:r>
        <w:rPr/>
        <w:t>术企业证书》（证书编号</w:t>
      </w:r>
      <w:r>
        <w:rPr>
          <w:rFonts w:ascii="Times New Roman" w:hAnsi="Times New Roman" w:cs="Times New Roman" w:eastAsia="Times New Roman" w:hint="default"/>
        </w:rPr>
        <w:t>GR201461000371</w:t>
      </w:r>
      <w:r>
        <w:rPr/>
        <w:t>），有效期三年，经税务局备案。公司</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年度享受高新 技术企业减按</w:t>
      </w:r>
      <w:r>
        <w:rPr>
          <w:rFonts w:ascii="Times New Roman" w:hAnsi="Times New Roman" w:cs="Times New Roman" w:eastAsia="Times New Roman" w:hint="default"/>
        </w:rPr>
        <w:t>15%</w:t>
      </w:r>
      <w:r>
        <w:rPr/>
        <w:t>税率征收企业所得税的税收优惠政策。</w:t>
      </w:r>
    </w:p>
    <w:p>
      <w:pPr>
        <w:pStyle w:val="BodyText"/>
        <w:spacing w:line="240" w:lineRule="auto" w:before="13"/>
        <w:ind w:left="584" w:right="90"/>
        <w:jc w:val="left"/>
      </w:pPr>
      <w:r>
        <w:rPr>
          <w:rFonts w:ascii="Times New Roman" w:hAnsi="Times New Roman" w:cs="Times New Roman" w:eastAsia="Times New Roman" w:hint="default"/>
        </w:rPr>
        <w:t>6</w:t>
      </w:r>
      <w:r>
        <w:rPr/>
        <w:t>）除上述五家公司外，其他境内公司</w:t>
      </w:r>
      <w:r>
        <w:rPr>
          <w:rFonts w:ascii="Times New Roman" w:hAnsi="Times New Roman" w:cs="Times New Roman" w:eastAsia="Times New Roman" w:hint="default"/>
        </w:rPr>
        <w:t>2015</w:t>
      </w:r>
      <w:r>
        <w:rPr/>
        <w:t>年度均执行</w:t>
      </w:r>
      <w:r>
        <w:rPr>
          <w:rFonts w:ascii="Times New Roman" w:hAnsi="Times New Roman" w:cs="Times New Roman" w:eastAsia="Times New Roman" w:hint="default"/>
        </w:rPr>
        <w:t>25%</w:t>
      </w:r>
      <w:r>
        <w:rPr/>
        <w:t>的企业所得税税率。</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3、其他" w:id="218"/>
      <w:bookmarkEnd w:id="218"/>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84" w:right="90"/>
        <w:jc w:val="left"/>
      </w:pPr>
      <w:r>
        <w:rPr/>
        <w:t>境外公司主要税种及税率</w:t>
      </w:r>
    </w:p>
    <w:p>
      <w:pPr>
        <w:pStyle w:val="BodyText"/>
        <w:spacing w:line="300" w:lineRule="auto" w:before="76"/>
        <w:ind w:left="512" w:right="5494"/>
        <w:jc w:val="left"/>
      </w:pPr>
      <w:r>
        <w:rPr/>
        <w:t>（</w:t>
      </w:r>
      <w:r>
        <w:rPr>
          <w:rFonts w:ascii="Times New Roman" w:hAnsi="Times New Roman" w:cs="Times New Roman" w:eastAsia="Times New Roman" w:hint="default"/>
        </w:rPr>
        <w:t>1</w:t>
      </w:r>
      <w:r>
        <w:rPr/>
        <w:t>）东京润和 东京润和注册于日本东京，其主要税种、税率如下</w:t>
      </w:r>
    </w:p>
    <w:tbl>
      <w:tblPr>
        <w:tblW w:w="0" w:type="auto"/>
        <w:jc w:val="left"/>
        <w:tblInd w:w="145" w:type="dxa"/>
        <w:tblLayout w:type="fixed"/>
        <w:tblCellMar>
          <w:top w:w="0" w:type="dxa"/>
          <w:left w:w="0" w:type="dxa"/>
          <w:bottom w:w="0" w:type="dxa"/>
          <w:right w:w="0" w:type="dxa"/>
        </w:tblCellMar>
        <w:tblLook w:val="01E0"/>
      </w:tblPr>
      <w:tblGrid>
        <w:gridCol w:w="1735"/>
        <w:gridCol w:w="1985"/>
        <w:gridCol w:w="1560"/>
        <w:gridCol w:w="1985"/>
      </w:tblGrid>
      <w:tr>
        <w:trPr>
          <w:trHeight w:val="348" w:hRule="exact"/>
        </w:trPr>
        <w:tc>
          <w:tcPr>
            <w:tcW w:w="17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362" w:right="0"/>
              <w:jc w:val="left"/>
              <w:rPr>
                <w:rFonts w:ascii="宋体" w:hAnsi="宋体" w:cs="宋体" w:eastAsia="宋体" w:hint="default"/>
                <w:sz w:val="20"/>
                <w:szCs w:val="20"/>
              </w:rPr>
            </w:pPr>
            <w:r>
              <w:rPr>
                <w:rFonts w:ascii="宋体" w:hAnsi="宋体" w:cs="宋体" w:eastAsia="宋体" w:hint="default"/>
                <w:sz w:val="20"/>
                <w:szCs w:val="20"/>
              </w:rPr>
              <w:t>税（费）种</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计税依据</w:t>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税（费）率</w:t>
            </w:r>
          </w:p>
        </w:tc>
        <w:tc>
          <w:tcPr>
            <w:tcW w:w="1985"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
              <w:ind w:right="8"/>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48" w:hRule="exact"/>
        </w:trPr>
        <w:tc>
          <w:tcPr>
            <w:tcW w:w="173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消费税</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增值额</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w:t>
            </w:r>
            <w:r>
              <w:rPr>
                <w:rFonts w:ascii="Times New Roman" w:hAnsi="Times New Roman" w:cs="Times New Roman" w:eastAsia="Times New Roman" w:hint="default"/>
                <w:sz w:val="20"/>
                <w:szCs w:val="20"/>
              </w:rPr>
              <w:t>8%</w:t>
            </w:r>
          </w:p>
        </w:tc>
        <w:tc>
          <w:tcPr>
            <w:tcW w:w="1985" w:type="dxa"/>
            <w:tcBorders>
              <w:top w:val="single" w:sz="8" w:space="0" w:color="000000"/>
              <w:left w:val="single" w:sz="6" w:space="0" w:color="000000"/>
              <w:bottom w:val="single" w:sz="8" w:space="0" w:color="000000"/>
              <w:right w:val="nil" w:sz="6" w:space="0" w:color="auto"/>
            </w:tcBorders>
          </w:tcPr>
          <w:p>
            <w:pPr>
              <w:pStyle w:val="TableParagraph"/>
              <w:spacing w:line="276" w:lineRule="exact"/>
              <w:ind w:right="7"/>
              <w:jc w:val="center"/>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Times New Roman" w:hAnsi="Times New Roman" w:cs="Times New Roman" w:eastAsia="Times New Roman" w:hint="default"/>
                <w:sz w:val="20"/>
                <w:szCs w:val="20"/>
              </w:rPr>
              <w:t>1</w:t>
            </w:r>
          </w:p>
        </w:tc>
      </w:tr>
      <w:tr>
        <w:trPr>
          <w:trHeight w:val="348" w:hRule="exact"/>
        </w:trPr>
        <w:tc>
          <w:tcPr>
            <w:tcW w:w="17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应纳税所得额</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985" w:type="dxa"/>
            <w:tcBorders>
              <w:top w:val="single" w:sz="8" w:space="0" w:color="000000"/>
              <w:left w:val="single" w:sz="6" w:space="0" w:color="000000"/>
              <w:bottom w:val="single" w:sz="8" w:space="0" w:color="000000"/>
              <w:right w:val="nil" w:sz="6" w:space="0" w:color="auto"/>
            </w:tcBorders>
          </w:tcPr>
          <w:p>
            <w:pPr>
              <w:pStyle w:val="TableParagraph"/>
              <w:spacing w:line="274" w:lineRule="exact"/>
              <w:ind w:right="6"/>
              <w:jc w:val="center"/>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Times New Roman" w:hAnsi="Times New Roman" w:cs="Times New Roman" w:eastAsia="Times New Roman" w:hint="default"/>
                <w:sz w:val="20"/>
                <w:szCs w:val="20"/>
              </w:rPr>
              <w:t>2</w:t>
            </w:r>
          </w:p>
        </w:tc>
      </w:tr>
    </w:tbl>
    <w:p>
      <w:pPr>
        <w:pStyle w:val="BodyText"/>
        <w:spacing w:line="300" w:lineRule="auto" w:before="31"/>
        <w:ind w:right="178" w:firstLine="432"/>
        <w:jc w:val="left"/>
      </w:pPr>
      <w:r>
        <w:rPr/>
        <w:t>注</w:t>
      </w:r>
      <w:r>
        <w:rPr>
          <w:rFonts w:ascii="Times New Roman" w:hAnsi="Times New Roman" w:cs="Times New Roman" w:eastAsia="Times New Roman" w:hint="default"/>
        </w:rPr>
        <w:t>1</w:t>
      </w:r>
      <w:r>
        <w:rPr/>
        <w:t>：消费税是对商品和劳务的增值额课征的一种税，征收实行单一比例税率，税率为</w:t>
      </w:r>
      <w:r>
        <w:rPr>
          <w:spacing w:val="-36"/>
        </w:rPr>
        <w:t> </w:t>
      </w:r>
      <w:r>
        <w:rPr>
          <w:rFonts w:ascii="Times New Roman" w:hAnsi="Times New Roman" w:cs="Times New Roman" w:eastAsia="Times New Roman" w:hint="default"/>
        </w:rPr>
        <w:t>5%</w:t>
      </w:r>
      <w:r>
        <w:rPr/>
        <w:t>，以纳税人的总销货额与总 进货额的差额为计税依据，类似于国内的增值税，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月，该税率由</w:t>
      </w:r>
      <w:r>
        <w:rPr>
          <w:rFonts w:ascii="Times New Roman" w:hAnsi="Times New Roman" w:cs="Times New Roman" w:eastAsia="Times New Roman" w:hint="default"/>
        </w:rPr>
        <w:t>5%</w:t>
      </w:r>
      <w:r>
        <w:rPr/>
        <w:t>提高到</w:t>
      </w:r>
      <w:r>
        <w:rPr>
          <w:rFonts w:ascii="Times New Roman" w:hAnsi="Times New Roman" w:cs="Times New Roman" w:eastAsia="Times New Roman" w:hint="default"/>
        </w:rPr>
        <w:t>8%</w:t>
      </w:r>
      <w:r>
        <w:rPr/>
        <w:t>。</w:t>
      </w:r>
    </w:p>
    <w:p>
      <w:pPr>
        <w:pStyle w:val="BodyText"/>
        <w:spacing w:line="240" w:lineRule="auto" w:before="13"/>
        <w:ind w:left="584" w:right="90"/>
        <w:jc w:val="left"/>
      </w:pPr>
      <w:r>
        <w:rPr/>
        <w:t>注</w:t>
      </w:r>
      <w:r>
        <w:rPr>
          <w:rFonts w:ascii="Times New Roman" w:hAnsi="Times New Roman" w:cs="Times New Roman" w:eastAsia="Times New Roman" w:hint="default"/>
        </w:rPr>
        <w:t>2</w:t>
      </w:r>
      <w:r>
        <w:rPr/>
        <w:t>：企业所得税包括法人税、法人居民税、法人事业税、地方法人特别税。</w:t>
      </w:r>
    </w:p>
    <w:p>
      <w:pPr>
        <w:pStyle w:val="BodyText"/>
        <w:spacing w:line="300" w:lineRule="auto" w:before="62"/>
        <w:ind w:left="584" w:right="1412" w:hanging="72"/>
        <w:jc w:val="left"/>
      </w:pPr>
      <w:r>
        <w:rPr/>
        <w:t>（</w:t>
      </w:r>
      <w:r>
        <w:rPr>
          <w:rFonts w:ascii="Times New Roman" w:hAnsi="Times New Roman" w:cs="Times New Roman" w:eastAsia="Times New Roman" w:hint="default"/>
        </w:rPr>
        <w:t>2</w:t>
      </w:r>
      <w:r>
        <w:rPr/>
        <w:t>）波士顿润和和美国</w:t>
      </w:r>
      <w:r>
        <w:rPr>
          <w:rFonts w:ascii="Times New Roman" w:hAnsi="Times New Roman" w:cs="Times New Roman" w:eastAsia="Times New Roman" w:hint="default"/>
        </w:rPr>
        <w:t>SRS2</w:t>
      </w:r>
      <w:r>
        <w:rPr>
          <w:rFonts w:ascii="Times New Roman" w:hAnsi="Times New Roman" w:cs="Times New Roman" w:eastAsia="Times New Roman" w:hint="default"/>
          <w:w w:val="99"/>
        </w:rPr>
        <w:t> </w:t>
      </w:r>
      <w:r>
        <w:rPr/>
        <w:t>波士顿润和和美国</w:t>
      </w:r>
      <w:r>
        <w:rPr>
          <w:rFonts w:ascii="Times New Roman" w:hAnsi="Times New Roman" w:cs="Times New Roman" w:eastAsia="Times New Roman" w:hint="default"/>
        </w:rPr>
        <w:t>SRS2</w:t>
      </w:r>
      <w:r>
        <w:rPr/>
        <w:t>分别注册于美国特拉华州和加利福尼亚州，适用美国联邦企业累进所得税率。 其他地方税按照有关规定计算缴纳。</w:t>
      </w:r>
    </w:p>
    <w:p>
      <w:pPr>
        <w:pStyle w:val="BodyText"/>
        <w:spacing w:line="240" w:lineRule="auto" w:before="31"/>
        <w:ind w:left="512" w:right="90"/>
        <w:jc w:val="left"/>
      </w:pPr>
      <w:r>
        <w:rPr/>
        <w:t>（</w:t>
      </w:r>
      <w:r>
        <w:rPr>
          <w:rFonts w:ascii="Times New Roman" w:hAnsi="Times New Roman" w:cs="Times New Roman" w:eastAsia="Times New Roman" w:hint="default"/>
        </w:rPr>
        <w:t>3</w:t>
      </w:r>
      <w:r>
        <w:rPr/>
        <w:t>）新加坡润和和新加坡数码</w:t>
      </w:r>
    </w:p>
    <w:p>
      <w:pPr>
        <w:spacing w:line="240" w:lineRule="auto" w:before="3"/>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735"/>
        <w:gridCol w:w="1985"/>
        <w:gridCol w:w="1560"/>
        <w:gridCol w:w="1985"/>
      </w:tblGrid>
      <w:tr>
        <w:trPr>
          <w:trHeight w:val="348" w:hRule="exact"/>
        </w:trPr>
        <w:tc>
          <w:tcPr>
            <w:tcW w:w="17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362" w:right="0"/>
              <w:jc w:val="left"/>
              <w:rPr>
                <w:rFonts w:ascii="宋体" w:hAnsi="宋体" w:cs="宋体" w:eastAsia="宋体" w:hint="default"/>
                <w:sz w:val="20"/>
                <w:szCs w:val="20"/>
              </w:rPr>
            </w:pPr>
            <w:r>
              <w:rPr>
                <w:rFonts w:ascii="宋体" w:hAnsi="宋体" w:cs="宋体" w:eastAsia="宋体" w:hint="default"/>
                <w:sz w:val="20"/>
                <w:szCs w:val="20"/>
              </w:rPr>
              <w:t>税（费）种</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计税依据</w:t>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税（费）率</w:t>
            </w:r>
          </w:p>
        </w:tc>
        <w:tc>
          <w:tcPr>
            <w:tcW w:w="1985"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
              <w:ind w:right="8"/>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48" w:hRule="exact"/>
        </w:trPr>
        <w:tc>
          <w:tcPr>
            <w:tcW w:w="173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消费税</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增值额</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0"/>
                <w:szCs w:val="20"/>
              </w:rPr>
            </w:pPr>
            <w:r>
              <w:rPr>
                <w:rFonts w:ascii="Times New Roman"/>
                <w:sz w:val="20"/>
              </w:rPr>
              <w:t>7%</w:t>
            </w:r>
          </w:p>
        </w:tc>
        <w:tc>
          <w:tcPr>
            <w:tcW w:w="1985" w:type="dxa"/>
            <w:tcBorders>
              <w:top w:val="single" w:sz="8" w:space="0" w:color="000000"/>
              <w:left w:val="single" w:sz="6" w:space="0" w:color="000000"/>
              <w:bottom w:val="single" w:sz="8" w:space="0" w:color="000000"/>
              <w:right w:val="nil" w:sz="6" w:space="0" w:color="auto"/>
            </w:tcBorders>
          </w:tcPr>
          <w:p>
            <w:pPr>
              <w:pStyle w:val="TableParagraph"/>
              <w:spacing w:line="276" w:lineRule="exact"/>
              <w:ind w:right="6"/>
              <w:jc w:val="center"/>
              <w:rPr>
                <w:rFonts w:ascii="Times New Roman" w:hAnsi="Times New Roman" w:cs="Times New Roman" w:eastAsia="Times New Roman" w:hint="default"/>
                <w:sz w:val="20"/>
                <w:szCs w:val="20"/>
              </w:rPr>
            </w:pPr>
            <w:r>
              <w:rPr>
                <w:rFonts w:ascii="宋体" w:hAnsi="宋体" w:cs="宋体" w:eastAsia="宋体" w:hint="default"/>
                <w:sz w:val="20"/>
                <w:szCs w:val="20"/>
              </w:rPr>
              <w:t>注</w:t>
            </w:r>
            <w:r>
              <w:rPr>
                <w:rFonts w:ascii="Times New Roman" w:hAnsi="Times New Roman" w:cs="Times New Roman" w:eastAsia="Times New Roman" w:hint="default"/>
                <w:sz w:val="20"/>
                <w:szCs w:val="20"/>
              </w:rPr>
              <w:t>1</w:t>
            </w:r>
          </w:p>
        </w:tc>
      </w:tr>
      <w:tr>
        <w:trPr>
          <w:trHeight w:val="348" w:hRule="exact"/>
        </w:trPr>
        <w:tc>
          <w:tcPr>
            <w:tcW w:w="17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应纳税所得额</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3" w:right="0"/>
              <w:jc w:val="center"/>
              <w:rPr>
                <w:rFonts w:ascii="Times New Roman" w:hAnsi="Times New Roman" w:cs="Times New Roman" w:eastAsia="Times New Roman" w:hint="default"/>
                <w:sz w:val="20"/>
                <w:szCs w:val="20"/>
              </w:rPr>
            </w:pPr>
            <w:r>
              <w:rPr>
                <w:rFonts w:ascii="Times New Roman"/>
                <w:sz w:val="20"/>
              </w:rPr>
              <w:t>17%</w:t>
            </w:r>
          </w:p>
        </w:tc>
        <w:tc>
          <w:tcPr>
            <w:tcW w:w="1985" w:type="dxa"/>
            <w:tcBorders>
              <w:top w:val="single" w:sz="8" w:space="0" w:color="000000"/>
              <w:left w:val="single" w:sz="6" w:space="0" w:color="000000"/>
              <w:bottom w:val="single" w:sz="8" w:space="0" w:color="000000"/>
              <w:right w:val="nil" w:sz="6" w:space="0" w:color="auto"/>
            </w:tcBorders>
          </w:tcPr>
          <w:p>
            <w:pPr/>
          </w:p>
        </w:tc>
      </w:tr>
    </w:tbl>
    <w:p>
      <w:pPr>
        <w:pStyle w:val="BodyText"/>
        <w:spacing w:line="307" w:lineRule="auto" w:before="8"/>
        <w:ind w:right="190" w:firstLine="432"/>
        <w:jc w:val="both"/>
      </w:pPr>
      <w:r>
        <w:rPr/>
        <w:t>注</w:t>
      </w:r>
      <w:r>
        <w:rPr>
          <w:rFonts w:ascii="Times New Roman" w:hAnsi="Times New Roman" w:cs="Times New Roman" w:eastAsia="Times New Roman" w:hint="default"/>
        </w:rPr>
        <w:t>1</w:t>
      </w:r>
      <w:r>
        <w:rPr/>
        <w:t>消费税</w:t>
      </w:r>
      <w:r>
        <w:rPr>
          <w:rFonts w:ascii="Times New Roman" w:hAnsi="Times New Roman" w:cs="Times New Roman" w:eastAsia="Times New Roman" w:hint="default"/>
        </w:rPr>
        <w:t>(Goods and Services</w:t>
      </w:r>
      <w:r>
        <w:rPr>
          <w:rFonts w:ascii="Times New Roman" w:hAnsi="Times New Roman" w:cs="Times New Roman" w:eastAsia="Times New Roman" w:hint="default"/>
          <w:spacing w:val="-5"/>
        </w:rPr>
        <w:t> </w:t>
      </w:r>
      <w:r>
        <w:rPr>
          <w:rFonts w:ascii="Times New Roman" w:hAnsi="Times New Roman" w:cs="Times New Roman" w:eastAsia="Times New Roman" w:hint="default"/>
        </w:rPr>
        <w:t>Tax)</w:t>
      </w:r>
      <w:r>
        <w:rPr/>
        <w:t>是对进口货物和所有在新加坡提供货物和劳务服务征收的一种税，税负由最终的消 费者负担，从事提供货物和劳务服务且年营业额在</w:t>
      </w:r>
      <w:r>
        <w:rPr>
          <w:rFonts w:ascii="Times New Roman" w:hAnsi="Times New Roman" w:cs="Times New Roman" w:eastAsia="Times New Roman" w:hint="default"/>
        </w:rPr>
        <w:t>100</w:t>
      </w:r>
      <w:r>
        <w:rPr/>
        <w:t>万新元以上的纳税人，应进行消费税的纳税登记，进行了消费税登记 </w:t>
      </w:r>
      <w:r>
        <w:rPr>
          <w:spacing w:val="-2"/>
        </w:rPr>
        <w:t>的纳税人，其消费税应纳税额为销项税额减去购进货物或服务支付的进项税额后的差额，类似于国内的增值税，对于出口货</w:t>
      </w:r>
      <w:r>
        <w:rPr>
          <w:spacing w:val="-63"/>
        </w:rPr>
        <w:t> </w:t>
      </w:r>
      <w:r>
        <w:rPr>
          <w:spacing w:val="-63"/>
        </w:rPr>
      </w:r>
      <w:r>
        <w:rPr/>
        <w:t>物和服务的消费税税率为零，新加坡润和目前所从事的软件外包业务属于出口服务，免征消费税。</w:t>
      </w:r>
    </w:p>
    <w:p>
      <w:pPr>
        <w:pStyle w:val="BodyText"/>
        <w:spacing w:line="300" w:lineRule="auto" w:before="26"/>
        <w:ind w:left="584" w:right="4547" w:hanging="72"/>
        <w:jc w:val="left"/>
      </w:pPr>
      <w:r>
        <w:rPr/>
        <w:t>（</w:t>
      </w:r>
      <w:r>
        <w:rPr>
          <w:rFonts w:ascii="Times New Roman" w:hAnsi="Times New Roman" w:cs="Times New Roman" w:eastAsia="Times New Roman" w:hint="default"/>
        </w:rPr>
        <w:t>4</w:t>
      </w:r>
      <w:r>
        <w:rPr/>
        <w:t>）香港</w:t>
      </w:r>
      <w:r>
        <w:rPr>
          <w:rFonts w:ascii="Times New Roman" w:hAnsi="Times New Roman" w:cs="Times New Roman" w:eastAsia="Times New Roman" w:hint="default"/>
        </w:rPr>
        <w:t>SRS2</w:t>
      </w:r>
      <w:r>
        <w:rPr/>
        <w:t>和香港润和 香港</w:t>
      </w:r>
      <w:r>
        <w:rPr>
          <w:rFonts w:ascii="Times New Roman" w:hAnsi="Times New Roman" w:cs="Times New Roman" w:eastAsia="Times New Roman" w:hint="default"/>
        </w:rPr>
        <w:t>SRS2</w:t>
      </w:r>
      <w:r>
        <w:rPr/>
        <w:t>和香港润和注册于中国香港，利得税税率为</w:t>
      </w:r>
      <w:r>
        <w:rPr>
          <w:rFonts w:ascii="Times New Roman" w:hAnsi="Times New Roman" w:cs="Times New Roman" w:eastAsia="Times New Roman" w:hint="default"/>
        </w:rPr>
        <w:t>16.5%</w:t>
      </w:r>
      <w:r>
        <w:rPr/>
        <w:t>。</w:t>
      </w:r>
    </w:p>
    <w:p>
      <w:pPr>
        <w:spacing w:line="240" w:lineRule="auto" w:before="5"/>
        <w:rPr>
          <w:rFonts w:ascii="宋体" w:hAnsi="宋体" w:cs="宋体" w:eastAsia="宋体" w:hint="default"/>
          <w:sz w:val="20"/>
          <w:szCs w:val="20"/>
        </w:rPr>
      </w:pPr>
    </w:p>
    <w:p>
      <w:pPr>
        <w:pStyle w:val="Heading2"/>
        <w:spacing w:line="240" w:lineRule="auto"/>
        <w:ind w:right="90"/>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0"/>
        <w:jc w:val="left"/>
        <w:rPr>
          <w:b w:val="0"/>
          <w:bCs w:val="0"/>
        </w:rPr>
      </w:pPr>
      <w:bookmarkStart w:name="1、货币资金" w:id="220"/>
      <w:bookmarkEnd w:id="22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240,359.70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227,733.17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375,402,903.08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398,749,823.81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13,918,083.62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9,391,910.35</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389,561,346.40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408,369,467.33</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7,632,954.43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19,915,338.08</w:t>
            </w:r>
          </w:p>
        </w:tc>
      </w:tr>
    </w:tbl>
    <w:p>
      <w:pPr>
        <w:pStyle w:val="BodyText"/>
        <w:spacing w:line="240" w:lineRule="auto" w:before="49"/>
        <w:ind w:right="0"/>
        <w:jc w:val="left"/>
      </w:pPr>
      <w:r>
        <w:rPr/>
        <w:t>其他说明</w:t>
      </w:r>
    </w:p>
    <w:p>
      <w:pPr>
        <w:pStyle w:val="BodyText"/>
        <w:spacing w:line="240" w:lineRule="auto" w:before="115"/>
        <w:ind w:left="584" w:right="0"/>
        <w:jc w:val="left"/>
      </w:pPr>
      <w:r>
        <w:rPr>
          <w:rFonts w:ascii="Times New Roman" w:hAnsi="Times New Roman" w:cs="Times New Roman" w:eastAsia="Times New Roman" w:hint="default"/>
        </w:rPr>
        <w:t>2015</w:t>
      </w:r>
      <w:r>
        <w:rPr/>
        <w:t>年末银行存款余额中</w:t>
      </w:r>
      <w:r>
        <w:rPr>
          <w:rFonts w:ascii="Times New Roman" w:hAnsi="Times New Roman" w:cs="Times New Roman" w:eastAsia="Times New Roman" w:hint="default"/>
        </w:rPr>
        <w:t>2,000,000.00</w:t>
      </w:r>
      <w:r>
        <w:rPr/>
        <w:t>元系子公司捷科智诚因诉讼被法院冻结的款项，其他货币资金余额中</w:t>
      </w:r>
    </w:p>
    <w:p>
      <w:pPr>
        <w:pStyle w:val="BodyText"/>
        <w:spacing w:line="300" w:lineRule="auto" w:before="62"/>
        <w:ind w:right="0"/>
        <w:jc w:val="left"/>
      </w:pPr>
      <w:r>
        <w:rPr>
          <w:rFonts w:ascii="Times New Roman" w:hAnsi="Times New Roman" w:cs="Times New Roman" w:eastAsia="Times New Roman" w:hint="default"/>
          <w:spacing w:val="-2"/>
        </w:rPr>
        <w:t>12,541,843.62</w:t>
      </w:r>
      <w:r>
        <w:rPr>
          <w:spacing w:val="-2"/>
        </w:rPr>
        <w:t>元系本公司、子公司江苏开拓为开具银行承兑汇票存入的保证金，</w:t>
      </w:r>
      <w:r>
        <w:rPr>
          <w:rFonts w:ascii="Times New Roman" w:hAnsi="Times New Roman" w:cs="Times New Roman" w:eastAsia="Times New Roman" w:hint="default"/>
          <w:spacing w:val="-2"/>
        </w:rPr>
        <w:t>1,376,240.00</w:t>
      </w:r>
      <w:r>
        <w:rPr>
          <w:spacing w:val="-2"/>
        </w:rPr>
        <w:t>元系子公司捷科智诚为开具保函</w:t>
      </w:r>
      <w:r>
        <w:rPr>
          <w:spacing w:val="-48"/>
        </w:rPr>
        <w:t> </w:t>
      </w:r>
      <w:r>
        <w:rPr/>
        <w:t>存入的保证金，除此之外，货币资金中无其他因抵押或冻结等对使用有限制、有潜在回收风险的款项。</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2、以公允价值计量且其变动计入当期损益的金融资产" w:id="221"/>
      <w:bookmarkEnd w:id="22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衍生金融资产" w:id="222"/>
      <w:bookmarkEnd w:id="22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应收票据" w:id="223"/>
      <w:bookmarkEnd w:id="22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4"/>
      <w:bookmarkEnd w:id="22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16,901,471.70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15,579,109.11</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16,901,471.70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15,579,109.11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公司已质押的应收票据" w:id="225"/>
      <w:bookmarkEnd w:id="22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公司已背书或贴现且在资产负债表日尚未到期的应收票据" w:id="226"/>
      <w:bookmarkEnd w:id="22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16,740,401.60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16,740,401.60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期末公司因出票人未履约而将其转应收账款的票据" w:id="227"/>
      <w:bookmarkEnd w:id="22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应收账款" w:id="228"/>
      <w:bookmarkEnd w:id="22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9"/>
      <w:bookmarkEnd w:id="2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19,069,4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14.00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2.13%</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19,069,41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24,440,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6.11%</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876,942,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341.48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60,390,9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816,551,4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05.12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375,587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,025.28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93.89%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23,125,19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6.61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352,461,82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896,011,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755.48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60,390,9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36.36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6.74%</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835,620,8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19.12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400,027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,025.28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23,125,19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6.61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5.78%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376,901,82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33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19,069,414.00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该笔款项已于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日取得对方客 户转账支票，款项于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日入账。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19,069,414.00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113" w:space="471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734,567,801.92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36,728,390.07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734,567,801.92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36,728,390.07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123,495,418.35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12,349,541.79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15,132,233.43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7,566,116.73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3,746,887.78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3,746,887.77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876,942,341.48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60,390,936.36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6.89%</w:t>
            </w:r>
          </w:p>
        </w:tc>
      </w:tr>
    </w:tbl>
    <w:p>
      <w:pPr>
        <w:pStyle w:val="BodyText"/>
        <w:spacing w:line="357" w:lineRule="auto" w:before="49"/>
        <w:ind w:right="0"/>
        <w:jc w:val="left"/>
      </w:pPr>
      <w:r>
        <w:rPr/>
        <w:t>确定该组合依据的说明： 对单项金额重大单独测试未发生减值的应收款项汇同单项金额不重大的应收款项，本公司以账龄作为信用风险特征组合。 组合中，采用余额百分比法计提坏账准备的应收账款：</w:t>
      </w:r>
    </w:p>
    <w:p>
      <w:pPr>
        <w:pStyle w:val="BodyText"/>
        <w:spacing w:line="338" w:lineRule="auto" w:before="29"/>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0" w:lineRule="auto" w:before="44"/>
        <w:ind w:right="-10"/>
        <w:jc w:val="left"/>
      </w:pPr>
      <w:r>
        <w:rPr/>
        <w:t>本期计提坏账准备金额</w:t>
      </w:r>
      <w:r>
        <w:rPr>
          <w:spacing w:val="-47"/>
        </w:rPr>
        <w:t> </w:t>
      </w:r>
      <w:r>
        <w:rPr>
          <w:rFonts w:ascii="Times New Roman" w:hAnsi="Times New Roman" w:cs="Times New Roman" w:eastAsia="Times New Roman" w:hint="default"/>
        </w:rPr>
        <w:t>15,548,246.31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547" w:space="2280"/>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231"/>
      <w:bookmarkEnd w:id="23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其中重要的应收账款核销情况：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按欠款方归集的期末余额前五名的应收账款情况" w:id="232"/>
      <w:bookmarkEnd w:id="23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tbl>
      <w:tblPr>
        <w:tblW w:w="0" w:type="auto"/>
        <w:jc w:val="left"/>
        <w:tblInd w:w="145" w:type="dxa"/>
        <w:tblLayout w:type="fixed"/>
        <w:tblCellMar>
          <w:top w:w="0" w:type="dxa"/>
          <w:left w:w="0" w:type="dxa"/>
          <w:bottom w:w="0" w:type="dxa"/>
          <w:right w:w="0" w:type="dxa"/>
        </w:tblCellMar>
        <w:tblLook w:val="01E0"/>
      </w:tblPr>
      <w:tblGrid>
        <w:gridCol w:w="1704"/>
        <w:gridCol w:w="1985"/>
        <w:gridCol w:w="1982"/>
        <w:gridCol w:w="2126"/>
      </w:tblGrid>
      <w:tr>
        <w:trPr>
          <w:trHeight w:val="662" w:hRule="exact"/>
        </w:trPr>
        <w:tc>
          <w:tcPr>
            <w:tcW w:w="170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446"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585"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982"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4"/>
              <w:ind w:left="235" w:right="83" w:hanging="149"/>
              <w:jc w:val="left"/>
              <w:rPr>
                <w:rFonts w:ascii="Times New Roman" w:hAnsi="Times New Roman" w:cs="Times New Roman" w:eastAsia="Times New Roman" w:hint="default"/>
                <w:sz w:val="20"/>
                <w:szCs w:val="20"/>
              </w:rPr>
            </w:pPr>
            <w:r>
              <w:rPr>
                <w:rFonts w:ascii="宋体" w:hAnsi="宋体" w:cs="宋体" w:eastAsia="宋体" w:hint="default"/>
                <w:sz w:val="20"/>
                <w:szCs w:val="20"/>
              </w:rPr>
              <w:t>占应收账款期末余额</w:t>
            </w:r>
            <w:r>
              <w:rPr>
                <w:rFonts w:ascii="宋体" w:hAnsi="宋体" w:cs="宋体" w:eastAsia="宋体" w:hint="default"/>
                <w:w w:val="99"/>
                <w:sz w:val="20"/>
                <w:szCs w:val="20"/>
              </w:rPr>
              <w:t> </w:t>
            </w:r>
            <w:r>
              <w:rPr>
                <w:rFonts w:ascii="宋体" w:hAnsi="宋体" w:cs="宋体" w:eastAsia="宋体" w:hint="default"/>
                <w:sz w:val="20"/>
                <w:szCs w:val="20"/>
              </w:rPr>
              <w:t>合计数的比例</w:t>
            </w:r>
            <w:r>
              <w:rPr>
                <w:rFonts w:ascii="Times New Roman" w:hAnsi="Times New Roman" w:cs="Times New Roman" w:eastAsia="Times New Roman" w:hint="default"/>
                <w:sz w:val="20"/>
                <w:szCs w:val="20"/>
              </w:rPr>
              <w:t>(%)</w:t>
            </w:r>
          </w:p>
        </w:tc>
        <w:tc>
          <w:tcPr>
            <w:tcW w:w="2126"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4"/>
              <w:ind w:left="657" w:right="662"/>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w w:val="99"/>
                <w:sz w:val="20"/>
                <w:szCs w:val="20"/>
              </w:rPr>
              <w:t> </w:t>
            </w:r>
            <w:r>
              <w:rPr>
                <w:rFonts w:ascii="宋体" w:hAnsi="宋体" w:cs="宋体" w:eastAsia="宋体" w:hint="default"/>
                <w:sz w:val="20"/>
                <w:szCs w:val="20"/>
              </w:rPr>
              <w:t>期末余额</w:t>
            </w:r>
          </w:p>
        </w:tc>
      </w:tr>
      <w:tr>
        <w:trPr>
          <w:trHeight w:val="348" w:hRule="exact"/>
        </w:trPr>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175,027,235.90</w:t>
            </w:r>
            <w:r>
              <w:rPr>
                <w:rFonts w:ascii="Times New Roman"/>
                <w:sz w:val="20"/>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sz w:val="20"/>
              </w:rPr>
              <w:t>19.53</w:t>
            </w:r>
          </w:p>
        </w:tc>
        <w:tc>
          <w:tcPr>
            <w:tcW w:w="21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9,717,841.80</w:t>
            </w:r>
            <w:r>
              <w:rPr>
                <w:rFonts w:ascii="Times New Roman"/>
                <w:sz w:val="20"/>
              </w:rPr>
            </w:r>
          </w:p>
        </w:tc>
      </w:tr>
      <w:tr>
        <w:trPr>
          <w:trHeight w:val="346" w:hRule="exact"/>
        </w:trPr>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100,965,132.09</w:t>
            </w:r>
            <w:r>
              <w:rPr>
                <w:rFonts w:ascii="Times New Roman"/>
                <w:sz w:val="20"/>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sz w:val="20"/>
              </w:rPr>
              <w:t>11.27</w:t>
            </w:r>
          </w:p>
        </w:tc>
        <w:tc>
          <w:tcPr>
            <w:tcW w:w="21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4"/>
              <w:jc w:val="right"/>
              <w:rPr>
                <w:rFonts w:ascii="Times New Roman" w:hAnsi="Times New Roman" w:cs="Times New Roman" w:eastAsia="Times New Roman" w:hint="default"/>
                <w:sz w:val="20"/>
                <w:szCs w:val="20"/>
              </w:rPr>
            </w:pPr>
            <w:r>
              <w:rPr>
                <w:rFonts w:ascii="Times New Roman"/>
                <w:w w:val="95"/>
                <w:sz w:val="20"/>
              </w:rPr>
              <w:t>10,565,789.59</w:t>
            </w:r>
            <w:r>
              <w:rPr>
                <w:rFonts w:ascii="Times New Roman"/>
                <w:sz w:val="20"/>
              </w:rPr>
            </w:r>
          </w:p>
        </w:tc>
      </w:tr>
      <w:tr>
        <w:trPr>
          <w:trHeight w:val="348" w:hRule="exact"/>
        </w:trPr>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36,662,608.47</w:t>
            </w:r>
            <w:r>
              <w:rPr>
                <w:rFonts w:ascii="Times New Roman"/>
                <w:sz w:val="20"/>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z w:val="20"/>
              </w:rPr>
              <w:t>4.09</w:t>
            </w:r>
          </w:p>
        </w:tc>
        <w:tc>
          <w:tcPr>
            <w:tcW w:w="21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1,833,130.42</w:t>
            </w:r>
            <w:r>
              <w:rPr>
                <w:rFonts w:ascii="Times New Roman"/>
                <w:sz w:val="20"/>
              </w:rPr>
            </w:r>
          </w:p>
        </w:tc>
      </w:tr>
      <w:tr>
        <w:trPr>
          <w:trHeight w:val="346" w:hRule="exact"/>
        </w:trPr>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22,889,350.00</w:t>
            </w:r>
            <w:r>
              <w:rPr>
                <w:rFonts w:ascii="Times New Roman"/>
                <w:sz w:val="20"/>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sz w:val="20"/>
              </w:rPr>
              <w:t>2.55</w:t>
            </w:r>
          </w:p>
        </w:tc>
        <w:tc>
          <w:tcPr>
            <w:tcW w:w="21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1,144,467.50</w:t>
            </w:r>
            <w:r>
              <w:rPr>
                <w:rFonts w:ascii="Times New Roman"/>
                <w:sz w:val="20"/>
              </w:rPr>
            </w:r>
          </w:p>
        </w:tc>
      </w:tr>
      <w:tr>
        <w:trPr>
          <w:trHeight w:val="348" w:hRule="exact"/>
        </w:trPr>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20,122,572.52</w:t>
            </w:r>
            <w:r>
              <w:rPr>
                <w:rFonts w:ascii="Times New Roman"/>
                <w:sz w:val="20"/>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z w:val="20"/>
              </w:rPr>
              <w:t>2.25</w:t>
            </w:r>
          </w:p>
        </w:tc>
        <w:tc>
          <w:tcPr>
            <w:tcW w:w="21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1,006,128.63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704"/>
        <w:gridCol w:w="1985"/>
        <w:gridCol w:w="1982"/>
        <w:gridCol w:w="2126"/>
      </w:tblGrid>
      <w:tr>
        <w:trPr>
          <w:trHeight w:val="350" w:hRule="exact"/>
        </w:trPr>
        <w:tc>
          <w:tcPr>
            <w:tcW w:w="1704" w:type="dxa"/>
            <w:tcBorders>
              <w:top w:val="single" w:sz="6" w:space="0" w:color="000000"/>
              <w:left w:val="single" w:sz="6" w:space="0" w:color="000000"/>
              <w:bottom w:val="single" w:sz="8" w:space="0" w:color="000000"/>
              <w:right w:val="single" w:sz="6" w:space="0" w:color="000000"/>
            </w:tcBorders>
          </w:tcPr>
          <w:p>
            <w:pPr>
              <w:pStyle w:val="TableParagraph"/>
              <w:tabs>
                <w:tab w:pos="1010" w:val="left" w:leader="none"/>
              </w:tabs>
              <w:spacing w:line="240" w:lineRule="auto" w:before="1"/>
              <w:ind w:left="487"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left="717" w:right="0"/>
              <w:jc w:val="left"/>
              <w:rPr>
                <w:rFonts w:ascii="Times New Roman" w:hAnsi="Times New Roman" w:cs="Times New Roman" w:eastAsia="Times New Roman" w:hint="default"/>
                <w:sz w:val="20"/>
                <w:szCs w:val="20"/>
              </w:rPr>
            </w:pPr>
            <w:r>
              <w:rPr>
                <w:rFonts w:ascii="Times New Roman"/>
                <w:sz w:val="20"/>
              </w:rPr>
              <w:t>355,666,898.98</w:t>
            </w:r>
          </w:p>
        </w:tc>
        <w:tc>
          <w:tcPr>
            <w:tcW w:w="19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39.69</w:t>
            </w:r>
          </w:p>
        </w:tc>
        <w:tc>
          <w:tcPr>
            <w:tcW w:w="2126"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8"/>
              <w:ind w:left="962" w:right="0"/>
              <w:jc w:val="left"/>
              <w:rPr>
                <w:rFonts w:ascii="Times New Roman" w:hAnsi="Times New Roman" w:cs="Times New Roman" w:eastAsia="Times New Roman" w:hint="default"/>
                <w:sz w:val="20"/>
                <w:szCs w:val="20"/>
              </w:rPr>
            </w:pPr>
            <w:r>
              <w:rPr>
                <w:rFonts w:ascii="Times New Roman"/>
                <w:sz w:val="20"/>
              </w:rPr>
              <w:t>24,267,357.94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bookmarkStart w:name="（5）因金融资产转移而终止确认的应收账款" w:id="233"/>
      <w:bookmarkEnd w:id="23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234"/>
      <w:bookmarkEnd w:id="23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3"/>
        <w:rPr>
          <w:rFonts w:ascii="宋体" w:hAnsi="宋体" w:cs="宋体" w:eastAsia="宋体" w:hint="default"/>
          <w:sz w:val="15"/>
          <w:szCs w:val="15"/>
        </w:rPr>
      </w:pPr>
    </w:p>
    <w:p>
      <w:pPr>
        <w:pStyle w:val="BodyText"/>
        <w:spacing w:line="297" w:lineRule="auto"/>
        <w:ind w:right="0" w:firstLine="432"/>
        <w:jc w:val="left"/>
      </w:pPr>
      <w:r>
        <w:rPr>
          <w:spacing w:val="-2"/>
        </w:rPr>
        <w:t>应收账款</w:t>
      </w:r>
      <w:r>
        <w:rPr>
          <w:rFonts w:ascii="Times New Roman" w:hAnsi="Times New Roman" w:cs="Times New Roman" w:eastAsia="Times New Roman" w:hint="default"/>
          <w:spacing w:val="-2"/>
        </w:rPr>
        <w:t>2015</w:t>
      </w:r>
      <w:r>
        <w:rPr>
          <w:spacing w:val="-2"/>
        </w:rPr>
        <w:t>年末余额比年初余额增长</w:t>
      </w:r>
      <w:r>
        <w:rPr>
          <w:rFonts w:ascii="Times New Roman" w:hAnsi="Times New Roman" w:cs="Times New Roman" w:eastAsia="Times New Roman" w:hint="default"/>
          <w:spacing w:val="-2"/>
        </w:rPr>
        <w:t>123.99%</w:t>
      </w:r>
      <w:r>
        <w:rPr>
          <w:spacing w:val="-2"/>
        </w:rPr>
        <w:t>，主要原因是本年营业收入增长，应收账款余额相应增加，以及增加非</w:t>
      </w:r>
      <w:r>
        <w:rPr/>
        <w:t> 同一控制下企业合并子公司联创智融、菲耐得的年末应收账款。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3"/>
        <w:ind w:right="0"/>
        <w:jc w:val="left"/>
        <w:rPr>
          <w:b w:val="0"/>
          <w:bCs w:val="0"/>
        </w:rPr>
      </w:pPr>
      <w:bookmarkStart w:name="6、预付款项" w:id="235"/>
      <w:bookmarkEnd w:id="23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6"/>
      <w:bookmarkEnd w:id="23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3"/>
        <w:gridCol w:w="1915"/>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34,462,042.15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17,802,850.96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90.13%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95,268.53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1,895,047.50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77,942.50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31,259.39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54,260.64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23,058.65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34,689,513.82</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19,752,216.50</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right="4917"/>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37"/>
      <w:bookmarkEnd w:id="23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530"/>
        <w:gridCol w:w="2282"/>
        <w:gridCol w:w="2124"/>
      </w:tblGrid>
      <w:tr>
        <w:trPr>
          <w:trHeight w:val="662" w:hRule="exact"/>
        </w:trPr>
        <w:tc>
          <w:tcPr>
            <w:tcW w:w="353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2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736"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124"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4"/>
              <w:ind w:left="307" w:right="161" w:hanging="152"/>
              <w:jc w:val="left"/>
              <w:rPr>
                <w:rFonts w:ascii="Times New Roman" w:hAnsi="Times New Roman" w:cs="Times New Roman" w:eastAsia="Times New Roman" w:hint="default"/>
                <w:sz w:val="20"/>
                <w:szCs w:val="20"/>
              </w:rPr>
            </w:pPr>
            <w:r>
              <w:rPr>
                <w:rFonts w:ascii="宋体" w:hAnsi="宋体" w:cs="宋体" w:eastAsia="宋体" w:hint="default"/>
                <w:sz w:val="20"/>
                <w:szCs w:val="20"/>
              </w:rPr>
              <w:t>占预付款项期末余额</w:t>
            </w:r>
            <w:r>
              <w:rPr>
                <w:rFonts w:ascii="宋体" w:hAnsi="宋体" w:cs="宋体" w:eastAsia="宋体" w:hint="default"/>
                <w:w w:val="99"/>
                <w:sz w:val="20"/>
                <w:szCs w:val="20"/>
              </w:rPr>
              <w:t> </w:t>
            </w:r>
            <w:r>
              <w:rPr>
                <w:rFonts w:ascii="宋体" w:hAnsi="宋体" w:cs="宋体" w:eastAsia="宋体" w:hint="default"/>
                <w:sz w:val="20"/>
                <w:szCs w:val="20"/>
              </w:rPr>
              <w:t>合计数的比例</w:t>
            </w:r>
            <w:r>
              <w:rPr>
                <w:rFonts w:ascii="Times New Roman" w:hAnsi="Times New Roman" w:cs="Times New Roman" w:eastAsia="Times New Roman" w:hint="default"/>
                <w:sz w:val="20"/>
                <w:szCs w:val="20"/>
              </w:rPr>
              <w:t>(%)</w:t>
            </w:r>
          </w:p>
        </w:tc>
      </w:tr>
      <w:tr>
        <w:trPr>
          <w:trHeight w:val="346" w:hRule="exact"/>
        </w:trPr>
        <w:tc>
          <w:tcPr>
            <w:tcW w:w="3530"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深圳市润和创新信息科技有限公司</w:t>
            </w:r>
          </w:p>
        </w:tc>
        <w:tc>
          <w:tcPr>
            <w:tcW w:w="2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27,309,762.06</w:t>
            </w:r>
            <w:r>
              <w:rPr>
                <w:rFonts w:ascii="Times New Roman"/>
                <w:sz w:val="20"/>
              </w:rPr>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78.73</w:t>
            </w:r>
          </w:p>
        </w:tc>
      </w:tr>
      <w:tr>
        <w:trPr>
          <w:trHeight w:val="660" w:hRule="exact"/>
        </w:trPr>
        <w:tc>
          <w:tcPr>
            <w:tcW w:w="3530"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0"/>
              <w:jc w:val="left"/>
              <w:rPr>
                <w:rFonts w:ascii="宋体" w:hAnsi="宋体" w:cs="宋体" w:eastAsia="宋体" w:hint="default"/>
                <w:sz w:val="20"/>
                <w:szCs w:val="20"/>
              </w:rPr>
            </w:pPr>
            <w:r>
              <w:rPr>
                <w:rFonts w:ascii="宋体" w:hAnsi="宋体" w:cs="宋体" w:eastAsia="宋体" w:hint="default"/>
                <w:spacing w:val="-5"/>
                <w:sz w:val="20"/>
                <w:szCs w:val="20"/>
              </w:rPr>
              <w:t>仲量联行测量师事务所（上海）有限公司</w:t>
            </w:r>
            <w:r>
              <w:rPr>
                <w:rFonts w:ascii="宋体" w:hAnsi="宋体" w:cs="宋体" w:eastAsia="宋体" w:hint="default"/>
                <w:w w:val="99"/>
                <w:sz w:val="20"/>
                <w:szCs w:val="20"/>
              </w:rPr>
              <w:t> </w:t>
            </w:r>
            <w:r>
              <w:rPr>
                <w:rFonts w:ascii="宋体" w:hAnsi="宋体" w:cs="宋体" w:eastAsia="宋体" w:hint="default"/>
                <w:sz w:val="20"/>
                <w:szCs w:val="20"/>
              </w:rPr>
              <w:t>南京分公司</w:t>
            </w:r>
          </w:p>
        </w:tc>
        <w:tc>
          <w:tcPr>
            <w:tcW w:w="2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1,389,426.93</w:t>
            </w:r>
            <w:r>
              <w:rPr>
                <w:rFonts w:ascii="Times New Roman"/>
                <w:sz w:val="20"/>
              </w:rPr>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4.01</w:t>
            </w:r>
          </w:p>
        </w:tc>
      </w:tr>
      <w:tr>
        <w:trPr>
          <w:trHeight w:val="348" w:hRule="exact"/>
        </w:trPr>
        <w:tc>
          <w:tcPr>
            <w:tcW w:w="3530"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南京神州数码有限公司</w:t>
            </w:r>
          </w:p>
        </w:tc>
        <w:tc>
          <w:tcPr>
            <w:tcW w:w="2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1,027,791.96</w:t>
            </w:r>
            <w:r>
              <w:rPr>
                <w:rFonts w:ascii="Times New Roman"/>
                <w:sz w:val="20"/>
              </w:rPr>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2.96</w:t>
            </w:r>
          </w:p>
        </w:tc>
      </w:tr>
      <w:tr>
        <w:trPr>
          <w:trHeight w:val="346" w:hRule="exact"/>
        </w:trPr>
        <w:tc>
          <w:tcPr>
            <w:tcW w:w="3530"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南京海立纳文化艺术有限公司</w:t>
            </w:r>
          </w:p>
        </w:tc>
        <w:tc>
          <w:tcPr>
            <w:tcW w:w="2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980,000.00</w:t>
            </w:r>
            <w:r>
              <w:rPr>
                <w:rFonts w:ascii="Times New Roman"/>
                <w:sz w:val="20"/>
              </w:rPr>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2.83</w:t>
            </w:r>
          </w:p>
        </w:tc>
      </w:tr>
      <w:tr>
        <w:trPr>
          <w:trHeight w:val="348" w:hRule="exact"/>
        </w:trPr>
        <w:tc>
          <w:tcPr>
            <w:tcW w:w="3530"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上海创博工业自动化技术有限公司</w:t>
            </w:r>
          </w:p>
        </w:tc>
        <w:tc>
          <w:tcPr>
            <w:tcW w:w="2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419,955.00</w:t>
            </w:r>
            <w:r>
              <w:rPr>
                <w:rFonts w:ascii="Times New Roman"/>
                <w:sz w:val="20"/>
              </w:rPr>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1.21</w:t>
            </w:r>
          </w:p>
        </w:tc>
      </w:tr>
      <w:tr>
        <w:trPr>
          <w:trHeight w:val="348" w:hRule="exact"/>
        </w:trPr>
        <w:tc>
          <w:tcPr>
            <w:tcW w:w="3530" w:type="dxa"/>
            <w:tcBorders>
              <w:top w:val="single" w:sz="8" w:space="0" w:color="000000"/>
              <w:left w:val="single" w:sz="6" w:space="0" w:color="000000"/>
              <w:bottom w:val="single" w:sz="8" w:space="0" w:color="000000"/>
              <w:right w:val="single" w:sz="6" w:space="0" w:color="000000"/>
            </w:tcBorders>
          </w:tcPr>
          <w:p>
            <w:pPr>
              <w:pStyle w:val="TableParagraph"/>
              <w:tabs>
                <w:tab w:pos="528" w:val="left" w:leader="none"/>
              </w:tabs>
              <w:spacing w:line="259" w:lineRule="exact"/>
              <w:ind w:left="5"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31,126,935.95</w:t>
            </w:r>
            <w:r>
              <w:rPr>
                <w:rFonts w:ascii="Times New Roman"/>
                <w:sz w:val="20"/>
              </w:rPr>
            </w:r>
          </w:p>
        </w:tc>
        <w:tc>
          <w:tcPr>
            <w:tcW w:w="212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89.74</w:t>
            </w:r>
          </w:p>
        </w:tc>
      </w:tr>
    </w:tbl>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其他说明：</w:t>
      </w:r>
    </w:p>
    <w:p>
      <w:pPr>
        <w:pStyle w:val="BodyText"/>
        <w:spacing w:line="240" w:lineRule="auto" w:before="115"/>
        <w:ind w:left="584" w:right="0"/>
        <w:jc w:val="left"/>
      </w:pPr>
      <w:r>
        <w:rPr/>
        <w:t>预付款项</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75.62%</w:t>
      </w:r>
      <w:r>
        <w:rPr/>
        <w:t>，主要原因是本年公司增加预付深圳数码的材料采购款。</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7、应收利息" w:id="238"/>
      <w:bookmarkEnd w:id="23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39"/>
      <w:bookmarkEnd w:id="23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435,182.80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435,182.80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逾期利息" w:id="240"/>
      <w:bookmarkEnd w:id="240"/>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8、应收股利" w:id="241"/>
      <w:bookmarkEnd w:id="241"/>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42"/>
      <w:bookmarkEnd w:id="242"/>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的账龄超过1年的应收股利" w:id="243"/>
      <w:bookmarkEnd w:id="243"/>
      <w:r>
        <w:rPr>
          <w:b w:val="0"/>
          <w:bCs w:val="0"/>
        </w:rPr>
      </w: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9、其他应收款" w:id="244"/>
      <w:bookmarkEnd w:id="24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5"/>
      <w:bookmarkEnd w:id="24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4"/>
        <w:gridCol w:w="762"/>
        <w:gridCol w:w="761"/>
        <w:gridCol w:w="763"/>
        <w:gridCol w:w="763"/>
        <w:gridCol w:w="787"/>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36"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2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523"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4D4D4"/>
          </w:tcPr>
          <w:p>
            <w:pP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624" w:type="dxa"/>
            <w:vMerge/>
            <w:tcBorders>
              <w:left w:val="single" w:sz="4" w:space="0" w:color="000000"/>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116,217,</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595.00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83.55%</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116,217,5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95.00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14,286,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945.00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51.14%</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14,286,945.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22,627,8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55.50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3,086,46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19,541,38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9.33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13,401,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508.39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47.97%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1,549,184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11.56%</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11,852,324.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247,389.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0.18%</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247,389.0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247,389</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0.89%</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247,389.00</w:t>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139,092,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839.50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3,086,46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136,006,3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73.33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27,935,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842.39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1,549,184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26,386,658.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101,930,650.00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应收关联方的股权转让 款，不存在收回风险</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南京沧溪建设工程有限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系代为支付给政府机构 的建设工程社会保障 费，不存在收回风险</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南京市建筑节能管理中 心</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1,236,945.00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系支付给政府机构专项 基金，不存在收回风险</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116,217,595.00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0"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17,992,938.37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899,646.88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17,992,938.37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899,646.88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1,593,064.33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159,306.43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2,028,679.88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1,014,339.94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1,013,172.92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1,013,172.92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22,627,855.50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3,086,466.17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13.64%</w:t>
            </w:r>
          </w:p>
        </w:tc>
      </w:tr>
    </w:tbl>
    <w:p>
      <w:pPr>
        <w:pStyle w:val="BodyText"/>
        <w:spacing w:line="357" w:lineRule="auto" w:before="49"/>
        <w:ind w:left="512" w:right="234" w:hanging="360"/>
        <w:jc w:val="left"/>
      </w:pPr>
      <w:r>
        <w:rPr/>
        <w:t>确定该组合依据的说明： 对单项金额重大单独测试未发生减值的应收款项汇同单项金额不重大的应收款项，本公司以账龄作为信用风险特征组</w:t>
      </w:r>
    </w:p>
    <w:p>
      <w:pPr>
        <w:pStyle w:val="BodyText"/>
        <w:spacing w:line="224" w:lineRule="exact"/>
        <w:ind w:right="0"/>
        <w:jc w:val="left"/>
      </w:pPr>
      <w:r>
        <w:rPr/>
        <w:t>合。</w:t>
      </w:r>
    </w:p>
    <w:p>
      <w:pPr>
        <w:pStyle w:val="BodyText"/>
        <w:spacing w:line="240" w:lineRule="auto" w:before="117"/>
        <w:ind w:right="0"/>
        <w:jc w:val="left"/>
      </w:pPr>
      <w:r>
        <w:rPr/>
        <w:t>组合中，采用余额百分比法计提坏账准备的其他应收款：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组合中，采用其他方法计提坏账准备的其他应收款：</w:t>
      </w:r>
    </w:p>
    <w:p>
      <w:pPr>
        <w:pStyle w:val="BodyText"/>
        <w:spacing w:line="338" w:lineRule="auto" w:before="117"/>
        <w:ind w:right="52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期末单项金额不重大但单项计提坏账准备的其他应收款：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7"/>
        <w:ind w:left="0" w:right="1485" w:firstLine="0"/>
        <w:jc w:val="right"/>
        <w:rPr>
          <w:rFonts w:ascii="宋体" w:hAnsi="宋体" w:cs="宋体" w:eastAsia="宋体" w:hint="default"/>
          <w:sz w:val="20"/>
          <w:szCs w:val="20"/>
        </w:rPr>
      </w:pPr>
      <w:r>
        <w:rPr/>
        <w:pict>
          <v:shape style="position:absolute;margin-left:56.279999pt;margin-top:-45.750309pt;width:412.2pt;height:80.4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0"/>
                    <w:gridCol w:w="1284"/>
                    <w:gridCol w:w="1150"/>
                    <w:gridCol w:w="1274"/>
                    <w:gridCol w:w="2525"/>
                  </w:tblGrid>
                  <w:tr>
                    <w:trPr>
                      <w:trHeight w:val="468" w:hRule="exact"/>
                    </w:trPr>
                    <w:tc>
                      <w:tcPr>
                        <w:tcW w:w="1990" w:type="dxa"/>
                        <w:vMerge w:val="restart"/>
                        <w:tcBorders>
                          <w:top w:val="single" w:sz="6" w:space="0" w:color="000000"/>
                          <w:left w:val="single" w:sz="6" w:space="0" w:color="000000"/>
                          <w:right w:val="single" w:sz="6" w:space="0" w:color="000000"/>
                        </w:tcBorders>
                      </w:tcPr>
                      <w:p>
                        <w:pPr>
                          <w:pStyle w:val="TableParagraph"/>
                          <w:spacing w:line="240" w:lineRule="auto" w:before="124"/>
                          <w:ind w:left="86" w:right="0"/>
                          <w:jc w:val="left"/>
                          <w:rPr>
                            <w:rFonts w:ascii="宋体" w:hAnsi="宋体" w:cs="宋体" w:eastAsia="宋体" w:hint="default"/>
                            <w:sz w:val="20"/>
                            <w:szCs w:val="20"/>
                          </w:rPr>
                        </w:pPr>
                        <w:r>
                          <w:rPr>
                            <w:rFonts w:ascii="宋体" w:hAnsi="宋体" w:cs="宋体" w:eastAsia="宋体" w:hint="default"/>
                            <w:sz w:val="20"/>
                            <w:szCs w:val="20"/>
                          </w:rPr>
                          <w:t>其他应收款（按单位</w:t>
                        </w:r>
                      </w:p>
                    </w:tc>
                    <w:tc>
                      <w:tcPr>
                        <w:tcW w:w="6233" w:type="dxa"/>
                        <w:gridSpan w:val="4"/>
                        <w:tcBorders>
                          <w:top w:val="single" w:sz="6" w:space="0" w:color="000000"/>
                          <w:left w:val="single" w:sz="6" w:space="0" w:color="000000"/>
                          <w:bottom w:val="single" w:sz="6" w:space="0" w:color="000000"/>
                          <w:right w:val="nil" w:sz="6" w:space="0" w:color="auto"/>
                        </w:tcBorders>
                      </w:tcPr>
                      <w:p>
                        <w:pPr>
                          <w:pStyle w:val="TableParagraph"/>
                          <w:tabs>
                            <w:tab w:pos="2659" w:val="left" w:leader="none"/>
                          </w:tabs>
                          <w:spacing w:line="240" w:lineRule="auto" w:before="124"/>
                          <w:ind w:left="-118" w:right="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w:t>
                          <w:tab/>
                        </w:r>
                        <w:r>
                          <w:rPr>
                            <w:rFonts w:ascii="Times New Roman" w:hAnsi="Times New Roman" w:cs="Times New Roman" w:eastAsia="Times New Roman" w:hint="default"/>
                            <w:sz w:val="20"/>
                            <w:szCs w:val="20"/>
                          </w:rPr>
                          <w:t>2015.12.31</w:t>
                        </w:r>
                      </w:p>
                    </w:tc>
                  </w:tr>
                  <w:tr>
                    <w:trPr>
                      <w:trHeight w:val="466" w:hRule="exact"/>
                    </w:trPr>
                    <w:tc>
                      <w:tcPr>
                        <w:tcW w:w="1990" w:type="dxa"/>
                        <w:vMerge/>
                        <w:tcBorders>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13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5"/>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计提比例</w:t>
                        </w:r>
                        <w:r>
                          <w:rPr>
                            <w:rFonts w:ascii="Times New Roman" w:hAnsi="Times New Roman" w:cs="Times New Roman" w:eastAsia="Times New Roman" w:hint="default"/>
                            <w:sz w:val="20"/>
                            <w:szCs w:val="20"/>
                          </w:rPr>
                          <w:t>(%)</w:t>
                        </w:r>
                      </w:p>
                    </w:tc>
                    <w:tc>
                      <w:tcPr>
                        <w:tcW w:w="25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
                          <w:jc w:val="center"/>
                          <w:rPr>
                            <w:rFonts w:ascii="宋体" w:hAnsi="宋体" w:cs="宋体" w:eastAsia="宋体" w:hint="default"/>
                            <w:sz w:val="20"/>
                            <w:szCs w:val="20"/>
                          </w:rPr>
                        </w:pPr>
                        <w:r>
                          <w:rPr>
                            <w:rFonts w:ascii="宋体" w:hAnsi="宋体" w:cs="宋体" w:eastAsia="宋体" w:hint="default"/>
                            <w:sz w:val="20"/>
                            <w:szCs w:val="20"/>
                          </w:rPr>
                          <w:t>计提理由</w:t>
                        </w:r>
                      </w:p>
                    </w:tc>
                  </w:tr>
                  <w:tr>
                    <w:trPr>
                      <w:trHeight w:val="660"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688" w:right="86" w:hanging="600"/>
                          <w:jc w:val="left"/>
                          <w:rPr>
                            <w:rFonts w:ascii="宋体" w:hAnsi="宋体" w:cs="宋体" w:eastAsia="宋体" w:hint="default"/>
                            <w:sz w:val="20"/>
                            <w:szCs w:val="20"/>
                          </w:rPr>
                        </w:pPr>
                        <w:r>
                          <w:rPr>
                            <w:rFonts w:ascii="宋体" w:hAnsi="宋体" w:cs="宋体" w:eastAsia="宋体" w:hint="default"/>
                            <w:sz w:val="20"/>
                            <w:szCs w:val="20"/>
                          </w:rPr>
                          <w:t>南京市散装水泥管理</w:t>
                        </w:r>
                        <w:r>
                          <w:rPr>
                            <w:rFonts w:ascii="宋体" w:hAnsi="宋体" w:cs="宋体" w:eastAsia="宋体" w:hint="default"/>
                            <w:w w:val="99"/>
                            <w:sz w:val="20"/>
                            <w:szCs w:val="20"/>
                          </w:rPr>
                          <w:t> </w:t>
                        </w:r>
                        <w:r>
                          <w:rPr>
                            <w:rFonts w:ascii="宋体" w:hAnsi="宋体" w:cs="宋体" w:eastAsia="宋体" w:hint="default"/>
                            <w:sz w:val="20"/>
                            <w:szCs w:val="20"/>
                          </w:rPr>
                          <w:t>办公室</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7" w:right="0"/>
                          <w:jc w:val="left"/>
                          <w:rPr>
                            <w:rFonts w:ascii="Times New Roman" w:hAnsi="Times New Roman" w:cs="Times New Roman" w:eastAsia="Times New Roman" w:hint="default"/>
                            <w:sz w:val="20"/>
                            <w:szCs w:val="20"/>
                          </w:rPr>
                        </w:pPr>
                        <w:r>
                          <w:rPr>
                            <w:rFonts w:ascii="Times New Roman"/>
                            <w:sz w:val="20"/>
                          </w:rPr>
                          <w:t>247,389.00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2"/>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525" w:type="dxa"/>
                        <w:tcBorders>
                          <w:top w:val="single" w:sz="6" w:space="0" w:color="000000"/>
                          <w:left w:val="single" w:sz="6" w:space="0" w:color="000000"/>
                          <w:bottom w:val="single" w:sz="6" w:space="0" w:color="000000"/>
                          <w:right w:val="nil" w:sz="6" w:space="0" w:color="auto"/>
                        </w:tcBorders>
                      </w:tcPr>
                      <w:p>
                        <w:pPr>
                          <w:pStyle w:val="TableParagraph"/>
                          <w:spacing w:line="285" w:lineRule="auto" w:before="4"/>
                          <w:ind w:left="2" w:right="115"/>
                          <w:jc w:val="left"/>
                          <w:rPr>
                            <w:rFonts w:ascii="宋体" w:hAnsi="宋体" w:cs="宋体" w:eastAsia="宋体" w:hint="default"/>
                            <w:sz w:val="20"/>
                            <w:szCs w:val="20"/>
                          </w:rPr>
                        </w:pPr>
                        <w:r>
                          <w:rPr>
                            <w:rFonts w:ascii="宋体" w:hAnsi="宋体" w:cs="宋体" w:eastAsia="宋体" w:hint="default"/>
                            <w:sz w:val="20"/>
                            <w:szCs w:val="20"/>
                          </w:rPr>
                          <w:t>系支付给政府部门的保证金</w:t>
                        </w:r>
                        <w:r>
                          <w:rPr>
                            <w:rFonts w:ascii="宋体" w:hAnsi="宋体" w:cs="宋体" w:eastAsia="宋体" w:hint="default"/>
                            <w:w w:val="99"/>
                            <w:sz w:val="20"/>
                            <w:szCs w:val="20"/>
                          </w:rPr>
                          <w:t> </w:t>
                        </w:r>
                        <w:r>
                          <w:rPr>
                            <w:rFonts w:ascii="宋体" w:hAnsi="宋体" w:cs="宋体" w:eastAsia="宋体" w:hint="default"/>
                            <w:sz w:val="20"/>
                            <w:szCs w:val="20"/>
                          </w:rPr>
                          <w:t>不存在收回风险</w:t>
                        </w:r>
                      </w:p>
                    </w:tc>
                  </w:tr>
                </w:tbl>
                <w:p>
                  <w:pPr/>
                </w:p>
              </w:txbxContent>
            </v:textbox>
            <w10:wrap type="none"/>
          </v:shape>
        </w:pict>
      </w: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ind w:right="0"/>
        <w:jc w:val="left"/>
        <w:rPr>
          <w:b w:val="0"/>
          <w:bCs w:val="0"/>
        </w:rPr>
      </w:pPr>
      <w:bookmarkStart w:name="（2）本期计提、收回或转回的坏账准备情况" w:id="246"/>
      <w:bookmarkEnd w:id="2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0" w:lineRule="auto" w:before="44"/>
        <w:ind w:right="-7"/>
        <w:jc w:val="left"/>
      </w:pPr>
      <w:r>
        <w:rPr/>
        <w:t>本期计提坏账准备金额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925,366.38</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321" w:space="2506"/>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其他应收款情况" w:id="247"/>
      <w:bookmarkEnd w:id="24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714"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23"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其他应收款按款项性质分类情况" w:id="248"/>
      <w:bookmarkEnd w:id="24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105,980,650.00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工程类基金保证金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14,566,535.12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14,834,334.00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8,653,277.11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8,607,422.64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6,642,570.31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3,468,653.86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3,249,806.96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1,025,431.89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139,092,839.50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27,935,842.39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按欠款方归集的期末余额前五名的其他应收款情况" w:id="249"/>
      <w:bookmarkEnd w:id="24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南京润宏置业有限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101,930,650.00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73.28%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南京沧溪建设工程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福建泰得网络科技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202,500.00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南京市建筑节能管 理中心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1,236,945.00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冠林电子有限公司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727,438.51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72,743.85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120,995,033.51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86.98%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275,243.85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250"/>
      <w:bookmarkEnd w:id="25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因金融资产转移而终止确认的其他应收款" w:id="251"/>
      <w:bookmarkEnd w:id="25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52"/>
      <w:bookmarkEnd w:id="25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300" w:lineRule="auto" w:before="115"/>
        <w:ind w:right="0" w:firstLine="432"/>
        <w:jc w:val="left"/>
      </w:pPr>
      <w:r>
        <w:rPr>
          <w:spacing w:val="-2"/>
        </w:rPr>
        <w:t>其他应收款</w:t>
      </w:r>
      <w:r>
        <w:rPr>
          <w:rFonts w:ascii="Times New Roman" w:hAnsi="Times New Roman" w:cs="Times New Roman" w:eastAsia="Times New Roman" w:hint="default"/>
          <w:spacing w:val="-2"/>
        </w:rPr>
        <w:t>2015</w:t>
      </w:r>
      <w:r>
        <w:rPr>
          <w:spacing w:val="-2"/>
        </w:rPr>
        <w:t>年末余额比年初余额增长</w:t>
      </w:r>
      <w:r>
        <w:rPr>
          <w:rFonts w:ascii="Times New Roman" w:hAnsi="Times New Roman" w:cs="Times New Roman" w:eastAsia="Times New Roman" w:hint="default"/>
          <w:spacing w:val="-2"/>
        </w:rPr>
        <w:t>397.90%</w:t>
      </w:r>
      <w:r>
        <w:rPr>
          <w:spacing w:val="-2"/>
        </w:rPr>
        <w:t>，主要原因是本年子公司外包园公司转让外包园置业全部股权，应收</w:t>
      </w:r>
      <w:r>
        <w:rPr/>
        <w:t> 股权转让款增加所致。</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10、存货" w:id="253"/>
      <w:bookmarkEnd w:id="253"/>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54"/>
      <w:bookmarkEnd w:id="25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22,087,405.56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22,087,405.56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36,414,646.19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36,414,646.19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37,907,017.85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37,907,017.85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27,579,716.51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27,579,716.51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26,632,217.96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26,632,217.96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63,994,362.70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63,994,362.70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86,626,641.37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86,626,641.37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w:id="255"/>
      <w:bookmarkEnd w:id="25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w:id="256"/>
      <w:bookmarkEnd w:id="25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57"/>
      <w:bookmarkEnd w:id="25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pStyle w:val="BodyText"/>
        <w:spacing w:line="316" w:lineRule="auto" w:before="117"/>
        <w:ind w:left="584" w:right="162"/>
        <w:jc w:val="left"/>
      </w:pPr>
      <w:r>
        <w:rPr/>
        <w:t>存货系本公司外购的以备出售的软硬件产品以及工程施工。 存货可变现净值系按存货的估计售价减去至完工估计将要发生的成本、估计的销售费用及相关税金后的金额确定。本</w:t>
      </w:r>
    </w:p>
    <w:p>
      <w:pPr>
        <w:pStyle w:val="BodyText"/>
        <w:spacing w:line="240" w:lineRule="auto" w:before="18"/>
        <w:ind w:right="0"/>
        <w:jc w:val="left"/>
      </w:pPr>
      <w:r>
        <w:rPr/>
        <w:t>年存货没有发生跌价的情形，故未计提存货跌价准备。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bookmarkStart w:name="11、划分为持有待售的资产" w:id="258"/>
      <w:bookmarkEnd w:id="258"/>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2、一年内到期的非流动资产" w:id="259"/>
      <w:bookmarkEnd w:id="25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3、其他流动资产" w:id="260"/>
      <w:bookmarkEnd w:id="26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191,511.02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191,511.02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实物黄金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1,444,535.14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146,651.16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88,325.00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1,747,546.16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551,487.18</w:t>
            </w:r>
          </w:p>
        </w:tc>
      </w:tr>
    </w:tbl>
    <w:p>
      <w:pPr>
        <w:pStyle w:val="BodyText"/>
        <w:spacing w:line="240" w:lineRule="auto" w:before="49"/>
        <w:ind w:right="0"/>
        <w:jc w:val="left"/>
      </w:pPr>
      <w:r>
        <w:rPr/>
        <w:t>其他说明：</w:t>
      </w:r>
    </w:p>
    <w:p>
      <w:pPr>
        <w:pStyle w:val="BodyText"/>
        <w:spacing w:line="240" w:lineRule="auto" w:before="115"/>
        <w:ind w:left="584" w:right="0"/>
        <w:jc w:val="left"/>
      </w:pPr>
      <w:r>
        <w:rPr/>
        <w:t>其他流动资产</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216.88%</w:t>
      </w:r>
      <w:r>
        <w:rPr/>
        <w:t>，主要原因是年末待抵扣增值税进项税增加。</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61"/>
      <w:bookmarkEnd w:id="26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2"/>
      <w:bookmarkEnd w:id="26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8"/>
        <w:gridCol w:w="1206"/>
        <w:gridCol w:w="1198"/>
        <w:gridCol w:w="1195"/>
        <w:gridCol w:w="1248"/>
        <w:gridCol w:w="1368"/>
        <w:gridCol w:w="136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4D4D4"/>
          </w:tcPr>
          <w:p>
            <w:pPr/>
          </w:p>
        </w:tc>
        <w:tc>
          <w:tcPr>
            <w:tcW w:w="359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4D4D4"/>
          </w:tcPr>
          <w:p>
            <w:pPr/>
          </w:p>
        </w:tc>
        <w:tc>
          <w:tcPr>
            <w:tcW w:w="398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4D4D4"/>
          </w:tcPr>
          <w:p>
            <w:pPr/>
          </w:p>
        </w:tc>
        <w:tc>
          <w:tcPr>
            <w:tcW w:w="120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6"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22,500,000.00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按公允价值计量的可供出售金融资产" w:id="263"/>
      <w:bookmarkEnd w:id="26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按成本计量的可供出售金融资产" w:id="264"/>
      <w:bookmarkEnd w:id="26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江苏中晟 智源科技 产业有限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23.08%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北京信思 成信息技 术有限公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19.50%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报告期内可供出售金融资产减值的变动情况" w:id="265"/>
      <w:bookmarkEnd w:id="26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可供出售权益工具期末公允价值严重下跌或非暂时性下跌但未计提减值准备的相关说" w:id="266"/>
      <w:bookmarkEnd w:id="26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0"/>
        <w:ind w:right="0"/>
        <w:jc w:val="left"/>
      </w:pPr>
      <w:r>
        <w:rPr/>
        <w:t>其他说明</w:t>
      </w:r>
    </w:p>
    <w:p>
      <w:pPr>
        <w:pStyle w:val="BodyText"/>
        <w:spacing w:line="300" w:lineRule="auto" w:before="115"/>
        <w:ind w:right="152" w:firstLine="504"/>
        <w:jc w:val="both"/>
      </w:pPr>
      <w:r>
        <w:rPr>
          <w:spacing w:val="-1"/>
        </w:rPr>
        <w:t>根据公司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8</w:t>
      </w:r>
      <w:r>
        <w:rPr>
          <w:spacing w:val="-1"/>
        </w:rPr>
        <w:t>日第四届董事会第三十次会议，审议通过《关于公司转让持有的江苏中晟智源科技产业有限公司</w:t>
      </w:r>
      <w:r>
        <w:rPr/>
        <w:t> 股权的议案》，拟将公司持有江苏中晟智源科技产业有限公司</w:t>
      </w:r>
      <w:r>
        <w:rPr>
          <w:rFonts w:ascii="Times New Roman" w:hAnsi="Times New Roman" w:cs="Times New Roman" w:eastAsia="Times New Roman" w:hint="default"/>
        </w:rPr>
        <w:t>23.08%</w:t>
      </w:r>
      <w:r>
        <w:rPr/>
        <w:t>的股权以</w:t>
      </w:r>
      <w:r>
        <w:rPr>
          <w:rFonts w:ascii="Times New Roman" w:hAnsi="Times New Roman" w:cs="Times New Roman" w:eastAsia="Times New Roman" w:hint="default"/>
        </w:rPr>
        <w:t>24,867,123.29</w:t>
      </w:r>
      <w:r>
        <w:rPr>
          <w:rFonts w:ascii="Times New Roman" w:hAnsi="Times New Roman" w:cs="Times New Roman" w:eastAsia="Times New Roman" w:hint="default"/>
          <w:spacing w:val="23"/>
        </w:rPr>
        <w:t> </w:t>
      </w:r>
      <w:r>
        <w:rPr/>
        <w:t>元的价格转让给江苏海鑫投资 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14</w:t>
      </w:r>
      <w:r>
        <w:rPr/>
        <w:t>日，公司收到全部股权转让款，并已办理股权转让手续。</w:t>
      </w:r>
    </w:p>
    <w:p>
      <w:pPr>
        <w:pStyle w:val="BodyText"/>
        <w:spacing w:line="300" w:lineRule="auto" w:before="13"/>
        <w:ind w:right="153" w:firstLine="432"/>
        <w:jc w:val="both"/>
      </w:pP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日第四届董事会第二十七次会议，审议通过《关于同意北京润和汇智信息技术有限公司投资参股</w:t>
      </w:r>
      <w:r>
        <w:rPr/>
        <w:t> </w:t>
      </w:r>
      <w:r>
        <w:rPr>
          <w:spacing w:val="-2"/>
        </w:rPr>
        <w:t>北京信思成信息技术有限公司的议案》，拟以自有资金</w:t>
      </w:r>
      <w:r>
        <w:rPr>
          <w:rFonts w:ascii="Times New Roman" w:hAnsi="Times New Roman" w:cs="Times New Roman" w:eastAsia="Times New Roman" w:hint="default"/>
          <w:spacing w:val="-2"/>
        </w:rPr>
        <w:t>200</w:t>
      </w:r>
      <w:r>
        <w:rPr>
          <w:spacing w:val="-2"/>
        </w:rPr>
        <w:t>万元人民币投资参股北京信思成信息技术有限公司（以下简称</w:t>
      </w:r>
      <w:r>
        <w:rPr>
          <w:rFonts w:ascii="Times New Roman" w:hAnsi="Times New Roman" w:cs="Times New Roman" w:eastAsia="Times New Roman" w:hint="default"/>
          <w:spacing w:val="-2"/>
        </w:rPr>
        <w:t>“</w:t>
      </w:r>
      <w:r>
        <w:rPr>
          <w:spacing w:val="-2"/>
        </w:rPr>
        <w:t>北</w:t>
      </w:r>
      <w:r>
        <w:rPr>
          <w:spacing w:val="-52"/>
        </w:rPr>
        <w:t> </w:t>
      </w:r>
      <w:r>
        <w:rPr>
          <w:spacing w:val="-2"/>
        </w:rPr>
        <w:t>京信思成</w:t>
      </w:r>
      <w:r>
        <w:rPr>
          <w:rFonts w:ascii="Times New Roman" w:hAnsi="Times New Roman" w:cs="Times New Roman" w:eastAsia="Times New Roman" w:hint="default"/>
          <w:spacing w:val="-2"/>
        </w:rPr>
        <w:t>”</w:t>
      </w:r>
      <w:r>
        <w:rPr>
          <w:spacing w:val="-2"/>
        </w:rPr>
        <w:t>），通过投资参股方式获取北京信思成</w:t>
      </w:r>
      <w:r>
        <w:rPr>
          <w:rFonts w:ascii="Times New Roman" w:hAnsi="Times New Roman" w:cs="Times New Roman" w:eastAsia="Times New Roman" w:hint="default"/>
          <w:spacing w:val="-2"/>
        </w:rPr>
        <w:t>19.50%</w:t>
      </w:r>
      <w:r>
        <w:rPr>
          <w:spacing w:val="-2"/>
        </w:rPr>
        <w:t>的股权。截止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日，公司实际出资人民币</w:t>
      </w:r>
      <w:r>
        <w:rPr>
          <w:rFonts w:ascii="Times New Roman" w:hAnsi="Times New Roman" w:cs="Times New Roman" w:eastAsia="Times New Roman" w:hint="default"/>
          <w:spacing w:val="-2"/>
        </w:rPr>
        <w:t>200</w:t>
      </w:r>
      <w:r>
        <w:rPr>
          <w:spacing w:val="-2"/>
        </w:rPr>
        <w:t>万元。因本</w:t>
      </w:r>
      <w:r>
        <w:rPr>
          <w:spacing w:val="-63"/>
        </w:rPr>
        <w:t> </w:t>
      </w:r>
      <w:r>
        <w:rPr>
          <w:spacing w:val="-63"/>
        </w:rPr>
      </w:r>
      <w:r>
        <w:rPr/>
        <w:t>公司对北京信思成不具有重大影响，故本公司将该投资作为可供出售金融资产核算。</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15、持有至到期投资" w:id="267"/>
      <w:bookmarkEnd w:id="26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68"/>
      <w:bookmarkEnd w:id="26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重要的持有至到期投资" w:id="269"/>
      <w:bookmarkEnd w:id="26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3）本期重分类的持有至到期投资" w:id="270"/>
      <w:bookmarkEnd w:id="27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6、长期应收款" w:id="271"/>
      <w:bookmarkEnd w:id="27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72"/>
      <w:bookmarkEnd w:id="27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0"/>
        <w:jc w:val="left"/>
        <w:rPr>
          <w:b w:val="0"/>
          <w:bCs w:val="0"/>
        </w:rPr>
      </w:pPr>
      <w:bookmarkStart w:name="（2）因金融资产转移而终止确认的长期应收款" w:id="273"/>
      <w:bookmarkEnd w:id="27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bookmarkStart w:name="（3）转移长期应收款且继续涉入形成的资产、负债金额" w:id="274"/>
      <w:bookmarkEnd w:id="27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0"/>
        <w:jc w:val="left"/>
        <w:rPr>
          <w:b w:val="0"/>
          <w:bCs w:val="0"/>
        </w:rPr>
      </w:pPr>
      <w:bookmarkStart w:name="17、长期股权投资" w:id="275"/>
      <w:bookmarkEnd w:id="27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上海云角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0"/>
        <w:jc w:val="left"/>
      </w:pPr>
      <w:r>
        <w:rPr/>
        <w:t>其他说明</w:t>
      </w:r>
    </w:p>
    <w:p>
      <w:pPr>
        <w:pStyle w:val="BodyText"/>
        <w:spacing w:line="300" w:lineRule="auto" w:before="115"/>
        <w:ind w:right="90" w:firstLine="432"/>
        <w:jc w:val="left"/>
      </w:pP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日第四届董事会第三十八次会议，审议通过《关于公司收购上海云角信息技术有限公司部分股权</w:t>
      </w:r>
      <w:r>
        <w:rPr/>
        <w:t> </w:t>
      </w:r>
      <w:r>
        <w:rPr>
          <w:spacing w:val="-4"/>
        </w:rPr>
        <w:t>并增资的议案》，拟以自有资金</w:t>
      </w:r>
      <w:r>
        <w:rPr>
          <w:rFonts w:ascii="Times New Roman" w:hAnsi="Times New Roman" w:cs="Times New Roman" w:eastAsia="Times New Roman" w:hint="default"/>
          <w:spacing w:val="-4"/>
        </w:rPr>
        <w:t>4,000</w:t>
      </w:r>
      <w:r>
        <w:rPr>
          <w:spacing w:val="-4"/>
        </w:rPr>
        <w:t>万元，通过受让及增资的方式，获得上海云角信息技术有限公司（以下简称</w:t>
      </w:r>
      <w:r>
        <w:rPr>
          <w:rFonts w:ascii="Times New Roman" w:hAnsi="Times New Roman" w:cs="Times New Roman" w:eastAsia="Times New Roman" w:hint="default"/>
          <w:spacing w:val="-4"/>
        </w:rPr>
        <w:t>“</w:t>
      </w:r>
      <w:r>
        <w:rPr>
          <w:spacing w:val="-4"/>
        </w:rPr>
        <w:t>云角信息</w:t>
      </w:r>
      <w:r>
        <w:rPr>
          <w:rFonts w:ascii="Times New Roman" w:hAnsi="Times New Roman" w:cs="Times New Roman" w:eastAsia="Times New Roman" w:hint="default"/>
          <w:spacing w:val="-4"/>
        </w:rPr>
        <w:t>”</w:t>
      </w:r>
      <w:r>
        <w:rPr>
          <w:spacing w:val="-4"/>
        </w:rPr>
        <w:t>）</w:t>
      </w:r>
      <w:r>
        <w:rPr>
          <w:spacing w:val="-60"/>
        </w:rPr>
        <w:t> </w:t>
      </w:r>
      <w:r>
        <w:rPr>
          <w:rFonts w:ascii="Times New Roman" w:hAnsi="Times New Roman" w:cs="Times New Roman" w:eastAsia="Times New Roman" w:hint="default"/>
        </w:rPr>
        <w:t>20%</w:t>
      </w:r>
      <w:r>
        <w:rPr/>
        <w:t>的股权。截止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日，公司已支付全部股权转让款及增资款并完成工商变更登记手续。因本公司对云角信息具 有重大影响，故本公司将该投资作为长期股权投资核算。</w:t>
      </w:r>
    </w:p>
    <w:p>
      <w:pPr>
        <w:spacing w:line="240" w:lineRule="auto" w:before="10"/>
        <w:rPr>
          <w:rFonts w:ascii="宋体" w:hAnsi="宋体" w:cs="宋体" w:eastAsia="宋体" w:hint="default"/>
          <w:sz w:val="23"/>
          <w:szCs w:val="23"/>
        </w:rPr>
      </w:pPr>
    </w:p>
    <w:p>
      <w:pPr>
        <w:pStyle w:val="Heading3"/>
        <w:spacing w:line="240" w:lineRule="auto"/>
        <w:ind w:right="90"/>
        <w:jc w:val="left"/>
        <w:rPr>
          <w:b w:val="0"/>
          <w:bCs w:val="0"/>
        </w:rPr>
      </w:pPr>
      <w:bookmarkStart w:name="18、投资性房地产" w:id="276"/>
      <w:bookmarkEnd w:id="27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bookmarkStart w:name="（1）采用成本计量模式的投资性房地产" w:id="277"/>
      <w:bookmarkEnd w:id="27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0"/>
        <w:jc w:val="left"/>
        <w:rPr>
          <w:b w:val="0"/>
          <w:bCs w:val="0"/>
        </w:rPr>
      </w:pPr>
      <w:bookmarkStart w:name="（2）采用公允价值计量模式的投资性房地产" w:id="278"/>
      <w:bookmarkEnd w:id="27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0"/>
        <w:jc w:val="left"/>
        <w:rPr>
          <w:b w:val="0"/>
          <w:bCs w:val="0"/>
        </w:rPr>
      </w:pPr>
      <w:bookmarkStart w:name="（3）未办妥产权证书的投资性房地产情况" w:id="279"/>
      <w:bookmarkEnd w:id="27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9、固定资产" w:id="280"/>
      <w:bookmarkEnd w:id="280"/>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81"/>
      <w:bookmarkEnd w:id="28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3"/>
        <w:gridCol w:w="1925"/>
        <w:gridCol w:w="1915"/>
        <w:gridCol w:w="1913"/>
        <w:gridCol w:w="1915"/>
      </w:tblGrid>
      <w:tr>
        <w:trPr>
          <w:trHeight w:val="401" w:hRule="exact"/>
        </w:trPr>
        <w:tc>
          <w:tcPr>
            <w:tcW w:w="1903" w:type="dxa"/>
            <w:tcBorders>
              <w:top w:val="single" w:sz="4" w:space="0" w:color="000000"/>
              <w:left w:val="single" w:sz="4" w:space="0" w:color="000000"/>
              <w:bottom w:val="single" w:sz="4" w:space="0" w:color="000000"/>
              <w:right w:val="single" w:sz="13" w:space="0" w:color="E1FFFF"/>
            </w:tcBorders>
            <w:shd w:val="clear" w:color="auto" w:fill="D4D4D4"/>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109,032,211.57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8,457,563.63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30,770,966.71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148,260,741.91</w:t>
            </w:r>
            <w:r>
              <w:rPr>
                <w:rFonts w:ascii="Times New Roman"/>
                <w:sz w:val="18"/>
              </w:rPr>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713,655,905.54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4,426,940.03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15,439,805.53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733,522,651.10</w:t>
            </w:r>
            <w:r>
              <w:rPr>
                <w:rFonts w:ascii="Times New Roman"/>
                <w:sz w:val="18"/>
              </w:rPr>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34,902.91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2,443,140.03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12,728,539.11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15,206,582.05</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713,621,002.63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713,621,002.63</w:t>
            </w:r>
            <w:r>
              <w:rPr>
                <w:rFonts w:ascii="Times New Roman"/>
                <w:sz w:val="18"/>
              </w:rPr>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1,983,800.00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2,711,266.42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4,695,066.42</w:t>
            </w:r>
            <w:r>
              <w:rPr>
                <w:rFonts w:ascii="Times New Roman"/>
                <w:sz w:val="18"/>
              </w:rPr>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25" w:type="dxa"/>
            <w:tcBorders>
              <w:top w:val="single" w:sz="4" w:space="0" w:color="000000"/>
              <w:left w:val="single" w:sz="10" w:space="0" w:color="E1FFFF"/>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124,236,835.60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7,920,070.26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132,156,905.86</w:t>
            </w:r>
            <w:r>
              <w:rPr>
                <w:rFonts w:ascii="Times New Roman"/>
                <w:sz w:val="18"/>
              </w:rPr>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124,236,835.60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2,199,765.24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126,436,600.84</w:t>
            </w:r>
            <w:r>
              <w:rPr>
                <w:rFonts w:ascii="Times New Roman"/>
                <w:sz w:val="18"/>
              </w:rPr>
            </w:r>
          </w:p>
        </w:tc>
      </w:tr>
      <w:tr>
        <w:trPr>
          <w:trHeight w:val="713"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25" w:type="dxa"/>
            <w:tcBorders>
              <w:top w:val="single" w:sz="4" w:space="0" w:color="000000"/>
              <w:left w:val="single" w:sz="10" w:space="0" w:color="E1FFFF"/>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5,720,305.02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5,720,305.02</w:t>
            </w:r>
            <w:r>
              <w:rPr>
                <w:rFonts w:ascii="Times New Roman"/>
                <w:sz w:val="18"/>
              </w:rPr>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698,451,281.51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12,884,503.66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38,290,701.98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749,626,487.15</w:t>
            </w:r>
            <w:r>
              <w:rPr>
                <w:rFonts w:ascii="Times New Roman"/>
                <w:sz w:val="18"/>
              </w:rPr>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12,240,246.77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5,111,415.99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17,392,747.40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34,744,410.16</w:t>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5,657,021.38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2,782,392.19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7,334,297.71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15,773,711.28</w:t>
            </w:r>
            <w:r>
              <w:rPr>
                <w:rFonts w:ascii="Times New Roman"/>
                <w:sz w:val="18"/>
              </w:rPr>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5,657,021.38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991,185.94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5,366,333.39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12,014,540.71</w:t>
            </w:r>
          </w:p>
        </w:tc>
      </w:tr>
      <w:tr>
        <w:trPr>
          <w:trHeight w:val="713"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925" w:type="dxa"/>
            <w:tcBorders>
              <w:top w:val="single" w:sz="4" w:space="0" w:color="000000"/>
              <w:left w:val="single" w:sz="10" w:space="0" w:color="E1FFFF"/>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1,791,206.25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1,967,964.32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3,759,170.57</w:t>
            </w:r>
            <w:r>
              <w:rPr>
                <w:rFonts w:ascii="Times New Roman"/>
                <w:sz w:val="18"/>
              </w:rPr>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12,023.65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4,205,236.36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4,217,260.01</w:t>
            </w:r>
            <w:r>
              <w:rPr>
                <w:rFonts w:ascii="Times New Roman"/>
                <w:sz w:val="18"/>
              </w:rPr>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12,023.65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2,042,630.56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2,054,654.21</w:t>
            </w:r>
            <w:r>
              <w:rPr>
                <w:rFonts w:ascii="Times New Roman"/>
                <w:sz w:val="18"/>
              </w:rPr>
            </w:r>
          </w:p>
        </w:tc>
      </w:tr>
      <w:tr>
        <w:trPr>
          <w:trHeight w:val="715"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25" w:type="dxa"/>
            <w:tcBorders>
              <w:top w:val="single" w:sz="4" w:space="0" w:color="000000"/>
              <w:left w:val="single" w:sz="10" w:space="0" w:color="E1FFFF"/>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2,162,605.80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2,162,605.80</w:t>
            </w:r>
            <w:r>
              <w:rPr>
                <w:rFonts w:ascii="Times New Roman"/>
                <w:sz w:val="18"/>
              </w:rPr>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17,885,244.50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7,893,808.18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20,521,808.75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46,300,861.43</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25" w:type="dxa"/>
            <w:tcBorders>
              <w:top w:val="single" w:sz="4" w:space="0" w:color="000000"/>
              <w:left w:val="single" w:sz="10" w:space="0" w:color="E1FFFF"/>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3"/>
        <w:gridCol w:w="1925"/>
        <w:gridCol w:w="1915"/>
        <w:gridCol w:w="1913"/>
        <w:gridCol w:w="1915"/>
      </w:tblGrid>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25" w:type="dxa"/>
            <w:tcBorders>
              <w:top w:val="single" w:sz="4" w:space="0" w:color="000000"/>
              <w:left w:val="single" w:sz="10" w:space="0" w:color="E1FFFF"/>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680,566,037.01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4,990,695.48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17,768,893.23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703,325,625.72</w:t>
            </w:r>
            <w:r>
              <w:rPr>
                <w:rFonts w:ascii="Times New Roman"/>
                <w:sz w:val="18"/>
              </w:rPr>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96,791,964.80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3,346,147.64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13,378,219.31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113,516,331.75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暂时闲置的固定资产情况" w:id="282"/>
      <w:bookmarkEnd w:id="28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3）通过融资租赁租入的固定资产情况" w:id="283"/>
      <w:bookmarkEnd w:id="28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通过经营租赁租出的固定资产" w:id="284"/>
      <w:bookmarkEnd w:id="28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办妥产权证书的固定资产情况" w:id="285"/>
      <w:bookmarkEnd w:id="28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BodyText"/>
        <w:spacing w:line="309" w:lineRule="auto" w:before="115"/>
        <w:ind w:left="584" w:right="257"/>
        <w:jc w:val="left"/>
        <w:rPr>
          <w:rFonts w:ascii="Times New Roman" w:hAnsi="Times New Roman" w:cs="Times New Roman" w:eastAsia="Times New Roman" w:hint="default"/>
        </w:rPr>
      </w:pPr>
      <w:r>
        <w:rPr/>
        <w:t>本公司子公司外包园公司固定资产</w:t>
      </w:r>
      <w:r>
        <w:rPr>
          <w:rFonts w:ascii="Times New Roman" w:hAnsi="Times New Roman" w:cs="Times New Roman" w:eastAsia="Times New Roman" w:hint="default"/>
        </w:rPr>
        <w:t>2015</w:t>
      </w:r>
      <w:r>
        <w:rPr/>
        <w:t>年末账面价值为</w:t>
      </w:r>
      <w:r>
        <w:rPr>
          <w:rFonts w:ascii="Times New Roman" w:hAnsi="Times New Roman" w:cs="Times New Roman" w:eastAsia="Times New Roman" w:hint="default"/>
        </w:rPr>
        <w:t>652,015,041.06</w:t>
      </w:r>
      <w:r>
        <w:rPr/>
        <w:t>元的房屋建筑物已用作银行借款的抵押物。 本年固定资产没有发生减值的情形，故未计提固定资产减值准备。 固定资产账面原值</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405.61%</w:t>
      </w:r>
      <w:r>
        <w:rPr/>
        <w:t>，主要原因是本年</w:t>
      </w:r>
      <w:r>
        <w:rPr>
          <w:rFonts w:ascii="Times New Roman" w:hAnsi="Times New Roman" w:cs="Times New Roman" w:eastAsia="Times New Roman" w:hint="default"/>
        </w:rPr>
        <w:t>“</w:t>
      </w:r>
      <w:r>
        <w:rPr/>
        <w:t>润和国际软件外包研发总部基地等项目</w:t>
      </w:r>
      <w:r>
        <w:rPr>
          <w:rFonts w:ascii="Times New Roman" w:hAnsi="Times New Roman" w:cs="Times New Roman" w:eastAsia="Times New Roman" w:hint="default"/>
        </w:rPr>
        <w:t>”</w:t>
      </w:r>
    </w:p>
    <w:p>
      <w:pPr>
        <w:pStyle w:val="BodyText"/>
        <w:spacing w:line="240" w:lineRule="auto" w:before="5"/>
        <w:ind w:right="0"/>
        <w:jc w:val="left"/>
      </w:pPr>
      <w:r>
        <w:rPr/>
        <w:t>建成转入固定资产。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bookmarkStart w:name="20、在建工程" w:id="286"/>
      <w:bookmarkEnd w:id="28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87"/>
      <w:bookmarkEnd w:id="28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2"/>
        <w:gridCol w:w="409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润和国际软件外 包研发总部基地 等项目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444,027,679.59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444,027,679.59</w:t>
            </w:r>
            <w:r>
              <w:rPr>
                <w:rFonts w:ascii="Times New Roman"/>
                <w:sz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智能终端嵌入式 外包中心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234,456.00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234,456.00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115,726.49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115,726.49</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234,456.00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234,456.00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444,143,406.08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444,143,406.08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在建工程项目本期变动情况" w:id="288"/>
      <w:bookmarkEnd w:id="28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润和国 际软件 外包研 发总部 基地等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611,441,</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444,027,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679.59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248,110,</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530.96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692,138,</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210.55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113.20%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46,577,9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20,312,9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01.39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6.17%</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智能终 端嵌入 式外包 中心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22,520,0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21,482,7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21,482,7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92.08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115,726.</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118,729.</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234,456.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633,961,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444,143,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406.08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269,712,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052.55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713,621,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002.63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234,456.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46,577,9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20,312,9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6.17%</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在建工程减值准备情况" w:id="289"/>
      <w:bookmarkEnd w:id="28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pStyle w:val="BodyText"/>
        <w:spacing w:line="316" w:lineRule="auto" w:before="117"/>
        <w:ind w:left="584" w:right="167"/>
        <w:jc w:val="left"/>
      </w:pPr>
      <w:r>
        <w:rPr/>
        <w:t>本年在建工程没有发生减值的情形，故未计提在建工程减值准备。 本公司在建工程无用于抵押、担保或其他所有权受到限制的情况。 在建工程</w:t>
      </w:r>
      <w:r>
        <w:rPr>
          <w:rFonts w:ascii="Times New Roman" w:hAnsi="Times New Roman" w:cs="Times New Roman" w:eastAsia="Times New Roman" w:hint="default"/>
        </w:rPr>
        <w:t>2015</w:t>
      </w:r>
      <w:r>
        <w:rPr/>
        <w:t>年末余额比年初余额减少</w:t>
      </w:r>
      <w:r>
        <w:rPr>
          <w:rFonts w:ascii="Times New Roman" w:hAnsi="Times New Roman" w:cs="Times New Roman" w:eastAsia="Times New Roman" w:hint="default"/>
        </w:rPr>
        <w:t>99.95%</w:t>
      </w:r>
      <w:r>
        <w:rPr/>
        <w:t>，主要原因是本年</w:t>
      </w:r>
      <w:r>
        <w:rPr>
          <w:rFonts w:ascii="Times New Roman" w:hAnsi="Times New Roman" w:cs="Times New Roman" w:eastAsia="Times New Roman" w:hint="default"/>
        </w:rPr>
        <w:t>“</w:t>
      </w:r>
      <w:r>
        <w:rPr/>
        <w:t>润和国际软件外包研发总部基地等项目</w:t>
      </w:r>
      <w:r>
        <w:rPr>
          <w:rFonts w:ascii="Times New Roman" w:hAnsi="Times New Roman" w:cs="Times New Roman" w:eastAsia="Times New Roman" w:hint="default"/>
        </w:rPr>
        <w:t>”</w:t>
      </w:r>
      <w:r>
        <w:rPr/>
        <w:t>建成转入固</w:t>
      </w:r>
    </w:p>
    <w:p>
      <w:pPr>
        <w:pStyle w:val="BodyText"/>
        <w:spacing w:line="235" w:lineRule="exact"/>
        <w:ind w:right="0"/>
        <w:jc w:val="left"/>
      </w:pPr>
      <w:r>
        <w:rPr/>
        <w:t>定资产，年末在建工程余额相应减少。</w:t>
      </w:r>
    </w:p>
    <w:p>
      <w:pPr>
        <w:spacing w:after="0" w:line="235" w:lineRule="exact"/>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1、工程物资" w:id="290"/>
      <w:bookmarkEnd w:id="29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2、固定资产清理" w:id="291"/>
      <w:bookmarkEnd w:id="29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3、生产性生物资产" w:id="292"/>
      <w:bookmarkEnd w:id="29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93"/>
      <w:bookmarkEnd w:id="29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生产性生物资产" w:id="294"/>
      <w:bookmarkEnd w:id="29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4、油气资产" w:id="295"/>
      <w:bookmarkEnd w:id="29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5、无形资产" w:id="296"/>
      <w:bookmarkEnd w:id="29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97"/>
      <w:bookmarkEnd w:id="29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4"/>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3" w:space="0" w:color="D4D4D4"/>
              <w:bottom w:val="single" w:sz="4" w:space="0" w:color="000000"/>
              <w:right w:val="single" w:sz="4" w:space="0" w:color="000000"/>
            </w:tcBorders>
            <w:shd w:val="clear" w:color="auto" w:fill="E1FFFF"/>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69,027,096.98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16,185,330.50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85,212,427.48</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53,746,828.31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53,746,828.31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1,114,005.20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1,114,005.20</w:t>
            </w:r>
            <w:r>
              <w:rPr>
                <w:rFonts w:ascii="Times New Roman"/>
                <w:sz w:val="18"/>
              </w:rPr>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5"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60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52,632,823.11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52,632,823.11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7,141,966.11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347,719.75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7,489,685.86</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7,141,966.11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7,141,966.11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置子公司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347,719.75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347,719.75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61,885,130.87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69,584,439.06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131,469,569.93</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5,752,231.05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8,041,867.22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13,794,098.27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1,586,829.72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6,881,099.44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8,467,929.16</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1,586,829.72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6,726,848.70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8,313,678.42</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154,250.74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154,250.74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802,969.91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17,405.92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820,375.83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802,969.91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802,969.91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17,405.92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17,405.92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6,536,090.86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14,905,560.74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21,441,651.60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55,349,040.01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54,678,878.32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110,027,918.33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63,274,865.93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8,143,463.28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71,418,329.21</w:t>
            </w:r>
          </w:p>
        </w:tc>
      </w:tr>
    </w:tbl>
    <w:p>
      <w:pPr>
        <w:pStyle w:val="BodyText"/>
        <w:spacing w:line="240" w:lineRule="auto" w:before="49"/>
        <w:ind w:right="0"/>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未办妥产权证书的土地使用权情况" w:id="298"/>
      <w:bookmarkEnd w:id="29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BodyText"/>
        <w:spacing w:line="300" w:lineRule="auto" w:before="115"/>
        <w:ind w:left="584" w:right="147"/>
        <w:jc w:val="left"/>
      </w:pPr>
      <w:r>
        <w:rPr/>
        <w:t>本公司子公司外包园公司无形资产</w:t>
      </w:r>
      <w:r>
        <w:rPr>
          <w:rFonts w:ascii="Times New Roman" w:hAnsi="Times New Roman" w:cs="Times New Roman" w:eastAsia="Times New Roman" w:hint="default"/>
        </w:rPr>
        <w:t>2015</w:t>
      </w:r>
      <w:r>
        <w:rPr/>
        <w:t>年末账面价值为</w:t>
      </w:r>
      <w:r>
        <w:rPr>
          <w:rFonts w:ascii="Times New Roman" w:hAnsi="Times New Roman" w:cs="Times New Roman" w:eastAsia="Times New Roman" w:hint="default"/>
        </w:rPr>
        <w:t>55,349,040.01</w:t>
      </w:r>
      <w:r>
        <w:rPr/>
        <w:t>元的土地使用权已用作银行借款的抵押物。 无形资产账面原值</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54.28%</w:t>
      </w:r>
      <w:r>
        <w:rPr/>
        <w:t>，主要原因是本年新增非同一控制下企业合并子公司联创智融</w:t>
      </w:r>
    </w:p>
    <w:p>
      <w:pPr>
        <w:pStyle w:val="BodyText"/>
        <w:spacing w:line="240" w:lineRule="auto" w:before="13"/>
        <w:ind w:right="0"/>
        <w:jc w:val="left"/>
      </w:pPr>
      <w:r>
        <w:rPr/>
        <w:t>的无形资产评估增值。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bookmarkStart w:name="26、开发支出" w:id="299"/>
      <w:bookmarkEnd w:id="299"/>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1"/>
        <w:gridCol w:w="1074"/>
        <w:gridCol w:w="1063"/>
        <w:gridCol w:w="1063"/>
        <w:gridCol w:w="1063"/>
        <w:gridCol w:w="1063"/>
        <w:gridCol w:w="1061"/>
        <w:gridCol w:w="1063"/>
        <w:gridCol w:w="1063"/>
      </w:tblGrid>
      <w:tr>
        <w:trPr>
          <w:trHeight w:val="402" w:hRule="exact"/>
        </w:trPr>
        <w:tc>
          <w:tcPr>
            <w:tcW w:w="1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332"/>
              <w:jc w:val="right"/>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16"/>
              <w:jc w:val="left"/>
              <w:rPr>
                <w:rFonts w:ascii="宋体" w:hAnsi="宋体" w:cs="宋体" w:eastAsia="宋体" w:hint="default"/>
                <w:sz w:val="18"/>
                <w:szCs w:val="18"/>
              </w:rPr>
            </w:pPr>
            <w:r>
              <w:rPr>
                <w:rFonts w:ascii="宋体" w:hAnsi="宋体" w:cs="宋体" w:eastAsia="宋体" w:hint="default"/>
                <w:sz w:val="18"/>
                <w:szCs w:val="18"/>
              </w:rPr>
              <w:t>润和飞影系 统设置软件</w:t>
            </w:r>
          </w:p>
        </w:tc>
        <w:tc>
          <w:tcPr>
            <w:tcW w:w="1074" w:type="dxa"/>
            <w:tcBorders>
              <w:top w:val="single" w:sz="4" w:space="0" w:color="000000"/>
              <w:left w:val="single" w:sz="12"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4,187,885.54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4,187,885.54</w:t>
            </w:r>
            <w:r>
              <w:rPr>
                <w:rFonts w:ascii="Times New Roman"/>
                <w:sz w:val="18"/>
              </w:rPr>
            </w:r>
          </w:p>
        </w:tc>
      </w:tr>
      <w:tr>
        <w:trPr>
          <w:trHeight w:val="1027"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38" w:lineRule="auto" w:before="51"/>
              <w:ind w:left="22" w:right="116"/>
              <w:jc w:val="both"/>
              <w:rPr>
                <w:rFonts w:ascii="Times New Roman" w:hAnsi="Times New Roman" w:cs="Times New Roman" w:eastAsia="Times New Roman" w:hint="default"/>
                <w:sz w:val="18"/>
                <w:szCs w:val="18"/>
              </w:rPr>
            </w:pPr>
            <w:r>
              <w:rPr>
                <w:rFonts w:ascii="宋体" w:hAnsi="宋体" w:cs="宋体" w:eastAsia="宋体" w:hint="default"/>
                <w:sz w:val="18"/>
                <w:szCs w:val="18"/>
              </w:rPr>
              <w:t>润和移动金 融应用软件 </w:t>
            </w:r>
            <w:r>
              <w:rPr>
                <w:rFonts w:ascii="Times New Roman" w:hAnsi="Times New Roman" w:cs="Times New Roman" w:eastAsia="Times New Roman" w:hint="default"/>
                <w:sz w:val="18"/>
                <w:szCs w:val="18"/>
              </w:rPr>
              <w:t>V2.0</w:t>
            </w:r>
          </w:p>
        </w:tc>
        <w:tc>
          <w:tcPr>
            <w:tcW w:w="1074" w:type="dxa"/>
            <w:tcBorders>
              <w:top w:val="single" w:sz="4" w:space="0" w:color="000000"/>
              <w:left w:val="single" w:sz="12"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921,319.86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921,319.86</w:t>
            </w:r>
          </w:p>
        </w:tc>
      </w:tr>
      <w:tr>
        <w:trPr>
          <w:trHeight w:val="403" w:hRule="exact"/>
        </w:trPr>
        <w:tc>
          <w:tcPr>
            <w:tcW w:w="1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32"/>
              <w:jc w:val="right"/>
              <w:rPr>
                <w:rFonts w:ascii="宋体" w:hAnsi="宋体" w:cs="宋体" w:eastAsia="宋体" w:hint="default"/>
                <w:sz w:val="18"/>
                <w:szCs w:val="18"/>
              </w:rPr>
            </w:pPr>
            <w:r>
              <w:rPr>
                <w:rFonts w:ascii="宋体" w:hAnsi="宋体" w:cs="宋体" w:eastAsia="宋体" w:hint="default"/>
                <w:sz w:val="18"/>
                <w:szCs w:val="18"/>
              </w:rPr>
              <w:t>合计</w:t>
            </w:r>
          </w:p>
        </w:tc>
        <w:tc>
          <w:tcPr>
            <w:tcW w:w="1074" w:type="dxa"/>
            <w:tcBorders>
              <w:top w:val="single" w:sz="4" w:space="0" w:color="000000"/>
              <w:left w:val="single" w:sz="12" w:space="0" w:color="D4D4D4"/>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5,109,205.40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5,109,205.40</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7、商誉" w:id="300"/>
      <w:bookmarkEnd w:id="300"/>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301"/>
      <w:bookmarkEnd w:id="30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359"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9" w:hRule="exact"/>
        </w:trPr>
        <w:tc>
          <w:tcPr>
            <w:tcW w:w="1367" w:type="dxa"/>
            <w:vMerge/>
            <w:tcBorders>
              <w:left w:val="single" w:sz="4" w:space="0" w:color="000000"/>
              <w:right w:val="single" w:sz="4" w:space="0" w:color="000000"/>
            </w:tcBorders>
            <w:shd w:val="clear" w:color="auto" w:fill="D4D4D4"/>
          </w:tcPr>
          <w:p>
            <w:pP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6" w:type="dxa"/>
            <w:vMerge w:val="restart"/>
            <w:tcBorders>
              <w:top w:val="single" w:sz="4" w:space="0" w:color="000000"/>
              <w:left w:val="single" w:sz="12" w:space="0" w:color="D4D4D4"/>
              <w:right w:val="single" w:sz="13" w:space="0" w:color="D4D4D4"/>
            </w:tcBorders>
            <w:shd w:val="clear" w:color="auto" w:fill="E1FFFF"/>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12" w:space="0" w:color="D4D4D4"/>
              <w:right w:val="single" w:sz="10" w:space="0" w:color="D4D4D4"/>
            </w:tcBorders>
            <w:shd w:val="clear" w:color="auto" w:fill="E1FFFF"/>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67" w:type="dxa"/>
            <w:vMerge/>
            <w:tcBorders>
              <w:left w:val="single" w:sz="4" w:space="0" w:color="000000"/>
              <w:right w:val="single" w:sz="4" w:space="0" w:color="000000"/>
            </w:tcBorders>
            <w:shd w:val="clear" w:color="auto" w:fill="D4D4D4"/>
          </w:tcPr>
          <w:p>
            <w:pPr/>
          </w:p>
        </w:tc>
        <w:tc>
          <w:tcPr>
            <w:tcW w:w="1366"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12" w:space="0" w:color="D4D4D4"/>
              <w:right w:val="single" w:sz="13" w:space="0" w:color="D4D4D4"/>
            </w:tcBorders>
            <w:shd w:val="clear" w:color="auto" w:fill="E1FFFF"/>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tcBorders>
              <w:left w:val="single" w:sz="12" w:space="0" w:color="D4D4D4"/>
              <w:right w:val="single" w:sz="10" w:space="0" w:color="D4D4D4"/>
            </w:tcBorders>
            <w:shd w:val="clear" w:color="auto" w:fill="E1FFFF"/>
          </w:tcPr>
          <w:p>
            <w:pPr/>
          </w:p>
        </w:tc>
        <w:tc>
          <w:tcPr>
            <w:tcW w:w="1366"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12" w:space="0" w:color="D4D4D4"/>
              <w:bottom w:val="single" w:sz="4" w:space="0" w:color="000000"/>
              <w:right w:val="single" w:sz="13" w:space="0" w:color="D4D4D4"/>
            </w:tcBorders>
            <w:shd w:val="clear" w:color="auto" w:fill="E1FFFF"/>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12" w:space="0" w:color="D4D4D4"/>
              <w:bottom w:val="single" w:sz="4" w:space="0" w:color="000000"/>
              <w:right w:val="single" w:sz="10" w:space="0" w:color="D4D4D4"/>
            </w:tcBorders>
            <w:shd w:val="clear" w:color="auto" w:fill="E1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295,996.75</w:t>
            </w:r>
          </w:p>
        </w:tc>
        <w:tc>
          <w:tcPr>
            <w:tcW w:w="1368" w:type="dxa"/>
            <w:tcBorders>
              <w:top w:val="single" w:sz="48" w:space="0" w:color="D4D4D4"/>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8" w:space="0" w:color="D4D4D4"/>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295,996.75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SRS2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1,040,688.94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1,040,688.94</w:t>
            </w:r>
            <w:r>
              <w:rPr>
                <w:rFonts w:ascii="Times New Roman"/>
                <w:sz w:val="18"/>
              </w:rPr>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11,556,641.86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11,556,641.86</w:t>
            </w:r>
            <w:r>
              <w:rPr>
                <w:rFonts w:ascii="Times New Roman"/>
                <w:sz w:val="18"/>
              </w:rPr>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655,923,170.20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655,923,170.20</w:t>
            </w:r>
            <w:r>
              <w:rPr>
                <w:rFonts w:ascii="Times New Roman"/>
                <w:sz w:val="18"/>
              </w:rPr>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1,893,909,895.75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1,893,909,895.75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66,014,888.55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66,014,888.55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668,816,497.75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1,959,924,784.30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2,628,741,282.05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0"/>
        <w:jc w:val="left"/>
        <w:rPr>
          <w:b w:val="0"/>
          <w:bCs w:val="0"/>
        </w:rPr>
      </w:pPr>
      <w:bookmarkStart w:name="（2）商誉减值准备" w:id="302"/>
      <w:bookmarkEnd w:id="30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360"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8" w:hRule="exact"/>
        </w:trPr>
        <w:tc>
          <w:tcPr>
            <w:tcW w:w="1368" w:type="dxa"/>
            <w:vMerge/>
            <w:tcBorders>
              <w:left w:val="single" w:sz="4" w:space="0" w:color="000000"/>
              <w:right w:val="single" w:sz="4" w:space="0" w:color="000000"/>
            </w:tcBorders>
            <w:shd w:val="clear" w:color="auto" w:fill="D4D4D4"/>
          </w:tcPr>
          <w:p>
            <w:pP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6" w:type="dxa"/>
            <w:vMerge w:val="restart"/>
            <w:tcBorders>
              <w:top w:val="single" w:sz="4" w:space="0" w:color="000000"/>
              <w:left w:val="single" w:sz="12" w:space="0" w:color="D4D4D4"/>
              <w:right w:val="single" w:sz="13" w:space="0" w:color="D4D4D4"/>
            </w:tcBorders>
            <w:shd w:val="clear" w:color="auto" w:fill="E1FFFF"/>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12" w:space="0" w:color="D4D4D4"/>
              <w:right w:val="single" w:sz="10" w:space="0" w:color="D4D4D4"/>
            </w:tcBorders>
            <w:shd w:val="clear" w:color="auto" w:fill="E1FFFF"/>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tcBorders>
              <w:left w:val="single" w:sz="4" w:space="0" w:color="000000"/>
              <w:right w:val="single" w:sz="4" w:space="0" w:color="000000"/>
            </w:tcBorders>
            <w:shd w:val="clear" w:color="auto" w:fill="D4D4D4"/>
          </w:tcPr>
          <w:p>
            <w:pPr/>
          </w:p>
        </w:tc>
        <w:tc>
          <w:tcPr>
            <w:tcW w:w="1366"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tcBorders>
              <w:left w:val="single" w:sz="12" w:space="0" w:color="D4D4D4"/>
              <w:right w:val="single" w:sz="13" w:space="0" w:color="D4D4D4"/>
            </w:tcBorders>
            <w:shd w:val="clear" w:color="auto" w:fill="E1FFFF"/>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tcBorders>
              <w:left w:val="single" w:sz="12" w:space="0" w:color="D4D4D4"/>
              <w:right w:val="single" w:sz="10" w:space="0" w:color="D4D4D4"/>
            </w:tcBorders>
            <w:shd w:val="clear" w:color="auto" w:fill="E1FFFF"/>
          </w:tcPr>
          <w:p>
            <w:pPr/>
          </w:p>
        </w:tc>
        <w:tc>
          <w:tcPr>
            <w:tcW w:w="1366"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12" w:space="0" w:color="D4D4D4"/>
              <w:bottom w:val="single" w:sz="4" w:space="0" w:color="000000"/>
              <w:right w:val="single" w:sz="13" w:space="0" w:color="D4D4D4"/>
            </w:tcBorders>
            <w:shd w:val="clear" w:color="auto" w:fill="E1FFFF"/>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12" w:space="0" w:color="D4D4D4"/>
              <w:bottom w:val="single" w:sz="4" w:space="0" w:color="000000"/>
              <w:right w:val="single" w:sz="10" w:space="0" w:color="D4D4D4"/>
            </w:tcBorders>
            <w:shd w:val="clear" w:color="auto" w:fill="E1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295,996.75</w:t>
            </w:r>
          </w:p>
        </w:tc>
        <w:tc>
          <w:tcPr>
            <w:tcW w:w="1368" w:type="dxa"/>
            <w:tcBorders>
              <w:top w:val="single" w:sz="49" w:space="0" w:color="D4D4D4"/>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9" w:space="0" w:color="D4D4D4"/>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295,996.75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295,996.75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295,996.75</w:t>
            </w:r>
          </w:p>
        </w:tc>
      </w:tr>
    </w:tbl>
    <w:p>
      <w:pPr>
        <w:pStyle w:val="BodyText"/>
        <w:spacing w:line="357" w:lineRule="auto" w:before="49"/>
        <w:ind w:left="584" w:right="90" w:hanging="432"/>
        <w:jc w:val="left"/>
      </w:pPr>
      <w:r>
        <w:rPr/>
        <w:t>说明商誉减值测试过程、参数及商誉减值损失的确认方法： </w:t>
      </w:r>
      <w:r>
        <w:rPr>
          <w:spacing w:val="-2"/>
        </w:rPr>
        <w:t>商誉减值测试方法和减值准备计提方法：在每年年度终了进行减值测试，结合与其相关的资产组或者资产组组合进行，</w:t>
      </w:r>
    </w:p>
    <w:p>
      <w:pPr>
        <w:pStyle w:val="BodyText"/>
        <w:spacing w:line="224" w:lineRule="exact"/>
        <w:ind w:right="0"/>
        <w:jc w:val="left"/>
      </w:pPr>
      <w:r>
        <w:rPr/>
        <w:t>比较相关资产组或者资产组组合的账面价值（包括所分摊的商誉的账面价值部分）与其可收回金额，如相关资产组或者资产</w:t>
      </w:r>
    </w:p>
    <w:p>
      <w:pPr>
        <w:pStyle w:val="BodyText"/>
        <w:spacing w:line="300" w:lineRule="auto" w:before="76"/>
        <w:ind w:right="224"/>
        <w:jc w:val="left"/>
      </w:pPr>
      <w:r>
        <w:rPr/>
        <w:t>组组合的可收回金额低于其账面价值的，确认商誉的减值损失。年末对香港</w:t>
      </w:r>
      <w:r>
        <w:rPr>
          <w:rFonts w:ascii="Times New Roman" w:hAnsi="Times New Roman" w:cs="Times New Roman" w:eastAsia="Times New Roman" w:hint="default"/>
        </w:rPr>
        <w:t>SRS2</w:t>
      </w:r>
      <w:r>
        <w:rPr/>
        <w:t>、江苏开拓、捷科智诚、联创智融及菲耐 得的商誉进行减值测试，未发现存在减值情形。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ind w:right="90"/>
        <w:jc w:val="left"/>
      </w:pPr>
      <w:r>
        <w:rPr/>
        <w:t>其他说明</w:t>
      </w:r>
    </w:p>
    <w:p>
      <w:pPr>
        <w:pStyle w:val="BodyText"/>
        <w:spacing w:line="240" w:lineRule="auto" w:before="117"/>
        <w:ind w:left="584" w:right="90"/>
        <w:jc w:val="left"/>
      </w:pPr>
      <w:r>
        <w:rPr/>
        <w:t>商誉</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293.17%</w:t>
      </w:r>
      <w:r>
        <w:rPr/>
        <w:t>，主要原因是本年非同一控制下企业合并联创智融及菲耐得形成的商誉。</w:t>
      </w:r>
    </w:p>
    <w:p>
      <w:pPr>
        <w:spacing w:line="240" w:lineRule="auto" w:before="2"/>
        <w:rPr>
          <w:rFonts w:ascii="宋体" w:hAnsi="宋体" w:cs="宋体" w:eastAsia="宋体" w:hint="default"/>
          <w:sz w:val="26"/>
          <w:szCs w:val="26"/>
        </w:rPr>
      </w:pPr>
    </w:p>
    <w:p>
      <w:pPr>
        <w:pStyle w:val="Heading3"/>
        <w:spacing w:line="240" w:lineRule="auto"/>
        <w:ind w:right="90"/>
        <w:jc w:val="left"/>
        <w:rPr>
          <w:b w:val="0"/>
          <w:bCs w:val="0"/>
        </w:rPr>
      </w:pPr>
      <w:bookmarkStart w:name="28、长期待摊费用" w:id="303"/>
      <w:bookmarkEnd w:id="303"/>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2,788,112.06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1,880,992.44</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1,688,266.47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2,980,838.03</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并购借款顾问费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4,454,500.00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2,880,597.00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11,573,903.00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7,242,612.06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11,880,992.44</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4,568,863.47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14,554,741.03</w:t>
            </w:r>
          </w:p>
        </w:tc>
      </w:tr>
    </w:tbl>
    <w:p>
      <w:pPr>
        <w:pStyle w:val="BodyText"/>
        <w:spacing w:line="240" w:lineRule="auto" w:before="49"/>
        <w:ind w:right="90"/>
        <w:jc w:val="left"/>
      </w:pPr>
      <w:r>
        <w:rPr/>
        <w:t>其他说明</w:t>
      </w:r>
    </w:p>
    <w:p>
      <w:pPr>
        <w:pStyle w:val="BodyText"/>
        <w:spacing w:line="240" w:lineRule="auto" w:before="115"/>
        <w:ind w:left="584" w:right="90"/>
        <w:jc w:val="left"/>
      </w:pPr>
      <w:r>
        <w:rPr>
          <w:rFonts w:ascii="Times New Roman" w:hAnsi="Times New Roman" w:cs="Times New Roman" w:eastAsia="Times New Roman" w:hint="default"/>
        </w:rPr>
        <w:t>(1)</w:t>
      </w:r>
      <w:r>
        <w:rPr/>
        <w:t>装修费是西安润和、东京润和、北京润和、联创智融经营租赁办公场所所发生的费用，按合同约定租用期限平均摊</w:t>
      </w:r>
    </w:p>
    <w:p>
      <w:pPr>
        <w:pStyle w:val="BodyText"/>
        <w:spacing w:line="240" w:lineRule="auto" w:before="62"/>
        <w:ind w:right="90"/>
        <w:jc w:val="left"/>
      </w:pPr>
      <w:r>
        <w:rPr/>
        <w:t>销。</w:t>
      </w:r>
    </w:p>
    <w:p>
      <w:pPr>
        <w:pStyle w:val="BodyText"/>
        <w:spacing w:line="300" w:lineRule="auto" w:before="76"/>
        <w:ind w:left="584" w:right="1432"/>
        <w:jc w:val="left"/>
      </w:pPr>
      <w:r>
        <w:rPr>
          <w:rFonts w:ascii="Times New Roman" w:hAnsi="Times New Roman" w:cs="Times New Roman" w:eastAsia="Times New Roman" w:hint="default"/>
        </w:rPr>
        <w:t>(2)</w:t>
      </w:r>
      <w:r>
        <w:rPr/>
        <w:t>并购借款顾问费是本公司为并购业务取得的长期借款融资费用，按占用的借款余额加权平均摊销。</w:t>
      </w:r>
      <w:r>
        <w:rPr>
          <w:w w:val="99"/>
        </w:rPr>
        <w:t> </w:t>
      </w:r>
      <w:r>
        <w:rPr>
          <w:rFonts w:ascii="Times New Roman" w:hAnsi="Times New Roman" w:cs="Times New Roman" w:eastAsia="Times New Roman" w:hint="default"/>
        </w:rPr>
        <w:t>(3)</w:t>
      </w:r>
      <w:r>
        <w:rPr/>
        <w:t>企业合并增加是本年非同一控制下企业合并联创智融形成的。</w:t>
      </w:r>
      <w:r>
        <w:rPr>
          <w:w w:val="99"/>
        </w:rPr>
        <w:t> </w:t>
      </w:r>
      <w:r>
        <w:rPr>
          <w:rFonts w:ascii="Times New Roman" w:hAnsi="Times New Roman" w:cs="Times New Roman" w:eastAsia="Times New Roman" w:hint="default"/>
        </w:rPr>
        <w:t>(4)</w:t>
      </w:r>
      <w:r>
        <w:rPr/>
        <w:t>长期待摊费用</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100.96%</w:t>
      </w:r>
      <w:r>
        <w:rPr/>
        <w:t>，主要原因是本期增加了并购借款顾问费。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6"/>
        <w:ind w:right="90"/>
        <w:jc w:val="left"/>
        <w:rPr>
          <w:b w:val="0"/>
          <w:bCs w:val="0"/>
        </w:rPr>
      </w:pPr>
      <w:bookmarkStart w:name="29、递延所得税资产/递延所得税负债" w:id="304"/>
      <w:bookmarkEnd w:id="30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bookmarkStart w:name="（1）未经抵销的递延所得税资产" w:id="305"/>
      <w:bookmarkEnd w:id="30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61,983,394.17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8,911,145.86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23,276,289.32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2,789,821.62</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11,263,080.68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2,141,543.36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83,170.00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69,670.00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10,450.50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31,875,413.93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4,781,312.09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105,205,058.78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15,846,476.81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23,345,959.32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2,800,272.12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经抵销的递延所得税负债" w:id="306"/>
      <w:bookmarkEnd w:id="30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49,821,962.58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6,409,803.76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49,821,962.58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6,409,803.76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307"/>
      <w:bookmarkEnd w:id="30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15,846,476.81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2,800,272.12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6,409,803.76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明细" w:id="308"/>
      <w:bookmarkEnd w:id="30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1,494,008.36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1,398,091.55</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5,211,442.28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2,549,415.16</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6,705,450.64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3,947,506.71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确认递延所得税资产的可抵扣亏损将于以下年度到期" w:id="309"/>
      <w:bookmarkEnd w:id="30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7" w:right="0"/>
              <w:jc w:val="left"/>
              <w:rPr>
                <w:rFonts w:ascii="Times New Roman" w:hAnsi="Times New Roman" w:cs="Times New Roman" w:eastAsia="Times New Roman" w:hint="default"/>
                <w:sz w:val="18"/>
                <w:szCs w:val="18"/>
              </w:rPr>
            </w:pPr>
            <w:r>
              <w:rPr>
                <w:rFonts w:ascii="Times New Roman"/>
                <w:sz w:val="18"/>
              </w:rPr>
              <w:t>601,441.82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191,071.97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1,947,973.34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5,020,370.31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5,211,442.28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2,549,415.16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0"/>
        <w:jc w:val="left"/>
      </w:pPr>
      <w:r>
        <w:rPr/>
        <w:t>其他说明：</w:t>
      </w:r>
    </w:p>
    <w:p>
      <w:pPr>
        <w:pStyle w:val="BodyText"/>
        <w:spacing w:line="300" w:lineRule="auto" w:before="115"/>
        <w:ind w:right="90" w:firstLine="432"/>
        <w:jc w:val="left"/>
      </w:pPr>
      <w:r>
        <w:rPr>
          <w:spacing w:val="-4"/>
        </w:rPr>
        <w:t>递延所得税资产</w:t>
      </w:r>
      <w:r>
        <w:rPr>
          <w:rFonts w:ascii="Times New Roman" w:hAnsi="Times New Roman" w:cs="Times New Roman" w:eastAsia="Times New Roman" w:hint="default"/>
          <w:spacing w:val="-4"/>
        </w:rPr>
        <w:t>2015</w:t>
      </w:r>
      <w:r>
        <w:rPr>
          <w:spacing w:val="-4"/>
        </w:rPr>
        <w:t>年末余额比年初余额增长</w:t>
      </w:r>
      <w:r>
        <w:rPr>
          <w:rFonts w:ascii="Times New Roman" w:hAnsi="Times New Roman" w:cs="Times New Roman" w:eastAsia="Times New Roman" w:hint="default"/>
          <w:spacing w:val="-4"/>
        </w:rPr>
        <w:t>465.89%</w:t>
      </w:r>
      <w:r>
        <w:rPr>
          <w:spacing w:val="-4"/>
        </w:rPr>
        <w:t>，主要原因是本期应收款项增加，计提的资产减值准备余额增加，</w:t>
      </w:r>
      <w:r>
        <w:rPr/>
        <w:t> 递延所得税资产余额相应增长，以及</w:t>
      </w:r>
      <w:r>
        <w:rPr>
          <w:rFonts w:ascii="Times New Roman" w:hAnsi="Times New Roman" w:cs="Times New Roman" w:eastAsia="Times New Roman" w:hint="default"/>
        </w:rPr>
        <w:t>2015</w:t>
      </w:r>
      <w:r>
        <w:rPr/>
        <w:t>年产生的股权激励费用形</w:t>
      </w:r>
      <w:r>
        <w:rPr>
          <w:spacing w:val="-47"/>
        </w:rPr>
        <w:t> </w:t>
      </w:r>
      <w:r>
        <w:rPr/>
        <w:t>成的递延所得税资产较大。递延所得税负债</w:t>
      </w:r>
      <w:r>
        <w:rPr>
          <w:rFonts w:ascii="Times New Roman" w:hAnsi="Times New Roman" w:cs="Times New Roman" w:eastAsia="Times New Roman" w:hint="default"/>
        </w:rPr>
        <w:t>2015</w:t>
      </w:r>
      <w:r>
        <w:rPr/>
        <w:t>年末余</w:t>
      </w:r>
      <w:r>
        <w:rPr>
          <w:spacing w:val="-3"/>
        </w:rPr>
        <w:t> </w:t>
      </w:r>
      <w:r>
        <w:rPr/>
        <w:t>额比年初余额增长较大，主要原因是本期非同一控制下被合并方评估增值形成的递延所得税负债。</w:t>
      </w:r>
    </w:p>
    <w:p>
      <w:pPr>
        <w:spacing w:line="240" w:lineRule="auto" w:before="10"/>
        <w:rPr>
          <w:rFonts w:ascii="宋体" w:hAnsi="宋体" w:cs="宋体" w:eastAsia="宋体" w:hint="default"/>
          <w:sz w:val="23"/>
          <w:szCs w:val="23"/>
        </w:rPr>
      </w:pPr>
    </w:p>
    <w:p>
      <w:pPr>
        <w:pStyle w:val="Heading3"/>
        <w:spacing w:line="240" w:lineRule="auto"/>
        <w:ind w:right="90"/>
        <w:jc w:val="left"/>
        <w:rPr>
          <w:b w:val="0"/>
          <w:bCs w:val="0"/>
        </w:rPr>
      </w:pPr>
      <w:bookmarkStart w:name="30、其他非流动资产" w:id="310"/>
      <w:bookmarkEnd w:id="310"/>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0"/>
        <w:jc w:val="left"/>
        <w:rPr>
          <w:b w:val="0"/>
          <w:bCs w:val="0"/>
        </w:rPr>
      </w:pPr>
      <w:bookmarkStart w:name="31、短期借款" w:id="311"/>
      <w:bookmarkEnd w:id="311"/>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bookmarkStart w:name="（1）短期借款分类" w:id="312"/>
      <w:bookmarkEnd w:id="31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265,000,000.00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145,010,000.00</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182,010,000.00</w:t>
            </w:r>
            <w:r>
              <w:rPr>
                <w:rFonts w:ascii="Times New Roman"/>
                <w:sz w:val="18"/>
              </w:rPr>
            </w:r>
          </w:p>
        </w:tc>
      </w:tr>
    </w:tbl>
    <w:p>
      <w:pPr>
        <w:pStyle w:val="BodyText"/>
        <w:spacing w:line="240" w:lineRule="auto" w:before="49"/>
        <w:ind w:right="9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90"/>
        <w:jc w:val="left"/>
        <w:rPr>
          <w:b w:val="0"/>
          <w:bCs w:val="0"/>
        </w:rPr>
      </w:pPr>
      <w:bookmarkStart w:name="（2）已逾期未偿还的短期借款情况" w:id="313"/>
      <w:bookmarkEnd w:id="31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0"/>
        <w:jc w:val="left"/>
      </w:pPr>
      <w:r>
        <w:rPr/>
        <w:t>本期末已逾期未偿还的短期借款总额为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9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90"/>
        <w:jc w:val="left"/>
      </w:pPr>
      <w:r>
        <w:rPr/>
        <w:t>其他说明：</w:t>
      </w:r>
    </w:p>
    <w:p>
      <w:pPr>
        <w:pStyle w:val="BodyText"/>
        <w:spacing w:line="240" w:lineRule="auto" w:before="115"/>
        <w:ind w:right="90"/>
        <w:jc w:val="left"/>
      </w:pPr>
      <w:r>
        <w:rPr/>
        <w:t>保证借款</w:t>
      </w:r>
      <w:r>
        <w:rPr>
          <w:spacing w:val="-47"/>
        </w:rPr>
        <w:t> </w:t>
      </w:r>
      <w:r>
        <w:rPr>
          <w:rFonts w:ascii="Times New Roman" w:hAnsi="Times New Roman" w:cs="Times New Roman" w:eastAsia="Times New Roman" w:hint="default"/>
        </w:rPr>
        <w:t>2015</w:t>
      </w:r>
      <w:r>
        <w:rPr/>
        <w:t>年末余额的担保情况如下：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135"/>
        <w:gridCol w:w="3151"/>
        <w:gridCol w:w="2693"/>
        <w:gridCol w:w="1702"/>
      </w:tblGrid>
      <w:tr>
        <w:trPr>
          <w:trHeight w:val="350" w:hRule="exact"/>
        </w:trPr>
        <w:tc>
          <w:tcPr>
            <w:tcW w:w="11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163" w:right="0"/>
              <w:jc w:val="left"/>
              <w:rPr>
                <w:rFonts w:ascii="宋体" w:hAnsi="宋体" w:cs="宋体" w:eastAsia="宋体" w:hint="default"/>
                <w:sz w:val="20"/>
                <w:szCs w:val="20"/>
              </w:rPr>
            </w:pPr>
            <w:r>
              <w:rPr>
                <w:rFonts w:ascii="宋体" w:hAnsi="宋体" w:cs="宋体" w:eastAsia="宋体" w:hint="default"/>
                <w:sz w:val="20"/>
                <w:szCs w:val="20"/>
              </w:rPr>
              <w:t>被担保方</w:t>
            </w:r>
          </w:p>
        </w:tc>
        <w:tc>
          <w:tcPr>
            <w:tcW w:w="315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担保方</w:t>
            </w:r>
          </w:p>
        </w:tc>
        <w:tc>
          <w:tcPr>
            <w:tcW w:w="269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借款银行</w:t>
            </w:r>
          </w:p>
        </w:tc>
        <w:tc>
          <w:tcPr>
            <w:tcW w:w="170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
              <w:ind w:left="432" w:right="0"/>
              <w:jc w:val="left"/>
              <w:rPr>
                <w:rFonts w:ascii="宋体" w:hAnsi="宋体" w:cs="宋体" w:eastAsia="宋体" w:hint="default"/>
                <w:sz w:val="20"/>
                <w:szCs w:val="20"/>
              </w:rPr>
            </w:pPr>
            <w:r>
              <w:rPr>
                <w:rFonts w:ascii="宋体" w:hAnsi="宋体" w:cs="宋体" w:eastAsia="宋体" w:hint="default"/>
                <w:sz w:val="20"/>
                <w:szCs w:val="20"/>
              </w:rPr>
              <w:t>借款金额</w:t>
            </w:r>
          </w:p>
        </w:tc>
      </w:tr>
      <w:tr>
        <w:trPr>
          <w:trHeight w:val="348"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sz w:val="20"/>
                <w:szCs w:val="20"/>
              </w:rPr>
              <w:t>江苏润和科技投资集团有限公司</w:t>
            </w:r>
          </w:p>
        </w:tc>
        <w:tc>
          <w:tcPr>
            <w:tcW w:w="2693"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sz w:val="20"/>
                <w:szCs w:val="20"/>
              </w:rPr>
              <w:t>建设银行江苏省分行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6"/>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r>
      <w:tr>
        <w:trPr>
          <w:trHeight w:val="346"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sz w:val="20"/>
                <w:szCs w:val="20"/>
              </w:rPr>
              <w:t>江苏润和科技投资集团有限公司</w:t>
            </w:r>
          </w:p>
        </w:tc>
        <w:tc>
          <w:tcPr>
            <w:tcW w:w="2693"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sz w:val="20"/>
                <w:szCs w:val="20"/>
              </w:rPr>
              <w:t>建设银行江苏省分行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6"/>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660"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1370" w:right="0" w:hanging="1366"/>
              <w:jc w:val="left"/>
              <w:rPr>
                <w:rFonts w:ascii="宋体" w:hAnsi="宋体" w:cs="宋体" w:eastAsia="宋体" w:hint="default"/>
                <w:sz w:val="20"/>
                <w:szCs w:val="20"/>
              </w:rPr>
            </w:pPr>
            <w:r>
              <w:rPr>
                <w:rFonts w:ascii="宋体" w:hAnsi="宋体" w:cs="宋体" w:eastAsia="宋体" w:hint="default"/>
                <w:spacing w:val="-4"/>
                <w:sz w:val="20"/>
                <w:szCs w:val="20"/>
              </w:rPr>
              <w:t>江苏润和科技投资集团有限公司、周</w:t>
            </w:r>
            <w:r>
              <w:rPr>
                <w:rFonts w:ascii="宋体" w:hAnsi="宋体" w:cs="宋体" w:eastAsia="宋体" w:hint="default"/>
                <w:w w:val="99"/>
                <w:sz w:val="20"/>
                <w:szCs w:val="20"/>
              </w:rPr>
              <w:t> </w:t>
            </w:r>
            <w:r>
              <w:rPr>
                <w:rFonts w:ascii="宋体" w:hAnsi="宋体" w:cs="宋体" w:eastAsia="宋体" w:hint="default"/>
                <w:sz w:val="20"/>
                <w:szCs w:val="20"/>
              </w:rPr>
              <w:t>红卫</w:t>
            </w:r>
          </w:p>
        </w:tc>
        <w:tc>
          <w:tcPr>
            <w:tcW w:w="2693"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hAnsi="宋体" w:cs="宋体" w:eastAsia="宋体" w:hint="default"/>
                <w:sz w:val="20"/>
                <w:szCs w:val="20"/>
              </w:rPr>
              <w:t>宁波银行南京中山北路支行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r>
      <w:tr>
        <w:trPr>
          <w:trHeight w:val="660"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1070" w:right="0" w:hanging="1066"/>
              <w:jc w:val="left"/>
              <w:rPr>
                <w:rFonts w:ascii="宋体" w:hAnsi="宋体" w:cs="宋体" w:eastAsia="宋体" w:hint="default"/>
                <w:sz w:val="20"/>
                <w:szCs w:val="20"/>
              </w:rPr>
            </w:pPr>
            <w:r>
              <w:rPr>
                <w:rFonts w:ascii="宋体" w:hAnsi="宋体" w:cs="宋体" w:eastAsia="宋体" w:hint="default"/>
                <w:spacing w:val="-4"/>
                <w:sz w:val="20"/>
                <w:szCs w:val="20"/>
              </w:rPr>
              <w:t>江苏润和科技投资集团有限公司、周</w:t>
            </w:r>
            <w:r>
              <w:rPr>
                <w:rFonts w:ascii="宋体" w:hAnsi="宋体" w:cs="宋体" w:eastAsia="宋体" w:hint="default"/>
                <w:w w:val="99"/>
                <w:sz w:val="20"/>
                <w:szCs w:val="20"/>
              </w:rPr>
              <w:t> </w:t>
            </w:r>
            <w:r>
              <w:rPr>
                <w:rFonts w:ascii="宋体" w:hAnsi="宋体" w:cs="宋体" w:eastAsia="宋体" w:hint="default"/>
                <w:sz w:val="20"/>
                <w:szCs w:val="20"/>
              </w:rPr>
              <w:t>红卫、任琪</w:t>
            </w:r>
          </w:p>
        </w:tc>
        <w:tc>
          <w:tcPr>
            <w:tcW w:w="2693"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sz w:val="20"/>
                <w:szCs w:val="20"/>
              </w:rPr>
              <w:t>交通银行江苏省分行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6"/>
              <w:jc w:val="right"/>
              <w:rPr>
                <w:rFonts w:ascii="Times New Roman" w:hAnsi="Times New Roman" w:cs="Times New Roman" w:eastAsia="Times New Roman" w:hint="default"/>
                <w:sz w:val="20"/>
                <w:szCs w:val="20"/>
              </w:rPr>
            </w:pPr>
            <w:r>
              <w:rPr>
                <w:rFonts w:ascii="Times New Roman"/>
                <w:w w:val="95"/>
                <w:sz w:val="20"/>
              </w:rPr>
              <w:t>40,000,000.00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135"/>
        <w:gridCol w:w="3151"/>
        <w:gridCol w:w="319"/>
        <w:gridCol w:w="2374"/>
        <w:gridCol w:w="1702"/>
      </w:tblGrid>
      <w:tr>
        <w:trPr>
          <w:trHeight w:val="662" w:hRule="exact"/>
        </w:trPr>
        <w:tc>
          <w:tcPr>
            <w:tcW w:w="11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3151"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1370" w:right="0" w:hanging="1366"/>
              <w:jc w:val="left"/>
              <w:rPr>
                <w:rFonts w:ascii="宋体" w:hAnsi="宋体" w:cs="宋体" w:eastAsia="宋体" w:hint="default"/>
                <w:sz w:val="20"/>
                <w:szCs w:val="20"/>
              </w:rPr>
            </w:pPr>
            <w:r>
              <w:rPr>
                <w:rFonts w:ascii="宋体" w:hAnsi="宋体" w:cs="宋体" w:eastAsia="宋体" w:hint="default"/>
                <w:spacing w:val="-4"/>
                <w:sz w:val="20"/>
                <w:szCs w:val="20"/>
              </w:rPr>
              <w:t>江苏润和科技投资集团有限公司、周</w:t>
            </w:r>
            <w:r>
              <w:rPr>
                <w:rFonts w:ascii="宋体" w:hAnsi="宋体" w:cs="宋体" w:eastAsia="宋体" w:hint="default"/>
                <w:w w:val="99"/>
                <w:sz w:val="20"/>
                <w:szCs w:val="20"/>
              </w:rPr>
              <w:t> </w:t>
            </w:r>
            <w:r>
              <w:rPr>
                <w:rFonts w:ascii="宋体" w:hAnsi="宋体" w:cs="宋体" w:eastAsia="宋体" w:hint="default"/>
                <w:sz w:val="20"/>
                <w:szCs w:val="20"/>
              </w:rPr>
              <w:t>红卫</w:t>
            </w:r>
          </w:p>
        </w:tc>
        <w:tc>
          <w:tcPr>
            <w:tcW w:w="2693"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539" w:right="0"/>
              <w:jc w:val="left"/>
              <w:rPr>
                <w:rFonts w:ascii="宋体" w:hAnsi="宋体" w:cs="宋体" w:eastAsia="宋体" w:hint="default"/>
                <w:sz w:val="20"/>
                <w:szCs w:val="20"/>
              </w:rPr>
            </w:pPr>
            <w:r>
              <w:rPr>
                <w:rFonts w:ascii="宋体" w:hAnsi="宋体" w:cs="宋体" w:eastAsia="宋体" w:hint="default"/>
                <w:sz w:val="20"/>
                <w:szCs w:val="20"/>
              </w:rPr>
              <w:t>南京银行珠江支行</w:t>
            </w:r>
          </w:p>
        </w:tc>
        <w:tc>
          <w:tcPr>
            <w:tcW w:w="170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r>
      <w:tr>
        <w:trPr>
          <w:trHeight w:val="970"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0"/>
              <w:jc w:val="center"/>
              <w:rPr>
                <w:rFonts w:ascii="宋体" w:hAnsi="宋体" w:cs="宋体" w:eastAsia="宋体" w:hint="default"/>
                <w:sz w:val="20"/>
                <w:szCs w:val="20"/>
              </w:rPr>
            </w:pPr>
            <w:r>
              <w:rPr>
                <w:rFonts w:ascii="宋体" w:hAnsi="宋体" w:cs="宋体" w:eastAsia="宋体" w:hint="default"/>
                <w:spacing w:val="-4"/>
                <w:w w:val="95"/>
                <w:sz w:val="20"/>
                <w:szCs w:val="20"/>
              </w:rPr>
              <w:t>江苏润和科技投资集团有限公司、南</w:t>
            </w:r>
            <w:r>
              <w:rPr>
                <w:rFonts w:ascii="宋体" w:hAnsi="宋体" w:cs="宋体" w:eastAsia="宋体" w:hint="default"/>
                <w:spacing w:val="46"/>
                <w:w w:val="95"/>
                <w:sz w:val="20"/>
                <w:szCs w:val="20"/>
              </w:rPr>
              <w:t> </w:t>
            </w:r>
            <w:r>
              <w:rPr>
                <w:rFonts w:ascii="宋体" w:hAnsi="宋体" w:cs="宋体" w:eastAsia="宋体" w:hint="default"/>
                <w:spacing w:val="46"/>
                <w:w w:val="95"/>
                <w:sz w:val="20"/>
                <w:szCs w:val="20"/>
              </w:rPr>
            </w:r>
            <w:r>
              <w:rPr>
                <w:rFonts w:ascii="宋体" w:hAnsi="宋体" w:cs="宋体" w:eastAsia="宋体" w:hint="default"/>
                <w:spacing w:val="-11"/>
                <w:w w:val="99"/>
                <w:sz w:val="20"/>
                <w:szCs w:val="20"/>
              </w:rPr>
              <w:t>京润和数码有限公司、周红卫、任琪</w:t>
            </w:r>
            <w:r>
              <w:rPr>
                <w:rFonts w:ascii="宋体" w:hAnsi="宋体" w:cs="宋体" w:eastAsia="宋体" w:hint="default"/>
                <w:w w:val="99"/>
                <w:sz w:val="20"/>
                <w:szCs w:val="20"/>
              </w:rPr>
              <w:t> </w:t>
            </w:r>
            <w:r>
              <w:rPr>
                <w:rFonts w:ascii="宋体" w:hAnsi="宋体" w:cs="宋体" w:eastAsia="宋体" w:hint="default"/>
                <w:sz w:val="20"/>
                <w:szCs w:val="20"/>
              </w:rPr>
              <w:t>姚宁、朱彤</w:t>
            </w:r>
          </w:p>
        </w:tc>
        <w:tc>
          <w:tcPr>
            <w:tcW w:w="31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16"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2374" w:type="dxa"/>
            <w:tcBorders>
              <w:top w:val="single" w:sz="8" w:space="0" w:color="000000"/>
              <w:left w:val="nil" w:sz="6" w:space="0" w:color="auto"/>
              <w:bottom w:val="single" w:sz="8" w:space="0" w:color="000000"/>
              <w:right w:val="single" w:sz="6" w:space="0" w:color="000000"/>
            </w:tcBorders>
          </w:tcPr>
          <w:p>
            <w:pPr>
              <w:pStyle w:val="TableParagraph"/>
              <w:spacing w:line="259" w:lineRule="exact"/>
              <w:ind w:left="228" w:right="0"/>
              <w:jc w:val="left"/>
              <w:rPr>
                <w:rFonts w:ascii="宋体" w:hAnsi="宋体" w:cs="宋体" w:eastAsia="宋体" w:hint="default"/>
                <w:sz w:val="20"/>
                <w:szCs w:val="20"/>
              </w:rPr>
            </w:pPr>
            <w:r>
              <w:rPr>
                <w:rFonts w:ascii="宋体" w:hAnsi="宋体" w:cs="宋体" w:eastAsia="宋体" w:hint="default"/>
                <w:sz w:val="20"/>
                <w:szCs w:val="20"/>
              </w:rPr>
              <w:t>江苏银行城北支行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6"/>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r>
      <w:tr>
        <w:trPr>
          <w:trHeight w:val="348"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周红卫、任琪、姚宁、朱彤</w:t>
            </w:r>
          </w:p>
        </w:tc>
        <w:tc>
          <w:tcPr>
            <w:tcW w:w="2693" w:type="dxa"/>
            <w:gridSpan w:val="2"/>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539" w:right="0"/>
              <w:jc w:val="left"/>
              <w:rPr>
                <w:rFonts w:ascii="宋体" w:hAnsi="宋体" w:cs="宋体" w:eastAsia="宋体" w:hint="default"/>
                <w:sz w:val="20"/>
                <w:szCs w:val="20"/>
              </w:rPr>
            </w:pPr>
            <w:r>
              <w:rPr>
                <w:rFonts w:ascii="宋体" w:hAnsi="宋体" w:cs="宋体" w:eastAsia="宋体" w:hint="default"/>
                <w:sz w:val="20"/>
                <w:szCs w:val="20"/>
              </w:rPr>
              <w:t>中信银行南京分行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r>
      <w:tr>
        <w:trPr>
          <w:trHeight w:val="346"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捷科智诚</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sz w:val="20"/>
                <w:szCs w:val="20"/>
              </w:rPr>
              <w:t>王杰、汪芳</w:t>
            </w:r>
          </w:p>
        </w:tc>
        <w:tc>
          <w:tcPr>
            <w:tcW w:w="2693" w:type="dxa"/>
            <w:gridSpan w:val="2"/>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41" w:right="0"/>
              <w:jc w:val="left"/>
              <w:rPr>
                <w:rFonts w:ascii="宋体" w:hAnsi="宋体" w:cs="宋体" w:eastAsia="宋体" w:hint="default"/>
                <w:sz w:val="20"/>
                <w:szCs w:val="20"/>
              </w:rPr>
            </w:pPr>
            <w:r>
              <w:rPr>
                <w:rFonts w:ascii="宋体" w:hAnsi="宋体" w:cs="宋体" w:eastAsia="宋体" w:hint="default"/>
                <w:sz w:val="20"/>
                <w:szCs w:val="20"/>
              </w:rPr>
              <w:t>北京银行中关村支行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w w:val="95"/>
                <w:sz w:val="20"/>
              </w:rPr>
              <w:t>8,000,000.00</w:t>
            </w:r>
            <w:r>
              <w:rPr>
                <w:rFonts w:ascii="Times New Roman"/>
                <w:sz w:val="20"/>
              </w:rPr>
            </w:r>
          </w:p>
        </w:tc>
      </w:tr>
      <w:tr>
        <w:trPr>
          <w:trHeight w:val="348"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捷科智诚</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hAnsi="宋体" w:cs="宋体" w:eastAsia="宋体" w:hint="default"/>
                <w:sz w:val="20"/>
                <w:szCs w:val="20"/>
              </w:rPr>
              <w:t>王杰、汪芳</w:t>
            </w:r>
          </w:p>
        </w:tc>
        <w:tc>
          <w:tcPr>
            <w:tcW w:w="2693" w:type="dxa"/>
            <w:gridSpan w:val="2"/>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41" w:right="0"/>
              <w:jc w:val="left"/>
              <w:rPr>
                <w:rFonts w:ascii="宋体" w:hAnsi="宋体" w:cs="宋体" w:eastAsia="宋体" w:hint="default"/>
                <w:sz w:val="20"/>
                <w:szCs w:val="20"/>
              </w:rPr>
            </w:pPr>
            <w:r>
              <w:rPr>
                <w:rFonts w:ascii="宋体" w:hAnsi="宋体" w:cs="宋体" w:eastAsia="宋体" w:hint="default"/>
                <w:sz w:val="20"/>
                <w:szCs w:val="20"/>
              </w:rPr>
              <w:t>北京银行中关村支行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r>
      <w:tr>
        <w:trPr>
          <w:trHeight w:val="346"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捷科智诚</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sz w:val="20"/>
                <w:szCs w:val="20"/>
              </w:rPr>
              <w:t>王杰、汪芳</w:t>
            </w:r>
          </w:p>
        </w:tc>
        <w:tc>
          <w:tcPr>
            <w:tcW w:w="2693" w:type="dxa"/>
            <w:gridSpan w:val="2"/>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640" w:right="0"/>
              <w:jc w:val="left"/>
              <w:rPr>
                <w:rFonts w:ascii="宋体" w:hAnsi="宋体" w:cs="宋体" w:eastAsia="宋体" w:hint="default"/>
                <w:sz w:val="20"/>
                <w:szCs w:val="20"/>
              </w:rPr>
            </w:pPr>
            <w:r>
              <w:rPr>
                <w:rFonts w:ascii="宋体" w:hAnsi="宋体" w:cs="宋体" w:eastAsia="宋体" w:hint="default"/>
                <w:sz w:val="20"/>
                <w:szCs w:val="20"/>
              </w:rPr>
              <w:t>招行东直门支行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w w:val="95"/>
                <w:sz w:val="20"/>
              </w:rPr>
              <w:t>8,000,000.00</w:t>
            </w:r>
            <w:r>
              <w:rPr>
                <w:rFonts w:ascii="Times New Roman"/>
                <w:sz w:val="20"/>
              </w:rPr>
            </w:r>
          </w:p>
        </w:tc>
      </w:tr>
      <w:tr>
        <w:trPr>
          <w:trHeight w:val="348"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捷科智诚</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hAnsi="宋体" w:cs="宋体" w:eastAsia="宋体" w:hint="default"/>
                <w:sz w:val="20"/>
                <w:szCs w:val="20"/>
              </w:rPr>
              <w:t>王杰、汪芳</w:t>
            </w:r>
          </w:p>
        </w:tc>
        <w:tc>
          <w:tcPr>
            <w:tcW w:w="2693" w:type="dxa"/>
            <w:gridSpan w:val="2"/>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540" w:right="0"/>
              <w:jc w:val="left"/>
              <w:rPr>
                <w:rFonts w:ascii="宋体" w:hAnsi="宋体" w:cs="宋体" w:eastAsia="宋体" w:hint="default"/>
                <w:sz w:val="20"/>
                <w:szCs w:val="20"/>
              </w:rPr>
            </w:pPr>
            <w:r>
              <w:rPr>
                <w:rFonts w:ascii="宋体" w:hAnsi="宋体" w:cs="宋体" w:eastAsia="宋体" w:hint="default"/>
                <w:sz w:val="20"/>
                <w:szCs w:val="20"/>
              </w:rPr>
              <w:t>南京银行万柳支行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r>
      <w:tr>
        <w:trPr>
          <w:trHeight w:val="348"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联创智融</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北京市文化科技融资担保有限公司</w:t>
            </w:r>
          </w:p>
        </w:tc>
        <w:tc>
          <w:tcPr>
            <w:tcW w:w="2693" w:type="dxa"/>
            <w:gridSpan w:val="2"/>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招商银行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w w:val="95"/>
                <w:sz w:val="20"/>
              </w:rPr>
              <w:t>9,000,000.00</w:t>
            </w:r>
            <w:r>
              <w:rPr>
                <w:rFonts w:ascii="Times New Roman"/>
                <w:sz w:val="20"/>
              </w:rPr>
            </w:r>
          </w:p>
        </w:tc>
      </w:tr>
      <w:tr>
        <w:trPr>
          <w:trHeight w:val="346"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江苏开拓</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693" w:type="dxa"/>
            <w:gridSpan w:val="2"/>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540" w:right="0"/>
              <w:jc w:val="left"/>
              <w:rPr>
                <w:rFonts w:ascii="宋体" w:hAnsi="宋体" w:cs="宋体" w:eastAsia="宋体" w:hint="default"/>
                <w:sz w:val="20"/>
                <w:szCs w:val="20"/>
              </w:rPr>
            </w:pPr>
            <w:r>
              <w:rPr>
                <w:rFonts w:ascii="宋体" w:hAnsi="宋体" w:cs="宋体" w:eastAsia="宋体" w:hint="default"/>
                <w:sz w:val="20"/>
                <w:szCs w:val="20"/>
              </w:rPr>
              <w:t>江苏银行科技支行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r>
      <w:tr>
        <w:trPr>
          <w:trHeight w:val="348"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江苏开拓</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2693" w:type="dxa"/>
            <w:gridSpan w:val="2"/>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540" w:right="0"/>
              <w:jc w:val="left"/>
              <w:rPr>
                <w:rFonts w:ascii="宋体" w:hAnsi="宋体" w:cs="宋体" w:eastAsia="宋体" w:hint="default"/>
                <w:sz w:val="20"/>
                <w:szCs w:val="20"/>
              </w:rPr>
            </w:pPr>
            <w:r>
              <w:rPr>
                <w:rFonts w:ascii="宋体" w:hAnsi="宋体" w:cs="宋体" w:eastAsia="宋体" w:hint="default"/>
                <w:sz w:val="20"/>
                <w:szCs w:val="20"/>
              </w:rPr>
              <w:t>江苏银行科技支行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8,000,000.00</w:t>
            </w:r>
            <w:r>
              <w:rPr>
                <w:rFonts w:ascii="Times New Roman"/>
                <w:sz w:val="20"/>
              </w:rPr>
            </w:r>
          </w:p>
        </w:tc>
      </w:tr>
      <w:tr>
        <w:trPr>
          <w:trHeight w:val="346"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菲耐得</w:t>
            </w:r>
          </w:p>
        </w:tc>
        <w:tc>
          <w:tcPr>
            <w:tcW w:w="3151"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顾建东、卢萍</w:t>
            </w:r>
          </w:p>
        </w:tc>
        <w:tc>
          <w:tcPr>
            <w:tcW w:w="2693" w:type="dxa"/>
            <w:gridSpan w:val="2"/>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0" w:right="0"/>
              <w:jc w:val="left"/>
              <w:rPr>
                <w:rFonts w:ascii="宋体" w:hAnsi="宋体" w:cs="宋体" w:eastAsia="宋体" w:hint="default"/>
                <w:sz w:val="20"/>
                <w:szCs w:val="20"/>
              </w:rPr>
            </w:pPr>
            <w:r>
              <w:rPr>
                <w:rFonts w:ascii="宋体" w:hAnsi="宋体" w:cs="宋体" w:eastAsia="宋体" w:hint="default"/>
                <w:sz w:val="20"/>
                <w:szCs w:val="20"/>
              </w:rPr>
              <w:t>中国工商银行上海市宝山支行</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r>
      <w:tr>
        <w:trPr>
          <w:trHeight w:val="348"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tabs>
                <w:tab w:pos="689" w:val="left" w:leader="none"/>
              </w:tabs>
              <w:spacing w:line="261" w:lineRule="exact"/>
              <w:ind w:left="16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151" w:type="dxa"/>
            <w:tcBorders>
              <w:top w:val="single" w:sz="8" w:space="0" w:color="000000"/>
              <w:left w:val="single" w:sz="6" w:space="0" w:color="000000"/>
              <w:bottom w:val="single" w:sz="8" w:space="0" w:color="000000"/>
              <w:right w:val="single" w:sz="6" w:space="0" w:color="000000"/>
            </w:tcBorders>
          </w:tcPr>
          <w:p>
            <w:pPr/>
          </w:p>
        </w:tc>
        <w:tc>
          <w:tcPr>
            <w:tcW w:w="2693" w:type="dxa"/>
            <w:gridSpan w:val="2"/>
            <w:tcBorders>
              <w:top w:val="single" w:sz="8" w:space="0" w:color="000000"/>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265,000,000.00</w:t>
            </w:r>
            <w:r>
              <w:rPr>
                <w:rFonts w:ascii="Times New Roman"/>
                <w:sz w:val="20"/>
              </w:rPr>
            </w:r>
          </w:p>
        </w:tc>
      </w:tr>
    </w:tbl>
    <w:p>
      <w:pPr>
        <w:pStyle w:val="BodyText"/>
        <w:spacing w:line="309" w:lineRule="auto" w:before="8"/>
        <w:ind w:right="193" w:firstLine="432"/>
        <w:jc w:val="both"/>
      </w:pPr>
      <w:r>
        <w:rPr>
          <w:spacing w:val="-1"/>
        </w:rPr>
        <w:t>子公司联创智融年末由北京市文化科技融资担保有限公司担保的保证借款</w:t>
      </w:r>
      <w:r>
        <w:rPr>
          <w:rFonts w:ascii="Times New Roman" w:hAnsi="Times New Roman" w:cs="Times New Roman" w:eastAsia="Times New Roman" w:hint="default"/>
          <w:spacing w:val="-1"/>
        </w:rPr>
        <w:t>9,000,000.00</w:t>
      </w:r>
      <w:r>
        <w:rPr>
          <w:spacing w:val="-1"/>
        </w:rPr>
        <w:t>元存在反担保，具体为周帮建及</w:t>
      </w:r>
      <w:r>
        <w:rPr/>
        <w:t> </w:t>
      </w:r>
      <w:r>
        <w:rPr>
          <w:spacing w:val="-2"/>
        </w:rPr>
        <w:t>其配偶孟虹为北京市文化科技融资担保有限公司提供无限连带责任保证反担保，孟虹、吕梦扬将长昌平区小汤山镇橘郡花园</w:t>
      </w:r>
      <w:r>
        <w:rPr>
          <w:spacing w:val="-64"/>
        </w:rPr>
        <w:t> </w:t>
      </w:r>
      <w:r>
        <w:rPr>
          <w:spacing w:val="-64"/>
        </w:rPr>
      </w:r>
      <w:r>
        <w:rPr/>
        <w:t>房产抵押给担保人。</w:t>
      </w:r>
    </w:p>
    <w:p>
      <w:pPr>
        <w:pStyle w:val="BodyText"/>
        <w:spacing w:line="300" w:lineRule="auto" w:before="24"/>
        <w:ind w:left="584" w:right="97"/>
        <w:jc w:val="left"/>
      </w:pPr>
      <w:r>
        <w:rPr/>
        <w:t>短期借款</w:t>
      </w:r>
      <w:r>
        <w:rPr>
          <w:rFonts w:ascii="Times New Roman" w:hAnsi="Times New Roman" w:cs="Times New Roman" w:eastAsia="Times New Roman" w:hint="default"/>
        </w:rPr>
        <w:t>2015</w:t>
      </w:r>
      <w:r>
        <w:rPr/>
        <w:t>年末余额中无逾期未偿还的借款。 短期借款</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130.76%</w:t>
      </w:r>
      <w:r>
        <w:rPr/>
        <w:t>，主要原因是本年公司为了补充流动资金而新增的短期借款金额较大，</w:t>
      </w:r>
    </w:p>
    <w:p>
      <w:pPr>
        <w:pStyle w:val="BodyText"/>
        <w:spacing w:line="240" w:lineRule="auto" w:before="13"/>
        <w:ind w:right="90"/>
        <w:jc w:val="left"/>
      </w:pPr>
      <w:r>
        <w:rPr/>
        <w:t>以及新增非同一控制下企业合并子公司联创智融和菲耐得的年末短期借款。</w:t>
      </w:r>
    </w:p>
    <w:p>
      <w:pPr>
        <w:spacing w:line="240" w:lineRule="auto" w:before="0"/>
        <w:rPr>
          <w:rFonts w:ascii="宋体" w:hAnsi="宋体" w:cs="宋体" w:eastAsia="宋体" w:hint="default"/>
          <w:sz w:val="18"/>
          <w:szCs w:val="18"/>
        </w:rPr>
      </w:pPr>
    </w:p>
    <w:p>
      <w:pPr>
        <w:pStyle w:val="Heading3"/>
        <w:spacing w:line="240" w:lineRule="auto" w:before="120"/>
        <w:ind w:right="90"/>
        <w:jc w:val="left"/>
        <w:rPr>
          <w:b w:val="0"/>
          <w:bCs w:val="0"/>
        </w:rPr>
      </w:pPr>
      <w:bookmarkStart w:name="32、以公允价值计量且其变动计入当期损益的金融负债" w:id="314"/>
      <w:bookmarkEnd w:id="314"/>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0"/>
        <w:jc w:val="left"/>
        <w:rPr>
          <w:b w:val="0"/>
          <w:bCs w:val="0"/>
        </w:rPr>
      </w:pPr>
      <w:bookmarkStart w:name="33、衍生金融负债" w:id="315"/>
      <w:bookmarkEnd w:id="315"/>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0"/>
        <w:jc w:val="left"/>
        <w:rPr>
          <w:b w:val="0"/>
          <w:bCs w:val="0"/>
        </w:rPr>
      </w:pPr>
      <w:bookmarkStart w:name="34、应付票据" w:id="316"/>
      <w:bookmarkEnd w:id="316"/>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32,281,838.30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15,380,880.29</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32,281,838.30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15,380,880.29</w:t>
            </w:r>
          </w:p>
        </w:tc>
      </w:tr>
    </w:tbl>
    <w:p>
      <w:pPr>
        <w:pStyle w:val="BodyText"/>
        <w:spacing w:line="240" w:lineRule="auto" w:before="49"/>
        <w:ind w:right="90"/>
        <w:jc w:val="left"/>
      </w:pPr>
      <w:r>
        <w:rPr/>
        <w:t>本期末已到期未支付的应付票据总额为</w:t>
      </w:r>
      <w:r>
        <w:rPr>
          <w:spacing w:val="-46"/>
        </w:rPr>
        <w:t> </w:t>
      </w:r>
      <w:r>
        <w:rPr>
          <w:rFonts w:ascii="Times New Roman" w:hAnsi="Times New Roman" w:cs="Times New Roman" w:eastAsia="Times New Roman" w:hint="default"/>
        </w:rPr>
        <w:t>0.00 </w:t>
      </w:r>
      <w:r>
        <w:rPr/>
        <w:t>元。</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5、应付账款" w:id="317"/>
      <w:bookmarkEnd w:id="317"/>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18"/>
      <w:bookmarkEnd w:id="31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216,260,909.88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56,687,891.69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4,546,089.41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2,636,332.25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2,609,839.25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1,931,265.87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1,002,288.09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777,852.59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224,419,126.63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62,033,342.40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319"/>
      <w:bookmarkEnd w:id="319"/>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pStyle w:val="BodyText"/>
        <w:spacing w:line="300" w:lineRule="auto" w:before="115"/>
        <w:ind w:right="144" w:firstLine="432"/>
        <w:jc w:val="left"/>
      </w:pPr>
      <w:r>
        <w:rPr/>
        <w:t>应付账款</w:t>
      </w:r>
      <w:r>
        <w:rPr>
          <w:rFonts w:ascii="Times New Roman" w:hAnsi="Times New Roman" w:cs="Times New Roman" w:eastAsia="Times New Roman" w:hint="default"/>
        </w:rPr>
        <w:t>2015</w:t>
      </w:r>
      <w:r>
        <w:rPr/>
        <w:t>年末余额中账龄超过一年的应付款项，主要是本公司应付北京东方通科技股份有限公司软件采购款 </w:t>
      </w:r>
      <w:r>
        <w:rPr>
          <w:rFonts w:ascii="Times New Roman" w:hAnsi="Times New Roman" w:cs="Times New Roman" w:eastAsia="Times New Roman" w:hint="default"/>
        </w:rPr>
        <w:t>1,519,080.00</w:t>
      </w:r>
      <w:r>
        <w:rPr/>
        <w:t>元和子公司江苏开拓应付江苏柏图雅凿装饰工程科技有限公司</w:t>
      </w:r>
      <w:r>
        <w:rPr>
          <w:rFonts w:ascii="Times New Roman" w:hAnsi="Times New Roman" w:cs="Times New Roman" w:eastAsia="Times New Roman" w:hint="default"/>
        </w:rPr>
        <w:t>1,446,508.00</w:t>
      </w:r>
      <w:r>
        <w:rPr/>
        <w:t>元，根据合同约定暂不需支付。除此 之外无账龄超过</w:t>
      </w:r>
      <w:r>
        <w:rPr>
          <w:rFonts w:ascii="Times New Roman" w:hAnsi="Times New Roman" w:cs="Times New Roman" w:eastAsia="Times New Roman" w:hint="default"/>
        </w:rPr>
        <w:t>1</w:t>
      </w:r>
      <w:r>
        <w:rPr/>
        <w:t>年的重要应付账款。</w:t>
      </w:r>
    </w:p>
    <w:p>
      <w:pPr>
        <w:pStyle w:val="BodyText"/>
        <w:spacing w:line="240" w:lineRule="auto" w:before="13"/>
        <w:ind w:left="584" w:right="0"/>
        <w:jc w:val="left"/>
      </w:pPr>
      <w:r>
        <w:rPr/>
        <w:t>应付账款</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261.77%</w:t>
      </w:r>
      <w:r>
        <w:rPr/>
        <w:t>，主要原因是本年子公司外包园公司应付工程款增加。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bookmarkStart w:name="36、预收款项" w:id="320"/>
      <w:bookmarkEnd w:id="320"/>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21"/>
      <w:bookmarkEnd w:id="32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2,932,205.76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11,452,559.24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122,836.44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113,998.95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4,412.40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3,059,454.60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11,566,808.19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322"/>
      <w:bookmarkEnd w:id="32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期末建造合同形成的已结算未完工项目情况" w:id="323"/>
      <w:bookmarkEnd w:id="32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pStyle w:val="BodyText"/>
        <w:spacing w:line="300" w:lineRule="auto" w:before="115"/>
        <w:ind w:left="584" w:right="867"/>
        <w:jc w:val="left"/>
      </w:pPr>
      <w:r>
        <w:rPr/>
        <w:t>预收款项</w:t>
      </w:r>
      <w:r>
        <w:rPr>
          <w:rFonts w:ascii="Times New Roman" w:hAnsi="Times New Roman" w:cs="Times New Roman" w:eastAsia="Times New Roman" w:hint="default"/>
        </w:rPr>
        <w:t>2015</w:t>
      </w:r>
      <w:r>
        <w:rPr/>
        <w:t>年末余额中无账龄超过</w:t>
      </w:r>
      <w:r>
        <w:rPr>
          <w:rFonts w:ascii="Times New Roman" w:hAnsi="Times New Roman" w:cs="Times New Roman" w:eastAsia="Times New Roman" w:hint="default"/>
        </w:rPr>
        <w:t>1</w:t>
      </w:r>
      <w:r>
        <w:rPr/>
        <w:t>年的大额预收款项。 预收款项</w:t>
      </w:r>
      <w:r>
        <w:rPr>
          <w:rFonts w:ascii="Times New Roman" w:hAnsi="Times New Roman" w:cs="Times New Roman" w:eastAsia="Times New Roman" w:hint="default"/>
        </w:rPr>
        <w:t>2015</w:t>
      </w:r>
      <w:r>
        <w:rPr/>
        <w:t>年末余额比年初余额下降</w:t>
      </w:r>
      <w:r>
        <w:rPr>
          <w:rFonts w:ascii="Times New Roman" w:hAnsi="Times New Roman" w:cs="Times New Roman" w:eastAsia="Times New Roman" w:hint="default"/>
        </w:rPr>
        <w:t>73.55%</w:t>
      </w:r>
      <w:r>
        <w:rPr/>
        <w:t>，主要原因是处置子公司润和数码减少其年末预收款项余额。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bookmarkStart w:name="37、应付职工薪酬" w:id="324"/>
      <w:bookmarkEnd w:id="324"/>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25"/>
      <w:bookmarkEnd w:id="32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35,456,453.61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512,558,701.80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486,920,949.62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61,094,205.79</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814,923.89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37,489,856.27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36,224,685.50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2,080,094.66</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345,084.94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269,025.94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76,059.00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36,271,377.50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550,393,643.01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523,414,661.06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63,250,359.45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326"/>
      <w:bookmarkEnd w:id="32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34,310,479.34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428,315,818.81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405,351,118.75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57,275,179.40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5,773,875.33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5,773,875.33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651,536.89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22,847,084.79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22,139,039.92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1,359,581.76</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567,808.20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20,398,184.49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19,775,043.72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1,190,948.97</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45,302.72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1,212,359.28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1,176,829.78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80,832.22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38,425.97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1,236,541.02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1,187,166.42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87,800.57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48,180.00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19,129,902.17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19,053,996.17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124,086.00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446,257.38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4,441,626.53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2,552,525.28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2,335,358.63</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、股份支付</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31,875,413.94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31,875,413.94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174,980.23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174,980.23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35,456,453.61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512,558,701.80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486,920,949.62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61,094,205.79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设定提存计划列示" w:id="327"/>
      <w:bookmarkEnd w:id="32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776,281.92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35,278,449.19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34,071,561.73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1,983,169.38</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38,641.97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2,211,407.08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2,153,123.77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96,925.28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814,923.89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37,489,856.27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36,224,685.50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2,080,094.66</w:t>
            </w:r>
            <w:r>
              <w:rPr>
                <w:rFonts w:ascii="Times New Roman"/>
                <w:sz w:val="18"/>
              </w:rPr>
            </w:r>
          </w:p>
        </w:tc>
      </w:tr>
    </w:tbl>
    <w:p>
      <w:pPr>
        <w:pStyle w:val="BodyText"/>
        <w:spacing w:line="240" w:lineRule="auto" w:before="49"/>
        <w:ind w:right="0"/>
        <w:jc w:val="left"/>
      </w:pPr>
      <w:r>
        <w:rPr/>
        <w:t>其他说明：</w:t>
      </w:r>
    </w:p>
    <w:p>
      <w:pPr>
        <w:pStyle w:val="BodyText"/>
        <w:spacing w:line="300" w:lineRule="auto" w:before="117"/>
        <w:ind w:right="207" w:firstLine="432"/>
        <w:jc w:val="left"/>
      </w:pPr>
      <w:r>
        <w:rPr/>
        <w:t>本期由于新增非同一控制下企业合并子公司联创智融、菲耐得，增加应付职工薪酬余额</w:t>
      </w:r>
      <w:r>
        <w:rPr>
          <w:rFonts w:ascii="Times New Roman" w:hAnsi="Times New Roman" w:cs="Times New Roman" w:eastAsia="Times New Roman" w:hint="default"/>
        </w:rPr>
        <w:t>17,252,841.23</w:t>
      </w:r>
      <w:r>
        <w:rPr/>
        <w:t>元。本期由于处 置子公司润和数码，减少应付职工薪酬余额</w:t>
      </w:r>
      <w:r>
        <w:rPr>
          <w:rFonts w:ascii="Times New Roman" w:hAnsi="Times New Roman" w:cs="Times New Roman" w:eastAsia="Times New Roman" w:hint="default"/>
        </w:rPr>
        <w:t>1,013,963.30</w:t>
      </w:r>
      <w:r>
        <w:rPr/>
        <w:t>元。</w:t>
      </w:r>
    </w:p>
    <w:p>
      <w:pPr>
        <w:pStyle w:val="BodyText"/>
        <w:spacing w:line="300" w:lineRule="auto" w:before="13"/>
        <w:ind w:right="147" w:firstLine="432"/>
        <w:jc w:val="left"/>
      </w:pPr>
      <w:r>
        <w:rPr/>
        <w:t>应付职工薪酬</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74.38%</w:t>
      </w:r>
      <w:r>
        <w:rPr/>
        <w:t>，主要原因是本年新增非同一控制下企业合并子公司联创智融的年 末应付职工薪酬。</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38、应交税费" w:id="328"/>
      <w:bookmarkEnd w:id="328"/>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52,792,892.13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11,917,838.19</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1,977,290.35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1,184,585.98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35,336,744.30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9,609,166.63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1,897,034.89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585,139.63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2,459,709.80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236,434.58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1,756,488.20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185,722.08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283,544.97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472,272.42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123,956.82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93,239.15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96,627,661.46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24,284,398.66</w:t>
            </w:r>
          </w:p>
        </w:tc>
      </w:tr>
    </w:tbl>
    <w:p>
      <w:pPr>
        <w:pStyle w:val="BodyText"/>
        <w:spacing w:line="240" w:lineRule="auto" w:before="49"/>
        <w:ind w:right="0"/>
        <w:jc w:val="left"/>
      </w:pPr>
      <w:r>
        <w:rPr/>
        <w:t>其他说明：</w:t>
      </w:r>
    </w:p>
    <w:p>
      <w:pPr>
        <w:pStyle w:val="BodyText"/>
        <w:spacing w:line="300" w:lineRule="auto" w:before="115"/>
        <w:ind w:right="0" w:firstLine="360"/>
        <w:jc w:val="left"/>
      </w:pPr>
      <w:r>
        <w:rPr>
          <w:spacing w:val="-1"/>
        </w:rPr>
        <w:t>应交税费</w:t>
      </w:r>
      <w:r>
        <w:rPr>
          <w:rFonts w:ascii="Times New Roman" w:hAnsi="Times New Roman" w:cs="Times New Roman" w:eastAsia="Times New Roman" w:hint="default"/>
          <w:spacing w:val="-1"/>
        </w:rPr>
        <w:t>2015</w:t>
      </w:r>
      <w:r>
        <w:rPr>
          <w:spacing w:val="-1"/>
        </w:rPr>
        <w:t>年末余额比年初余额增长</w:t>
      </w:r>
      <w:r>
        <w:rPr>
          <w:rFonts w:ascii="Times New Roman" w:hAnsi="Times New Roman" w:cs="Times New Roman" w:eastAsia="Times New Roman" w:hint="default"/>
          <w:spacing w:val="-1"/>
        </w:rPr>
        <w:t>297.90%</w:t>
      </w:r>
      <w:r>
        <w:rPr>
          <w:spacing w:val="-1"/>
        </w:rPr>
        <w:t>，主要原因是本年新增非同一控制下企业合并子公司联创智融的年末应</w:t>
      </w:r>
      <w:r>
        <w:rPr/>
        <w:t> 交税费。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0"/>
        <w:jc w:val="left"/>
        <w:rPr>
          <w:b w:val="0"/>
          <w:bCs w:val="0"/>
        </w:rPr>
      </w:pPr>
      <w:bookmarkStart w:name="39、应付利息" w:id="329"/>
      <w:bookmarkEnd w:id="329"/>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1,810,421.64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1,069,667.64</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1,810,421.64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1,069,667.64</w:t>
            </w:r>
            <w:r>
              <w:rPr>
                <w:rFonts w:ascii="Times New Roman"/>
                <w:sz w:val="18"/>
              </w:rPr>
            </w:r>
          </w:p>
        </w:tc>
      </w:tr>
    </w:tbl>
    <w:p>
      <w:pPr>
        <w:pStyle w:val="BodyText"/>
        <w:spacing w:line="240" w:lineRule="auto" w:before="49"/>
        <w:ind w:right="0"/>
        <w:jc w:val="left"/>
      </w:pPr>
      <w:r>
        <w:rPr/>
        <w:t>重要的已逾期未支付的利息情况：</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pStyle w:val="BodyText"/>
        <w:spacing w:line="240" w:lineRule="auto" w:before="117"/>
        <w:ind w:left="584" w:right="0"/>
        <w:jc w:val="left"/>
      </w:pPr>
      <w:r>
        <w:rPr/>
        <w:t>（</w:t>
      </w:r>
      <w:r>
        <w:rPr>
          <w:rFonts w:ascii="Times New Roman" w:hAnsi="Times New Roman" w:cs="Times New Roman" w:eastAsia="Times New Roman" w:hint="default"/>
        </w:rPr>
        <w:t>1</w:t>
      </w:r>
      <w:r>
        <w:rPr/>
        <w:t>）应付利息</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69.25%</w:t>
      </w:r>
      <w:r>
        <w:rPr/>
        <w:t>，主要原因是本年长短期借款增加，年末应付利息的余额增加。</w:t>
      </w:r>
    </w:p>
    <w:p>
      <w:pPr>
        <w:pStyle w:val="BodyText"/>
        <w:spacing w:line="240" w:lineRule="auto" w:before="62"/>
        <w:ind w:left="58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年末公司无已逾期未支付的利息。</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0、应付股利" w:id="330"/>
      <w:bookmarkEnd w:id="330"/>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31"/>
      <w:bookmarkEnd w:id="331"/>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32"/>
      <w:bookmarkEnd w:id="33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88,583,830.00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3,313,576.93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2,395,583.15</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7,192,137.42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8,114,126.92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94,223,472.55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231,113,016.90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46,509,710.07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333"/>
      <w:bookmarkEnd w:id="333"/>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both"/>
      </w:pPr>
      <w:r>
        <w:rPr/>
        <w:t>其他说明</w:t>
      </w:r>
    </w:p>
    <w:p>
      <w:pPr>
        <w:pStyle w:val="BodyText"/>
        <w:spacing w:line="300" w:lineRule="auto" w:before="117"/>
        <w:ind w:left="584" w:right="102"/>
        <w:jc w:val="left"/>
      </w:pPr>
      <w:r>
        <w:rPr>
          <w:rFonts w:ascii="Times New Roman" w:hAnsi="Times New Roman" w:cs="Times New Roman" w:eastAsia="Times New Roman" w:hint="default"/>
        </w:rPr>
        <w:t>2015</w:t>
      </w:r>
      <w:r>
        <w:rPr/>
        <w:t>年末无账龄超过</w:t>
      </w:r>
      <w:r>
        <w:rPr>
          <w:rFonts w:ascii="Times New Roman" w:hAnsi="Times New Roman" w:cs="Times New Roman" w:eastAsia="Times New Roman" w:hint="default"/>
        </w:rPr>
        <w:t>1</w:t>
      </w:r>
      <w:r>
        <w:rPr/>
        <w:t>年的重要其他应付款。 其他应付款</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396.91%</w:t>
      </w:r>
      <w:r>
        <w:rPr/>
        <w:t>，主要原因是公司本年确认股份支付回购义务</w:t>
      </w:r>
      <w:r>
        <w:rPr>
          <w:rFonts w:ascii="Times New Roman" w:hAnsi="Times New Roman" w:cs="Times New Roman" w:eastAsia="Times New Roman" w:hint="default"/>
        </w:rPr>
        <w:t>94,223,472.55</w:t>
      </w:r>
      <w:r>
        <w:rPr/>
        <w:t>元；另，</w:t>
      </w:r>
    </w:p>
    <w:p>
      <w:pPr>
        <w:pStyle w:val="BodyText"/>
        <w:spacing w:line="309" w:lineRule="auto" w:before="13"/>
        <w:ind w:right="153"/>
        <w:jc w:val="both"/>
      </w:pPr>
      <w:r>
        <w:rPr>
          <w:spacing w:val="-2"/>
        </w:rPr>
        <w:t>根据相关购买资产协议书约定的分期支付股权转让款的相关条款，年末应付宁波宏创股权投资合伙企业（有限合伙）股权转</w:t>
      </w:r>
      <w:r>
        <w:rPr>
          <w:spacing w:val="-66"/>
        </w:rPr>
        <w:t> </w:t>
      </w:r>
      <w:r>
        <w:rPr>
          <w:spacing w:val="-66"/>
        </w:rPr>
      </w:r>
      <w:r>
        <w:rPr/>
        <w:t>让款</w:t>
      </w:r>
      <w:r>
        <w:rPr>
          <w:rFonts w:ascii="Times New Roman" w:hAnsi="Times New Roman" w:cs="Times New Roman" w:eastAsia="Times New Roman" w:hint="default"/>
        </w:rPr>
        <w:t>58,583,830.00</w:t>
      </w:r>
      <w:r>
        <w:rPr/>
        <w:t>元、应付菲耐得原股东的股权转让款</w:t>
      </w:r>
      <w:r>
        <w:rPr>
          <w:rFonts w:ascii="Times New Roman" w:hAnsi="Times New Roman" w:cs="Times New Roman" w:eastAsia="Times New Roman" w:hint="default"/>
        </w:rPr>
        <w:t>30,000,000.00</w:t>
      </w:r>
      <w:r>
        <w:rPr/>
        <w:t>元尚未支付；年末子公司联创智融应付宁波宏创股权投 资合伙企业（有限合伙）资金往来款</w:t>
      </w:r>
      <w:r>
        <w:rPr>
          <w:rFonts w:ascii="Times New Roman" w:hAnsi="Times New Roman" w:cs="Times New Roman" w:eastAsia="Times New Roman" w:hint="default"/>
        </w:rPr>
        <w:t>37,800,000.00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right="0"/>
        <w:jc w:val="both"/>
        <w:rPr>
          <w:b w:val="0"/>
          <w:bCs w:val="0"/>
        </w:rPr>
      </w:pPr>
      <w:bookmarkStart w:name="42、划分为持有待售的负债" w:id="334"/>
      <w:bookmarkEnd w:id="334"/>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3、一年内到期的非流动负债" w:id="335"/>
      <w:bookmarkEnd w:id="33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94,323,250.00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32,648,918.47</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94,323,250.00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32,648,918.47</w:t>
            </w:r>
          </w:p>
        </w:tc>
      </w:tr>
    </w:tbl>
    <w:p>
      <w:pPr>
        <w:pStyle w:val="BodyText"/>
        <w:spacing w:line="240" w:lineRule="auto" w:before="49"/>
        <w:ind w:right="0"/>
        <w:jc w:val="left"/>
      </w:pPr>
      <w:r>
        <w:rPr/>
        <w:t>其他说明：</w:t>
      </w:r>
    </w:p>
    <w:p>
      <w:pPr>
        <w:pStyle w:val="BodyText"/>
        <w:spacing w:line="300" w:lineRule="auto" w:before="117"/>
        <w:ind w:right="0" w:firstLine="432"/>
        <w:jc w:val="left"/>
      </w:pPr>
      <w:r>
        <w:rPr>
          <w:spacing w:val="-2"/>
        </w:rPr>
        <w:t>一年内到期的非流动负债</w:t>
      </w:r>
      <w:r>
        <w:rPr>
          <w:rFonts w:ascii="Times New Roman" w:hAnsi="Times New Roman" w:cs="Times New Roman" w:eastAsia="Times New Roman" w:hint="default"/>
          <w:spacing w:val="-2"/>
        </w:rPr>
        <w:t>2015</w:t>
      </w:r>
      <w:r>
        <w:rPr>
          <w:spacing w:val="-2"/>
        </w:rPr>
        <w:t>年末余额比年初余额增长</w:t>
      </w:r>
      <w:r>
        <w:rPr>
          <w:rFonts w:ascii="Times New Roman" w:hAnsi="Times New Roman" w:cs="Times New Roman" w:eastAsia="Times New Roman" w:hint="default"/>
          <w:spacing w:val="-2"/>
        </w:rPr>
        <w:t>188.90%</w:t>
      </w:r>
      <w:r>
        <w:rPr>
          <w:spacing w:val="-2"/>
        </w:rPr>
        <w:t>，主要原因是公司本年取得的并购业务借款将于一年内</w:t>
      </w:r>
      <w:r>
        <w:rPr/>
        <w:t> 到期的金额为</w:t>
      </w:r>
      <w:r>
        <w:rPr>
          <w:rFonts w:ascii="Times New Roman" w:hAnsi="Times New Roman" w:cs="Times New Roman" w:eastAsia="Times New Roman" w:hint="default"/>
        </w:rPr>
        <w:t>94,000,000.00</w:t>
      </w:r>
      <w:r>
        <w:rPr/>
        <w:t>元。</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4、其他流动负债" w:id="336"/>
      <w:bookmarkEnd w:id="33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短期应付债券的增减变动：</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8"/>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49"/>
        <w:ind w:right="3654"/>
        <w:jc w:val="left"/>
      </w:pPr>
      <w:r>
        <w:rPr/>
        <w:t>其他说明： 公司将</w:t>
      </w:r>
      <w:r>
        <w:rPr>
          <w:rFonts w:ascii="Times New Roman" w:hAnsi="Times New Roman" w:cs="Times New Roman" w:eastAsia="Times New Roman" w:hint="default"/>
        </w:rPr>
        <w:t>2015</w:t>
      </w:r>
      <w:r>
        <w:rPr/>
        <w:t>年年末授予的限制性股票中存在的回购义务确认为其他流动负债。</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bookmarkStart w:name="45、长期借款" w:id="337"/>
      <w:bookmarkEnd w:id="33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38"/>
      <w:bookmarkEnd w:id="33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330,000,000.00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252,000,000.00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274,308,226.00</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582,000,000.00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339,308,226.00</w:t>
            </w:r>
            <w:r>
              <w:rPr>
                <w:rFonts w:ascii="Times New Roman"/>
                <w:sz w:val="18"/>
              </w:rPr>
            </w:r>
          </w:p>
        </w:tc>
      </w:tr>
    </w:tbl>
    <w:p>
      <w:pPr>
        <w:pStyle w:val="BodyText"/>
        <w:spacing w:line="240" w:lineRule="auto" w:before="49"/>
        <w:ind w:right="0"/>
        <w:jc w:val="left"/>
      </w:pPr>
      <w:r>
        <w:rPr/>
        <w:t>长期借款分类的说明：</w:t>
      </w:r>
    </w:p>
    <w:p>
      <w:pPr>
        <w:pStyle w:val="BodyText"/>
        <w:spacing w:line="240" w:lineRule="auto" w:before="115"/>
        <w:ind w:left="512" w:right="0"/>
        <w:jc w:val="left"/>
      </w:pPr>
      <w:r>
        <w:rPr/>
        <w:t>（</w:t>
      </w:r>
      <w:r>
        <w:rPr>
          <w:rFonts w:ascii="Times New Roman" w:hAnsi="Times New Roman" w:cs="Times New Roman" w:eastAsia="Times New Roman" w:hint="default"/>
        </w:rPr>
        <w:t>1</w:t>
      </w:r>
      <w:r>
        <w:rPr/>
        <w:t>）保证借款</w:t>
      </w:r>
      <w:r>
        <w:rPr>
          <w:rFonts w:ascii="Times New Roman" w:hAnsi="Times New Roman" w:cs="Times New Roman" w:eastAsia="Times New Roman" w:hint="default"/>
        </w:rPr>
        <w:t>2015</w:t>
      </w:r>
      <w:r>
        <w:rPr/>
        <w:t>年末余额情况：</w:t>
      </w:r>
    </w:p>
    <w:p>
      <w:pPr>
        <w:pStyle w:val="BodyText"/>
        <w:spacing w:line="300" w:lineRule="auto" w:before="62"/>
        <w:ind w:right="137" w:firstLine="432"/>
        <w:jc w:val="left"/>
      </w:pPr>
      <w:r>
        <w:rPr/>
        <w:t>①子公司外包园公司</w:t>
      </w:r>
      <w:r>
        <w:rPr>
          <w:rFonts w:ascii="Times New Roman" w:hAnsi="Times New Roman" w:cs="Times New Roman" w:eastAsia="Times New Roman" w:hint="default"/>
        </w:rPr>
        <w:t>180,000,000.00</w:t>
      </w:r>
      <w:r>
        <w:rPr/>
        <w:t>元，是向中国工商银行南京玄武支行取得的</w:t>
      </w:r>
      <w:r>
        <w:rPr>
          <w:rFonts w:ascii="Times New Roman" w:hAnsi="Times New Roman" w:cs="Times New Roman" w:eastAsia="Times New Roman" w:hint="default"/>
        </w:rPr>
        <w:t>“</w:t>
      </w:r>
      <w:r>
        <w:rPr/>
        <w:t>润和国际软件外包研发总部基地</w:t>
      </w:r>
      <w:r>
        <w:rPr>
          <w:rFonts w:ascii="Times New Roman" w:hAnsi="Times New Roman" w:cs="Times New Roman" w:eastAsia="Times New Roman" w:hint="default"/>
        </w:rPr>
        <w:t>”</w:t>
      </w:r>
      <w:r>
        <w:rPr/>
        <w:t>项目 的专门借款。</w:t>
      </w:r>
    </w:p>
    <w:p>
      <w:pPr>
        <w:pStyle w:val="BodyText"/>
        <w:spacing w:line="300" w:lineRule="auto" w:before="31"/>
        <w:ind w:right="0" w:firstLine="432"/>
        <w:jc w:val="left"/>
      </w:pPr>
      <w:r>
        <w:rPr>
          <w:spacing w:val="-2"/>
        </w:rPr>
        <w:t>②本公司</w:t>
      </w:r>
      <w:r>
        <w:rPr>
          <w:rFonts w:ascii="Times New Roman" w:hAnsi="Times New Roman" w:cs="Times New Roman" w:eastAsia="Times New Roman" w:hint="default"/>
          <w:spacing w:val="-2"/>
        </w:rPr>
        <w:t>72,000,000.00</w:t>
      </w:r>
      <w:r>
        <w:rPr>
          <w:spacing w:val="-2"/>
        </w:rPr>
        <w:t>元，是向中国工商银行南京玄武支行取得的</w:t>
      </w:r>
      <w:r>
        <w:rPr>
          <w:rFonts w:ascii="Times New Roman" w:hAnsi="Times New Roman" w:cs="Times New Roman" w:eastAsia="Times New Roman" w:hint="default"/>
          <w:spacing w:val="-2"/>
        </w:rPr>
        <w:t>96,000,000.00</w:t>
      </w:r>
      <w:r>
        <w:rPr>
          <w:spacing w:val="-2"/>
        </w:rPr>
        <w:t>元并购资金借款，江苏润和科技投资集</w:t>
      </w:r>
      <w:r>
        <w:rPr/>
        <w:t> </w:t>
      </w:r>
      <w:r>
        <w:rPr>
          <w:spacing w:val="-1"/>
        </w:rPr>
        <w:t>团有限公司、子公司江苏开拓为该笔借款提供担保，截至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日止，该长期借款年末余额</w:t>
      </w:r>
      <w:r>
        <w:rPr>
          <w:rFonts w:ascii="Times New Roman" w:hAnsi="Times New Roman" w:cs="Times New Roman" w:eastAsia="Times New Roman" w:hint="default"/>
          <w:spacing w:val="-1"/>
        </w:rPr>
        <w:t>24,000,000.00</w:t>
      </w:r>
      <w:r>
        <w:rPr>
          <w:spacing w:val="-1"/>
        </w:rPr>
        <w:t>元均将于一</w:t>
      </w:r>
    </w:p>
    <w:p>
      <w:pPr>
        <w:spacing w:after="0" w:line="300" w:lineRule="auto"/>
        <w:jc w:val="left"/>
        <w:sectPr>
          <w:footerReference w:type="default" r:id="rId24"/>
          <w:pgSz w:w="11910" w:h="16840"/>
          <w:pgMar w:footer="982" w:header="745" w:top="1060" w:bottom="1180" w:left="980" w:right="980"/>
          <w:pgNumType w:start="158"/>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年内到期，重分类至一年内到期的非流动负债。</w:t>
      </w:r>
    </w:p>
    <w:p>
      <w:pPr>
        <w:pStyle w:val="BodyText"/>
        <w:spacing w:line="300" w:lineRule="auto" w:before="76"/>
        <w:ind w:right="0" w:firstLine="360"/>
        <w:jc w:val="left"/>
      </w:pPr>
      <w:r>
        <w:rPr>
          <w:spacing w:val="-1"/>
        </w:rPr>
        <w:t>（</w:t>
      </w:r>
      <w:r>
        <w:rPr>
          <w:rFonts w:ascii="Times New Roman" w:hAnsi="Times New Roman" w:cs="Times New Roman" w:eastAsia="Times New Roman" w:hint="default"/>
          <w:spacing w:val="-1"/>
        </w:rPr>
        <w:t>2</w:t>
      </w:r>
      <w:r>
        <w:rPr>
          <w:spacing w:val="-1"/>
        </w:rPr>
        <w:t>）质押借款</w:t>
      </w:r>
      <w:r>
        <w:rPr>
          <w:rFonts w:ascii="Times New Roman" w:hAnsi="Times New Roman" w:cs="Times New Roman" w:eastAsia="Times New Roman" w:hint="default"/>
          <w:spacing w:val="-1"/>
        </w:rPr>
        <w:t>2015</w:t>
      </w:r>
      <w:r>
        <w:rPr>
          <w:spacing w:val="-1"/>
        </w:rPr>
        <w:t>年末余额是本公司向中国工商银行南京玄武支行取得的</w:t>
      </w:r>
      <w:r>
        <w:rPr>
          <w:rFonts w:ascii="Times New Roman" w:hAnsi="Times New Roman" w:cs="Times New Roman" w:eastAsia="Times New Roman" w:hint="default"/>
          <w:spacing w:val="-1"/>
        </w:rPr>
        <w:t>400,000,000.00</w:t>
      </w:r>
      <w:r>
        <w:rPr>
          <w:spacing w:val="-1"/>
        </w:rPr>
        <w:t>元并购资金借款，以子公司联</w:t>
      </w:r>
      <w:r>
        <w:rPr/>
        <w:t> 创智融</w:t>
      </w:r>
      <w:r>
        <w:rPr>
          <w:rFonts w:ascii="Times New Roman" w:hAnsi="Times New Roman" w:cs="Times New Roman" w:eastAsia="Times New Roman" w:hint="default"/>
        </w:rPr>
        <w:t>100%</w:t>
      </w:r>
      <w:r>
        <w:rPr/>
        <w:t>股权作为质押物，截至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日止，该长期借款年末余额</w:t>
      </w:r>
      <w:r>
        <w:rPr>
          <w:rFonts w:ascii="Times New Roman" w:hAnsi="Times New Roman" w:cs="Times New Roman" w:eastAsia="Times New Roman" w:hint="default"/>
        </w:rPr>
        <w:t>70,000,000.00</w:t>
      </w:r>
      <w:r>
        <w:rPr/>
        <w:t>元均将于一年内到期，重分类至 一年内到期的非流动负债。</w:t>
      </w:r>
    </w:p>
    <w:p>
      <w:pPr>
        <w:pStyle w:val="BodyText"/>
        <w:spacing w:line="357" w:lineRule="auto" w:before="72"/>
        <w:ind w:right="2739"/>
        <w:jc w:val="left"/>
      </w:pPr>
      <w:r>
        <w:rPr/>
        <w:pict>
          <v:shape style="position:absolute;margin-left:61.68pt;margin-top:36.317699pt;width:407.05pt;height:87.8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7"/>
                    <w:gridCol w:w="1985"/>
                    <w:gridCol w:w="2126"/>
                    <w:gridCol w:w="2126"/>
                  </w:tblGrid>
                  <w:tr>
                    <w:trPr>
                      <w:trHeight w:val="350" w:hRule="exact"/>
                    </w:trPr>
                    <w:tc>
                      <w:tcPr>
                        <w:tcW w:w="1877" w:type="dxa"/>
                        <w:tcBorders>
                          <w:top w:val="single" w:sz="6" w:space="0" w:color="000000"/>
                          <w:left w:val="single" w:sz="6" w:space="0" w:color="000000"/>
                          <w:bottom w:val="single" w:sz="8" w:space="0" w:color="000000"/>
                          <w:right w:val="single" w:sz="6" w:space="0" w:color="000000"/>
                        </w:tcBorders>
                      </w:tcPr>
                      <w:p>
                        <w:pPr>
                          <w:pStyle w:val="TableParagraph"/>
                          <w:tabs>
                            <w:tab w:pos="523" w:val="left" w:leader="none"/>
                          </w:tabs>
                          <w:spacing w:line="240" w:lineRule="auto" w:before="4"/>
                          <w:ind w:right="564"/>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1"/>
                          <w:ind w:left="535" w:right="0"/>
                          <w:jc w:val="left"/>
                          <w:rPr>
                            <w:rFonts w:ascii="Times New Roman" w:hAnsi="Times New Roman" w:cs="Times New Roman" w:eastAsia="Times New Roman" w:hint="default"/>
                            <w:sz w:val="20"/>
                            <w:szCs w:val="20"/>
                          </w:rPr>
                        </w:pPr>
                        <w:r>
                          <w:rPr>
                            <w:rFonts w:ascii="Times New Roman"/>
                            <w:sz w:val="20"/>
                          </w:rPr>
                          <w:t>2015.12.31</w:t>
                        </w:r>
                      </w:p>
                    </w:tc>
                    <w:tc>
                      <w:tcPr>
                        <w:tcW w:w="212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1"/>
                          <w:ind w:left="604" w:right="0"/>
                          <w:jc w:val="left"/>
                          <w:rPr>
                            <w:rFonts w:ascii="Times New Roman" w:hAnsi="Times New Roman" w:cs="Times New Roman" w:eastAsia="Times New Roman" w:hint="default"/>
                            <w:sz w:val="20"/>
                            <w:szCs w:val="20"/>
                          </w:rPr>
                        </w:pPr>
                        <w:r>
                          <w:rPr>
                            <w:rFonts w:ascii="Times New Roman"/>
                            <w:sz w:val="20"/>
                          </w:rPr>
                          <w:t>2014.12.31</w:t>
                        </w:r>
                      </w:p>
                    </w:tc>
                    <w:tc>
                      <w:tcPr>
                        <w:tcW w:w="2126"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
                          <w:ind w:left="657" w:right="0"/>
                          <w:jc w:val="left"/>
                          <w:rPr>
                            <w:rFonts w:ascii="宋体" w:hAnsi="宋体" w:cs="宋体" w:eastAsia="宋体" w:hint="default"/>
                            <w:sz w:val="20"/>
                            <w:szCs w:val="20"/>
                          </w:rPr>
                        </w:pPr>
                        <w:r>
                          <w:rPr>
                            <w:rFonts w:ascii="宋体" w:hAnsi="宋体" w:cs="宋体" w:eastAsia="宋体" w:hint="default"/>
                            <w:sz w:val="20"/>
                            <w:szCs w:val="20"/>
                          </w:rPr>
                          <w:t>利率区间</w:t>
                        </w:r>
                      </w:p>
                    </w:tc>
                  </w:tr>
                  <w:tr>
                    <w:trPr>
                      <w:trHeight w:val="346" w:hRule="exact"/>
                    </w:trPr>
                    <w:tc>
                      <w:tcPr>
                        <w:tcW w:w="187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252,000,000.00</w:t>
                        </w:r>
                        <w:r>
                          <w:rPr>
                            <w:rFonts w:ascii="Times New Roman"/>
                            <w:sz w:val="20"/>
                          </w:rPr>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274,308,226.00</w:t>
                        </w:r>
                        <w:r>
                          <w:rPr>
                            <w:rFonts w:ascii="Times New Roman"/>
                            <w:sz w:val="20"/>
                          </w:rPr>
                        </w:r>
                      </w:p>
                    </w:tc>
                    <w:tc>
                      <w:tcPr>
                        <w:tcW w:w="21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1.6%-6.40%</w:t>
                        </w:r>
                        <w:r>
                          <w:rPr>
                            <w:rFonts w:ascii="Times New Roman"/>
                            <w:sz w:val="20"/>
                          </w:rPr>
                        </w:r>
                      </w:p>
                    </w:tc>
                  </w:tr>
                  <w:tr>
                    <w:trPr>
                      <w:trHeight w:val="348" w:hRule="exact"/>
                    </w:trPr>
                    <w:tc>
                      <w:tcPr>
                        <w:tcW w:w="187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质押借款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330,000,000.00</w:t>
                        </w:r>
                        <w:r>
                          <w:rPr>
                            <w:rFonts w:ascii="Times New Roman"/>
                            <w:sz w:val="20"/>
                          </w:rPr>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1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4.725%</w:t>
                        </w:r>
                      </w:p>
                    </w:tc>
                  </w:tr>
                  <w:tr>
                    <w:trPr>
                      <w:trHeight w:val="348" w:hRule="exact"/>
                    </w:trPr>
                    <w:tc>
                      <w:tcPr>
                        <w:tcW w:w="187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抵押借款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65,000,000.00</w:t>
                        </w:r>
                        <w:r>
                          <w:rPr>
                            <w:rFonts w:ascii="Times New Roman"/>
                            <w:sz w:val="20"/>
                          </w:rPr>
                        </w:r>
                      </w:p>
                    </w:tc>
                    <w:tc>
                      <w:tcPr>
                        <w:tcW w:w="21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8" w:hRule="exact"/>
                    </w:trPr>
                    <w:tc>
                      <w:tcPr>
                        <w:tcW w:w="1877" w:type="dxa"/>
                        <w:tcBorders>
                          <w:top w:val="single" w:sz="8" w:space="0" w:color="000000"/>
                          <w:left w:val="single" w:sz="6" w:space="0" w:color="000000"/>
                          <w:bottom w:val="single" w:sz="8" w:space="0" w:color="000000"/>
                          <w:right w:val="single" w:sz="6" w:space="0" w:color="000000"/>
                        </w:tcBorders>
                      </w:tcPr>
                      <w:p>
                        <w:pPr>
                          <w:pStyle w:val="TableParagraph"/>
                          <w:tabs>
                            <w:tab w:pos="523" w:val="left" w:leader="none"/>
                          </w:tabs>
                          <w:spacing w:line="259" w:lineRule="exact"/>
                          <w:ind w:right="564"/>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582,000,000.00</w:t>
                        </w:r>
                        <w:r>
                          <w:rPr>
                            <w:rFonts w:ascii="Times New Roman"/>
                            <w:sz w:val="20"/>
                          </w:rPr>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339,308,226.00</w:t>
                        </w:r>
                        <w:r>
                          <w:rPr>
                            <w:rFonts w:ascii="Times New Roman"/>
                            <w:sz w:val="20"/>
                          </w:rPr>
                        </w:r>
                      </w:p>
                    </w:tc>
                    <w:tc>
                      <w:tcPr>
                        <w:tcW w:w="212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bl>
                <w:p>
                  <w:pPr/>
                </w:p>
              </w:txbxContent>
            </v:textbox>
            <w10:wrap type="none"/>
          </v:shape>
        </w:pict>
      </w:r>
      <w:r>
        <w:rPr/>
        <w:t>其他说明，包括利率区间： 长期借款</w:t>
      </w:r>
      <w:r>
        <w:rPr>
          <w:rFonts w:ascii="Times New Roman" w:hAnsi="Times New Roman" w:cs="Times New Roman" w:eastAsia="Times New Roman" w:hint="default"/>
        </w:rPr>
        <w:t>2015</w:t>
      </w:r>
      <w:r>
        <w:rPr/>
        <w:t>年末余额比年初余额增长</w:t>
      </w:r>
      <w:r>
        <w:rPr>
          <w:rFonts w:ascii="Times New Roman" w:hAnsi="Times New Roman" w:cs="Times New Roman" w:eastAsia="Times New Roman" w:hint="default"/>
        </w:rPr>
        <w:t>71.53%</w:t>
      </w:r>
      <w:r>
        <w:rPr/>
        <w:t>，主要原因是本公司</w:t>
      </w:r>
      <w:r>
        <w:rPr>
          <w:rFonts w:ascii="Times New Roman" w:hAnsi="Times New Roman" w:cs="Times New Roman" w:eastAsia="Times New Roman" w:hint="default"/>
        </w:rPr>
        <w:t>2015</w:t>
      </w:r>
      <w:r>
        <w:rPr/>
        <w:t>年并购借款增加。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36"/>
        <w:ind w:right="0"/>
        <w:jc w:val="left"/>
        <w:rPr>
          <w:b w:val="0"/>
          <w:bCs w:val="0"/>
        </w:rPr>
      </w:pPr>
      <w:bookmarkStart w:name="46、应付债券" w:id="339"/>
      <w:bookmarkEnd w:id="33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40"/>
      <w:bookmarkEnd w:id="34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债券的增减变动（不包括划分为金融负债的优先股、永续债等其他金融工具）" w:id="341"/>
      <w:bookmarkEnd w:id="34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3"/>
        <w:spacing w:line="240" w:lineRule="auto" w:before="36"/>
        <w:ind w:right="0"/>
        <w:jc w:val="left"/>
        <w:rPr>
          <w:b w:val="0"/>
          <w:bCs w:val="0"/>
        </w:rPr>
      </w:pPr>
      <w:bookmarkStart w:name="（3）可转换公司债券的转股条件、转股时间说明" w:id="342"/>
      <w:bookmarkEnd w:id="34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43"/>
      <w:bookmarkEnd w:id="34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653" w:space="417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2"/>
        <w:gridCol w:w="1062"/>
        <w:gridCol w:w="1061"/>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6534"/>
        <w:jc w:val="left"/>
      </w:pPr>
      <w:r>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7、长期应付款" w:id="344"/>
      <w:bookmarkEnd w:id="34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45"/>
      <w:bookmarkEnd w:id="34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8、长期应付职工薪酬" w:id="346"/>
      <w:bookmarkEnd w:id="346"/>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47"/>
      <w:bookmarkEnd w:id="34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设定受益计划变动情况" w:id="348"/>
      <w:bookmarkEnd w:id="34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设定受益计划义务现值：</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计划资产：</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设定受益计划净负债（净资产）</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257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9、专项应付款" w:id="349"/>
      <w:bookmarkEnd w:id="349"/>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0、预计负债" w:id="350"/>
      <w:bookmarkEnd w:id="35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1、递延收益" w:id="351"/>
      <w:bookmarkEnd w:id="35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19,662,500.00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与资产相关或附带 验收条件</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19,737,500.00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19,662,500.00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润和国际软件外 包研发总部基地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8,365,000.00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雨花润和软件外 包园项目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1,057,500.00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1,027,500.00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企业供应链管理 软件项目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连锁业门店管理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服务外包中心 扩建项目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科技公共平台项 目资金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管理软件开发自 动化程序升级项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FRID </w:t>
            </w:r>
            <w:r>
              <w:rPr>
                <w:rFonts w:ascii="宋体" w:hAnsi="宋体" w:cs="宋体" w:eastAsia="宋体" w:hint="default"/>
                <w:sz w:val="18"/>
                <w:szCs w:val="18"/>
              </w:rPr>
              <w:t>的供 应链管理软件研 发与应用项目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企业供应链管理 软件工程技术研 究中心项目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服务外包业发展 技改（平台）项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19,737,500.00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19,662,500.00</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240" w:lineRule="auto" w:before="115"/>
        <w:ind w:left="584" w:right="0"/>
        <w:jc w:val="left"/>
      </w:pPr>
      <w:r>
        <w:rPr/>
        <w:t>与资产有关的政府补助</w:t>
      </w:r>
    </w:p>
    <w:p>
      <w:pPr>
        <w:pStyle w:val="BodyText"/>
        <w:spacing w:line="240" w:lineRule="auto" w:before="76"/>
        <w:ind w:left="584" w:right="0"/>
        <w:jc w:val="left"/>
      </w:pPr>
      <w:r>
        <w:rPr/>
        <w:t>①</w:t>
      </w:r>
      <w:r>
        <w:rPr>
          <w:rFonts w:ascii="Times New Roman" w:hAnsi="Times New Roman" w:cs="Times New Roman" w:eastAsia="Times New Roman" w:hint="default"/>
        </w:rPr>
        <w:t>2015</w:t>
      </w:r>
      <w:r>
        <w:rPr/>
        <w:t>年润和国际软件外包研发总部基地项目完工，递延收益随资产折旧的计提而分摊计入营业外收入项目金额为</w:t>
      </w:r>
    </w:p>
    <w:p>
      <w:pPr>
        <w:pStyle w:val="BodyText"/>
        <w:spacing w:line="240" w:lineRule="auto" w:before="62"/>
        <w:ind w:right="0"/>
        <w:jc w:val="left"/>
      </w:pPr>
      <w:r>
        <w:rPr>
          <w:rFonts w:ascii="Times New Roman" w:hAnsi="Times New Roman" w:cs="Times New Roman" w:eastAsia="Times New Roman" w:hint="default"/>
        </w:rPr>
        <w:t>35,000.00</w:t>
      </w:r>
      <w:r>
        <w:rPr/>
        <w:t>元，</w:t>
      </w:r>
      <w:r>
        <w:rPr>
          <w:rFonts w:ascii="Times New Roman" w:hAnsi="Times New Roman" w:cs="Times New Roman" w:eastAsia="Times New Roman" w:hint="default"/>
        </w:rPr>
        <w:t>2015</w:t>
      </w:r>
      <w:r>
        <w:rPr/>
        <w:t>年末余额为</w:t>
      </w:r>
      <w:r>
        <w:rPr>
          <w:rFonts w:ascii="Times New Roman" w:hAnsi="Times New Roman" w:cs="Times New Roman" w:eastAsia="Times New Roman" w:hint="default"/>
        </w:rPr>
        <w:t>8,365,000.00</w:t>
      </w:r>
      <w:r>
        <w:rPr/>
        <w:t>元。</w:t>
      </w:r>
    </w:p>
    <w:p>
      <w:pPr>
        <w:pStyle w:val="BodyText"/>
        <w:spacing w:line="300" w:lineRule="auto" w:before="62"/>
        <w:ind w:right="150" w:firstLine="432"/>
        <w:jc w:val="both"/>
      </w:pPr>
      <w:r>
        <w:rPr/>
        <w:t>②根据南京市发展和改革委员会、南京市财政局文件苏发改服务字</w:t>
      </w:r>
      <w:r>
        <w:rPr>
          <w:rFonts w:ascii="Times New Roman" w:hAnsi="Times New Roman" w:cs="Times New Roman" w:eastAsia="Times New Roman" w:hint="default"/>
        </w:rPr>
        <w:t>[2008]600</w:t>
      </w:r>
      <w:r>
        <w:rPr/>
        <w:t>号《关于下达</w:t>
      </w:r>
      <w:r>
        <w:rPr>
          <w:rFonts w:ascii="Times New Roman" w:hAnsi="Times New Roman" w:cs="Times New Roman" w:eastAsia="Times New Roman" w:hint="default"/>
        </w:rPr>
        <w:t>2007</w:t>
      </w:r>
      <w:r>
        <w:rPr/>
        <w:t>年度省级服务业发展引 </w:t>
      </w:r>
      <w:r>
        <w:rPr>
          <w:spacing w:val="-3"/>
        </w:rPr>
        <w:t>导资金投资计划的通知》，本公司于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11</w:t>
      </w:r>
      <w:r>
        <w:rPr>
          <w:spacing w:val="-3"/>
        </w:rPr>
        <w:t>月收到南京市雨花台区财政局拨付的雨花润和软件外包园项目资金</w:t>
      </w:r>
      <w:r>
        <w:rPr>
          <w:rFonts w:ascii="Times New Roman" w:hAnsi="Times New Roman" w:cs="Times New Roman" w:eastAsia="Times New Roman" w:hint="default"/>
          <w:spacing w:val="-3"/>
        </w:rPr>
        <w:t>1,200,000.00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元，本公司确定为与资产相关的政府补助，随资产折旧的计提而分摊。</w:t>
      </w:r>
      <w:r>
        <w:rPr>
          <w:rFonts w:ascii="Times New Roman" w:hAnsi="Times New Roman" w:cs="Times New Roman" w:eastAsia="Times New Roman" w:hint="default"/>
          <w:spacing w:val="-2"/>
        </w:rPr>
        <w:t>2015</w:t>
      </w:r>
      <w:r>
        <w:rPr>
          <w:spacing w:val="-2"/>
        </w:rPr>
        <w:t>年度随折旧的计提转入</w:t>
      </w:r>
      <w:r>
        <w:rPr>
          <w:rFonts w:ascii="Times New Roman" w:hAnsi="Times New Roman" w:cs="Times New Roman" w:eastAsia="Times New Roman" w:hint="default"/>
          <w:spacing w:val="-2"/>
        </w:rPr>
        <w:t>“</w:t>
      </w:r>
      <w:r>
        <w:rPr>
          <w:spacing w:val="-2"/>
        </w:rPr>
        <w:t>营业外收入</w:t>
      </w:r>
      <w:r>
        <w:rPr>
          <w:rFonts w:ascii="Times New Roman" w:hAnsi="Times New Roman" w:cs="Times New Roman" w:eastAsia="Times New Roman" w:hint="default"/>
          <w:spacing w:val="-2"/>
        </w:rPr>
        <w:t>”</w:t>
      </w:r>
      <w:r>
        <w:rPr>
          <w:spacing w:val="-2"/>
        </w:rPr>
        <w:t>项目金额为</w:t>
      </w:r>
      <w:r>
        <w:rPr>
          <w:spacing w:val="-44"/>
        </w:rPr>
        <w:t> </w:t>
      </w:r>
      <w:r>
        <w:rPr>
          <w:spacing w:val="-44"/>
        </w:rPr>
      </w:r>
      <w:r>
        <w:rPr>
          <w:rFonts w:ascii="Times New Roman" w:hAnsi="Times New Roman" w:cs="Times New Roman" w:eastAsia="Times New Roman" w:hint="default"/>
        </w:rPr>
        <w:t>30,000.00</w:t>
      </w:r>
      <w:r>
        <w:rPr/>
        <w:t>元，累计转入</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项目金额为</w:t>
      </w:r>
      <w:r>
        <w:rPr>
          <w:rFonts w:ascii="Times New Roman" w:hAnsi="Times New Roman" w:cs="Times New Roman" w:eastAsia="Times New Roman" w:hint="default"/>
        </w:rPr>
        <w:t>172,500.00</w:t>
      </w:r>
      <w:r>
        <w:rPr/>
        <w:t>元，</w:t>
      </w:r>
      <w:r>
        <w:rPr>
          <w:rFonts w:ascii="Times New Roman" w:hAnsi="Times New Roman" w:cs="Times New Roman" w:eastAsia="Times New Roman" w:hint="default"/>
        </w:rPr>
        <w:t>2015</w:t>
      </w:r>
      <w:r>
        <w:rPr/>
        <w:t>年末余额为</w:t>
      </w:r>
      <w:r>
        <w:rPr>
          <w:rFonts w:ascii="Times New Roman" w:hAnsi="Times New Roman" w:cs="Times New Roman" w:eastAsia="Times New Roman" w:hint="default"/>
        </w:rPr>
        <w:t>1,027,500.00</w:t>
      </w:r>
      <w:r>
        <w:rPr/>
        <w:t>元。</w:t>
      </w:r>
    </w:p>
    <w:p>
      <w:pPr>
        <w:spacing w:after="0" w:line="30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left="584" w:right="222"/>
        <w:jc w:val="left"/>
      </w:pPr>
      <w:r>
        <w:rPr/>
        <w:t>与收益有关的政府补助 根据西安市财政局文件市财函</w:t>
      </w:r>
      <w:r>
        <w:rPr>
          <w:rFonts w:ascii="Times New Roman" w:hAnsi="Times New Roman" w:cs="Times New Roman" w:eastAsia="Times New Roman" w:hint="default"/>
        </w:rPr>
        <w:t>[2014]2250</w:t>
      </w:r>
      <w:r>
        <w:rPr/>
        <w:t>号《西安市财政局关于拨付</w:t>
      </w:r>
      <w:r>
        <w:rPr>
          <w:rFonts w:ascii="Times New Roman" w:hAnsi="Times New Roman" w:cs="Times New Roman" w:eastAsia="Times New Roman" w:hint="default"/>
        </w:rPr>
        <w:t>2014</w:t>
      </w:r>
      <w:r>
        <w:rPr/>
        <w:t>年软件和服务外包产业发展专项第二批（投</w:t>
      </w:r>
    </w:p>
    <w:p>
      <w:pPr>
        <w:pStyle w:val="BodyText"/>
        <w:spacing w:line="248" w:lineRule="exact"/>
        <w:ind w:right="0"/>
        <w:jc w:val="left"/>
      </w:pPr>
      <w:r>
        <w:rPr/>
        <w:t>资类）资金的通知》，子公司西安润和于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月收到西安市财政局拨付的库存管理软件开发自动化程序升级项目资金</w:t>
      </w:r>
    </w:p>
    <w:p>
      <w:pPr>
        <w:pStyle w:val="BodyText"/>
        <w:spacing w:line="300" w:lineRule="auto" w:before="62"/>
        <w:ind w:left="584" w:right="222" w:hanging="432"/>
        <w:jc w:val="left"/>
      </w:pPr>
      <w:r>
        <w:rPr>
          <w:rFonts w:ascii="Times New Roman" w:hAnsi="Times New Roman" w:cs="Times New Roman" w:eastAsia="Times New Roman" w:hint="default"/>
        </w:rPr>
        <w:t>350,000.00</w:t>
      </w:r>
      <w:r>
        <w:rPr/>
        <w:t>元，由于相关文件明确注明需政府验收通过，在完成项目验收手续前，计入递延收益。 根据西安市财政局文件市财函</w:t>
      </w:r>
      <w:r>
        <w:rPr>
          <w:rFonts w:ascii="Times New Roman" w:hAnsi="Times New Roman" w:cs="Times New Roman" w:eastAsia="Times New Roman" w:hint="default"/>
        </w:rPr>
        <w:t>[2014]1911</w:t>
      </w:r>
      <w:r>
        <w:rPr/>
        <w:t>号《西安市财政局关于拨付</w:t>
      </w:r>
      <w:r>
        <w:rPr>
          <w:rFonts w:ascii="Times New Roman" w:hAnsi="Times New Roman" w:cs="Times New Roman" w:eastAsia="Times New Roman" w:hint="default"/>
        </w:rPr>
        <w:t>2014</w:t>
      </w:r>
      <w:r>
        <w:rPr/>
        <w:t>年陕西省服务外包业发展专项资金（平台和</w:t>
      </w:r>
    </w:p>
    <w:p>
      <w:pPr>
        <w:pStyle w:val="BodyText"/>
        <w:spacing w:line="300" w:lineRule="auto" w:before="13"/>
        <w:ind w:right="144"/>
        <w:jc w:val="left"/>
      </w:pPr>
      <w:r>
        <w:rPr/>
        <w:t>技改类）的通知》，子公司西安润和于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月收到西安市财政局拨付的心脏多路检查系统项目资金</w:t>
      </w:r>
      <w:r>
        <w:rPr>
          <w:rFonts w:ascii="Times New Roman" w:hAnsi="Times New Roman" w:cs="Times New Roman" w:eastAsia="Times New Roman" w:hint="default"/>
        </w:rPr>
        <w:t>360,000.00</w:t>
      </w:r>
      <w:r>
        <w:rPr/>
        <w:t>元；此项 目已经政府相关部门验收通过，</w:t>
      </w:r>
      <w:r>
        <w:rPr>
          <w:rFonts w:ascii="Times New Roman" w:hAnsi="Times New Roman" w:cs="Times New Roman" w:eastAsia="Times New Roman" w:hint="default"/>
        </w:rPr>
        <w:t>2015</w:t>
      </w:r>
      <w:r>
        <w:rPr/>
        <w:t>年转入营业外收入。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bookmarkStart w:name="52、其他非流动负债" w:id="352"/>
      <w:bookmarkEnd w:id="35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3、股本" w:id="353"/>
      <w:bookmarkEnd w:id="353"/>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5"/>
        <w:gridCol w:w="1198"/>
        <w:gridCol w:w="1195"/>
        <w:gridCol w:w="1184"/>
        <w:gridCol w:w="1208"/>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6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284,616,774.00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73,744,076.00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-185,000.00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73,559,076.00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358,175,850.00</w:t>
            </w:r>
          </w:p>
        </w:tc>
      </w:tr>
    </w:tbl>
    <w:p>
      <w:pPr>
        <w:pStyle w:val="BodyText"/>
        <w:spacing w:line="240" w:lineRule="auto" w:before="49"/>
        <w:ind w:right="0"/>
        <w:jc w:val="both"/>
      </w:pPr>
      <w:r>
        <w:rPr/>
        <w:t>其他说明：</w:t>
      </w:r>
    </w:p>
    <w:p>
      <w:pPr>
        <w:pStyle w:val="BodyText"/>
        <w:spacing w:line="309" w:lineRule="auto" w:before="117"/>
        <w:ind w:right="152" w:firstLine="359"/>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日，根据公司</w:t>
      </w:r>
      <w:r>
        <w:rPr>
          <w:rFonts w:ascii="Times New Roman" w:hAnsi="Times New Roman" w:cs="Times New Roman" w:eastAsia="Times New Roman" w:hint="default"/>
          <w:spacing w:val="-2"/>
        </w:rPr>
        <w:t>2015</w:t>
      </w:r>
      <w:r>
        <w:rPr>
          <w:spacing w:val="-2"/>
        </w:rPr>
        <w:t>年度第二次临时股东大会决议和修改后的章程规定，并经过中国证券监督管理委员</w:t>
      </w:r>
      <w:r>
        <w:rPr/>
        <w:t> </w:t>
      </w:r>
      <w:r>
        <w:rPr>
          <w:spacing w:val="-2"/>
        </w:rPr>
        <w:t>会《关于核准江苏润和软件股份有限公司向宁波宏创股权投资合伙企业（有限合伙）发行股份购买资产并募集配套资金的批</w:t>
      </w:r>
      <w:r>
        <w:rPr>
          <w:spacing w:val="-66"/>
        </w:rPr>
        <w:t> </w:t>
      </w:r>
      <w:r>
        <w:rPr>
          <w:spacing w:val="-66"/>
        </w:rPr>
      </w:r>
      <w:r>
        <w:rPr/>
        <w:t>复》（证监许可</w:t>
      </w:r>
      <w:r>
        <w:rPr>
          <w:rFonts w:ascii="Times New Roman" w:hAnsi="Times New Roman" w:cs="Times New Roman" w:eastAsia="Times New Roman" w:hint="default"/>
        </w:rPr>
        <w:t>[2015]1856</w:t>
      </w:r>
      <w:r>
        <w:rPr/>
        <w:t>号）的核准，由公司向宁波宏创股权投资合伙企业（有限合伙）发行人民币普通股</w:t>
      </w:r>
      <w:r>
        <w:rPr>
          <w:rFonts w:ascii="Times New Roman" w:hAnsi="Times New Roman" w:cs="Times New Roman" w:eastAsia="Times New Roman" w:hint="default"/>
        </w:rPr>
        <w:t>48,124,698</w:t>
      </w:r>
      <w:r>
        <w:rPr/>
        <w:t>股</w:t>
      </w:r>
    </w:p>
    <w:p>
      <w:pPr>
        <w:pStyle w:val="BodyText"/>
        <w:spacing w:line="300" w:lineRule="auto" w:before="5"/>
        <w:ind w:right="152"/>
        <w:jc w:val="both"/>
      </w:pPr>
      <w:r>
        <w:rPr/>
        <w:t>（每股发行价格为人民币</w:t>
      </w:r>
      <w:r>
        <w:rPr>
          <w:rFonts w:ascii="Times New Roman" w:hAnsi="Times New Roman" w:cs="Times New Roman" w:eastAsia="Times New Roman" w:hint="default"/>
        </w:rPr>
        <w:t>22.39</w:t>
      </w:r>
      <w:r>
        <w:rPr/>
        <w:t>元）购买相关资产，同时，由公司向特定对象西藏瑞华投资发展有限公司发行人民币普通股 </w:t>
      </w:r>
      <w:r>
        <w:rPr>
          <w:rFonts w:ascii="Times New Roman" w:hAnsi="Times New Roman" w:cs="Times New Roman" w:eastAsia="Times New Roman" w:hint="default"/>
          <w:spacing w:val="-3"/>
        </w:rPr>
        <w:t>11,165,698</w:t>
      </w:r>
      <w:r>
        <w:rPr>
          <w:spacing w:val="-3"/>
        </w:rPr>
        <w:t>股、向黄学军发行人民币普通股</w:t>
      </w:r>
      <w:r>
        <w:rPr>
          <w:rFonts w:ascii="Times New Roman" w:hAnsi="Times New Roman" w:cs="Times New Roman" w:eastAsia="Times New Roman" w:hint="default"/>
          <w:spacing w:val="-3"/>
        </w:rPr>
        <w:t>5,582,849</w:t>
      </w:r>
      <w:r>
        <w:rPr>
          <w:spacing w:val="-3"/>
        </w:rPr>
        <w:t>股、向曹荣发行人民币普通股</w:t>
      </w:r>
      <w:r>
        <w:rPr>
          <w:rFonts w:ascii="Times New Roman" w:hAnsi="Times New Roman" w:cs="Times New Roman" w:eastAsia="Times New Roman" w:hint="default"/>
          <w:spacing w:val="-3"/>
        </w:rPr>
        <w:t>5,582,849</w:t>
      </w:r>
      <w:r>
        <w:rPr>
          <w:spacing w:val="-3"/>
        </w:rPr>
        <w:t>股、向南京泰瑞投资管理中心（有</w:t>
      </w:r>
      <w:r>
        <w:rPr>
          <w:spacing w:val="-67"/>
        </w:rPr>
        <w:t> </w:t>
      </w:r>
      <w:r>
        <w:rPr>
          <w:spacing w:val="-67"/>
        </w:rPr>
      </w:r>
      <w:r>
        <w:rPr/>
        <w:t>限合伙）发行人民币普通股</w:t>
      </w:r>
      <w:r>
        <w:rPr>
          <w:rFonts w:ascii="Times New Roman" w:hAnsi="Times New Roman" w:cs="Times New Roman" w:eastAsia="Times New Roman" w:hint="default"/>
        </w:rPr>
        <w:t>2,207,982</w:t>
      </w:r>
      <w:r>
        <w:rPr/>
        <w:t>股（以上每股发行价格均为人民币</w:t>
      </w:r>
      <w:r>
        <w:rPr>
          <w:rFonts w:ascii="Times New Roman" w:hAnsi="Times New Roman" w:cs="Times New Roman" w:eastAsia="Times New Roman" w:hint="default"/>
        </w:rPr>
        <w:t>22.39</w:t>
      </w:r>
      <w:r>
        <w:rPr/>
        <w:t>元）募集配套资金，以上合计申请增加注册资 本及股本人民币</w:t>
      </w:r>
      <w:r>
        <w:rPr>
          <w:rFonts w:ascii="Times New Roman" w:hAnsi="Times New Roman" w:cs="Times New Roman" w:eastAsia="Times New Roman" w:hint="default"/>
        </w:rPr>
        <w:t>72,664,076.00</w:t>
      </w:r>
      <w:r>
        <w:rPr/>
        <w:t>元。此次出资业经华普天健会计师事务所（特殊普通合伙）审验，并于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日出具会 验字</w:t>
      </w:r>
      <w:r>
        <w:rPr>
          <w:rFonts w:ascii="Times New Roman" w:hAnsi="Times New Roman" w:cs="Times New Roman" w:eastAsia="Times New Roman" w:hint="default"/>
        </w:rPr>
        <w:t>[2015]3523</w:t>
      </w:r>
      <w:r>
        <w:rPr/>
        <w:t>号《验资报告》。</w:t>
      </w:r>
    </w:p>
    <w:p>
      <w:pPr>
        <w:pStyle w:val="BodyText"/>
        <w:spacing w:line="304" w:lineRule="auto" w:before="13"/>
        <w:ind w:left="153" w:right="150"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日，根据公司</w:t>
      </w:r>
      <w:r>
        <w:rPr>
          <w:rFonts w:ascii="Times New Roman" w:hAnsi="Times New Roman" w:cs="Times New Roman" w:eastAsia="Times New Roman" w:hint="default"/>
          <w:spacing w:val="-2"/>
        </w:rPr>
        <w:t>2014</w:t>
      </w:r>
      <w:r>
        <w:rPr>
          <w:spacing w:val="-2"/>
        </w:rPr>
        <w:t>年第五次临时股东大会审议通过的《江苏润和软件股份有限公司</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4"/>
        </w:rPr>
        <w:t> </w:t>
      </w:r>
      <w:r>
        <w:rPr>
          <w:spacing w:val="-1"/>
        </w:rPr>
        <w:t>年限制性股</w:t>
      </w:r>
      <w:r>
        <w:rPr/>
        <w:t> </w:t>
      </w:r>
      <w:r>
        <w:rPr>
          <w:spacing w:val="-2"/>
        </w:rPr>
        <w:t>票激励计划（草案修订稿）》、第四届董事会第三十二次会议决议和修改后的章程规定，公司对张传位、范蕾、孙明志、王</w:t>
      </w:r>
      <w:r>
        <w:rPr>
          <w:spacing w:val="-65"/>
        </w:rPr>
        <w:t> </w:t>
      </w:r>
      <w:r>
        <w:rPr>
          <w:spacing w:val="-65"/>
        </w:rPr>
      </w:r>
      <w:r>
        <w:rPr/>
        <w:t>继伟、王莹、顾进峰、蒋新星、吴茵、戴岱、涂庆红、陈立菲已获授但尚未解锁的限制性股票股本人民币</w:t>
      </w:r>
      <w:r>
        <w:rPr>
          <w:rFonts w:ascii="Times New Roman" w:hAnsi="Times New Roman" w:cs="Times New Roman" w:eastAsia="Times New Roman" w:hint="default"/>
        </w:rPr>
        <w:t>185,000.00</w:t>
      </w:r>
      <w:r>
        <w:rPr/>
        <w:t>元进行</w:t>
      </w:r>
      <w:r>
        <w:rPr>
          <w:spacing w:val="-3"/>
        </w:rPr>
        <w:t> </w:t>
      </w:r>
      <w:r>
        <w:rPr/>
        <w:t>回购注销，申请减少注册资本及股本人民币</w:t>
      </w:r>
      <w:r>
        <w:rPr>
          <w:rFonts w:ascii="Times New Roman" w:hAnsi="Times New Roman" w:cs="Times New Roman" w:eastAsia="Times New Roman" w:hint="default"/>
        </w:rPr>
        <w:t>185,000.00</w:t>
      </w:r>
      <w:r>
        <w:rPr/>
        <w:t>元。此次出资业经华普天健会计师事务所（特殊普通合伙）审验，并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日出具会验字</w:t>
      </w:r>
      <w:r>
        <w:rPr>
          <w:rFonts w:ascii="Times New Roman" w:hAnsi="Times New Roman" w:cs="Times New Roman" w:eastAsia="Times New Roman" w:hint="default"/>
        </w:rPr>
        <w:t>[2015]3634</w:t>
      </w:r>
      <w:r>
        <w:rPr/>
        <w:t>号《验资报告》。</w:t>
      </w:r>
    </w:p>
    <w:p>
      <w:pPr>
        <w:pStyle w:val="BodyText"/>
        <w:spacing w:line="300" w:lineRule="auto" w:before="9"/>
        <w:ind w:left="153" w:right="152" w:firstLine="359"/>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日，根据公司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年限制性股 </w:t>
      </w:r>
      <w:r>
        <w:rPr>
          <w:spacing w:val="-2"/>
        </w:rPr>
        <w:t>票激励计划（草案修订稿）》、第四届董事会第三十七次会议决议和修改后的章程规定，对董必华等</w:t>
      </w:r>
      <w:r>
        <w:rPr>
          <w:rFonts w:ascii="Times New Roman" w:hAnsi="Times New Roman" w:cs="Times New Roman" w:eastAsia="Times New Roman" w:hint="default"/>
          <w:spacing w:val="-2"/>
        </w:rPr>
        <w:t>91</w:t>
      </w:r>
      <w:r>
        <w:rPr>
          <w:spacing w:val="-2"/>
        </w:rPr>
        <w:t>名激励对象授予限制</w:t>
      </w:r>
      <w:r>
        <w:rPr>
          <w:spacing w:val="-64"/>
        </w:rPr>
        <w:t> </w:t>
      </w:r>
      <w:r>
        <w:rPr>
          <w:spacing w:val="-64"/>
        </w:rPr>
      </w:r>
      <w:r>
        <w:rPr/>
        <w:t>性股票，公司申请增加股本人民币</w:t>
      </w:r>
      <w:r>
        <w:rPr>
          <w:rFonts w:ascii="Times New Roman" w:hAnsi="Times New Roman" w:cs="Times New Roman" w:eastAsia="Times New Roman" w:hint="default"/>
        </w:rPr>
        <w:t>1,080,000.00</w:t>
      </w:r>
      <w:r>
        <w:rPr/>
        <w:t>元，申请增加注册资本人民币</w:t>
      </w:r>
      <w:r>
        <w:rPr>
          <w:rFonts w:ascii="Times New Roman" w:hAnsi="Times New Roman" w:cs="Times New Roman" w:eastAsia="Times New Roman" w:hint="default"/>
        </w:rPr>
        <w:t>1,080,000.00</w:t>
      </w:r>
      <w:r>
        <w:rPr/>
        <w:t>元。此次出资业经华普天健会计师 事务所（特殊普通合伙）审验，并于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日出具会验字</w:t>
      </w:r>
      <w:r>
        <w:rPr>
          <w:rFonts w:ascii="Times New Roman" w:hAnsi="Times New Roman" w:cs="Times New Roman" w:eastAsia="Times New Roman" w:hint="default"/>
        </w:rPr>
        <w:t>[2015]3949</w:t>
      </w:r>
      <w:r>
        <w:rPr/>
        <w:t>号《验资报告》。</w:t>
      </w:r>
    </w:p>
    <w:p>
      <w:pPr>
        <w:pStyle w:val="BodyText"/>
        <w:spacing w:line="240" w:lineRule="auto" w:before="13"/>
        <w:ind w:left="513"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年度公司部分有限售条件股份上市流通，转为无限售条件流通股，合计解除限售股份为</w:t>
      </w:r>
      <w:r>
        <w:rPr>
          <w:rFonts w:ascii="Times New Roman" w:hAnsi="Times New Roman" w:cs="Times New Roman" w:eastAsia="Times New Roman" w:hint="default"/>
        </w:rPr>
        <w:t>74,503,508.00</w:t>
      </w:r>
      <w:r>
        <w:rPr/>
        <w:t>股。</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0"/>
        <w:jc w:val="left"/>
        <w:rPr>
          <w:b w:val="0"/>
          <w:bCs w:val="0"/>
        </w:rPr>
      </w:pPr>
      <w:bookmarkStart w:name="54、其他权益工具" w:id="354"/>
      <w:bookmarkEnd w:id="35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bookmarkStart w:name="（1）期末发行在外的优先股、永续债等其他金融工具基本情况" w:id="355"/>
      <w:bookmarkEnd w:id="35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0"/>
        <w:jc w:val="left"/>
        <w:rPr>
          <w:b w:val="0"/>
          <w:bCs w:val="0"/>
        </w:rPr>
      </w:pPr>
      <w:bookmarkStart w:name="（2）期末发行在外的优先股、永续债等金融工具变动情况表" w:id="356"/>
      <w:bookmarkEnd w:id="35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2"/>
        <w:gridCol w:w="1062"/>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3694"/>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3"/>
        <w:spacing w:line="240" w:lineRule="auto"/>
        <w:ind w:right="90"/>
        <w:jc w:val="left"/>
        <w:rPr>
          <w:b w:val="0"/>
          <w:bCs w:val="0"/>
        </w:rPr>
      </w:pPr>
      <w:bookmarkStart w:name="55、资本公积" w:id="357"/>
      <w:bookmarkEnd w:id="35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903,105,905.54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1,557,284,862.42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1,644,650.00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2,458,746,117.96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1,827,700.00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31,875,413.94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33,703,113.94</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904,933,605.54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1,589,160,276.36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1,644,650.00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2,492,449,231.90</w:t>
            </w:r>
          </w:p>
        </w:tc>
      </w:tr>
    </w:tbl>
    <w:p>
      <w:pPr>
        <w:pStyle w:val="BodyText"/>
        <w:spacing w:line="240" w:lineRule="auto" w:before="49"/>
        <w:ind w:right="90"/>
        <w:jc w:val="left"/>
      </w:pPr>
      <w:r>
        <w:rPr/>
        <w:t>其他说明，包括本期增减变动情况、变动原因说明：</w:t>
      </w:r>
    </w:p>
    <w:p>
      <w:pPr>
        <w:pStyle w:val="BodyText"/>
        <w:spacing w:line="240" w:lineRule="auto" w:before="115"/>
        <w:ind w:left="512" w:right="90"/>
        <w:jc w:val="left"/>
      </w:pPr>
      <w:r>
        <w:rPr/>
        <w:t>（</w:t>
      </w:r>
      <w:r>
        <w:rPr>
          <w:rFonts w:ascii="Times New Roman" w:hAnsi="Times New Roman" w:cs="Times New Roman" w:eastAsia="Times New Roman" w:hint="default"/>
        </w:rPr>
        <w:t>1</w:t>
      </w:r>
      <w:r>
        <w:rPr/>
        <w:t>）股本溢价本期增加数中：</w:t>
      </w:r>
    </w:p>
    <w:p>
      <w:pPr>
        <w:pStyle w:val="BodyText"/>
        <w:spacing w:line="240" w:lineRule="auto" w:before="62"/>
        <w:ind w:left="584" w:right="90"/>
        <w:jc w:val="left"/>
      </w:pPr>
      <w:r>
        <w:rPr/>
        <w:t>①公司本年发行股份购买资产并募集配套资金，形成股本溢价，计入</w:t>
      </w:r>
      <w:r>
        <w:rPr>
          <w:rFonts w:ascii="Times New Roman" w:hAnsi="Times New Roman" w:cs="Times New Roman" w:eastAsia="Times New Roman" w:hint="default"/>
        </w:rPr>
        <w:t>1,538,136,462.42</w:t>
      </w:r>
      <w:r>
        <w:rPr/>
        <w:t>元；</w:t>
      </w:r>
    </w:p>
    <w:p>
      <w:pPr>
        <w:pStyle w:val="BodyText"/>
        <w:spacing w:line="240" w:lineRule="auto" w:before="62"/>
        <w:ind w:left="584" w:right="90"/>
        <w:jc w:val="left"/>
      </w:pPr>
      <w:r>
        <w:rPr/>
        <w:t>②公司本年实施股权激励，发行限制性股票，形成股本溢价，计入</w:t>
      </w:r>
      <w:r>
        <w:rPr>
          <w:rFonts w:ascii="Times New Roman" w:hAnsi="Times New Roman" w:cs="Times New Roman" w:eastAsia="Times New Roman" w:hint="default"/>
        </w:rPr>
        <w:t>19,148,400.00</w:t>
      </w:r>
      <w:r>
        <w:rPr/>
        <w:t>元；</w:t>
      </w:r>
    </w:p>
    <w:p>
      <w:pPr>
        <w:pStyle w:val="BodyText"/>
        <w:spacing w:line="240" w:lineRule="auto" w:before="62"/>
        <w:ind w:left="584" w:right="90"/>
        <w:jc w:val="left"/>
      </w:pPr>
      <w:r>
        <w:rPr/>
        <w:t>③其他资本公积本期增加数系公司本年确认应分摊的股权激励费用</w:t>
      </w:r>
      <w:r>
        <w:rPr>
          <w:rFonts w:ascii="Times New Roman" w:hAnsi="Times New Roman" w:cs="Times New Roman" w:eastAsia="Times New Roman" w:hint="default"/>
        </w:rPr>
        <w:t>31,875,413.94</w:t>
      </w:r>
      <w:r>
        <w:rPr/>
        <w:t>元。</w:t>
      </w:r>
    </w:p>
    <w:p>
      <w:pPr>
        <w:pStyle w:val="BodyText"/>
        <w:spacing w:line="300" w:lineRule="auto" w:before="62"/>
        <w:ind w:right="101" w:firstLine="359"/>
        <w:jc w:val="left"/>
      </w:pPr>
      <w:r>
        <w:rPr/>
        <w:t>（</w:t>
      </w:r>
      <w:r>
        <w:rPr>
          <w:rFonts w:ascii="Times New Roman" w:hAnsi="Times New Roman" w:cs="Times New Roman" w:eastAsia="Times New Roman" w:hint="default"/>
        </w:rPr>
        <w:t>2</w:t>
      </w:r>
      <w:r>
        <w:rPr/>
        <w:t>）资本公积本期减少是因公司本年对</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名原激励对象已获授但尚未解锁的限制性股票共计</w:t>
      </w:r>
      <w:r>
        <w:rPr>
          <w:rFonts w:ascii="Times New Roman" w:hAnsi="Times New Roman" w:cs="Times New Roman" w:eastAsia="Times New Roman" w:hint="default"/>
        </w:rPr>
        <w:t>185,000</w:t>
      </w:r>
      <w:r>
        <w:rPr/>
        <w:t>股进行回购注销， 共减少资本公积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1,644,650.00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90"/>
        <w:jc w:val="left"/>
        <w:rPr>
          <w:b w:val="0"/>
          <w:bCs w:val="0"/>
        </w:rPr>
      </w:pPr>
      <w:bookmarkStart w:name="56、库存股" w:id="358"/>
      <w:bookmarkEnd w:id="35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8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实施限制性股票激励 计划锁定期股款</w:t>
            </w:r>
            <w:r>
              <w:rPr>
                <w:rFonts w:ascii="Times New Roman" w:hAnsi="Times New Roman" w:cs="Times New Roman" w:eastAsia="Times New Roman"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94,223,472.55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94,223,472.55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94,223,472.55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94,223,472.55</w:t>
            </w:r>
          </w:p>
        </w:tc>
      </w:tr>
    </w:tbl>
    <w:p>
      <w:pPr>
        <w:pStyle w:val="BodyText"/>
        <w:spacing w:line="360" w:lineRule="auto" w:before="49"/>
        <w:ind w:left="584" w:right="3622" w:hanging="432"/>
        <w:jc w:val="left"/>
      </w:pPr>
      <w:r>
        <w:rPr/>
        <w:t>其他说明，包括本期增减变动情况、变动原因说明： 公司将</w:t>
      </w:r>
      <w:r>
        <w:rPr>
          <w:rFonts w:ascii="Times New Roman" w:hAnsi="Times New Roman" w:cs="Times New Roman" w:eastAsia="Times New Roman" w:hint="default"/>
        </w:rPr>
        <w:t>2015</w:t>
      </w:r>
      <w:r>
        <w:rPr/>
        <w:t>年年末授予的限制性股票激励计划锁定期股款确认为库存股。</w:t>
      </w:r>
    </w:p>
    <w:p>
      <w:pPr>
        <w:spacing w:line="240" w:lineRule="auto" w:before="7"/>
        <w:rPr>
          <w:rFonts w:ascii="宋体" w:hAnsi="宋体" w:cs="宋体" w:eastAsia="宋体" w:hint="default"/>
          <w:sz w:val="18"/>
          <w:szCs w:val="18"/>
        </w:rPr>
      </w:pPr>
    </w:p>
    <w:p>
      <w:pPr>
        <w:pStyle w:val="Heading3"/>
        <w:spacing w:line="240" w:lineRule="auto"/>
        <w:ind w:right="90"/>
        <w:jc w:val="left"/>
        <w:rPr>
          <w:b w:val="0"/>
          <w:bCs w:val="0"/>
        </w:rPr>
      </w:pPr>
      <w:bookmarkStart w:name="57、其他综合收益" w:id="359"/>
      <w:bookmarkEnd w:id="35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after="0" w:line="240" w:lineRule="auto"/>
        <w:jc w:val="right"/>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8"/>
        <w:gridCol w:w="1068"/>
        <w:gridCol w:w="936"/>
        <w:gridCol w:w="1152"/>
        <w:gridCol w:w="934"/>
        <w:gridCol w:w="936"/>
        <w:gridCol w:w="936"/>
        <w:gridCol w:w="797"/>
      </w:tblGrid>
      <w:tr>
        <w:trPr>
          <w:trHeight w:val="402" w:hRule="exact"/>
        </w:trPr>
        <w:tc>
          <w:tcPr>
            <w:tcW w:w="2798" w:type="dxa"/>
            <w:vMerge w:val="restart"/>
            <w:tcBorders>
              <w:top w:val="single" w:sz="4" w:space="0" w:color="000000"/>
              <w:left w:val="single" w:sz="4" w:space="0" w:color="000000"/>
              <w:right w:val="single" w:sz="4" w:space="0" w:color="000000"/>
            </w:tcBorders>
            <w:shd w:val="clear" w:color="auto" w:fill="D4D4D4"/>
          </w:tcPr>
          <w:p>
            <w:pPr/>
          </w:p>
        </w:tc>
        <w:tc>
          <w:tcPr>
            <w:tcW w:w="1068" w:type="dxa"/>
            <w:vMerge w:val="restart"/>
            <w:tcBorders>
              <w:top w:val="single" w:sz="4" w:space="0" w:color="000000"/>
              <w:left w:val="single" w:sz="4" w:space="0" w:color="000000"/>
              <w:right w:val="single" w:sz="4" w:space="0" w:color="000000"/>
            </w:tcBorders>
            <w:shd w:val="clear" w:color="auto" w:fill="D4D4D4"/>
          </w:tcPr>
          <w:p>
            <w:pP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4D4D4"/>
          </w:tcPr>
          <w:p>
            <w:pPr/>
          </w:p>
        </w:tc>
      </w:tr>
      <w:tr>
        <w:trPr>
          <w:trHeight w:val="116" w:hRule="exact"/>
        </w:trPr>
        <w:tc>
          <w:tcPr>
            <w:tcW w:w="2798" w:type="dxa"/>
            <w:vMerge/>
            <w:tcBorders>
              <w:left w:val="single" w:sz="4" w:space="0" w:color="000000"/>
              <w:bottom w:val="nil" w:sz="6" w:space="0" w:color="auto"/>
              <w:right w:val="single" w:sz="4" w:space="0" w:color="000000"/>
            </w:tcBorders>
            <w:shd w:val="clear" w:color="auto" w:fill="D4D4D4"/>
          </w:tcPr>
          <w:p>
            <w:pPr/>
          </w:p>
        </w:tc>
        <w:tc>
          <w:tcPr>
            <w:tcW w:w="1068" w:type="dxa"/>
            <w:vMerge/>
            <w:tcBorders>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4D4D4"/>
          </w:tcPr>
          <w:p>
            <w:pPr/>
          </w:p>
        </w:tc>
      </w:tr>
      <w:tr>
        <w:trPr>
          <w:trHeight w:val="368"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4D4D4"/>
          </w:tcPr>
          <w:p>
            <w:pPr/>
          </w:p>
        </w:tc>
        <w:tc>
          <w:tcPr>
            <w:tcW w:w="1152" w:type="dxa"/>
            <w:vMerge/>
            <w:tcBorders>
              <w:left w:val="single" w:sz="4" w:space="0" w:color="000000"/>
              <w:right w:val="single" w:sz="4" w:space="0" w:color="000000"/>
            </w:tcBorders>
            <w:shd w:val="clear" w:color="auto" w:fill="D4D4D4"/>
          </w:tcPr>
          <w:p>
            <w:pP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8" w:type="dxa"/>
            <w:vMerge w:val="restart"/>
            <w:tcBorders>
              <w:top w:val="nil" w:sz="6" w:space="0" w:color="auto"/>
              <w:left w:val="single" w:sz="4" w:space="0" w:color="000000"/>
              <w:right w:val="single" w:sz="4" w:space="0" w:color="000000"/>
            </w:tcBorders>
            <w:shd w:val="clear" w:color="auto" w:fill="D4D4D4"/>
          </w:tcPr>
          <w:p>
            <w:pPr/>
          </w:p>
        </w:tc>
        <w:tc>
          <w:tcPr>
            <w:tcW w:w="1068" w:type="dxa"/>
            <w:vMerge w:val="restart"/>
            <w:tcBorders>
              <w:top w:val="nil" w:sz="6" w:space="0" w:color="auto"/>
              <w:left w:val="single" w:sz="4" w:space="0" w:color="000000"/>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1152" w:type="dxa"/>
            <w:vMerge/>
            <w:tcBorders>
              <w:left w:val="single" w:sz="4" w:space="0" w:color="000000"/>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798"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-3,639,618.13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-1,696,044.</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-2,493,146.</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797,101.84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-6,132,76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4.42</w:t>
            </w:r>
          </w:p>
        </w:tc>
      </w:tr>
      <w:tr>
        <w:trPr>
          <w:trHeight w:val="163"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-2,493,146.</w:t>
            </w:r>
            <w:r>
              <w:rPr>
                <w:rFonts w:ascii="Times New Roman"/>
                <w:sz w:val="18"/>
              </w:rPr>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-3,639,618.13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-1,696,044.</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-2,493,146.</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797,101.84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-6,132,76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4.42</w:t>
            </w:r>
          </w:p>
        </w:tc>
      </w:tr>
      <w:tr>
        <w:trPr>
          <w:trHeight w:val="391"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8、专项储备" w:id="360"/>
      <w:bookmarkEnd w:id="36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9、盈余公积" w:id="361"/>
      <w:bookmarkEnd w:id="36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31,316,784.38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962,941.22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32,279,725.60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31,316,784.38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962,941.22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32,279,725.60</w:t>
            </w:r>
          </w:p>
        </w:tc>
      </w:tr>
    </w:tbl>
    <w:p>
      <w:pPr>
        <w:pStyle w:val="BodyText"/>
        <w:spacing w:line="357" w:lineRule="auto" w:before="49"/>
        <w:ind w:left="584" w:right="552" w:hanging="432"/>
        <w:jc w:val="left"/>
      </w:pPr>
      <w:r>
        <w:rPr/>
        <w:t>盈余公积说明，包括本期增减变动情况、变动原因说明： 盈余公积本期增加数是本公司根据《公司法》及公司章程有关规定，按本年净利润</w:t>
      </w:r>
      <w:r>
        <w:rPr>
          <w:rFonts w:ascii="Times New Roman" w:hAnsi="Times New Roman" w:cs="Times New Roman" w:eastAsia="Times New Roman" w:hint="default"/>
        </w:rPr>
        <w:t>10%</w:t>
      </w:r>
      <w:r>
        <w:rPr/>
        <w:t>提取的法定盈余公积金。</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bookmarkStart w:name="60、未分配利润" w:id="362"/>
      <w:bookmarkEnd w:id="36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242,230,494.90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198,693,902.13</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242,230,494.90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198,693,902.13</w:t>
            </w:r>
            <w:r>
              <w:rPr>
                <w:rFonts w:ascii="Times New Roman"/>
                <w:sz w:val="18"/>
              </w:rPr>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194,690,096.58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110,029,056.96</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962,941.22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5,100,464.19</w:t>
            </w:r>
            <w:r>
              <w:rPr>
                <w:rFonts w:ascii="Times New Roman"/>
                <w:sz w:val="18"/>
              </w:rPr>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28,461,677.40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61,392,000.00</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407,495,972.86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242,230,494.90</w:t>
            </w:r>
            <w:r>
              <w:rPr>
                <w:rFonts w:ascii="Times New Roman"/>
                <w:sz w:val="18"/>
              </w:rPr>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 </w:t>
      </w:r>
      <w:r>
        <w:rPr/>
        <w:t>元。</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5"/>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61、营业收入和营业成本" w:id="363"/>
      <w:bookmarkEnd w:id="36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1,123,302,835.35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696,146,590.60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730,176,398.00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439,404,535.47</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5,281,139.29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4,672,758.50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3,058,329.46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2,663,020.49</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1,128,583,974.64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700,819,349.10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733,234,727.46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442,067,555.96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2、营业税金及附加" w:id="364"/>
      <w:bookmarkEnd w:id="364"/>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2,024,380.83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881,117.59</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2,208,032.56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981,024.07</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1,577,544.14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693,075.80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5,809,957.53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2,555,217.46</w:t>
            </w:r>
            <w:r>
              <w:rPr>
                <w:rFonts w:ascii="Times New Roman"/>
                <w:sz w:val="18"/>
              </w:rPr>
            </w:r>
          </w:p>
        </w:tc>
      </w:tr>
    </w:tbl>
    <w:p>
      <w:pPr>
        <w:pStyle w:val="BodyText"/>
        <w:spacing w:line="240" w:lineRule="auto" w:before="49"/>
        <w:ind w:right="0"/>
        <w:jc w:val="left"/>
      </w:pPr>
      <w:r>
        <w:rPr/>
        <w:t>其他说明：</w:t>
      </w:r>
    </w:p>
    <w:p>
      <w:pPr>
        <w:pStyle w:val="BodyText"/>
        <w:spacing w:line="300" w:lineRule="auto" w:before="115"/>
        <w:ind w:right="0" w:firstLine="360"/>
        <w:jc w:val="left"/>
      </w:pPr>
      <w:r>
        <w:rPr>
          <w:spacing w:val="-1"/>
        </w:rPr>
        <w:t>营业税金及附加</w:t>
      </w:r>
      <w:r>
        <w:rPr>
          <w:rFonts w:ascii="Times New Roman" w:hAnsi="Times New Roman" w:cs="Times New Roman" w:eastAsia="Times New Roman" w:hint="default"/>
          <w:spacing w:val="-1"/>
        </w:rPr>
        <w:t>2015</w:t>
      </w:r>
      <w:r>
        <w:rPr>
          <w:spacing w:val="-1"/>
        </w:rPr>
        <w:t>年度比</w:t>
      </w:r>
      <w:r>
        <w:rPr>
          <w:rFonts w:ascii="Times New Roman" w:hAnsi="Times New Roman" w:cs="Times New Roman" w:eastAsia="Times New Roman" w:hint="default"/>
          <w:spacing w:val="-1"/>
        </w:rPr>
        <w:t>2014</w:t>
      </w:r>
      <w:r>
        <w:rPr>
          <w:spacing w:val="-1"/>
        </w:rPr>
        <w:t>年度增长</w:t>
      </w:r>
      <w:r>
        <w:rPr>
          <w:rFonts w:ascii="Times New Roman" w:hAnsi="Times New Roman" w:cs="Times New Roman" w:eastAsia="Times New Roman" w:hint="default"/>
          <w:spacing w:val="-1"/>
        </w:rPr>
        <w:t>127.38%</w:t>
      </w:r>
      <w:r>
        <w:rPr>
          <w:spacing w:val="-1"/>
        </w:rPr>
        <w:t>，主要原因是本年收入规模增幅较大，同时新增非同一控制下企业合</w:t>
      </w:r>
      <w:r>
        <w:rPr/>
        <w:t> 并子公司联创智融的营业税金及附加。</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63、销售费用" w:id="365"/>
      <w:bookmarkEnd w:id="36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28,610,364.93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21,778,013.52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8,097,463.78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8,815,208.93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4,773,334.49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5,752,209.88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2,619,340.86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2,024,096.94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230,802.52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403,560.38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150,682.40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33,375.58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1,879,508.36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1,833,763.84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46,361,497.34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40,640,229.07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4、管理费用" w:id="366"/>
      <w:bookmarkEnd w:id="36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97,457,352.91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69,209,573.05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40,395,031.17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23,234,382.47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14,574,022.74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1,827,700.00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13,938,074.57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5,918,453.79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12,901,322.86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4,425,601.17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10,863,389.62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5,213,879.79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6,443,166.11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6,642,265.68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4,563,136.68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4,374,283.89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4,346,802.42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1,927,599.28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3,234,907.57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2,985,964.19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6,373,845.86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2,793,497.18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215,091,052.51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128,553,200.49</w:t>
            </w:r>
            <w:r>
              <w:rPr>
                <w:rFonts w:ascii="Times New Roman"/>
                <w:sz w:val="18"/>
              </w:rPr>
            </w:r>
          </w:p>
        </w:tc>
      </w:tr>
    </w:tbl>
    <w:p>
      <w:pPr>
        <w:pStyle w:val="BodyText"/>
        <w:spacing w:line="240" w:lineRule="auto" w:before="49"/>
        <w:ind w:right="0"/>
        <w:jc w:val="left"/>
      </w:pPr>
      <w:r>
        <w:rPr/>
        <w:t>其他说明：</w:t>
      </w:r>
    </w:p>
    <w:p>
      <w:pPr>
        <w:pStyle w:val="BodyText"/>
        <w:spacing w:line="300" w:lineRule="auto" w:before="115"/>
        <w:ind w:right="147" w:firstLine="432"/>
        <w:jc w:val="left"/>
      </w:pPr>
      <w:r>
        <w:rPr/>
        <w:t>管理费用</w:t>
      </w:r>
      <w:r>
        <w:rPr>
          <w:rFonts w:ascii="Times New Roman" w:hAnsi="Times New Roman" w:cs="Times New Roman" w:eastAsia="Times New Roman" w:hint="default"/>
        </w:rPr>
        <w:t>2015</w:t>
      </w:r>
      <w:r>
        <w:rPr/>
        <w:t>年度比</w:t>
      </w:r>
      <w:r>
        <w:rPr>
          <w:rFonts w:ascii="Times New Roman" w:hAnsi="Times New Roman" w:cs="Times New Roman" w:eastAsia="Times New Roman" w:hint="default"/>
        </w:rPr>
        <w:t>2014</w:t>
      </w:r>
      <w:r>
        <w:rPr/>
        <w:t>年度增长</w:t>
      </w:r>
      <w:r>
        <w:rPr>
          <w:rFonts w:ascii="Times New Roman" w:hAnsi="Times New Roman" w:cs="Times New Roman" w:eastAsia="Times New Roman" w:hint="default"/>
        </w:rPr>
        <w:t>67.32%</w:t>
      </w:r>
      <w:r>
        <w:rPr/>
        <w:t>，主要原因：随着公司对研发投入的增加，研发费用相应增长；公司本年股 份支付分摊费用增加；本年新增非同一控制下企业合并子公司联创智融的管理费用。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65、财务费用" w:id="367"/>
      <w:bookmarkEnd w:id="367"/>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19,551,025.88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18,899,164.89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2,438,747.08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5,325,328.12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-3,335,470.36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8,856,291.50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3,380,397.85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1,354,765.01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17,157,206.29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23,784,893.28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6、资产减值损失" w:id="368"/>
      <w:bookmarkEnd w:id="368"/>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14,622,897.93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6,601,667.10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14,622,897.93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6,601,667.10</w:t>
            </w:r>
            <w:r>
              <w:rPr>
                <w:rFonts w:ascii="Times New Roman"/>
                <w:sz w:val="18"/>
              </w:rPr>
            </w:r>
          </w:p>
        </w:tc>
      </w:tr>
    </w:tbl>
    <w:p>
      <w:pPr>
        <w:pStyle w:val="BodyText"/>
        <w:spacing w:line="240" w:lineRule="auto" w:before="49"/>
        <w:ind w:right="0"/>
        <w:jc w:val="left"/>
      </w:pPr>
      <w:r>
        <w:rPr/>
        <w:t>其他说明：</w:t>
      </w:r>
    </w:p>
    <w:p>
      <w:pPr>
        <w:pStyle w:val="BodyText"/>
        <w:spacing w:line="300" w:lineRule="auto" w:before="115"/>
        <w:ind w:right="0" w:firstLine="432"/>
        <w:jc w:val="left"/>
      </w:pPr>
      <w:r>
        <w:rPr>
          <w:spacing w:val="-2"/>
        </w:rPr>
        <w:t>资产减值损失</w:t>
      </w:r>
      <w:r>
        <w:rPr>
          <w:rFonts w:ascii="Times New Roman" w:hAnsi="Times New Roman" w:cs="Times New Roman" w:eastAsia="Times New Roman" w:hint="default"/>
          <w:spacing w:val="-2"/>
        </w:rPr>
        <w:t>2015</w:t>
      </w:r>
      <w:r>
        <w:rPr>
          <w:spacing w:val="-2"/>
        </w:rPr>
        <w:t>年度比</w:t>
      </w:r>
      <w:r>
        <w:rPr>
          <w:rFonts w:ascii="Times New Roman" w:hAnsi="Times New Roman" w:cs="Times New Roman" w:eastAsia="Times New Roman" w:hint="default"/>
          <w:spacing w:val="-2"/>
        </w:rPr>
        <w:t>2014</w:t>
      </w:r>
      <w:r>
        <w:rPr>
          <w:spacing w:val="-2"/>
        </w:rPr>
        <w:t>年度增长</w:t>
      </w:r>
      <w:r>
        <w:rPr>
          <w:rFonts w:ascii="Times New Roman" w:hAnsi="Times New Roman" w:cs="Times New Roman" w:eastAsia="Times New Roman" w:hint="default"/>
          <w:spacing w:val="-2"/>
        </w:rPr>
        <w:t>121.50%</w:t>
      </w:r>
      <w:r>
        <w:rPr>
          <w:spacing w:val="-2"/>
        </w:rPr>
        <w:t>，主要原因是本年新增非同一控制下企业合并子公司联创智融的资产减</w:t>
      </w:r>
      <w:r>
        <w:rPr/>
        <w:t> 值损失。</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67、公允价值变动收益" w:id="369"/>
      <w:bookmarkEnd w:id="369"/>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-13,500.00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-13,500.00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6,770.00</w:t>
            </w:r>
          </w:p>
        </w:tc>
      </w:tr>
    </w:tbl>
    <w:p>
      <w:pPr>
        <w:pStyle w:val="BodyText"/>
        <w:spacing w:line="240" w:lineRule="auto" w:before="49"/>
        <w:ind w:right="0"/>
        <w:jc w:val="left"/>
      </w:pPr>
      <w:r>
        <w:rPr/>
        <w:t>其他说明：</w:t>
      </w:r>
    </w:p>
    <w:p>
      <w:pPr>
        <w:pStyle w:val="BodyText"/>
        <w:spacing w:line="240" w:lineRule="auto" w:before="115"/>
        <w:ind w:left="584" w:right="0"/>
        <w:jc w:val="left"/>
      </w:pPr>
      <w:r>
        <w:rPr/>
        <w:t>其他流动资产形成的公允价值变动收益系子公司江苏开拓购入实物投资黄金形成。</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8、投资收益" w:id="370"/>
      <w:bookmarkEnd w:id="37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8"/>
      </w:tblGrid>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-34,080.22</w:t>
            </w:r>
            <w:r>
              <w:rPr>
                <w:rFonts w:ascii="Times New Roman"/>
                <w:sz w:val="18"/>
              </w:rPr>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50,245,432.35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3,460,000.00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53,705,432.35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-34,080.22</w:t>
            </w:r>
            <w:r>
              <w:rPr>
                <w:rFonts w:ascii="Times New Roman"/>
                <w:sz w:val="18"/>
              </w:rPr>
            </w:r>
          </w:p>
        </w:tc>
      </w:tr>
    </w:tbl>
    <w:p>
      <w:pPr>
        <w:pStyle w:val="BodyText"/>
        <w:spacing w:line="240" w:lineRule="auto" w:before="49"/>
        <w:ind w:right="0"/>
        <w:jc w:val="left"/>
      </w:pPr>
      <w:r>
        <w:rPr/>
        <w:t>其他说明：</w:t>
      </w:r>
    </w:p>
    <w:p>
      <w:pPr>
        <w:pStyle w:val="BodyText"/>
        <w:spacing w:line="300" w:lineRule="auto" w:before="115"/>
        <w:ind w:right="144" w:firstLine="360"/>
        <w:jc w:val="left"/>
      </w:pPr>
      <w:r>
        <w:rPr/>
        <w:t>（</w:t>
      </w:r>
      <w:r>
        <w:rPr>
          <w:rFonts w:ascii="Times New Roman" w:hAnsi="Times New Roman" w:cs="Times New Roman" w:eastAsia="Times New Roman" w:hint="default"/>
        </w:rPr>
        <w:t>1</w:t>
      </w:r>
      <w:r>
        <w:rPr/>
        <w:t>）处置长期股权投资产生的投资收益系本公司处置润和数码股权形成，子公司外包园公司处置其子公司外包园置业 股权形成。</w:t>
      </w:r>
    </w:p>
    <w:p>
      <w:pPr>
        <w:pStyle w:val="BodyText"/>
        <w:spacing w:line="240" w:lineRule="auto" w:before="31"/>
        <w:ind w:left="512" w:right="0"/>
        <w:jc w:val="left"/>
      </w:pPr>
      <w:r>
        <w:rPr/>
        <w:t>（</w:t>
      </w:r>
      <w:r>
        <w:rPr>
          <w:rFonts w:ascii="Times New Roman" w:hAnsi="Times New Roman" w:cs="Times New Roman" w:eastAsia="Times New Roman" w:hint="default"/>
        </w:rPr>
        <w:t>2</w:t>
      </w:r>
      <w:r>
        <w:rPr/>
        <w:t>）处置可供出售金融资产取得的投资收益系本公司处置江苏中晟智源科技产业有限公司股权形成。</w:t>
      </w:r>
    </w:p>
    <w:p>
      <w:pPr>
        <w:pStyle w:val="BodyText"/>
        <w:spacing w:line="240" w:lineRule="auto" w:before="62"/>
        <w:ind w:left="512" w:right="0"/>
        <w:jc w:val="left"/>
      </w:pPr>
      <w:r>
        <w:rPr/>
        <w:t>（</w:t>
      </w:r>
      <w:r>
        <w:rPr>
          <w:rFonts w:ascii="Times New Roman" w:hAnsi="Times New Roman" w:cs="Times New Roman" w:eastAsia="Times New Roman" w:hint="default"/>
        </w:rPr>
        <w:t>3</w:t>
      </w:r>
      <w:r>
        <w:rPr/>
        <w:t>）本公司投资收益汇回无重大限制。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bookmarkStart w:name="69、营业外收入" w:id="371"/>
      <w:bookmarkEnd w:id="371"/>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5"/>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28,910,698.20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21,833,497.97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28,910,698.20</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10,554,629.23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18,845,901.19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8,375,054.72</w:t>
            </w:r>
            <w:r>
              <w:rPr>
                <w:rFonts w:ascii="Times New Roman"/>
                <w:sz w:val="18"/>
              </w:rPr>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262,832.41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123,240.64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262,832.41</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39,728,159.84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40,802,639.80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37,548,585.33</w:t>
            </w:r>
          </w:p>
        </w:tc>
      </w:tr>
    </w:tbl>
    <w:p>
      <w:pPr>
        <w:pStyle w:val="BodyText"/>
        <w:spacing w:line="240" w:lineRule="auto" w:before="49"/>
        <w:ind w:right="0"/>
        <w:jc w:val="left"/>
      </w:pPr>
      <w:r>
        <w:rPr/>
        <w:t>计入当期损益的政府补助：</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国际服务外 包专项引导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5,308,000.00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2,179,574.51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1,515,125.07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软件及服务 外包产业发 展扶持资金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809,053.00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950,756.00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 发展计划和 科技经费补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服务外包业 </w:t>
            </w:r>
            <w:r>
              <w:rPr>
                <w:rFonts w:ascii="宋体" w:hAnsi="宋体" w:cs="宋体" w:eastAsia="宋体" w:hint="default"/>
                <w:spacing w:val="-12"/>
                <w:sz w:val="18"/>
                <w:szCs w:val="18"/>
              </w:rPr>
              <w:t>发展技改（平</w:t>
            </w:r>
            <w:r>
              <w:rPr>
                <w:rFonts w:ascii="宋体" w:hAnsi="宋体" w:cs="宋体" w:eastAsia="宋体" w:hint="default"/>
                <w:sz w:val="18"/>
                <w:szCs w:val="18"/>
              </w:rPr>
              <w:t> 台）项目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工业和信息 产业转型升 级专项引导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科技服务业 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创汇奖励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服务业综合 改革试点专 项补贴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雨花润和软 件外包园项 目引导资金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IBM </w:t>
            </w:r>
            <w:r>
              <w:rPr>
                <w:rFonts w:ascii="宋体" w:hAnsi="宋体" w:cs="宋体" w:eastAsia="宋体" w:hint="default"/>
                <w:sz w:val="18"/>
                <w:szCs w:val="18"/>
              </w:rPr>
              <w:t>技术联</w:t>
            </w:r>
            <w:r>
              <w:rPr>
                <w:rFonts w:ascii="宋体" w:hAnsi="宋体" w:cs="宋体" w:eastAsia="宋体" w:hint="default"/>
                <w:w w:val="99"/>
                <w:sz w:val="18"/>
                <w:szCs w:val="18"/>
              </w:rPr>
              <w:t> </w:t>
            </w:r>
            <w:r>
              <w:rPr>
                <w:rFonts w:ascii="宋体" w:hAnsi="宋体" w:cs="宋体" w:eastAsia="宋体" w:hint="default"/>
                <w:sz w:val="18"/>
                <w:szCs w:val="18"/>
              </w:rPr>
              <w:t>合创新中心</w:t>
            </w:r>
            <w:r>
              <w:rPr>
                <w:rFonts w:ascii="宋体" w:hAnsi="宋体" w:cs="宋体" w:eastAsia="宋体" w:hint="default"/>
                <w:w w:val="99"/>
                <w:sz w:val="18"/>
                <w:szCs w:val="18"/>
              </w:rPr>
              <w:t> </w:t>
            </w:r>
            <w:r>
              <w:rPr>
                <w:rFonts w:ascii="宋体" w:hAnsi="宋体" w:cs="宋体" w:eastAsia="宋体" w:hint="default"/>
                <w:sz w:val="18"/>
                <w:szCs w:val="18"/>
              </w:rPr>
              <w:t>财政扶持资</w:t>
            </w:r>
            <w:r>
              <w:rPr>
                <w:rFonts w:ascii="宋体" w:hAnsi="宋体" w:cs="宋体" w:eastAsia="宋体" w:hint="default"/>
                <w:w w:val="99"/>
                <w:sz w:val="18"/>
                <w:szCs w:val="18"/>
              </w:rPr>
              <w:t> </w:t>
            </w:r>
            <w:r>
              <w:rPr>
                <w:rFonts w:ascii="宋体" w:hAnsi="宋体" w:cs="宋体" w:eastAsia="宋体" w:hint="default"/>
                <w:sz w:val="18"/>
                <w:szCs w:val="18"/>
              </w:rPr>
              <w:t>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商务部人才 培训补贴资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2,016,000.00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科技创业家 贷款贴息资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创新示范企 业奖励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1"/>
              <w:jc w:val="both"/>
              <w:rPr>
                <w:rFonts w:ascii="宋体" w:hAnsi="宋体" w:cs="宋体" w:eastAsia="宋体" w:hint="default"/>
                <w:sz w:val="18"/>
                <w:szCs w:val="18"/>
              </w:rPr>
            </w:pPr>
            <w:r>
              <w:rPr>
                <w:rFonts w:ascii="宋体" w:hAnsi="宋体" w:cs="宋体" w:eastAsia="宋体" w:hint="default"/>
                <w:sz w:val="18"/>
                <w:szCs w:val="18"/>
              </w:rPr>
              <w:t>对日软件接 包研发交付 平台专项资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软件和信息 服务业发展 专项资金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1"/>
              <w:jc w:val="left"/>
              <w:rPr>
                <w:rFonts w:ascii="宋体" w:hAnsi="宋体" w:cs="宋体" w:eastAsia="宋体" w:hint="default"/>
                <w:sz w:val="18"/>
                <w:szCs w:val="18"/>
              </w:rPr>
            </w:pPr>
            <w:r>
              <w:rPr>
                <w:rFonts w:ascii="宋体" w:hAnsi="宋体" w:cs="宋体" w:eastAsia="宋体" w:hint="default"/>
                <w:sz w:val="18"/>
                <w:szCs w:val="18"/>
              </w:rPr>
              <w:t>文化产业发 展专项资金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583,001.72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621,520.12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10,554,629.2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18,845,901.1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5"/>
        <w:ind w:right="0" w:hanging="1"/>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年政府补助中</w:t>
      </w:r>
      <w:r>
        <w:rPr>
          <w:rFonts w:ascii="Times New Roman" w:hAnsi="Times New Roman" w:cs="Times New Roman" w:eastAsia="Times New Roman" w:hint="default"/>
          <w:spacing w:val="-1"/>
        </w:rPr>
        <w:t>2,179,574.51</w:t>
      </w:r>
      <w:r>
        <w:rPr>
          <w:spacing w:val="-1"/>
        </w:rPr>
        <w:t>元为增值税退税，系与公司正常经营业务密切相关，符合国家政策规定、按照一定标准</w:t>
      </w:r>
      <w:r>
        <w:rPr>
          <w:spacing w:val="-72"/>
        </w:rPr>
        <w:t> </w:t>
      </w:r>
      <w:r>
        <w:rPr>
          <w:spacing w:val="-72"/>
        </w:rPr>
      </w:r>
      <w:r>
        <w:rPr/>
        <w:t>定额或定量持续享受的政府补助，计入经常性损益。</w:t>
      </w:r>
    </w:p>
    <w:p>
      <w:pPr>
        <w:pStyle w:val="BodyText"/>
        <w:spacing w:line="300" w:lineRule="auto" w:before="31"/>
        <w:ind w:left="153" w:right="144" w:hanging="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月，全资子公司外包园公司以其持有的在建工程（南京市软件大道</w:t>
      </w:r>
      <w:r>
        <w:rPr>
          <w:rFonts w:ascii="Times New Roman" w:hAnsi="Times New Roman" w:cs="Times New Roman" w:eastAsia="Times New Roman" w:hint="default"/>
        </w:rPr>
        <w:t>168</w:t>
      </w:r>
      <w:r>
        <w:rPr/>
        <w:t>号</w:t>
      </w:r>
      <w:r>
        <w:rPr>
          <w:rFonts w:ascii="Times New Roman" w:hAnsi="Times New Roman" w:cs="Times New Roman" w:eastAsia="Times New Roman" w:hint="default"/>
        </w:rPr>
        <w:t>3</w:t>
      </w:r>
      <w:r>
        <w:rPr/>
        <w:t>幢科研楼及占用的无形资产</w:t>
      </w:r>
      <w:r>
        <w:rPr>
          <w:rFonts w:ascii="Times New Roman" w:hAnsi="Times New Roman" w:cs="Times New Roman" w:eastAsia="Times New Roman" w:hint="default"/>
        </w:rPr>
        <w:t>—</w:t>
      </w:r>
      <w:r>
        <w:rPr/>
        <w:t>土地 使用权）进行出资设立子公司外包园置业，持有外包园置业</w:t>
      </w:r>
      <w:r>
        <w:rPr>
          <w:rFonts w:ascii="Times New Roman" w:hAnsi="Times New Roman" w:cs="Times New Roman" w:eastAsia="Times New Roman" w:hint="default"/>
        </w:rPr>
        <w:t>100%</w:t>
      </w:r>
      <w:r>
        <w:rPr/>
        <w:t>的股权。中水致远资产评估有限公司对上述资产于评估基 准日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日的市场价值进行了评估，并出具了中水致远评报字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2416</w:t>
      </w:r>
      <w:r>
        <w:rPr/>
        <w:t>号《资产评估报告》，采用假设开发法 </w:t>
      </w:r>
      <w:r>
        <w:rPr>
          <w:spacing w:val="-2"/>
        </w:rPr>
        <w:t>评估市场价值为</w:t>
      </w:r>
      <w:r>
        <w:rPr>
          <w:rFonts w:ascii="Times New Roman" w:hAnsi="Times New Roman" w:cs="Times New Roman" w:eastAsia="Times New Roman" w:hint="default"/>
          <w:spacing w:val="-2"/>
        </w:rPr>
        <w:t>15,948.48</w:t>
      </w:r>
      <w:r>
        <w:rPr>
          <w:spacing w:val="-2"/>
        </w:rPr>
        <w:t>万元（含占用的土地使用权价值）。外包园公司本次投资金额以上述资产评估价格为准，出资金额</w:t>
      </w:r>
      <w:r>
        <w:rPr>
          <w:spacing w:val="-58"/>
        </w:rPr>
        <w:t> </w:t>
      </w:r>
      <w:r>
        <w:rPr>
          <w:spacing w:val="-58"/>
        </w:rPr>
      </w:r>
      <w:r>
        <w:rPr/>
        <w:t>为</w:t>
      </w:r>
      <w:r>
        <w:rPr>
          <w:rFonts w:ascii="Times New Roman" w:hAnsi="Times New Roman" w:cs="Times New Roman" w:eastAsia="Times New Roman" w:hint="default"/>
        </w:rPr>
        <w:t>15,948.48</w:t>
      </w:r>
      <w:r>
        <w:rPr/>
        <w:t>万元人民币。本次出资所对应的在建工程及无形资产账面价值</w:t>
      </w:r>
      <w:r>
        <w:rPr>
          <w:rFonts w:ascii="Times New Roman" w:hAnsi="Times New Roman" w:cs="Times New Roman" w:eastAsia="Times New Roman" w:hint="default"/>
        </w:rPr>
        <w:t>130,575,831.80</w:t>
      </w:r>
      <w:r>
        <w:rPr/>
        <w:t>元，处置非流动资产收益 </w:t>
      </w:r>
      <w:r>
        <w:rPr>
          <w:rFonts w:ascii="Times New Roman" w:hAnsi="Times New Roman" w:cs="Times New Roman" w:eastAsia="Times New Roman" w:hint="default"/>
        </w:rPr>
        <w:t>28,908,968.20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bookmarkStart w:name="70、营业外支出" w:id="372"/>
      <w:bookmarkEnd w:id="372"/>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94,490.64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94,490.64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94,490.64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94,490.64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92,538.90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92,538.90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397,029.54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629,550.52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397,029.54</w:t>
            </w:r>
          </w:p>
        </w:tc>
      </w:tr>
    </w:tbl>
    <w:p>
      <w:pPr>
        <w:pStyle w:val="BodyText"/>
        <w:spacing w:line="357" w:lineRule="auto" w:before="49"/>
        <w:ind w:right="2379"/>
        <w:jc w:val="left"/>
      </w:pPr>
      <w:r>
        <w:rPr/>
        <w:t>其他说明： 营业外支出</w:t>
      </w:r>
      <w:r>
        <w:rPr>
          <w:rFonts w:ascii="Times New Roman" w:hAnsi="Times New Roman" w:cs="Times New Roman" w:eastAsia="Times New Roman" w:hint="default"/>
        </w:rPr>
        <w:t>2015</w:t>
      </w:r>
      <w:r>
        <w:rPr/>
        <w:t>年度比</w:t>
      </w:r>
      <w:r>
        <w:rPr>
          <w:rFonts w:ascii="Times New Roman" w:hAnsi="Times New Roman" w:cs="Times New Roman" w:eastAsia="Times New Roman" w:hint="default"/>
        </w:rPr>
        <w:t>2014</w:t>
      </w:r>
      <w:r>
        <w:rPr/>
        <w:t>年度下降</w:t>
      </w:r>
      <w:r>
        <w:rPr>
          <w:rFonts w:ascii="Times New Roman" w:hAnsi="Times New Roman" w:cs="Times New Roman" w:eastAsia="Times New Roman" w:hint="default"/>
        </w:rPr>
        <w:t>36.93%</w:t>
      </w:r>
      <w:r>
        <w:rPr/>
        <w:t>，主要原因是公司</w:t>
      </w:r>
      <w:r>
        <w:rPr>
          <w:rFonts w:ascii="Times New Roman" w:hAnsi="Times New Roman" w:cs="Times New Roman" w:eastAsia="Times New Roman" w:hint="default"/>
        </w:rPr>
        <w:t>2015</w:t>
      </w:r>
      <w:r>
        <w:rPr/>
        <w:t>年支付的公益性捐赠减少。</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71、所得税费用" w:id="373"/>
      <w:bookmarkEnd w:id="373"/>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74"/>
      <w:bookmarkEnd w:id="37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38,878,287.33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15,788,764.74</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-10,184,197.77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-962,465.72</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28,694,089.56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14,826,299.02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75"/>
      <w:bookmarkEnd w:id="37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221,745,076.59</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28,694,089.56</w:t>
            </w:r>
          </w:p>
        </w:tc>
      </w:tr>
    </w:tbl>
    <w:p>
      <w:pPr>
        <w:pStyle w:val="BodyText"/>
        <w:spacing w:line="357" w:lineRule="auto" w:before="49"/>
        <w:ind w:right="939"/>
        <w:jc w:val="left"/>
      </w:pPr>
      <w:r>
        <w:rPr/>
        <w:t>其他说明 所得税费用</w:t>
      </w:r>
      <w:r>
        <w:rPr>
          <w:rFonts w:ascii="Times New Roman" w:hAnsi="Times New Roman" w:cs="Times New Roman" w:eastAsia="Times New Roman" w:hint="default"/>
        </w:rPr>
        <w:t>2015</w:t>
      </w:r>
      <w:r>
        <w:rPr/>
        <w:t>年度比</w:t>
      </w:r>
      <w:r>
        <w:rPr>
          <w:rFonts w:ascii="Times New Roman" w:hAnsi="Times New Roman" w:cs="Times New Roman" w:eastAsia="Times New Roman" w:hint="default"/>
        </w:rPr>
        <w:t>2014</w:t>
      </w:r>
      <w:r>
        <w:rPr/>
        <w:t>年度增长</w:t>
      </w:r>
      <w:r>
        <w:rPr>
          <w:rFonts w:ascii="Times New Roman" w:hAnsi="Times New Roman" w:cs="Times New Roman" w:eastAsia="Times New Roman" w:hint="default"/>
        </w:rPr>
        <w:t>93.54%</w:t>
      </w:r>
      <w:r>
        <w:rPr/>
        <w:t>，主要原因是公司</w:t>
      </w:r>
      <w:r>
        <w:rPr>
          <w:rFonts w:ascii="Times New Roman" w:hAnsi="Times New Roman" w:cs="Times New Roman" w:eastAsia="Times New Roman" w:hint="default"/>
        </w:rPr>
        <w:t>2015</w:t>
      </w:r>
      <w:r>
        <w:rPr/>
        <w:t>年利润总额增加，当期所得税费用相应增加。</w:t>
      </w:r>
    </w:p>
    <w:p>
      <w:pPr>
        <w:spacing w:line="240" w:lineRule="auto" w:before="9"/>
        <w:rPr>
          <w:rFonts w:ascii="宋体" w:hAnsi="宋体" w:cs="宋体" w:eastAsia="宋体" w:hint="default"/>
          <w:sz w:val="18"/>
          <w:szCs w:val="18"/>
        </w:rPr>
      </w:pPr>
    </w:p>
    <w:p>
      <w:pPr>
        <w:spacing w:line="544" w:lineRule="auto" w:before="0"/>
        <w:ind w:left="152" w:right="7210" w:firstLine="0"/>
        <w:jc w:val="left"/>
        <w:rPr>
          <w:rFonts w:ascii="宋体" w:hAnsi="宋体" w:cs="宋体" w:eastAsia="宋体" w:hint="default"/>
          <w:sz w:val="21"/>
          <w:szCs w:val="21"/>
        </w:rPr>
      </w:pPr>
      <w:bookmarkStart w:name="72、其他综合收益" w:id="376"/>
      <w:bookmarkEnd w:id="376"/>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其他综合收益。 </w:t>
      </w:r>
      <w:bookmarkStart w:name="73、现金流量表项目" w:id="377"/>
      <w:bookmarkEnd w:id="377"/>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378"/>
      <w:bookmarkEnd w:id="37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7,950,054.72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30,380,776.12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1,305,954.75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7,506,365.09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9,256,009.47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37,887,141.21</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支付的其他与经营活动有关的现金" w:id="379"/>
      <w:bookmarkEnd w:id="37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13,938,074.57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5,918,453.79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11,014,072.02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10,097,162.49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9,062,506.97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6,675,641.26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8,097,463.78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13,189,492.82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8,008,242.06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8,738,174.07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230,802.52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403,560.38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15,667,793.61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16,499,657.15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66,018,955.53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61,522,141.96</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收到的其他与投资活动有关的现金" w:id="380"/>
      <w:bookmarkEnd w:id="38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2,313,929.88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6,329,373.13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2,313,929.88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6,329,373.13</w:t>
            </w:r>
            <w:r>
              <w:rPr>
                <w:rFonts w:ascii="Times New Roman"/>
                <w:sz w:val="18"/>
              </w:rPr>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支付的其他与投资活动有关的现金" w:id="381"/>
      <w:bookmarkEnd w:id="38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收到的其他与筹资活动有关的现金" w:id="382"/>
      <w:bookmarkEnd w:id="38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137,250,000.00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137,250,000.00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支付的其他与筹资活动有关的现金" w:id="383"/>
      <w:bookmarkEnd w:id="38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为发行证券支付的审计咨询费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6,727,166.99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13,967,973.00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11,433,076.80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回购股份支付费用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1,829,650.00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23.320007pt;margin-top:456.419983pt;width:151.2pt;height:40.8pt;mso-position-horizontal-relative:page;mso-position-vertical-relative:page;z-index:-1146640" coordorigin="4466,9128" coordsize="3024,816">
            <v:group style="position:absolute;left:4477;top:9139;width:2;height:392" coordorigin="4477,9139" coordsize="2,392">
              <v:shape style="position:absolute;left:4477;top:9139;width:2;height:392" coordorigin="4477,9139" coordsize="0,392" path="m4477,9139l4477,9530e" filled="false" stroked="true" strokeweight="1.08pt" strokecolor="#ffffff">
                <v:path arrowok="t"/>
              </v:shape>
            </v:group>
            <v:group style="position:absolute;left:4488;top:9139;width:3003;height:392" coordorigin="4488,9139" coordsize="3003,392">
              <v:shape style="position:absolute;left:4488;top:9139;width:3003;height:392" coordorigin="4488,9139" coordsize="3003,392" path="m4488,9530l7490,9530,7490,9139,4488,9139,4488,9530xe" filled="true" fillcolor="#ffffff" stroked="false">
                <v:path arrowok="t"/>
                <v:fill type="solid"/>
              </v:shape>
            </v:group>
            <v:group style="position:absolute;left:4477;top:9540;width:2;height:394" coordorigin="4477,9540" coordsize="2,394">
              <v:shape style="position:absolute;left:4477;top:9540;width:2;height:394" coordorigin="4477,9540" coordsize="0,394" path="m4477,9540l4477,9934e" filled="false" stroked="true" strokeweight="1.08pt" strokecolor="#ffffff">
                <v:path arrowok="t"/>
              </v:shape>
            </v:group>
            <v:group style="position:absolute;left:4488;top:9540;width:3003;height:394" coordorigin="4488,9540" coordsize="3003,394">
              <v:shape style="position:absolute;left:4488;top:9540;width:3003;height:394" coordorigin="4488,9540" coordsize="3003,394" path="m4488,9934l7490,9934,7490,9540,4488,9540,4488,993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88,856,816.99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25,401,049.80</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4、现金流量表补充资料" w:id="384"/>
      <w:bookmarkEnd w:id="384"/>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85"/>
      <w:bookmarkEnd w:id="38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1057"/>
        <w:gridCol w:w="2015"/>
        <w:gridCol w:w="3185"/>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193,050,987.03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114,351,444.14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6" w:right="0"/>
              <w:jc w:val="left"/>
              <w:rPr>
                <w:rFonts w:ascii="Times New Roman" w:hAnsi="Times New Roman" w:cs="Times New Roman" w:eastAsia="Times New Roman" w:hint="default"/>
                <w:sz w:val="18"/>
                <w:szCs w:val="18"/>
              </w:rPr>
            </w:pPr>
            <w:r>
              <w:rPr>
                <w:rFonts w:ascii="Times New Roman"/>
                <w:sz w:val="18"/>
              </w:rPr>
              <w:t>14,622,897.93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6,601,667.10</w:t>
            </w:r>
            <w:r>
              <w:rPr>
                <w:rFonts w:ascii="Times New Roman"/>
                <w:sz w:val="18"/>
              </w:rPr>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6"/>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6" w:right="0"/>
              <w:jc w:val="left"/>
              <w:rPr>
                <w:rFonts w:ascii="Times New Roman" w:hAnsi="Times New Roman" w:cs="Times New Roman" w:eastAsia="Times New Roman" w:hint="default"/>
                <w:sz w:val="18"/>
                <w:szCs w:val="18"/>
              </w:rPr>
            </w:pPr>
            <w:r>
              <w:rPr>
                <w:rFonts w:ascii="Times New Roman"/>
                <w:sz w:val="18"/>
              </w:rPr>
              <w:t>12,014,540.71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9,441,910.84</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8,313,678.42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4,331,926.07</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1,688,266.47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1,890,794.26</w:t>
            </w:r>
            <w:r>
              <w:rPr>
                <w:rFonts w:ascii="Times New Roman"/>
                <w:sz w:val="18"/>
              </w:rPr>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3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6" w:right="0"/>
              <w:jc w:val="left"/>
              <w:rPr>
                <w:rFonts w:ascii="Times New Roman" w:hAnsi="Times New Roman" w:cs="Times New Roman" w:eastAsia="Times New Roman" w:hint="default"/>
                <w:sz w:val="18"/>
                <w:szCs w:val="18"/>
              </w:rPr>
            </w:pPr>
            <w:r>
              <w:rPr>
                <w:rFonts w:ascii="Times New Roman"/>
                <w:sz w:val="18"/>
              </w:rPr>
              <w:t>-28,816,207.56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-21,833,497.97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-6,770.00</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6" w:right="0"/>
              <w:jc w:val="left"/>
              <w:rPr>
                <w:rFonts w:ascii="Times New Roman" w:hAnsi="Times New Roman" w:cs="Times New Roman" w:eastAsia="Times New Roman" w:hint="default"/>
                <w:sz w:val="18"/>
                <w:szCs w:val="18"/>
              </w:rPr>
            </w:pPr>
            <w:r>
              <w:rPr>
                <w:rFonts w:ascii="Times New Roman"/>
                <w:sz w:val="18"/>
              </w:rPr>
              <w:t>16,778,890.32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13,920,327.06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6" w:right="0"/>
              <w:jc w:val="left"/>
              <w:rPr>
                <w:rFonts w:ascii="Times New Roman" w:hAnsi="Times New Roman" w:cs="Times New Roman" w:eastAsia="Times New Roman" w:hint="default"/>
                <w:sz w:val="18"/>
                <w:szCs w:val="18"/>
              </w:rPr>
            </w:pPr>
            <w:r>
              <w:rPr>
                <w:rFonts w:ascii="Times New Roman"/>
                <w:sz w:val="18"/>
              </w:rPr>
              <w:t>-53,705,432.35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34,080.22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-9,673,647.62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-962,465.72</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-510,550.15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-534,615.87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-38,995,959.42</w:t>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5" w:right="0"/>
              <w:jc w:val="left"/>
              <w:rPr>
                <w:rFonts w:ascii="Times New Roman" w:hAnsi="Times New Roman" w:cs="Times New Roman" w:eastAsia="Times New Roman" w:hint="default"/>
                <w:sz w:val="18"/>
                <w:szCs w:val="18"/>
              </w:rPr>
            </w:pPr>
            <w:r>
              <w:rPr>
                <w:rFonts w:ascii="Times New Roman"/>
                <w:sz w:val="18"/>
              </w:rPr>
              <w:t>-219,717,063.59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-77,617,497.62</w:t>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0" w:right="0"/>
              <w:jc w:val="left"/>
              <w:rPr>
                <w:rFonts w:ascii="Times New Roman" w:hAnsi="Times New Roman" w:cs="Times New Roman" w:eastAsia="Times New Roman" w:hint="default"/>
                <w:sz w:val="18"/>
                <w:szCs w:val="18"/>
              </w:rPr>
            </w:pPr>
            <w:r>
              <w:rPr>
                <w:rFonts w:ascii="Times New Roman"/>
                <w:sz w:val="18"/>
              </w:rPr>
              <w:t>111,414,915.77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35,020,361.39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6" w:right="0"/>
              <w:jc w:val="left"/>
              <w:rPr>
                <w:rFonts w:ascii="Times New Roman" w:hAnsi="Times New Roman" w:cs="Times New Roman" w:eastAsia="Times New Roman" w:hint="default"/>
                <w:sz w:val="18"/>
                <w:szCs w:val="18"/>
              </w:rPr>
            </w:pPr>
            <w:r>
              <w:rPr>
                <w:rFonts w:ascii="Times New Roman"/>
                <w:sz w:val="18"/>
              </w:rPr>
              <w:t>31,875,413.94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1,827,700.00</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6" w:right="0"/>
              <w:jc w:val="left"/>
              <w:rPr>
                <w:rFonts w:ascii="Times New Roman" w:hAnsi="Times New Roman" w:cs="Times New Roman" w:eastAsia="Times New Roman" w:hint="default"/>
                <w:sz w:val="18"/>
                <w:szCs w:val="18"/>
              </w:rPr>
            </w:pPr>
            <w:r>
              <w:rPr>
                <w:rFonts w:ascii="Times New Roman"/>
                <w:sz w:val="18"/>
              </w:rPr>
              <w:t>76,815,573.45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48,004,020.35</w:t>
            </w:r>
          </w:p>
        </w:tc>
      </w:tr>
      <w:tr>
        <w:trPr>
          <w:trHeight w:val="161" w:hRule="exact"/>
        </w:trPr>
        <w:tc>
          <w:tcPr>
            <w:tcW w:w="3300"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49"/>
              <w:ind w:left="1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3300" w:type="dxa"/>
            <w:vMerge/>
            <w:tcBorders>
              <w:left w:val="single" w:sz="4" w:space="0" w:color="000000"/>
              <w:right w:val="single" w:sz="4" w:space="0" w:color="000000"/>
            </w:tcBorders>
            <w:shd w:val="clear" w:color="auto" w:fill="D4D4D4"/>
          </w:tcPr>
          <w:p>
            <w:pPr/>
          </w:p>
        </w:tc>
        <w:tc>
          <w:tcPr>
            <w:tcW w:w="3072"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0" w:type="dxa"/>
            <w:vMerge/>
            <w:tcBorders>
              <w:left w:val="single" w:sz="4" w:space="0" w:color="000000"/>
              <w:bottom w:val="single" w:sz="4" w:space="0" w:color="000000"/>
              <w:right w:val="single" w:sz="4" w:space="0" w:color="000000"/>
            </w:tcBorders>
            <w:shd w:val="clear" w:color="auto" w:fill="D4D4D4"/>
          </w:tcPr>
          <w:p>
            <w:pPr/>
          </w:p>
        </w:tc>
        <w:tc>
          <w:tcPr>
            <w:tcW w:w="307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387,561,346.40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408,369,467.33</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408,369,467.33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433,166,369.98</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-20,808,120.93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6" w:right="0"/>
              <w:jc w:val="left"/>
              <w:rPr>
                <w:rFonts w:ascii="Times New Roman" w:hAnsi="Times New Roman" w:cs="Times New Roman" w:eastAsia="Times New Roman" w:hint="default"/>
                <w:sz w:val="18"/>
                <w:szCs w:val="18"/>
              </w:rPr>
            </w:pPr>
            <w:r>
              <w:rPr>
                <w:rFonts w:ascii="Times New Roman"/>
                <w:sz w:val="18"/>
              </w:rPr>
              <w:t>-24,796,902.65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386"/>
      <w:bookmarkEnd w:id="38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1,110,650,990.00</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1,061,650,990.00</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14,441,097.45</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13,038,289.10</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1,402,808.35</w:t>
            </w:r>
            <w:r>
              <w:rPr>
                <w:rFonts w:ascii="Times New Roman"/>
                <w:sz w:val="18"/>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1,096,209,892.55</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本期收到的处置子公司的现金净额" w:id="387"/>
      <w:bookmarkEnd w:id="38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107,208,422.50</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外包园置业</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101,930,650.00</w:t>
            </w:r>
            <w:r>
              <w:rPr>
                <w:rFonts w:ascii="Times New Roman"/>
                <w:sz w:val="18"/>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南京数码</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5,277,772.50</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2,096,093.27</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外包园置业</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134,194.45</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南京数码</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1,961,898.82</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105,112,329.23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现金和现金等价物的构成" w:id="388"/>
      <w:bookmarkEnd w:id="38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387,561,346.40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408,369,467.33</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240,359.70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227,733.17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373,402,903.08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398,749,823.81</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13,918,083.62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9,391,910.35</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387,561,346.40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408,369,467.33</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4394" w:firstLine="0"/>
        <w:jc w:val="left"/>
        <w:rPr>
          <w:rFonts w:ascii="宋体" w:hAnsi="宋体" w:cs="宋体" w:eastAsia="宋体" w:hint="default"/>
          <w:sz w:val="21"/>
          <w:szCs w:val="21"/>
        </w:rPr>
      </w:pPr>
      <w:bookmarkStart w:name="75、所有者权益变动表项目注释" w:id="389"/>
      <w:bookmarkEnd w:id="389"/>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90"/>
      <w:bookmarkEnd w:id="390"/>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6" w:type="dxa"/>
            <w:tcBorders>
              <w:top w:val="single" w:sz="4" w:space="0" w:color="000000"/>
              <w:left w:val="single" w:sz="4" w:space="0" w:color="000000"/>
              <w:bottom w:val="nil" w:sz="6" w:space="0" w:color="auto"/>
              <w:right w:val="single" w:sz="4" w:space="0" w:color="000000"/>
            </w:tcBorders>
            <w:shd w:val="clear" w:color="auto" w:fill="D4D4D4"/>
          </w:tcPr>
          <w:p>
            <w:pPr/>
          </w:p>
        </w:tc>
        <w:tc>
          <w:tcPr>
            <w:tcW w:w="3058"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15,918,083.62</w:t>
            </w:r>
          </w:p>
        </w:tc>
        <w:tc>
          <w:tcPr>
            <w:tcW w:w="3185"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银行承兑汇票保证金、保函保证金、法 院冻结款</w:t>
            </w:r>
          </w:p>
        </w:tc>
      </w:tr>
      <w:tr>
        <w:trPr>
          <w:trHeight w:val="391" w:hRule="exact"/>
        </w:trPr>
        <w:tc>
          <w:tcPr>
            <w:tcW w:w="33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10" w:space="0" w:color="D4D4D4"/>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6" w:type="dxa"/>
            <w:tcBorders>
              <w:top w:val="nil" w:sz="6" w:space="0" w:color="auto"/>
              <w:left w:val="single" w:sz="4" w:space="0" w:color="000000"/>
              <w:bottom w:val="single" w:sz="4" w:space="0" w:color="000000"/>
              <w:right w:val="single" w:sz="4" w:space="0" w:color="000000"/>
            </w:tcBorders>
            <w:shd w:val="clear" w:color="auto" w:fill="D4D4D4"/>
          </w:tcPr>
          <w:p>
            <w:pPr/>
          </w:p>
        </w:tc>
        <w:tc>
          <w:tcPr>
            <w:tcW w:w="3058" w:type="dxa"/>
            <w:vMerge/>
            <w:tcBorders>
              <w:left w:val="single" w:sz="10" w:space="0" w:color="D4D4D4"/>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652,015,041.06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55,349,040.01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723,282,164.69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7、外币货币性项目" w:id="391"/>
      <w:bookmarkEnd w:id="391"/>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92"/>
      <w:bookmarkEnd w:id="39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4"/>
        <w:gridCol w:w="2292"/>
        <w:gridCol w:w="2390"/>
        <w:gridCol w:w="2390"/>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27,107,529.59</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2,475,442.21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16,074,531.53</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5,963,662.82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4,996,237.44</w:t>
            </w:r>
            <w:r>
              <w:rPr>
                <w:rFonts w:ascii="Times New Roman"/>
                <w:sz w:val="18"/>
              </w:rPr>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3"/>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93,420,830.20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0.0539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5,033,047.23</w:t>
            </w:r>
            <w:r>
              <w:rPr>
                <w:rFonts w:ascii="Times New Roman"/>
                <w:sz w:val="18"/>
              </w:rPr>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218,793.11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1,003,713.39</w:t>
            </w:r>
            <w:r>
              <w:rPr>
                <w:rFonts w:ascii="Times New Roman"/>
                <w:sz w:val="18"/>
              </w:rPr>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33,485,243.83</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2,475,442.21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16,074,531.53</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140,400.00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117,624.31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237,918,679.00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0.0539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12,817,868.83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610,414.87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4.5875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2,800,278.22</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4,701,503.79</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386,853.79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2,512,073.77</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1,871,494.00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0.0539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100,826.74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455,281.37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4.5875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2,088,603.28</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323,250.00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0.0539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323,250.00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0"/>
        <w:jc w:val="left"/>
        <w:rPr>
          <w:b w:val="0"/>
          <w:bCs w:val="0"/>
        </w:rPr>
      </w:pPr>
      <w:bookmarkStart w:name="（2）境外经营实体说明，包括对于重要的境外经营实体，应披露其境外主要经营地、记账" w:id="393"/>
      <w:bookmarkEnd w:id="39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579"/>
        <w:gridCol w:w="2304"/>
        <w:gridCol w:w="2225"/>
      </w:tblGrid>
      <w:tr>
        <w:trPr>
          <w:trHeight w:val="348" w:hRule="exact"/>
        </w:trPr>
        <w:tc>
          <w:tcPr>
            <w:tcW w:w="4579"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304"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2225"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记账本位币</w:t>
            </w:r>
          </w:p>
        </w:tc>
      </w:tr>
      <w:tr>
        <w:trPr>
          <w:trHeight w:val="348" w:hRule="exact"/>
        </w:trPr>
        <w:tc>
          <w:tcPr>
            <w:tcW w:w="457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香港润和信息技术投资有限公司</w:t>
            </w:r>
          </w:p>
        </w:tc>
        <w:tc>
          <w:tcPr>
            <w:tcW w:w="230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中国香港</w:t>
            </w:r>
          </w:p>
        </w:tc>
        <w:tc>
          <w:tcPr>
            <w:tcW w:w="2225"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港币</w:t>
            </w:r>
          </w:p>
        </w:tc>
      </w:tr>
      <w:tr>
        <w:trPr>
          <w:trHeight w:val="346" w:hRule="exact"/>
        </w:trPr>
        <w:tc>
          <w:tcPr>
            <w:tcW w:w="457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株式会社ホープラン東京</w:t>
            </w:r>
          </w:p>
        </w:tc>
        <w:tc>
          <w:tcPr>
            <w:tcW w:w="230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日本东京</w:t>
            </w:r>
          </w:p>
        </w:tc>
        <w:tc>
          <w:tcPr>
            <w:tcW w:w="2225"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日元</w:t>
            </w:r>
          </w:p>
        </w:tc>
      </w:tr>
      <w:tr>
        <w:trPr>
          <w:trHeight w:val="348" w:hRule="exact"/>
        </w:trPr>
        <w:tc>
          <w:tcPr>
            <w:tcW w:w="4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12" w:right="0"/>
              <w:jc w:val="left"/>
              <w:rPr>
                <w:rFonts w:ascii="Times New Roman" w:hAnsi="Times New Roman" w:cs="Times New Roman" w:eastAsia="Times New Roman" w:hint="default"/>
                <w:sz w:val="21"/>
                <w:szCs w:val="21"/>
              </w:rPr>
            </w:pPr>
            <w:r>
              <w:rPr>
                <w:rFonts w:ascii="Times New Roman"/>
                <w:sz w:val="21"/>
              </w:rPr>
              <w:t>HOPERUN SOFTWARE SINGAPORE PTE.</w:t>
            </w:r>
            <w:r>
              <w:rPr>
                <w:rFonts w:ascii="Times New Roman"/>
                <w:spacing w:val="-15"/>
                <w:sz w:val="21"/>
              </w:rPr>
              <w:t> </w:t>
            </w:r>
            <w:r>
              <w:rPr>
                <w:rFonts w:ascii="Times New Roman"/>
                <w:sz w:val="21"/>
              </w:rPr>
              <w:t>LTD</w:t>
            </w:r>
          </w:p>
        </w:tc>
        <w:tc>
          <w:tcPr>
            <w:tcW w:w="2304"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新加坡</w:t>
            </w:r>
          </w:p>
        </w:tc>
        <w:tc>
          <w:tcPr>
            <w:tcW w:w="2225" w:type="dxa"/>
            <w:tcBorders>
              <w:top w:val="single" w:sz="8" w:space="0" w:color="000000"/>
              <w:left w:val="single" w:sz="6" w:space="0" w:color="000000"/>
              <w:bottom w:val="single" w:sz="8" w:space="0" w:color="000000"/>
              <w:right w:val="nil" w:sz="6" w:space="0" w:color="auto"/>
            </w:tcBorders>
          </w:tcPr>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新加坡元</w:t>
            </w:r>
          </w:p>
        </w:tc>
      </w:tr>
      <w:tr>
        <w:trPr>
          <w:trHeight w:val="346" w:hRule="exact"/>
        </w:trPr>
        <w:tc>
          <w:tcPr>
            <w:tcW w:w="4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12" w:right="0"/>
              <w:jc w:val="left"/>
              <w:rPr>
                <w:rFonts w:ascii="Times New Roman" w:hAnsi="Times New Roman" w:cs="Times New Roman" w:eastAsia="Times New Roman" w:hint="default"/>
                <w:sz w:val="21"/>
                <w:szCs w:val="21"/>
              </w:rPr>
            </w:pPr>
            <w:r>
              <w:rPr>
                <w:rFonts w:ascii="Times New Roman"/>
                <w:sz w:val="21"/>
              </w:rPr>
              <w:t>HopeRun Technology Co., </w:t>
            </w:r>
            <w:r>
              <w:rPr>
                <w:rFonts w:ascii="Times New Roman"/>
                <w:spacing w:val="-3"/>
                <w:sz w:val="21"/>
              </w:rPr>
              <w:t>Ltd</w:t>
            </w:r>
          </w:p>
        </w:tc>
        <w:tc>
          <w:tcPr>
            <w:tcW w:w="230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美国特拉华州</w:t>
            </w:r>
          </w:p>
        </w:tc>
        <w:tc>
          <w:tcPr>
            <w:tcW w:w="2225"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美元</w:t>
            </w:r>
          </w:p>
        </w:tc>
      </w:tr>
      <w:tr>
        <w:trPr>
          <w:trHeight w:val="348" w:hRule="exact"/>
        </w:trPr>
        <w:tc>
          <w:tcPr>
            <w:tcW w:w="4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1"/>
                <w:szCs w:val="21"/>
              </w:rPr>
            </w:pPr>
            <w:r>
              <w:rPr>
                <w:rFonts w:ascii="Times New Roman"/>
                <w:sz w:val="21"/>
              </w:rPr>
              <w:t>SRS2</w:t>
            </w:r>
            <w:r>
              <w:rPr>
                <w:rFonts w:ascii="Times New Roman"/>
                <w:spacing w:val="-5"/>
                <w:sz w:val="21"/>
              </w:rPr>
              <w:t> </w:t>
            </w:r>
            <w:r>
              <w:rPr>
                <w:rFonts w:ascii="Times New Roman"/>
                <w:sz w:val="21"/>
              </w:rPr>
              <w:t>LIMITED</w:t>
            </w:r>
          </w:p>
        </w:tc>
        <w:tc>
          <w:tcPr>
            <w:tcW w:w="2304"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中国香港</w:t>
            </w:r>
          </w:p>
        </w:tc>
        <w:tc>
          <w:tcPr>
            <w:tcW w:w="2225" w:type="dxa"/>
            <w:tcBorders>
              <w:top w:val="single" w:sz="8" w:space="0" w:color="000000"/>
              <w:left w:val="single" w:sz="6" w:space="0" w:color="000000"/>
              <w:bottom w:val="single" w:sz="8" w:space="0" w:color="000000"/>
              <w:right w:val="nil" w:sz="6" w:space="0" w:color="auto"/>
            </w:tcBorders>
          </w:tcPr>
          <w:p>
            <w:pPr>
              <w:pStyle w:val="TableParagraph"/>
              <w:spacing w:line="269" w:lineRule="exact"/>
              <w:ind w:right="2"/>
              <w:jc w:val="center"/>
              <w:rPr>
                <w:rFonts w:ascii="宋体" w:hAnsi="宋体" w:cs="宋体" w:eastAsia="宋体" w:hint="default"/>
                <w:sz w:val="21"/>
                <w:szCs w:val="21"/>
              </w:rPr>
            </w:pPr>
            <w:r>
              <w:rPr>
                <w:rFonts w:ascii="宋体" w:hAnsi="宋体" w:cs="宋体" w:eastAsia="宋体" w:hint="default"/>
                <w:sz w:val="21"/>
                <w:szCs w:val="21"/>
              </w:rPr>
              <w:t>美元</w:t>
            </w:r>
          </w:p>
        </w:tc>
      </w:tr>
      <w:tr>
        <w:trPr>
          <w:trHeight w:val="348" w:hRule="exact"/>
        </w:trPr>
        <w:tc>
          <w:tcPr>
            <w:tcW w:w="4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1"/>
                <w:szCs w:val="21"/>
              </w:rPr>
            </w:pPr>
            <w:r>
              <w:rPr>
                <w:rFonts w:ascii="Times New Roman"/>
                <w:sz w:val="21"/>
              </w:rPr>
              <w:t>SilkRoad Software &amp; Service</w:t>
            </w:r>
            <w:r>
              <w:rPr>
                <w:rFonts w:ascii="Times New Roman"/>
                <w:spacing w:val="-12"/>
                <w:sz w:val="21"/>
              </w:rPr>
              <w:t> </w:t>
            </w:r>
            <w:r>
              <w:rPr>
                <w:rFonts w:ascii="Times New Roman"/>
                <w:sz w:val="21"/>
              </w:rPr>
              <w:t>.Inc</w:t>
            </w:r>
          </w:p>
        </w:tc>
        <w:tc>
          <w:tcPr>
            <w:tcW w:w="230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美国加利福尼亚州</w:t>
            </w:r>
          </w:p>
        </w:tc>
        <w:tc>
          <w:tcPr>
            <w:tcW w:w="2225"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美元</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8、套期" w:id="394"/>
      <w:bookmarkEnd w:id="394"/>
      <w:r>
        <w:rPr>
          <w:b w:val="0"/>
          <w:bCs w:val="0"/>
        </w:rPr>
      </w:r>
      <w:r>
        <w:rPr>
          <w:rFonts w:ascii="Times New Roman" w:hAnsi="Times New Roman" w:cs="Times New Roman" w:eastAsia="Times New Roman" w:hint="default"/>
        </w:rPr>
        <w:t>78</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18"/>
        <w:ind w:left="152" w:right="7350" w:firstLine="0"/>
        <w:jc w:val="left"/>
        <w:rPr>
          <w:rFonts w:ascii="宋体" w:hAnsi="宋体" w:cs="宋体" w:eastAsia="宋体" w:hint="default"/>
          <w:sz w:val="21"/>
          <w:szCs w:val="21"/>
        </w:rPr>
      </w:pPr>
      <w:bookmarkStart w:name="79、其他" w:id="395"/>
      <w:bookmarkEnd w:id="395"/>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396"/>
      <w:bookmarkEnd w:id="396"/>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7"/>
      <w:bookmarkEnd w:id="39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1"/>
        <w:ind w:right="0"/>
        <w:jc w:val="left"/>
        <w:rPr>
          <w:b w:val="0"/>
          <w:bCs w:val="0"/>
        </w:rPr>
      </w:pPr>
      <w:bookmarkStart w:name="（1）本期发生的非同一控制下企业合并" w:id="398"/>
      <w:bookmarkEnd w:id="39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27"/>
              <w:jc w:val="left"/>
              <w:rPr>
                <w:rFonts w:ascii="宋体" w:hAnsi="宋体" w:cs="宋体" w:eastAsia="宋体" w:hint="default"/>
                <w:sz w:val="18"/>
                <w:szCs w:val="18"/>
              </w:rPr>
            </w:pPr>
            <w:r>
              <w:rPr>
                <w:rFonts w:ascii="宋体" w:hAnsi="宋体" w:cs="宋体" w:eastAsia="宋体" w:hint="default"/>
                <w:sz w:val="18"/>
                <w:szCs w:val="18"/>
              </w:rPr>
              <w:t>北京联创智 融信息技术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2,197,746,90</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发行股份及 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详见说明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144,637,250.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71,459,395.5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上海菲耐得 信息科技有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详见说明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9,200,804.77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5,319,530.43</w:t>
            </w:r>
          </w:p>
        </w:tc>
      </w:tr>
    </w:tbl>
    <w:p>
      <w:pPr>
        <w:pStyle w:val="BodyText"/>
        <w:spacing w:line="360" w:lineRule="auto" w:before="49"/>
        <w:ind w:right="8334"/>
        <w:jc w:val="left"/>
      </w:pPr>
      <w:r>
        <w:rPr/>
        <w:t>其他说明： 一）购买日的确定</w:t>
      </w:r>
    </w:p>
    <w:p>
      <w:pPr>
        <w:pStyle w:val="BodyText"/>
        <w:spacing w:line="236" w:lineRule="exact"/>
        <w:ind w:left="584" w:right="0"/>
        <w:jc w:val="left"/>
      </w:pPr>
      <w:r>
        <w:rPr>
          <w:rFonts w:ascii="Times New Roman" w:hAnsi="Times New Roman" w:cs="Times New Roman" w:eastAsia="Times New Roman" w:hint="default"/>
        </w:rPr>
        <w:t>1</w:t>
      </w:r>
      <w:r>
        <w:rPr/>
        <w:t>）联创智融</w:t>
      </w:r>
    </w:p>
    <w:p>
      <w:pPr>
        <w:pStyle w:val="BodyText"/>
        <w:spacing w:line="300" w:lineRule="auto" w:before="62"/>
        <w:ind w:right="155" w:firstLine="432"/>
        <w:jc w:val="both"/>
      </w:pPr>
      <w:r>
        <w:rPr/>
        <w:t>①企业合并协议已获内部权力机构股东会通过。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2015</w:t>
      </w:r>
      <w:r>
        <w:rPr/>
        <w:t>年度第二次临时股东大会，通过了《关 于发行股份及支付现金购买资产并募集配套资金的议案》的决议。</w:t>
      </w:r>
    </w:p>
    <w:p>
      <w:pPr>
        <w:pStyle w:val="BodyText"/>
        <w:spacing w:line="300" w:lineRule="auto" w:before="31"/>
        <w:ind w:right="151" w:firstLine="432"/>
        <w:jc w:val="both"/>
      </w:pPr>
      <w:r>
        <w:rPr/>
        <w:t>②合并事项已获得国家有关主管部门批准。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日，中国证监会出具《关于核准江苏润和软件股份有限公司向 </w:t>
      </w:r>
      <w:r>
        <w:rPr>
          <w:spacing w:val="-1"/>
        </w:rPr>
        <w:t>宁波宏创股权投资合伙企业（有限合伙）发行股份购买资产并募集配套资金的批复》（证监许可</w:t>
      </w:r>
      <w:r>
        <w:rPr>
          <w:rFonts w:ascii="Times New Roman" w:hAnsi="Times New Roman" w:cs="Times New Roman" w:eastAsia="Times New Roman" w:hint="default"/>
          <w:spacing w:val="-1"/>
        </w:rPr>
        <w:t>[2015]1856</w:t>
      </w:r>
      <w:r>
        <w:rPr>
          <w:spacing w:val="-1"/>
        </w:rPr>
        <w:t>号），核准公司</w:t>
      </w:r>
      <w:r>
        <w:rPr>
          <w:spacing w:val="-56"/>
        </w:rPr>
        <w:t> </w:t>
      </w:r>
      <w:r>
        <w:rPr>
          <w:spacing w:val="-56"/>
        </w:rPr>
      </w:r>
      <w:r>
        <w:rPr/>
        <w:t>本次发行股份及支付现金购买资产并募集配套资金事宜。</w:t>
      </w:r>
    </w:p>
    <w:p>
      <w:pPr>
        <w:pStyle w:val="BodyText"/>
        <w:spacing w:line="309" w:lineRule="auto" w:before="31"/>
        <w:ind w:right="151" w:firstLine="432"/>
        <w:jc w:val="both"/>
      </w:pPr>
      <w:r>
        <w:rPr/>
        <w:t>③参与合并的各方已办理财产权交接手续。联创智融依法就本次发行股份及支付现金购买资产过户事宜履行了工商变 更登记手续，并于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日在北京市工商行政管理局海淀分局完成了股权转让的变更登记，润和软件已持有联创智融</w:t>
      </w:r>
      <w:r>
        <w:rPr>
          <w:spacing w:val="-86"/>
        </w:rPr>
        <w:t> </w:t>
      </w:r>
      <w:r>
        <w:rPr>
          <w:spacing w:val="-86"/>
        </w:rPr>
      </w:r>
      <w:r>
        <w:rPr>
          <w:rFonts w:ascii="Times New Roman" w:hAnsi="Times New Roman" w:cs="Times New Roman" w:eastAsia="Times New Roman" w:hint="default"/>
        </w:rPr>
        <w:t>100%</w:t>
      </w:r>
      <w:r>
        <w:rPr/>
        <w:t>股权。</w:t>
      </w:r>
    </w:p>
    <w:p>
      <w:pPr>
        <w:pStyle w:val="BodyText"/>
        <w:spacing w:line="300" w:lineRule="auto" w:before="5"/>
        <w:ind w:right="155" w:firstLine="432"/>
        <w:jc w:val="both"/>
      </w:pPr>
      <w:r>
        <w:rPr/>
        <w:t>④根据协议规定，本次交易将以发行股份及支付现金的方式向交易对方支付交易对价，其中：发行股份</w:t>
      </w:r>
      <w:r>
        <w:rPr>
          <w:rFonts w:ascii="Times New Roman" w:hAnsi="Times New Roman" w:cs="Times New Roman" w:eastAsia="Times New Roman" w:hint="default"/>
        </w:rPr>
        <w:t>48,124,698.00</w:t>
      </w:r>
      <w:r>
        <w:rPr>
          <w:rFonts w:ascii="Times New Roman" w:hAnsi="Times New Roman" w:cs="Times New Roman" w:eastAsia="Times New Roman" w:hint="default"/>
          <w:spacing w:val="-2"/>
        </w:rPr>
        <w:t> </w:t>
      </w:r>
      <w:r>
        <w:rPr/>
        <w:t>股、支付现金</w:t>
      </w:r>
      <w:r>
        <w:rPr>
          <w:rFonts w:ascii="Times New Roman" w:hAnsi="Times New Roman" w:cs="Times New Roman" w:eastAsia="Times New Roman" w:hint="default"/>
        </w:rPr>
        <w:t>112,023.49</w:t>
      </w:r>
      <w:r>
        <w:rPr/>
        <w:t>万元。具体支付方案如下：</w:t>
      </w:r>
    </w:p>
    <w:p>
      <w:pPr>
        <w:spacing w:line="240" w:lineRule="auto" w:before="3"/>
        <w:rPr>
          <w:rFonts w:ascii="宋体" w:hAnsi="宋体" w:cs="宋体" w:eastAsia="宋体" w:hint="default"/>
          <w:sz w:val="24"/>
          <w:szCs w:val="24"/>
        </w:rPr>
      </w:pPr>
    </w:p>
    <w:tbl>
      <w:tblPr>
        <w:tblW w:w="0" w:type="auto"/>
        <w:jc w:val="left"/>
        <w:tblInd w:w="253" w:type="dxa"/>
        <w:tblLayout w:type="fixed"/>
        <w:tblCellMar>
          <w:top w:w="0" w:type="dxa"/>
          <w:left w:w="0" w:type="dxa"/>
          <w:bottom w:w="0" w:type="dxa"/>
          <w:right w:w="0" w:type="dxa"/>
        </w:tblCellMar>
        <w:tblLook w:val="01E0"/>
      </w:tblPr>
      <w:tblGrid>
        <w:gridCol w:w="698"/>
        <w:gridCol w:w="3163"/>
        <w:gridCol w:w="1308"/>
        <w:gridCol w:w="1334"/>
        <w:gridCol w:w="1186"/>
        <w:gridCol w:w="1702"/>
      </w:tblGrid>
      <w:tr>
        <w:trPr>
          <w:trHeight w:val="970"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3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674" w:right="0"/>
              <w:jc w:val="left"/>
              <w:rPr>
                <w:rFonts w:ascii="宋体" w:hAnsi="宋体" w:cs="宋体" w:eastAsia="宋体" w:hint="default"/>
                <w:sz w:val="20"/>
                <w:szCs w:val="20"/>
              </w:rPr>
            </w:pPr>
            <w:r>
              <w:rPr>
                <w:rFonts w:ascii="宋体" w:hAnsi="宋体" w:cs="宋体" w:eastAsia="宋体" w:hint="default"/>
                <w:sz w:val="20"/>
                <w:szCs w:val="20"/>
              </w:rPr>
              <w:t>联创智融原股东名称</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48" w:firstLine="43"/>
              <w:jc w:val="left"/>
              <w:rPr>
                <w:rFonts w:ascii="Times New Roman" w:hAnsi="Times New Roman" w:cs="Times New Roman" w:eastAsia="Times New Roman" w:hint="default"/>
                <w:sz w:val="20"/>
                <w:szCs w:val="20"/>
              </w:rPr>
            </w:pPr>
            <w:r>
              <w:rPr>
                <w:rFonts w:ascii="宋体" w:hAnsi="宋体" w:cs="宋体" w:eastAsia="宋体" w:hint="default"/>
                <w:sz w:val="20"/>
                <w:szCs w:val="20"/>
              </w:rPr>
              <w:t>持有联创智融</w:t>
            </w:r>
            <w:r>
              <w:rPr>
                <w:rFonts w:ascii="宋体" w:hAnsi="宋体" w:cs="宋体" w:eastAsia="宋体" w:hint="default"/>
                <w:w w:val="99"/>
                <w:sz w:val="20"/>
                <w:szCs w:val="20"/>
              </w:rPr>
              <w:t> </w:t>
            </w:r>
            <w:r>
              <w:rPr>
                <w:rFonts w:ascii="宋体" w:hAnsi="宋体" w:cs="宋体" w:eastAsia="宋体" w:hint="default"/>
                <w:sz w:val="20"/>
                <w:szCs w:val="20"/>
              </w:rPr>
              <w:t>股权比例（</w:t>
            </w:r>
            <w:r>
              <w:rPr>
                <w:rFonts w:ascii="Times New Roman" w:hAnsi="Times New Roman" w:cs="Times New Roman" w:eastAsia="Times New Roman" w:hint="default"/>
                <w:sz w:val="20"/>
                <w:szCs w:val="20"/>
              </w:rPr>
              <w:t>%</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9" w:right="0"/>
              <w:jc w:val="left"/>
              <w:rPr>
                <w:rFonts w:ascii="宋体" w:hAnsi="宋体" w:cs="宋体" w:eastAsia="宋体" w:hint="default"/>
                <w:sz w:val="20"/>
                <w:szCs w:val="20"/>
              </w:rPr>
            </w:pPr>
            <w:r>
              <w:rPr>
                <w:rFonts w:ascii="宋体" w:hAnsi="宋体" w:cs="宋体" w:eastAsia="宋体" w:hint="default"/>
                <w:sz w:val="20"/>
                <w:szCs w:val="20"/>
              </w:rPr>
              <w:t>交易对价合计</w:t>
            </w:r>
          </w:p>
          <w:p>
            <w:pPr>
              <w:pStyle w:val="TableParagraph"/>
              <w:tabs>
                <w:tab w:pos="261" w:val="left" w:leader="none"/>
              </w:tabs>
              <w:spacing w:line="240" w:lineRule="auto" w:before="50"/>
              <w:ind w:left="-142" w:right="0"/>
              <w:jc w:val="left"/>
              <w:rPr>
                <w:rFonts w:ascii="宋体" w:hAnsi="宋体" w:cs="宋体" w:eastAsia="宋体" w:hint="default"/>
                <w:sz w:val="20"/>
                <w:szCs w:val="20"/>
              </w:rPr>
            </w:pPr>
            <w:r>
              <w:rPr>
                <w:rFonts w:ascii="宋体" w:hAnsi="宋体" w:cs="宋体" w:eastAsia="宋体" w:hint="default"/>
                <w:w w:val="95"/>
                <w:sz w:val="20"/>
                <w:szCs w:val="20"/>
              </w:rPr>
              <w:t>）</w:t>
              <w:tab/>
            </w:r>
            <w:r>
              <w:rPr>
                <w:rFonts w:ascii="宋体" w:hAnsi="宋体" w:cs="宋体" w:eastAsia="宋体" w:hint="default"/>
                <w:sz w:val="20"/>
                <w:szCs w:val="20"/>
              </w:rPr>
              <w:t>（万元）</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83" w:right="86"/>
              <w:jc w:val="center"/>
              <w:rPr>
                <w:rFonts w:ascii="宋体" w:hAnsi="宋体" w:cs="宋体" w:eastAsia="宋体" w:hint="default"/>
                <w:sz w:val="20"/>
                <w:szCs w:val="20"/>
              </w:rPr>
            </w:pPr>
            <w:r>
              <w:rPr>
                <w:rFonts w:ascii="宋体" w:hAnsi="宋体" w:cs="宋体" w:eastAsia="宋体" w:hint="default"/>
                <w:sz w:val="20"/>
                <w:szCs w:val="20"/>
              </w:rPr>
              <w:t>现金支付对</w:t>
            </w:r>
            <w:r>
              <w:rPr>
                <w:rFonts w:ascii="宋体" w:hAnsi="宋体" w:cs="宋体" w:eastAsia="宋体" w:hint="default"/>
                <w:w w:val="99"/>
                <w:sz w:val="20"/>
                <w:szCs w:val="20"/>
              </w:rPr>
              <w:t> </w:t>
            </w:r>
            <w:r>
              <w:rPr>
                <w:rFonts w:ascii="宋体" w:hAnsi="宋体" w:cs="宋体" w:eastAsia="宋体" w:hint="default"/>
                <w:sz w:val="20"/>
                <w:szCs w:val="20"/>
              </w:rPr>
              <w:t>价金额（万</w:t>
            </w:r>
            <w:r>
              <w:rPr>
                <w:rFonts w:ascii="宋体" w:hAnsi="宋体" w:cs="宋体" w:eastAsia="宋体" w:hint="default"/>
                <w:w w:val="99"/>
                <w:sz w:val="20"/>
                <w:szCs w:val="20"/>
              </w:rPr>
              <w:t> </w:t>
            </w:r>
            <w:r>
              <w:rPr>
                <w:rFonts w:ascii="宋体" w:hAnsi="宋体" w:cs="宋体" w:eastAsia="宋体" w:hint="default"/>
                <w:sz w:val="20"/>
                <w:szCs w:val="20"/>
              </w:rPr>
              <w:t>元）</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12"/>
              <w:jc w:val="center"/>
              <w:rPr>
                <w:rFonts w:ascii="宋体" w:hAnsi="宋体" w:cs="宋体" w:eastAsia="宋体" w:hint="default"/>
                <w:sz w:val="20"/>
                <w:szCs w:val="20"/>
              </w:rPr>
            </w:pPr>
            <w:r>
              <w:rPr>
                <w:rFonts w:ascii="宋体" w:hAnsi="宋体" w:cs="宋体" w:eastAsia="宋体" w:hint="default"/>
                <w:sz w:val="20"/>
                <w:szCs w:val="20"/>
              </w:rPr>
              <w:t>股份支付股票数量</w:t>
            </w:r>
          </w:p>
          <w:p>
            <w:pPr>
              <w:pStyle w:val="TableParagraph"/>
              <w:spacing w:line="240" w:lineRule="auto" w:before="50"/>
              <w:ind w:right="10"/>
              <w:jc w:val="center"/>
              <w:rPr>
                <w:rFonts w:ascii="宋体" w:hAnsi="宋体" w:cs="宋体" w:eastAsia="宋体" w:hint="default"/>
                <w:sz w:val="20"/>
                <w:szCs w:val="20"/>
              </w:rPr>
            </w:pPr>
            <w:r>
              <w:rPr>
                <w:rFonts w:ascii="宋体" w:hAnsi="宋体" w:cs="宋体" w:eastAsia="宋体" w:hint="default"/>
                <w:sz w:val="20"/>
                <w:szCs w:val="20"/>
              </w:rPr>
              <w:t>（股）</w:t>
            </w:r>
          </w:p>
        </w:tc>
      </w:tr>
      <w:tr>
        <w:trPr>
          <w:trHeight w:val="660"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1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4"/>
                <w:sz w:val="20"/>
                <w:szCs w:val="20"/>
              </w:rPr>
              <w:t>宁波宏创股权投资合伙企业（有限合</w:t>
            </w:r>
            <w:r>
              <w:rPr>
                <w:rFonts w:ascii="宋体" w:hAnsi="宋体" w:cs="宋体" w:eastAsia="宋体" w:hint="default"/>
                <w:w w:val="99"/>
                <w:sz w:val="20"/>
                <w:szCs w:val="20"/>
              </w:rPr>
              <w:t> </w:t>
            </w:r>
            <w:r>
              <w:rPr>
                <w:rFonts w:ascii="宋体" w:hAnsi="宋体" w:cs="宋体" w:eastAsia="宋体" w:hint="default"/>
                <w:sz w:val="20"/>
                <w:szCs w:val="20"/>
              </w:rPr>
              <w:t>伙）</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69.55</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166,334.93</w:t>
            </w:r>
            <w:r>
              <w:rPr>
                <w:rFonts w:ascii="Times New Roman"/>
                <w:sz w:val="20"/>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58,583.73</w:t>
            </w:r>
            <w:r>
              <w:rPr>
                <w:rFonts w:ascii="Times New Roman"/>
                <w:sz w:val="20"/>
              </w:rPr>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w w:val="95"/>
                <w:sz w:val="20"/>
              </w:rPr>
              <w:t>48,124,698.00</w:t>
            </w:r>
            <w:r>
              <w:rPr>
                <w:rFonts w:ascii="Times New Roman"/>
                <w:sz w:val="20"/>
              </w:rPr>
            </w:r>
          </w:p>
        </w:tc>
      </w:tr>
      <w:tr>
        <w:trPr>
          <w:trHeight w:val="660"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1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5"/>
              <w:jc w:val="left"/>
              <w:rPr>
                <w:rFonts w:ascii="宋体" w:hAnsi="宋体" w:cs="宋体" w:eastAsia="宋体" w:hint="default"/>
                <w:sz w:val="20"/>
                <w:szCs w:val="20"/>
              </w:rPr>
            </w:pPr>
            <w:r>
              <w:rPr>
                <w:rFonts w:ascii="宋体" w:hAnsi="宋体" w:cs="宋体" w:eastAsia="宋体" w:hint="default"/>
                <w:spacing w:val="9"/>
                <w:sz w:val="20"/>
                <w:szCs w:val="20"/>
              </w:rPr>
              <w:t>江苏高投成长价值股权投资合伙企</w:t>
            </w:r>
            <w:r>
              <w:rPr>
                <w:rFonts w:ascii="宋体" w:hAnsi="宋体" w:cs="宋体" w:eastAsia="宋体" w:hint="default"/>
                <w:spacing w:val="9"/>
                <w:w w:val="99"/>
                <w:sz w:val="20"/>
                <w:szCs w:val="20"/>
              </w:rPr>
              <w:t> </w:t>
            </w:r>
            <w:r>
              <w:rPr>
                <w:rFonts w:ascii="宋体" w:hAnsi="宋体" w:cs="宋体" w:eastAsia="宋体" w:hint="default"/>
                <w:sz w:val="20"/>
                <w:szCs w:val="20"/>
              </w:rPr>
              <w:t>业（有限合伙）</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10.15</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17,813.25</w:t>
            </w:r>
            <w:r>
              <w:rPr>
                <w:rFonts w:ascii="Times New Roman"/>
                <w:sz w:val="20"/>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17,813.25</w:t>
            </w:r>
            <w:r>
              <w:rPr>
                <w:rFonts w:ascii="Times New Roman"/>
                <w:sz w:val="20"/>
              </w:rPr>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658"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1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2"/>
              <w:jc w:val="left"/>
              <w:rPr>
                <w:rFonts w:ascii="宋体" w:hAnsi="宋体" w:cs="宋体" w:eastAsia="宋体" w:hint="default"/>
                <w:sz w:val="20"/>
                <w:szCs w:val="20"/>
              </w:rPr>
            </w:pPr>
            <w:r>
              <w:rPr>
                <w:rFonts w:ascii="宋体" w:hAnsi="宋体" w:cs="宋体" w:eastAsia="宋体" w:hint="default"/>
                <w:spacing w:val="-4"/>
                <w:sz w:val="20"/>
                <w:szCs w:val="20"/>
              </w:rPr>
              <w:t>宁波道生一股权投资合伙企业（有限</w:t>
            </w:r>
            <w:r>
              <w:rPr>
                <w:rFonts w:ascii="宋体" w:hAnsi="宋体" w:cs="宋体" w:eastAsia="宋体" w:hint="default"/>
                <w:w w:val="99"/>
                <w:sz w:val="20"/>
                <w:szCs w:val="20"/>
              </w:rPr>
              <w:t> </w:t>
            </w:r>
            <w:r>
              <w:rPr>
                <w:rFonts w:ascii="宋体" w:hAnsi="宋体" w:cs="宋体" w:eastAsia="宋体" w:hint="default"/>
                <w:sz w:val="20"/>
                <w:szCs w:val="20"/>
              </w:rPr>
              <w:t>合伙）</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6.92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12,145.39</w:t>
            </w:r>
            <w:r>
              <w:rPr>
                <w:rFonts w:ascii="Times New Roman"/>
                <w:sz w:val="20"/>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12,145.39</w:t>
            </w:r>
            <w:r>
              <w:rPr>
                <w:rFonts w:ascii="Times New Roman"/>
                <w:sz w:val="20"/>
              </w:rPr>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660"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1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4"/>
                <w:sz w:val="20"/>
                <w:szCs w:val="20"/>
              </w:rPr>
              <w:t>浙江海宁嘉慧投资合伙企业（有限合</w:t>
            </w:r>
            <w:r>
              <w:rPr>
                <w:rFonts w:ascii="宋体" w:hAnsi="宋体" w:cs="宋体" w:eastAsia="宋体" w:hint="default"/>
                <w:w w:val="99"/>
                <w:sz w:val="20"/>
                <w:szCs w:val="20"/>
              </w:rPr>
              <w:t> </w:t>
            </w:r>
            <w:r>
              <w:rPr>
                <w:rFonts w:ascii="宋体" w:hAnsi="宋体" w:cs="宋体" w:eastAsia="宋体" w:hint="default"/>
                <w:sz w:val="20"/>
                <w:szCs w:val="20"/>
              </w:rPr>
              <w:t>伙）</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5.08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8,906.63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8,906.63</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0"/>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6"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山南置立方投资管理有限公司</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5.07</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8,906.63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8,906.63</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10"/>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660"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1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 w:right="2"/>
              <w:jc w:val="left"/>
              <w:rPr>
                <w:rFonts w:ascii="宋体" w:hAnsi="宋体" w:cs="宋体" w:eastAsia="宋体" w:hint="default"/>
                <w:sz w:val="20"/>
                <w:szCs w:val="20"/>
              </w:rPr>
            </w:pPr>
            <w:r>
              <w:rPr>
                <w:rFonts w:ascii="宋体" w:hAnsi="宋体" w:cs="宋体" w:eastAsia="宋体" w:hint="default"/>
                <w:spacing w:val="-4"/>
                <w:sz w:val="20"/>
                <w:szCs w:val="20"/>
              </w:rPr>
              <w:t>苏州市富士莱技术服务发展中心（有</w:t>
            </w:r>
            <w:r>
              <w:rPr>
                <w:rFonts w:ascii="宋体" w:hAnsi="宋体" w:cs="宋体" w:eastAsia="宋体" w:hint="default"/>
                <w:w w:val="99"/>
                <w:sz w:val="20"/>
                <w:szCs w:val="20"/>
              </w:rPr>
              <w:t> </w:t>
            </w:r>
            <w:r>
              <w:rPr>
                <w:rFonts w:ascii="宋体" w:hAnsi="宋体" w:cs="宋体" w:eastAsia="宋体" w:hint="default"/>
                <w:sz w:val="20"/>
                <w:szCs w:val="20"/>
              </w:rPr>
              <w:t>限合伙）</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3.23</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5,667.86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5,667.86</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0"/>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348" w:hRule="exact"/>
        </w:trPr>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b/>
                <w:sz w:val="20"/>
              </w:rPr>
              <w:t>100.00</w:t>
            </w:r>
            <w:r>
              <w:rPr>
                <w:rFonts w:ascii="Times New Roman"/>
                <w:sz w:val="20"/>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b/>
                <w:w w:val="95"/>
                <w:sz w:val="20"/>
              </w:rPr>
              <w:t>219,774.69</w:t>
            </w:r>
            <w:r>
              <w:rPr>
                <w:rFonts w:ascii="Times New Roman"/>
                <w:sz w:val="20"/>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b/>
                <w:w w:val="95"/>
                <w:sz w:val="20"/>
              </w:rPr>
              <w:t>112,023.49</w:t>
            </w:r>
            <w:r>
              <w:rPr>
                <w:rFonts w:ascii="Times New Roman"/>
                <w:sz w:val="20"/>
              </w:rPr>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b/>
                <w:w w:val="95"/>
                <w:sz w:val="20"/>
              </w:rPr>
              <w:t>48,124,698.00</w:t>
            </w:r>
            <w:r>
              <w:rPr>
                <w:rFonts w:ascii="Times New Roman"/>
                <w:sz w:val="20"/>
              </w:rPr>
            </w:r>
          </w:p>
        </w:tc>
      </w:tr>
    </w:tbl>
    <w:p>
      <w:pPr>
        <w:spacing w:line="240" w:lineRule="auto" w:before="1"/>
        <w:rPr>
          <w:rFonts w:ascii="宋体" w:hAnsi="宋体" w:cs="宋体" w:eastAsia="宋体" w:hint="default"/>
          <w:sz w:val="21"/>
          <w:szCs w:val="21"/>
        </w:rPr>
      </w:pPr>
    </w:p>
    <w:p>
      <w:pPr>
        <w:pStyle w:val="BodyText"/>
        <w:spacing w:line="300" w:lineRule="auto" w:before="44"/>
        <w:ind w:right="152" w:firstLine="432"/>
        <w:jc w:val="both"/>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日，润和软件按照协议约定支付了本次交易现金对价</w:t>
      </w:r>
      <w:r>
        <w:rPr>
          <w:rFonts w:ascii="Times New Roman" w:hAnsi="Times New Roman" w:cs="Times New Roman" w:eastAsia="Times New Roman" w:hint="default"/>
        </w:rPr>
        <w:t>112,023.49</w:t>
      </w:r>
      <w:r>
        <w:rPr/>
        <w:t>万元中的</w:t>
      </w:r>
      <w:r>
        <w:rPr>
          <w:rFonts w:ascii="Times New Roman" w:hAnsi="Times New Roman" w:cs="Times New Roman" w:eastAsia="Times New Roman" w:hint="default"/>
        </w:rPr>
        <w:t>30.71%</w:t>
      </w:r>
      <w:r>
        <w:rPr/>
        <w:t>即</w:t>
      </w:r>
      <w:r>
        <w:rPr>
          <w:rFonts w:ascii="Times New Roman" w:hAnsi="Times New Roman" w:cs="Times New Roman" w:eastAsia="Times New Roman" w:hint="default"/>
        </w:rPr>
        <w:t>34,404.71</w:t>
      </w:r>
      <w:r>
        <w:rPr/>
        <w:t>万元，具 </w:t>
      </w:r>
      <w:r>
        <w:rPr>
          <w:spacing w:val="-2"/>
        </w:rPr>
        <w:t>体为支付宁波宏创股权投资合伙企业（有限合伙）（以下简称</w:t>
      </w:r>
      <w:r>
        <w:rPr>
          <w:rFonts w:ascii="Times New Roman" w:hAnsi="Times New Roman" w:cs="Times New Roman" w:eastAsia="Times New Roman" w:hint="default"/>
          <w:spacing w:val="-2"/>
        </w:rPr>
        <w:t>“</w:t>
      </w:r>
      <w:r>
        <w:rPr>
          <w:spacing w:val="-2"/>
        </w:rPr>
        <w:t>宁波宏创</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23,716.75</w:t>
      </w:r>
      <w:r>
        <w:rPr>
          <w:spacing w:val="-2"/>
        </w:rPr>
        <w:t>万元，支付江苏高投成长价值股权投资</w:t>
      </w:r>
      <w:r>
        <w:rPr>
          <w:spacing w:val="-37"/>
        </w:rPr>
        <w:t> </w:t>
      </w:r>
      <w:r>
        <w:rPr>
          <w:spacing w:val="-37"/>
        </w:rPr>
      </w:r>
      <w:r>
        <w:rPr>
          <w:spacing w:val="-2"/>
        </w:rPr>
        <w:t>合伙企业（有限合伙）</w:t>
      </w:r>
      <w:r>
        <w:rPr>
          <w:rFonts w:ascii="Times New Roman" w:hAnsi="Times New Roman" w:cs="Times New Roman" w:eastAsia="Times New Roman" w:hint="default"/>
          <w:spacing w:val="-2"/>
        </w:rPr>
        <w:t>3,562.65</w:t>
      </w:r>
      <w:r>
        <w:rPr>
          <w:spacing w:val="-2"/>
        </w:rPr>
        <w:t>万元，支付宁波道生一股权投资合伙企业（有限合伙）</w:t>
      </w:r>
      <w:r>
        <w:rPr>
          <w:rFonts w:ascii="Times New Roman" w:hAnsi="Times New Roman" w:cs="Times New Roman" w:eastAsia="Times New Roman" w:hint="default"/>
          <w:spacing w:val="-2"/>
        </w:rPr>
        <w:t>2,429.08</w:t>
      </w:r>
      <w:r>
        <w:rPr>
          <w:spacing w:val="-2"/>
        </w:rPr>
        <w:t>万元，支付浙江海宁嘉慧投资</w:t>
      </w:r>
      <w:r>
        <w:rPr>
          <w:spacing w:val="-62"/>
        </w:rPr>
        <w:t> </w:t>
      </w:r>
      <w:r>
        <w:rPr>
          <w:spacing w:val="-62"/>
        </w:rPr>
      </w:r>
      <w:r>
        <w:rPr>
          <w:spacing w:val="-2"/>
        </w:rPr>
        <w:t>合伙企业（有限合伙）</w:t>
      </w:r>
      <w:r>
        <w:rPr>
          <w:rFonts w:ascii="Times New Roman" w:hAnsi="Times New Roman" w:cs="Times New Roman" w:eastAsia="Times New Roman" w:hint="default"/>
          <w:spacing w:val="-2"/>
        </w:rPr>
        <w:t>1,781.33</w:t>
      </w:r>
      <w:r>
        <w:rPr>
          <w:spacing w:val="-2"/>
        </w:rPr>
        <w:t>万元，支付山南置立方投资管理有限公司</w:t>
      </w:r>
      <w:r>
        <w:rPr>
          <w:rFonts w:ascii="Times New Roman" w:hAnsi="Times New Roman" w:cs="Times New Roman" w:eastAsia="Times New Roman" w:hint="default"/>
          <w:spacing w:val="-2"/>
        </w:rPr>
        <w:t>1,781.33</w:t>
      </w:r>
      <w:r>
        <w:rPr>
          <w:spacing w:val="-2"/>
        </w:rPr>
        <w:t>万元，支付苏州市富士莱技术服务发展中心</w:t>
      </w:r>
    </w:p>
    <w:p>
      <w:pPr>
        <w:pStyle w:val="BodyText"/>
        <w:spacing w:line="300" w:lineRule="auto" w:before="13"/>
        <w:ind w:right="149"/>
        <w:jc w:val="both"/>
      </w:pPr>
      <w:r>
        <w:rPr/>
        <w:t>（有限合伙）</w:t>
      </w:r>
      <w:r>
        <w:rPr>
          <w:rFonts w:ascii="Times New Roman" w:hAnsi="Times New Roman" w:cs="Times New Roman" w:eastAsia="Times New Roman" w:hint="default"/>
        </w:rPr>
        <w:t>1,133.57</w:t>
      </w:r>
      <w:r>
        <w:rPr/>
        <w:t>万元，并且剩余的款项公司有能力按计划支付。根据交易协议约定的现金对价支付进度，截止</w:t>
      </w:r>
      <w:r>
        <w:rPr>
          <w:rFonts w:ascii="Times New Roman" w:hAnsi="Times New Roman" w:cs="Times New Roman" w:eastAsia="Times New Roman" w:hint="default"/>
        </w:rPr>
        <w:t>2015</w:t>
      </w:r>
      <w:r>
        <w:rPr/>
        <w:t>年</w:t>
      </w:r>
      <w:r>
        <w:rPr>
          <w:spacing w:val="-87"/>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日公司已支付现金对价</w:t>
      </w:r>
      <w:r>
        <w:rPr>
          <w:rFonts w:ascii="Times New Roman" w:hAnsi="Times New Roman" w:cs="Times New Roman" w:eastAsia="Times New Roman" w:hint="default"/>
        </w:rPr>
        <w:t>112,023.49</w:t>
      </w:r>
      <w:r>
        <w:rPr/>
        <w:t>万元中的</w:t>
      </w:r>
      <w:r>
        <w:rPr>
          <w:rFonts w:ascii="Times New Roman" w:hAnsi="Times New Roman" w:cs="Times New Roman" w:eastAsia="Times New Roman" w:hint="default"/>
        </w:rPr>
        <w:t>94.77%</w:t>
      </w:r>
      <w:r>
        <w:rPr/>
        <w:t>即</w:t>
      </w:r>
      <w:r>
        <w:rPr>
          <w:rFonts w:ascii="Times New Roman" w:hAnsi="Times New Roman" w:cs="Times New Roman" w:eastAsia="Times New Roman" w:hint="default"/>
        </w:rPr>
        <w:t>106,165.10</w:t>
      </w:r>
      <w:r>
        <w:rPr/>
        <w:t>万元，具体为支付宁波宏创股权投资合伙企业（有限</w:t>
      </w:r>
      <w:r>
        <w:rPr>
          <w:spacing w:val="-28"/>
        </w:rPr>
        <w:t> </w:t>
      </w:r>
      <w:r>
        <w:rPr>
          <w:spacing w:val="-28"/>
        </w:rPr>
      </w:r>
      <w:r>
        <w:rPr>
          <w:spacing w:val="-2"/>
        </w:rPr>
        <w:t>合伙）（以下简称</w:t>
      </w:r>
      <w:r>
        <w:rPr>
          <w:rFonts w:ascii="Times New Roman" w:hAnsi="Times New Roman" w:cs="Times New Roman" w:eastAsia="Times New Roman" w:hint="default"/>
          <w:spacing w:val="-2"/>
        </w:rPr>
        <w:t>“</w:t>
      </w:r>
      <w:r>
        <w:rPr>
          <w:spacing w:val="-2"/>
        </w:rPr>
        <w:t>宁波宏创</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52,725.35</w:t>
      </w:r>
      <w:r>
        <w:rPr>
          <w:spacing w:val="-2"/>
        </w:rPr>
        <w:t>万元，支付江苏高投成长价值股权投资合伙企业（有限合伙）</w:t>
      </w:r>
      <w:r>
        <w:rPr>
          <w:rFonts w:ascii="Times New Roman" w:hAnsi="Times New Roman" w:cs="Times New Roman" w:eastAsia="Times New Roman" w:hint="default"/>
          <w:spacing w:val="-2"/>
        </w:rPr>
        <w:t>17,813.25</w:t>
      </w:r>
      <w:r>
        <w:rPr>
          <w:spacing w:val="-2"/>
        </w:rPr>
        <w:t>万元，支付</w:t>
      </w:r>
      <w:r>
        <w:rPr>
          <w:spacing w:val="-33"/>
        </w:rPr>
        <w:t> </w:t>
      </w:r>
      <w:r>
        <w:rPr>
          <w:spacing w:val="-33"/>
        </w:rPr>
      </w:r>
      <w:r>
        <w:rPr/>
        <w:t>宁波道生一股权投资合伙企业（有限合伙）</w:t>
      </w:r>
      <w:r>
        <w:rPr>
          <w:rFonts w:ascii="Times New Roman" w:hAnsi="Times New Roman" w:cs="Times New Roman" w:eastAsia="Times New Roman" w:hint="default"/>
        </w:rPr>
        <w:t>12,145.39</w:t>
      </w:r>
      <w:r>
        <w:rPr/>
        <w:t>万元，支付浙江海宁嘉慧投资合伙企业（有限合伙）</w:t>
      </w:r>
      <w:r>
        <w:rPr>
          <w:rFonts w:ascii="Times New Roman" w:hAnsi="Times New Roman" w:cs="Times New Roman" w:eastAsia="Times New Roman" w:hint="default"/>
        </w:rPr>
        <w:t>8,906.63</w:t>
      </w:r>
      <w:r>
        <w:rPr/>
        <w:t>万元，支 </w:t>
      </w:r>
      <w:r>
        <w:rPr>
          <w:spacing w:val="-2"/>
        </w:rPr>
        <w:t>付山南置立方投资管理有限公司</w:t>
      </w:r>
      <w:r>
        <w:rPr>
          <w:rFonts w:ascii="Times New Roman" w:hAnsi="Times New Roman" w:cs="Times New Roman" w:eastAsia="Times New Roman" w:hint="default"/>
          <w:spacing w:val="-2"/>
        </w:rPr>
        <w:t>8,906.63</w:t>
      </w:r>
      <w:r>
        <w:rPr>
          <w:spacing w:val="-2"/>
        </w:rPr>
        <w:t>万元，支付苏州市富士莱技术服务发展中心（有限合伙）</w:t>
      </w:r>
      <w:r>
        <w:rPr>
          <w:rFonts w:ascii="Times New Roman" w:hAnsi="Times New Roman" w:cs="Times New Roman" w:eastAsia="Times New Roman" w:hint="default"/>
          <w:spacing w:val="-2"/>
        </w:rPr>
        <w:t>5,667.86</w:t>
      </w:r>
      <w:r>
        <w:rPr>
          <w:spacing w:val="-2"/>
        </w:rPr>
        <w:t>万元，并且剩余的</w:t>
      </w:r>
    </w:p>
    <w:p>
      <w:pPr>
        <w:spacing w:after="0" w:line="30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left="584" w:right="0" w:hanging="432"/>
        <w:jc w:val="left"/>
      </w:pPr>
      <w:r>
        <w:rPr/>
        <w:t>款项公司有能力按计划支付。 </w:t>
      </w:r>
      <w:r>
        <w:rPr>
          <w:spacing w:val="-1"/>
        </w:rPr>
        <w:t>截止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10</w:t>
      </w:r>
      <w:r>
        <w:rPr>
          <w:spacing w:val="-1"/>
        </w:rPr>
        <w:t>日，公司已收到宁波宏创缴纳的新增注册资本（股本）人民币</w:t>
      </w:r>
      <w:r>
        <w:rPr>
          <w:rFonts w:ascii="Times New Roman" w:hAnsi="Times New Roman" w:cs="Times New Roman" w:eastAsia="Times New Roman" w:hint="default"/>
          <w:spacing w:val="-1"/>
        </w:rPr>
        <w:t>48,124,698.00</w:t>
      </w:r>
      <w:r>
        <w:rPr>
          <w:spacing w:val="-1"/>
        </w:rPr>
        <w:t>元，宁波宏创以其持有的</w:t>
      </w:r>
    </w:p>
    <w:p>
      <w:pPr>
        <w:pStyle w:val="BodyText"/>
        <w:spacing w:line="300" w:lineRule="auto"/>
        <w:ind w:right="0"/>
        <w:jc w:val="left"/>
      </w:pPr>
      <w:r>
        <w:rPr>
          <w:spacing w:val="-1"/>
        </w:rPr>
        <w:t>联创智融</w:t>
      </w:r>
      <w:r>
        <w:rPr>
          <w:rFonts w:ascii="Times New Roman" w:hAnsi="Times New Roman" w:cs="Times New Roman" w:eastAsia="Times New Roman" w:hint="default"/>
          <w:spacing w:val="-1"/>
        </w:rPr>
        <w:t>69.55%</w:t>
      </w:r>
      <w:r>
        <w:rPr>
          <w:spacing w:val="-1"/>
        </w:rPr>
        <w:t>股权出资，联创智融</w:t>
      </w:r>
      <w:r>
        <w:rPr>
          <w:rFonts w:ascii="Times New Roman" w:hAnsi="Times New Roman" w:cs="Times New Roman" w:eastAsia="Times New Roman" w:hint="default"/>
          <w:spacing w:val="-1"/>
        </w:rPr>
        <w:t>69.55%</w:t>
      </w:r>
      <w:r>
        <w:rPr>
          <w:spacing w:val="-1"/>
        </w:rPr>
        <w:t>股权作价人民币</w:t>
      </w:r>
      <w:r>
        <w:rPr>
          <w:rFonts w:ascii="Times New Roman" w:hAnsi="Times New Roman" w:cs="Times New Roman" w:eastAsia="Times New Roman" w:hint="default"/>
          <w:spacing w:val="-1"/>
        </w:rPr>
        <w:t>166,334.93</w:t>
      </w:r>
      <w:r>
        <w:rPr>
          <w:spacing w:val="-1"/>
        </w:rPr>
        <w:t>万元，扣除润和软件以现金支付对价</w:t>
      </w:r>
      <w:r>
        <w:rPr>
          <w:rFonts w:ascii="Times New Roman" w:hAnsi="Times New Roman" w:cs="Times New Roman" w:eastAsia="Times New Roman" w:hint="default"/>
          <w:spacing w:val="-1"/>
        </w:rPr>
        <w:t>58,583.73</w:t>
      </w:r>
      <w:r>
        <w:rPr>
          <w:spacing w:val="-1"/>
        </w:rPr>
        <w:t>万元，</w:t>
      </w:r>
      <w:r>
        <w:rPr>
          <w:spacing w:val="-36"/>
        </w:rPr>
        <w:t> </w:t>
      </w:r>
      <w:r>
        <w:rPr>
          <w:spacing w:val="-36"/>
        </w:rPr>
      </w:r>
      <w:r>
        <w:rPr/>
        <w:t>其余部分</w:t>
      </w:r>
      <w:r>
        <w:rPr>
          <w:rFonts w:ascii="Times New Roman" w:hAnsi="Times New Roman" w:cs="Times New Roman" w:eastAsia="Times New Roman" w:hint="default"/>
        </w:rPr>
        <w:t>107,751.20</w:t>
      </w:r>
      <w:r>
        <w:rPr/>
        <w:t>万元用于认购股份。</w:t>
      </w:r>
    </w:p>
    <w:p>
      <w:pPr>
        <w:pStyle w:val="BodyText"/>
        <w:spacing w:line="316" w:lineRule="auto" w:before="13"/>
        <w:ind w:right="151" w:firstLine="432"/>
        <w:jc w:val="both"/>
      </w:pPr>
      <w:r>
        <w:rPr/>
        <w:t>⑤本公司实际上已经控制了联创智融的财务和经营政策，享有相应的收益并承担相应的风险。经联创智融决议，联创 </w:t>
      </w:r>
      <w:r>
        <w:rPr>
          <w:spacing w:val="-2"/>
        </w:rPr>
        <w:t>智融设立董事会和监事会，选举周红卫（担任董事长）、周帮建、钟峻担任董事，选举朱祖龙担任监事，选举周帮建担任总</w:t>
      </w:r>
      <w:r>
        <w:rPr>
          <w:spacing w:val="-73"/>
        </w:rPr>
        <w:t> </w:t>
      </w:r>
      <w:r>
        <w:rPr>
          <w:spacing w:val="-73"/>
        </w:rPr>
      </w:r>
      <w:r>
        <w:rPr/>
        <w:t>经理。</w:t>
      </w:r>
    </w:p>
    <w:p>
      <w:pPr>
        <w:pStyle w:val="BodyText"/>
        <w:spacing w:line="240" w:lineRule="auto" w:before="18"/>
        <w:ind w:left="584" w:right="0"/>
        <w:jc w:val="left"/>
      </w:pPr>
      <w:r>
        <w:rPr/>
        <w:t>综上，润和软件对联创智融的购买日确定为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日。因此，本年度公司新增对联创智融合并报表，合并期间为</w:t>
      </w:r>
    </w:p>
    <w:p>
      <w:pPr>
        <w:pStyle w:val="BodyText"/>
        <w:spacing w:line="240" w:lineRule="auto" w:before="62"/>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9-12</w:t>
      </w:r>
      <w:r>
        <w:rPr/>
        <w:t>月。</w:t>
      </w:r>
    </w:p>
    <w:p>
      <w:pPr>
        <w:spacing w:line="240" w:lineRule="auto" w:before="0"/>
        <w:rPr>
          <w:rFonts w:ascii="宋体" w:hAnsi="宋体" w:cs="宋体" w:eastAsia="宋体" w:hint="default"/>
          <w:sz w:val="18"/>
          <w:szCs w:val="18"/>
        </w:rPr>
      </w:pPr>
    </w:p>
    <w:p>
      <w:pPr>
        <w:pStyle w:val="BodyText"/>
        <w:spacing w:line="240" w:lineRule="auto" w:before="139"/>
        <w:ind w:left="584" w:right="0"/>
        <w:jc w:val="left"/>
      </w:pPr>
      <w:r>
        <w:rPr>
          <w:rFonts w:ascii="Times New Roman" w:hAnsi="Times New Roman" w:cs="Times New Roman" w:eastAsia="Times New Roman" w:hint="default"/>
        </w:rPr>
        <w:t>2</w:t>
      </w:r>
      <w:r>
        <w:rPr/>
        <w:t>）菲耐得</w:t>
      </w:r>
    </w:p>
    <w:p>
      <w:pPr>
        <w:pStyle w:val="BodyText"/>
        <w:spacing w:line="300" w:lineRule="auto" w:before="62"/>
        <w:ind w:right="0" w:firstLine="432"/>
        <w:jc w:val="left"/>
      </w:pPr>
      <w:r>
        <w:rPr>
          <w:spacing w:val="-2"/>
        </w:rPr>
        <w:t>①企业合并协议已获内部权力机构股东会通过。</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日，公司召开第四届董事会第三十六次会议，通过了《关</w:t>
      </w:r>
      <w:r>
        <w:rPr/>
        <w:t> 于公司收购上海菲耐得信息科技有限公司</w:t>
      </w:r>
      <w:r>
        <w:rPr>
          <w:rFonts w:ascii="Times New Roman" w:hAnsi="Times New Roman" w:cs="Times New Roman" w:eastAsia="Times New Roman" w:hint="default"/>
        </w:rPr>
        <w:t>100%</w:t>
      </w:r>
      <w:r>
        <w:rPr/>
        <w:t>股权的议案》的决议。</w:t>
      </w:r>
    </w:p>
    <w:p>
      <w:pPr>
        <w:pStyle w:val="BodyText"/>
        <w:spacing w:line="240" w:lineRule="auto" w:before="13"/>
        <w:ind w:left="584" w:right="0"/>
        <w:jc w:val="left"/>
      </w:pPr>
      <w:r>
        <w:rPr/>
        <w:t>②合并事项已于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月完成工商行政管理局变更登记。</w:t>
      </w:r>
    </w:p>
    <w:p>
      <w:pPr>
        <w:pStyle w:val="BodyText"/>
        <w:spacing w:line="240" w:lineRule="auto" w:before="62"/>
        <w:ind w:left="584" w:right="0"/>
        <w:jc w:val="left"/>
      </w:pPr>
      <w:r>
        <w:rPr/>
        <w:t>③参与合并的各方已办理财产权交接手续。合并事项已完成工商行政管理局变更登记，润和软件已持有菲耐得</w:t>
      </w:r>
      <w:r>
        <w:rPr>
          <w:rFonts w:ascii="Times New Roman" w:hAnsi="Times New Roman" w:cs="Times New Roman" w:eastAsia="Times New Roman" w:hint="default"/>
        </w:rPr>
        <w:t>100%</w:t>
      </w:r>
      <w:r>
        <w:rPr/>
        <w:t>股</w:t>
      </w:r>
    </w:p>
    <w:p>
      <w:pPr>
        <w:pStyle w:val="BodyText"/>
        <w:spacing w:line="240" w:lineRule="auto" w:before="62"/>
        <w:ind w:right="0"/>
        <w:jc w:val="left"/>
      </w:pPr>
      <w:r>
        <w:rPr/>
        <w:t>权。</w:t>
      </w:r>
    </w:p>
    <w:p>
      <w:pPr>
        <w:pStyle w:val="BodyText"/>
        <w:spacing w:line="240" w:lineRule="auto" w:before="76"/>
        <w:ind w:left="584" w:right="0"/>
        <w:jc w:val="left"/>
      </w:pPr>
      <w:r>
        <w:rPr/>
        <w:t>④根据协议规定，本次交易将以自有资金</w:t>
      </w:r>
      <w:r>
        <w:rPr>
          <w:rFonts w:ascii="Times New Roman" w:hAnsi="Times New Roman" w:cs="Times New Roman" w:eastAsia="Times New Roman" w:hint="default"/>
        </w:rPr>
        <w:t>7,900</w:t>
      </w:r>
      <w:r>
        <w:rPr/>
        <w:t>万元向交易对方支付交易对价。截止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日，润和软件按照协</w:t>
      </w:r>
    </w:p>
    <w:p>
      <w:pPr>
        <w:pStyle w:val="BodyText"/>
        <w:spacing w:line="300" w:lineRule="auto" w:before="62"/>
        <w:ind w:right="144"/>
        <w:jc w:val="left"/>
      </w:pPr>
      <w:r>
        <w:rPr/>
        <w:t>议约定支付了本次交易现金对价</w:t>
      </w:r>
      <w:r>
        <w:rPr>
          <w:rFonts w:ascii="Times New Roman" w:hAnsi="Times New Roman" w:cs="Times New Roman" w:eastAsia="Times New Roman" w:hint="default"/>
        </w:rPr>
        <w:t>7,900</w:t>
      </w:r>
      <w:r>
        <w:rPr/>
        <w:t>万元中的</w:t>
      </w:r>
      <w:r>
        <w:rPr>
          <w:rFonts w:ascii="Times New Roman" w:hAnsi="Times New Roman" w:cs="Times New Roman" w:eastAsia="Times New Roman" w:hint="default"/>
        </w:rPr>
        <w:t>2,000</w:t>
      </w:r>
      <w:r>
        <w:rPr/>
        <w:t>万元，并且剩余的款项公司有能力按计划支付。截止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w:t>
      </w:r>
      <w:r>
        <w:rPr>
          <w:spacing w:val="-3"/>
        </w:rPr>
        <w:t> </w:t>
      </w:r>
      <w:r>
        <w:rPr/>
        <w:t>司已支付现金对价</w:t>
      </w:r>
      <w:r>
        <w:rPr>
          <w:rFonts w:ascii="Times New Roman" w:hAnsi="Times New Roman" w:cs="Times New Roman" w:eastAsia="Times New Roman" w:hint="default"/>
        </w:rPr>
        <w:t>4,900</w:t>
      </w:r>
      <w:r>
        <w:rPr/>
        <w:t>万元。</w:t>
      </w:r>
    </w:p>
    <w:p>
      <w:pPr>
        <w:pStyle w:val="BodyText"/>
        <w:spacing w:line="316" w:lineRule="auto" w:before="13"/>
        <w:ind w:right="0" w:firstLine="432"/>
        <w:jc w:val="left"/>
      </w:pPr>
      <w:r>
        <w:rPr/>
        <w:t>⑤本公司实际上已经控制了菲耐得的财务和经营政策，享有相应的收益并承担相应的风险。经菲耐得决议，菲耐得设 立董事会和监事会，选举钟峻（担任董事长）、姚宁、顾建东担任董事，选举朱浩倩担任监事，选举顾建东担任总经理。</w:t>
      </w:r>
    </w:p>
    <w:p>
      <w:pPr>
        <w:pStyle w:val="BodyText"/>
        <w:spacing w:line="300" w:lineRule="auto" w:before="18"/>
        <w:ind w:right="0" w:firstLine="432"/>
        <w:jc w:val="left"/>
      </w:pPr>
      <w:r>
        <w:rPr>
          <w:spacing w:val="-3"/>
        </w:rPr>
        <w:t>综上，润和软件对菲耐得的购买日确定为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30</w:t>
      </w:r>
      <w:r>
        <w:rPr>
          <w:spacing w:val="-3"/>
        </w:rPr>
        <w:t>日。因此，本年度公司新增对菲耐得合并报表，合并期间为</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12</w:t>
      </w:r>
      <w:r>
        <w:rPr/>
        <w:t>月。</w:t>
      </w:r>
    </w:p>
    <w:p>
      <w:pPr>
        <w:spacing w:line="240" w:lineRule="auto" w:before="11"/>
        <w:rPr>
          <w:rFonts w:ascii="宋体" w:hAnsi="宋体" w:cs="宋体" w:eastAsia="宋体" w:hint="default"/>
          <w:sz w:val="24"/>
          <w:szCs w:val="24"/>
        </w:rPr>
      </w:pPr>
    </w:p>
    <w:p>
      <w:pPr>
        <w:pStyle w:val="BodyText"/>
        <w:spacing w:line="240" w:lineRule="auto"/>
        <w:ind w:right="0"/>
        <w:jc w:val="left"/>
      </w:pPr>
      <w:r>
        <w:rPr/>
        <w:t>二）购买日至期末被购买方的净利润：为计入合并报表的净利润。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合并成本及商誉" w:id="399"/>
      <w:bookmarkEnd w:id="39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联创智融</w:t>
            </w: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菲耐得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1,120,234,900.00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1,077,512,000.00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2,197,746,900.00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303,837,004.25</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12,985,111.45</w:t>
            </w:r>
            <w:r>
              <w:rPr>
                <w:rFonts w:ascii="Times New Roman"/>
                <w:sz w:val="18"/>
              </w:rPr>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2" w:right="43"/>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1,893,909,895.75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66,014,888.55</w:t>
            </w:r>
          </w:p>
        </w:tc>
      </w:tr>
    </w:tbl>
    <w:p>
      <w:pPr>
        <w:pStyle w:val="BodyText"/>
        <w:spacing w:line="240" w:lineRule="auto" w:before="49"/>
        <w:ind w:right="0"/>
        <w:jc w:val="left"/>
      </w:pPr>
      <w:r>
        <w:rPr/>
        <w:t>合并成本公允价值的确定方法、或有对价及其变动的说明：</w:t>
      </w:r>
    </w:p>
    <w:p>
      <w:pPr>
        <w:pStyle w:val="BodyText"/>
        <w:spacing w:line="300" w:lineRule="auto" w:before="117"/>
        <w:ind w:right="148" w:firstLine="431"/>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31</w:t>
      </w:r>
      <w:r>
        <w:rPr>
          <w:spacing w:val="-1"/>
        </w:rPr>
        <w:t>日联创智融财务报表经审计后的净资产为</w:t>
      </w:r>
      <w:r>
        <w:rPr>
          <w:rFonts w:ascii="Times New Roman" w:hAnsi="Times New Roman" w:cs="Times New Roman" w:eastAsia="Times New Roman" w:hint="default"/>
          <w:spacing w:val="-1"/>
        </w:rPr>
        <w:t>257,990,545.36</w:t>
      </w:r>
      <w:r>
        <w:rPr>
          <w:spacing w:val="-1"/>
        </w:rPr>
        <w:t>元，参考中通评报字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85</w:t>
      </w:r>
      <w:r>
        <w:rPr>
          <w:spacing w:val="-1"/>
        </w:rPr>
        <w:t>号《江苏润和软件</w:t>
      </w:r>
      <w:r>
        <w:rPr/>
        <w:t> 股份有限公司拟收购北京联创智融信息技术有限公司</w:t>
      </w:r>
      <w:r>
        <w:rPr>
          <w:rFonts w:ascii="Times New Roman" w:hAnsi="Times New Roman" w:cs="Times New Roman" w:eastAsia="Times New Roman" w:hint="default"/>
        </w:rPr>
        <w:t>100%</w:t>
      </w:r>
      <w:r>
        <w:rPr/>
        <w:t>股权资产评估报告》中采用成本法对联创智融的评估值，确定其 </w:t>
      </w:r>
      <w:r>
        <w:rPr>
          <w:spacing w:val="-1"/>
        </w:rPr>
        <w:t>可辨认净资产的公允价值为</w:t>
      </w:r>
      <w:r>
        <w:rPr>
          <w:rFonts w:ascii="Times New Roman" w:hAnsi="Times New Roman" w:cs="Times New Roman" w:eastAsia="Times New Roman" w:hint="default"/>
          <w:spacing w:val="-1"/>
        </w:rPr>
        <w:t>303,837,004.25</w:t>
      </w:r>
      <w:r>
        <w:rPr>
          <w:spacing w:val="-1"/>
        </w:rPr>
        <w:t>元，本公司占</w:t>
      </w:r>
      <w:r>
        <w:rPr>
          <w:rFonts w:ascii="Times New Roman" w:hAnsi="Times New Roman" w:cs="Times New Roman" w:eastAsia="Times New Roman" w:hint="default"/>
          <w:spacing w:val="-1"/>
        </w:rPr>
        <w:t>100%</w:t>
      </w:r>
      <w:r>
        <w:rPr>
          <w:spacing w:val="-1"/>
        </w:rPr>
        <w:t>股份。合并对价</w:t>
      </w:r>
      <w:r>
        <w:rPr>
          <w:rFonts w:ascii="Times New Roman" w:hAnsi="Times New Roman" w:cs="Times New Roman" w:eastAsia="Times New Roman" w:hint="default"/>
          <w:spacing w:val="-1"/>
        </w:rPr>
        <w:t>2,197,746,900.00</w:t>
      </w:r>
      <w:r>
        <w:rPr>
          <w:spacing w:val="-1"/>
        </w:rPr>
        <w:t>元大于合并日取得可辨认净资</w:t>
      </w:r>
    </w:p>
    <w:p>
      <w:pPr>
        <w:spacing w:after="0" w:line="30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产公允价值</w:t>
      </w:r>
      <w:r>
        <w:rPr>
          <w:rFonts w:ascii="Times New Roman" w:hAnsi="Times New Roman" w:cs="Times New Roman" w:eastAsia="Times New Roman" w:hint="default"/>
        </w:rPr>
        <w:t>303,837,004.25</w:t>
      </w:r>
      <w:r>
        <w:rPr/>
        <w:t>元的差额</w:t>
      </w:r>
      <w:r>
        <w:rPr>
          <w:rFonts w:ascii="Times New Roman" w:hAnsi="Times New Roman" w:cs="Times New Roman" w:eastAsia="Times New Roman" w:hint="default"/>
        </w:rPr>
        <w:t>1,893,909,895.75</w:t>
      </w:r>
      <w:r>
        <w:rPr/>
        <w:t>元，计入合并财务报表的商誉。</w:t>
      </w:r>
    </w:p>
    <w:p>
      <w:pPr>
        <w:pStyle w:val="BodyText"/>
        <w:spacing w:line="307" w:lineRule="auto" w:before="62"/>
        <w:ind w:right="0" w:firstLine="432"/>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日菲耐得财务报表经审计后的净资产为</w:t>
      </w:r>
      <w:r>
        <w:rPr>
          <w:rFonts w:ascii="Times New Roman" w:hAnsi="Times New Roman" w:cs="Times New Roman" w:eastAsia="Times New Roman" w:hint="default"/>
          <w:spacing w:val="-1"/>
        </w:rPr>
        <w:t>11,872,532.13</w:t>
      </w:r>
      <w:r>
        <w:rPr>
          <w:spacing w:val="-1"/>
        </w:rPr>
        <w:t>元，参考中水致远评报字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2417</w:t>
      </w:r>
      <w:r>
        <w:rPr>
          <w:spacing w:val="-1"/>
        </w:rPr>
        <w:t>号《江苏润和</w:t>
      </w:r>
      <w:r>
        <w:rPr/>
        <w:t> 软件股份有限公司拟收购股权涉及的上海菲耐得信息科技有限公司股东全部权益价值项目》中采用成本法对菲耐得的评估 </w:t>
      </w:r>
      <w:r>
        <w:rPr>
          <w:spacing w:val="-1"/>
        </w:rPr>
        <w:t>值，确定其可辨认净资产的公允价值为</w:t>
      </w:r>
      <w:r>
        <w:rPr>
          <w:rFonts w:ascii="Times New Roman" w:hAnsi="Times New Roman" w:cs="Times New Roman" w:eastAsia="Times New Roman" w:hint="default"/>
          <w:spacing w:val="-1"/>
        </w:rPr>
        <w:t>12,985,111.45</w:t>
      </w:r>
      <w:r>
        <w:rPr>
          <w:spacing w:val="-1"/>
        </w:rPr>
        <w:t>元，本公司占</w:t>
      </w:r>
      <w:r>
        <w:rPr>
          <w:rFonts w:ascii="Times New Roman" w:hAnsi="Times New Roman" w:cs="Times New Roman" w:eastAsia="Times New Roman" w:hint="default"/>
          <w:spacing w:val="-1"/>
        </w:rPr>
        <w:t>100%</w:t>
      </w:r>
      <w:r>
        <w:rPr>
          <w:spacing w:val="-1"/>
        </w:rPr>
        <w:t>股份。合并对价</w:t>
      </w:r>
      <w:r>
        <w:rPr>
          <w:rFonts w:ascii="Times New Roman" w:hAnsi="Times New Roman" w:cs="Times New Roman" w:eastAsia="Times New Roman" w:hint="default"/>
          <w:spacing w:val="-1"/>
        </w:rPr>
        <w:t>79,000,000.00</w:t>
      </w:r>
      <w:r>
        <w:rPr>
          <w:spacing w:val="-1"/>
        </w:rPr>
        <w:t>元大于合并日取得可辨</w:t>
      </w:r>
      <w:r>
        <w:rPr>
          <w:spacing w:val="-83"/>
        </w:rPr>
        <w:t> </w:t>
      </w:r>
      <w:r>
        <w:rPr>
          <w:spacing w:val="-83"/>
        </w:rPr>
      </w:r>
      <w:r>
        <w:rPr/>
        <w:t>认净资产公允价值</w:t>
      </w:r>
      <w:r>
        <w:rPr>
          <w:rFonts w:ascii="Times New Roman" w:hAnsi="Times New Roman" w:cs="Times New Roman" w:eastAsia="Times New Roman" w:hint="default"/>
        </w:rPr>
        <w:t>12,985,111.45</w:t>
      </w:r>
      <w:r>
        <w:rPr/>
        <w:t>元的差额</w:t>
      </w:r>
      <w:r>
        <w:rPr>
          <w:rFonts w:ascii="Times New Roman" w:hAnsi="Times New Roman" w:cs="Times New Roman" w:eastAsia="Times New Roman" w:hint="default"/>
        </w:rPr>
        <w:t>66,014,888.55</w:t>
      </w:r>
      <w:r>
        <w:rPr/>
        <w:t>元，计入合并财务报表的商誉。</w:t>
      </w:r>
    </w:p>
    <w:p>
      <w:pPr>
        <w:pStyle w:val="BodyText"/>
        <w:spacing w:line="357" w:lineRule="auto" w:before="48"/>
        <w:ind w:right="7614"/>
        <w:jc w:val="left"/>
      </w:pPr>
      <w:r>
        <w:rPr/>
        <w:t>大额商誉形成的主要原因： 不适用</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被购买方于购买日可辨认资产、负债" w:id="400"/>
      <w:bookmarkEnd w:id="40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8"/>
        <w:gridCol w:w="1930"/>
        <w:gridCol w:w="1915"/>
        <w:gridCol w:w="1913"/>
        <w:gridCol w:w="1915"/>
      </w:tblGrid>
      <w:tr>
        <w:trPr>
          <w:trHeight w:val="403" w:hRule="exact"/>
        </w:trPr>
        <w:tc>
          <w:tcPr>
            <w:tcW w:w="1898" w:type="dxa"/>
            <w:tcBorders>
              <w:top w:val="single" w:sz="4" w:space="0" w:color="000000"/>
              <w:left w:val="single" w:sz="4" w:space="0" w:color="000000"/>
              <w:bottom w:val="single" w:sz="4" w:space="0" w:color="000000"/>
              <w:right w:val="single" w:sz="13" w:space="0" w:color="E1FFFF"/>
            </w:tcBorders>
            <w:shd w:val="clear" w:color="auto" w:fill="D4D4D4"/>
          </w:tcPr>
          <w:p>
            <w:pPr/>
          </w:p>
        </w:tc>
        <w:tc>
          <w:tcPr>
            <w:tcW w:w="3845" w:type="dxa"/>
            <w:gridSpan w:val="2"/>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联创智融</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菲耐得</w:t>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392,589,911.66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340,193,958.64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29,907,150.38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28,423,711.28</w:t>
            </w:r>
            <w:r>
              <w:rPr>
                <w:rFonts w:ascii="Times New Roman"/>
                <w:sz w:val="18"/>
              </w:rPr>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13,038,289.10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13,038,289.10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1,402,808.35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1,402,808.35</w:t>
            </w:r>
            <w:r>
              <w:rPr>
                <w:rFonts w:ascii="Times New Roman"/>
                <w:sz w:val="18"/>
              </w:rPr>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284,639,631.05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284,639,631.05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25,450,705.00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25,450,705.00</w:t>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430,881.27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430,881.27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1,988,453.68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505,014.58</w:t>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52,478,572.37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82,619.35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23,931.00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23,931.00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38,412,435.91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38,412,435.91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703,341.81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703,341.81</w:t>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440,237.50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440,237.50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3,125,933.46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3,125,933.46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349,081.54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349,081.54</w:t>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30" w:type="dxa"/>
            <w:tcBorders>
              <w:top w:val="single" w:sz="4" w:space="0" w:color="000000"/>
              <w:left w:val="single" w:sz="10" w:space="0" w:color="E1FFFF"/>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12,760.00</w:t>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88,761,691.54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82,212,197.41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16,922,038.93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16,551,179.15</w:t>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56,049.32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56,049.32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19,335.00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19,335.00</w:t>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6,549,494.13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370,859.78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15,047,892.92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15,047,892.92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2,204,948.31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2,204,948.31</w:t>
            </w:r>
            <w:r>
              <w:rPr>
                <w:rFonts w:ascii="Times New Roman"/>
                <w:sz w:val="18"/>
              </w:rPr>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38,773,748.23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38,773,748.23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3,040,970.63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3,040,970.63</w:t>
            </w:r>
            <w:r>
              <w:rPr>
                <w:rFonts w:ascii="Times New Roman"/>
                <w:sz w:val="18"/>
              </w:rPr>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362,360.00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362,360.00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30"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1,612,146.94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1,612,146.94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6,285,925.21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6,285,925.21</w:t>
            </w:r>
            <w:r>
              <w:rPr>
                <w:rFonts w:ascii="Times New Roman"/>
                <w:sz w:val="18"/>
              </w:rPr>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303,828,220.12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257,981,761.23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12,985,111.45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11,872,532.13</w:t>
            </w:r>
            <w:r>
              <w:rPr>
                <w:rFonts w:ascii="Times New Roman"/>
                <w:sz w:val="18"/>
              </w:rPr>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-8,784.13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-8,784.13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3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303,837,004.25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257,990,545.36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12,985,111.45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11,872,532.13</w:t>
            </w:r>
            <w:r>
              <w:rPr>
                <w:rFonts w:ascii="Times New Roman"/>
                <w:sz w:val="18"/>
              </w:rPr>
            </w:r>
          </w:p>
        </w:tc>
      </w:tr>
    </w:tbl>
    <w:p>
      <w:pPr>
        <w:pStyle w:val="BodyText"/>
        <w:spacing w:line="240" w:lineRule="auto" w:before="49"/>
        <w:ind w:right="0"/>
        <w:jc w:val="left"/>
      </w:pPr>
      <w:r>
        <w:rPr/>
        <w:t>可辨认资产、负债公允价值的确定方法：</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222" w:firstLine="432"/>
        <w:jc w:val="left"/>
      </w:pPr>
      <w:r>
        <w:rPr/>
        <w:t>联创智融：可辨认资产、负债公允价值的确定方法：参考中通评报字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85</w:t>
      </w:r>
      <w:r>
        <w:rPr/>
        <w:t>号《江苏润和软件股份有限公司拟收 购北京联创智融信息技术有限公司</w:t>
      </w:r>
      <w:r>
        <w:rPr>
          <w:rFonts w:ascii="Times New Roman" w:hAnsi="Times New Roman" w:cs="Times New Roman" w:eastAsia="Times New Roman" w:hint="default"/>
        </w:rPr>
        <w:t>100%</w:t>
      </w:r>
      <w:r>
        <w:rPr/>
        <w:t>股权资产评估报告》中采用成本法对联创智融的评估值。</w:t>
      </w:r>
    </w:p>
    <w:p>
      <w:pPr>
        <w:pStyle w:val="BodyText"/>
        <w:spacing w:line="300" w:lineRule="auto" w:before="13"/>
        <w:ind w:right="222" w:firstLine="432"/>
        <w:jc w:val="left"/>
      </w:pPr>
      <w:r>
        <w:rPr/>
        <w:t>菲耐得：可辨认资产、负债公允价值的确定方法：参考中水致远评报字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2417</w:t>
      </w:r>
      <w:r>
        <w:rPr/>
        <w:t>号《江苏润和软件股份有限公司 拟收购股权涉及的上海菲耐得信息科技有限公司股东全部权益价值项目》中采用成本法对菲耐得的评估值。</w:t>
      </w:r>
    </w:p>
    <w:p>
      <w:pPr>
        <w:pStyle w:val="BodyText"/>
        <w:spacing w:line="338" w:lineRule="auto" w:before="72"/>
        <w:ind w:left="584" w:right="5022" w:hanging="432"/>
        <w:jc w:val="left"/>
      </w:pPr>
      <w:r>
        <w:rPr/>
        <w:t>企业合并中承担的被购买方的或有负债： 联创智融：企业合并中承担的被购买方的或有负债：无 菲耐得：企业合并中承担的被购买方的或有负债：无</w:t>
      </w:r>
    </w:p>
    <w:p>
      <w:pPr>
        <w:pStyle w:val="BodyText"/>
        <w:spacing w:line="240" w:lineRule="auto" w:before="43"/>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购买日之前持有的股权按照公允价值重新计量产生的利得或损失" w:id="401"/>
      <w:bookmarkEnd w:id="40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购买日或合并当期期末无法合理确定合并对价或被购买方可辨认资产、负债公允价值" w:id="402"/>
      <w:bookmarkEnd w:id="40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03"/>
      <w:bookmarkEnd w:id="40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04"/>
      <w:bookmarkEnd w:id="40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05"/>
      <w:bookmarkEnd w:id="40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合并成本" w:id="406"/>
      <w:bookmarkEnd w:id="40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6;top:10;width:4784;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7614"/>
        <w:jc w:val="left"/>
      </w:pPr>
      <w:r>
        <w:rPr/>
        <w:t>或有对价及其变动的说明：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407"/>
      <w:bookmarkEnd w:id="40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3180;top:14;width:2;height:392" coordorigin="3180,14" coordsize="2,392">
              <v:shape style="position:absolute;left:3180;top:14;width:2;height:392" coordorigin="3180,14" coordsize="0,392" path="m3180,14l3180,406e" filled="false" stroked="true" strokeweight="1.2pt" strokecolor="#d4d4d4">
                <v:path arrowok="t"/>
              </v:shape>
            </v:group>
            <v:group style="position:absolute;left:34;top:14;width:3135;height:392" coordorigin="34,14" coordsize="3135,392">
              <v:shape style="position:absolute;left:34;top:14;width:3135;height:392" coordorigin="34,14" coordsize="3135,392" path="m34,406l3168,406,3168,14,34,14,34,406xe" filled="true" fillcolor="#d4d4d4" stroked="false">
                <v:path arrowok="t"/>
                <v:fill type="solid"/>
              </v:shape>
            </v:group>
            <v:group style="position:absolute;left:3212;top:14;width:2;height:392" coordorigin="3212,14" coordsize="2,392">
              <v:shape style="position:absolute;left:3212;top:14;width:2;height:392" coordorigin="3212,14" coordsize="0,392" path="m3212,14l3212,406e" filled="false" stroked="true" strokeweight="1.08pt" strokecolor="#e1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1ffff">
                <v:path arrowok="t"/>
              </v:shape>
            </v:group>
            <v:group style="position:absolute;left:3223;top:14;width:6324;height:392" coordorigin="3223,14" coordsize="6324,392">
              <v:shape style="position:absolute;left:3223;top:14;width:6324;height:392" coordorigin="3223,14" coordsize="6324,392" path="m3223,406l9547,406,9547,14,3223,14,3223,406xe" filled="true" fillcolor="#e1ffff"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4d4d4">
                <v:path arrowok="t"/>
              </v:shape>
            </v:group>
            <v:group style="position:absolute;left:3180;top:415;width:2;height:394" coordorigin="3180,415" coordsize="2,394">
              <v:shape style="position:absolute;left:3180;top:415;width:2;height:394" coordorigin="3180,415" coordsize="0,394" path="m3180,415l3180,809e" filled="false" stroked="true" strokeweight="1.2pt" strokecolor="#d4d4d4">
                <v:path arrowok="t"/>
              </v:shape>
            </v:group>
            <v:group style="position:absolute;left:34;top:415;width:3135;height:394" coordorigin="34,415" coordsize="3135,394">
              <v:shape style="position:absolute;left:34;top:415;width:3135;height:394" coordorigin="34,415" coordsize="3135,394" path="m34,809l3168,809,3168,415,34,415,34,809xe" filled="true" fillcolor="#d4d4d4" stroked="false">
                <v:path arrowok="t"/>
                <v:fill type="solid"/>
              </v:shape>
            </v:group>
            <v:group style="position:absolute;left:3212;top:415;width:2;height:394" coordorigin="3212,415" coordsize="2,394">
              <v:shape style="position:absolute;left:3212;top:415;width:2;height:394" coordorigin="3212,415" coordsize="0,394" path="m3212,415l3212,809e" filled="false" stroked="true" strokeweight="1.08pt" strokecolor="#d4d4d4">
                <v:path arrowok="t"/>
              </v:shape>
            </v:group>
            <v:group style="position:absolute;left:6370;top:415;width:2;height:394" coordorigin="6370,415" coordsize="2,394">
              <v:shape style="position:absolute;left:6370;top:415;width:2;height:394" coordorigin="6370,415" coordsize="0,394" path="m6370,415l6370,809e" filled="false" stroked="true" strokeweight="1.2pt" strokecolor="#d4d4d4">
                <v:path arrowok="t"/>
              </v:shape>
            </v:group>
            <v:group style="position:absolute;left:3223;top:415;width:3135;height:394" coordorigin="3223,415" coordsize="3135,394">
              <v:shape style="position:absolute;left:3223;top:415;width:3135;height:394" coordorigin="3223,415" coordsize="3135,394" path="m3223,809l6358,809,6358,415,3223,415,3223,809xe" filled="true" fillcolor="#d4d4d4" stroked="false">
                <v:path arrowok="t"/>
                <v:fill type="solid"/>
              </v:shape>
            </v:group>
            <v:group style="position:absolute;left:6402;top:415;width:2;height:394" coordorigin="6402,415" coordsize="2,394">
              <v:shape style="position:absolute;left:6402;top:415;width:2;height:394" coordorigin="6402,415" coordsize="0,394" path="m6402,415l6402,809e" filled="false" stroked="true" strokeweight="1.08pt" strokecolor="#d4d4d4">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4d4d4">
                <v:path arrowok="t"/>
              </v:shape>
            </v:group>
            <v:group style="position:absolute;left:6413;top:415;width:3135;height:394" coordorigin="6413,415" coordsize="3135,394">
              <v:shape style="position:absolute;left:6413;top:415;width:3135;height:394" coordorigin="6413,415" coordsize="3135,394" path="m6413,809l9547,809,9547,415,6413,415,6413,809xe" filled="true" fillcolor="#d4d4d4" stroked="false">
                <v:path arrowok="t"/>
                <v:fill type="solid"/>
              </v:shape>
            </v:group>
            <v:group style="position:absolute;left:10;top:410;width:3180;height:2" coordorigin="10,410" coordsize="3180,2">
              <v:shape style="position:absolute;left:10;top:410;width:3180;height:2" coordorigin="10,410" coordsize="3180,0" path="m10,410l3190,410e" filled="false" stroked="true" strokeweight=".481pt" strokecolor="#000000">
                <v:path arrowok="t"/>
              </v:shape>
            </v:group>
            <v:group style="position:absolute;left:3199;top:410;width:3180;height:2" coordorigin="3199,410" coordsize="3180,2">
              <v:shape style="position:absolute;left:3199;top:410;width:3180;height:2" coordorigin="3199,410" coordsize="3180,0" path="m3199,410l6379,410e" filled="false" stroked="true" strokeweight=".481pt" strokecolor="#000000">
                <v:path arrowok="t"/>
              </v:shape>
            </v:group>
            <v:group style="position:absolute;left:6389;top:410;width:3183;height:2" coordorigin="6389,410" coordsize="3183,2">
              <v:shape style="position:absolute;left:6389;top:410;width:3183;height:2" coordorigin="6389,410" coordsize="3183,0" path="m6389,410l9571,410e" filled="false" stroked="true" strokeweight=".48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0;height:2" coordorigin="10,814" coordsize="3180,2">
              <v:shape style="position:absolute;left:10;top:814;width:3180;height:2" coordorigin="10,814" coordsize="3180,0" path="m10,814l3190,814e" filled="false" stroked="true" strokeweight=".481pt" strokecolor="#000000">
                <v:path arrowok="t"/>
              </v:shape>
            </v:group>
            <v:group style="position:absolute;left:3194;top:5;width:2;height:814" coordorigin="3194,5" coordsize="2,814">
              <v:shape style="position:absolute;left:3194;top:5;width:2;height:814" coordorigin="3194,5" coordsize="0,814" path="m3194,5l3194,818e" filled="false" stroked="true" strokeweight=".48pt" strokecolor="#000000">
                <v:path arrowok="t"/>
              </v:shape>
            </v:group>
            <v:group style="position:absolute;left:3199;top:814;width:3180;height:2" coordorigin="3199,814" coordsize="3180,2">
              <v:shape style="position:absolute;left:3199;top:814;width:3180;height:2" coordorigin="3199,814" coordsize="3180,0" path="m3199,814l6379,814e" filled="false" stroked="true" strokeweight=".481pt" strokecolor="#000000">
                <v:path arrowok="t"/>
              </v:shape>
            </v:group>
            <v:group style="position:absolute;left:6384;top:406;width:2;height:413" coordorigin="6384,406" coordsize="2,413">
              <v:shape style="position:absolute;left:6384;top:406;width:2;height:413" coordorigin="6384,406" coordsize="0,413" path="m6384,406l6384,818e" filled="false" stroked="true" strokeweight=".48pt" strokecolor="#000000">
                <v:path arrowok="t"/>
              </v:shape>
            </v:group>
            <v:group style="position:absolute;left:6389;top:814;width:3183;height:2" coordorigin="6389,814" coordsize="3183,2">
              <v:shape style="position:absolute;left:6389;top:814;width:3183;height:2" coordorigin="6389,814" coordsize="3183,0" path="m6389,814l9571,814e" filled="false" stroked="true" strokeweight=".481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4;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79;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240" w:lineRule="auto" w:before="44"/>
        <w:ind w:right="0"/>
        <w:jc w:val="left"/>
      </w:pPr>
      <w:r>
        <w:rPr/>
        <w:t>企业合并中承担的被合并方的或有负债：</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反向购买" w:id="408"/>
      <w:bookmarkEnd w:id="40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处置子公司" w:id="409"/>
      <w:bookmarkEnd w:id="40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4"/>
        <w:gridCol w:w="737"/>
        <w:gridCol w:w="734"/>
        <w:gridCol w:w="734"/>
        <w:gridCol w:w="734"/>
        <w:gridCol w:w="737"/>
        <w:gridCol w:w="737"/>
        <w:gridCol w:w="737"/>
        <w:gridCol w:w="734"/>
        <w:gridCol w:w="737"/>
      </w:tblGrid>
      <w:tr>
        <w:trPr>
          <w:trHeight w:val="3835"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南京润 和数码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5,277,77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32" w:firstLine="91"/>
              <w:jc w:val="left"/>
              <w:rPr>
                <w:rFonts w:ascii="宋体" w:hAnsi="宋体" w:cs="宋体" w:eastAsia="宋体" w:hint="default"/>
                <w:sz w:val="18"/>
                <w:szCs w:val="18"/>
              </w:rPr>
            </w:pPr>
            <w:r>
              <w:rPr>
                <w:rFonts w:ascii="宋体" w:hAnsi="宋体" w:cs="宋体" w:eastAsia="宋体" w:hint="default"/>
                <w:sz w:val="18"/>
                <w:szCs w:val="18"/>
              </w:rPr>
              <w:t>已支付 股权款， 并办理 工商变 更手续</w:t>
            </w:r>
          </w:p>
        </w:tc>
        <w:tc>
          <w:tcPr>
            <w:tcW w:w="7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5,787,67</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0.80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-27,965.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36</w:t>
            </w:r>
          </w:p>
        </w:tc>
      </w:tr>
      <w:tr>
        <w:trPr>
          <w:trHeight w:val="22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江苏润 和南京 软件外 包园置 业有限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203,861,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5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1" w:firstLine="91"/>
              <w:jc w:val="left"/>
              <w:rPr>
                <w:rFonts w:ascii="宋体" w:hAnsi="宋体" w:cs="宋体" w:eastAsia="宋体" w:hint="default"/>
                <w:sz w:val="18"/>
                <w:szCs w:val="18"/>
              </w:rPr>
            </w:pPr>
            <w:r>
              <w:rPr>
                <w:rFonts w:ascii="宋体" w:hAnsi="宋体" w:cs="宋体" w:eastAsia="宋体" w:hint="default"/>
                <w:sz w:val="18"/>
                <w:szCs w:val="18"/>
              </w:rPr>
              <w:t>已支付 转让总 价款的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，并</w:t>
            </w:r>
            <w:r>
              <w:rPr>
                <w:rFonts w:ascii="宋体" w:hAnsi="宋体" w:cs="宋体" w:eastAsia="宋体" w:hint="default"/>
                <w:spacing w:val="-86"/>
                <w:sz w:val="18"/>
                <w:szCs w:val="18"/>
              </w:rPr>
              <w:t> </w:t>
            </w:r>
            <w:r>
              <w:rPr>
                <w:rFonts w:ascii="宋体" w:hAnsi="宋体" w:cs="宋体" w:eastAsia="宋体" w:hint="default"/>
                <w:sz w:val="18"/>
                <w:szCs w:val="18"/>
              </w:rPr>
              <w:t>办理工</w:t>
            </w:r>
            <w:r>
              <w:rPr>
                <w:rFonts w:ascii="宋体" w:hAnsi="宋体" w:cs="宋体" w:eastAsia="宋体" w:hint="default"/>
                <w:sz w:val="18"/>
                <w:szCs w:val="18"/>
              </w:rPr>
              <w:t> 商变更 手续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44,457,7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61.55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5"/>
        <w:ind w:left="584" w:right="0"/>
        <w:jc w:val="left"/>
      </w:pPr>
      <w:r>
        <w:rPr>
          <w:rFonts w:ascii="Times New Roman" w:hAnsi="Times New Roman" w:cs="Times New Roman" w:eastAsia="Times New Roman" w:hint="default"/>
        </w:rPr>
        <w:t>1</w:t>
      </w:r>
      <w:r>
        <w:rPr/>
        <w:t>）润和数码</w:t>
      </w:r>
    </w:p>
    <w:p>
      <w:pPr>
        <w:pStyle w:val="BodyText"/>
        <w:spacing w:line="300" w:lineRule="auto" w:before="62"/>
        <w:ind w:right="189" w:firstLine="43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日，润和软件与</w:t>
      </w:r>
      <w:r>
        <w:rPr>
          <w:rFonts w:ascii="Times New Roman" w:hAnsi="Times New Roman" w:cs="Times New Roman" w:eastAsia="Times New Roman" w:hint="default"/>
        </w:rPr>
        <w:t>MMAX COMMUNICATIONS</w:t>
      </w:r>
      <w:r>
        <w:rPr/>
        <w:t>签署了《南京润和数码有限公司股权转让协议》</w:t>
      </w:r>
      <w:r>
        <w:rPr>
          <w:spacing w:val="-23"/>
        </w:rPr>
        <w:t> </w:t>
      </w:r>
      <w:r>
        <w:rPr/>
        <w:t>将其持有</w:t>
      </w:r>
      <w:r>
        <w:rPr/>
        <w:t> 的南京数码</w:t>
      </w:r>
      <w:r>
        <w:rPr>
          <w:rFonts w:ascii="Times New Roman" w:hAnsi="Times New Roman" w:cs="Times New Roman" w:eastAsia="Times New Roman" w:hint="default"/>
        </w:rPr>
        <w:t>55%</w:t>
      </w:r>
      <w:r>
        <w:rPr/>
        <w:t>股权按原出资额</w:t>
      </w:r>
      <w:r>
        <w:rPr>
          <w:rFonts w:ascii="Times New Roman" w:hAnsi="Times New Roman" w:cs="Times New Roman" w:eastAsia="Times New Roman" w:hint="default"/>
        </w:rPr>
        <w:t>82.5</w:t>
      </w:r>
      <w:r>
        <w:rPr/>
        <w:t>万美元转让给</w:t>
      </w:r>
      <w:r>
        <w:rPr>
          <w:rFonts w:ascii="Times New Roman" w:hAnsi="Times New Roman" w:cs="Times New Roman" w:eastAsia="Times New Roman" w:hint="default"/>
        </w:rPr>
        <w:t>MMAX</w:t>
      </w:r>
      <w:r>
        <w:rPr>
          <w:rFonts w:ascii="Times New Roman" w:hAnsi="Times New Roman" w:cs="Times New Roman" w:eastAsia="Times New Roman" w:hint="default"/>
          <w:spacing w:val="-6"/>
        </w:rPr>
        <w:t> </w:t>
      </w:r>
      <w:r>
        <w:rPr>
          <w:rFonts w:ascii="Times New Roman" w:hAnsi="Times New Roman" w:cs="Times New Roman" w:eastAsia="Times New Roman" w:hint="default"/>
        </w:rPr>
        <w:t>COMMUNICATIONS</w:t>
      </w:r>
      <w:r>
        <w:rPr/>
        <w:t>，同日，公司召开第四届董事会第三十八次 会议审议通过相关议案。公司于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日收到股权转让款</w:t>
      </w:r>
      <w:r>
        <w:rPr>
          <w:rFonts w:ascii="Times New Roman" w:hAnsi="Times New Roman" w:cs="Times New Roman" w:eastAsia="Times New Roman" w:hint="default"/>
        </w:rPr>
        <w:t>82.5</w:t>
      </w:r>
      <w:r>
        <w:rPr/>
        <w:t>万美元，折合人民币</w:t>
      </w:r>
      <w:r>
        <w:rPr>
          <w:rFonts w:ascii="Times New Roman" w:hAnsi="Times New Roman" w:cs="Times New Roman" w:eastAsia="Times New Roman" w:hint="default"/>
        </w:rPr>
        <w:t>5,277,772.50</w:t>
      </w:r>
      <w:r>
        <w:rPr/>
        <w:t>元。</w:t>
      </w:r>
    </w:p>
    <w:p>
      <w:pPr>
        <w:pStyle w:val="BodyText"/>
        <w:spacing w:line="300" w:lineRule="auto" w:before="13"/>
        <w:ind w:left="584" w:right="3942"/>
        <w:jc w:val="left"/>
      </w:pPr>
      <w:r>
        <w:rPr>
          <w:rFonts w:ascii="Times New Roman" w:hAnsi="Times New Roman" w:cs="Times New Roman" w:eastAsia="Times New Roman" w:hint="default"/>
        </w:rPr>
        <w:t>2</w:t>
      </w:r>
      <w:r>
        <w:rPr/>
        <w:t>）外包园置业 具体情况详见附注十二、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6</w:t>
      </w:r>
      <w:r>
        <w:rPr/>
        <w:t>）关联方资产转让、债务重组情况。</w:t>
      </w:r>
    </w:p>
    <w:p>
      <w:pPr>
        <w:spacing w:after="0" w:line="300" w:lineRule="auto"/>
        <w:jc w:val="left"/>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pPr>
      <w:r>
        <w:rPr/>
        <w:t>是否存在通过多次交易分步处置对子公司投资且在本期丧失控制权的情形</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其他原因的合并范围变动" w:id="410"/>
      <w:bookmarkEnd w:id="41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7"/>
        <w:ind w:right="0"/>
        <w:jc w:val="left"/>
      </w:pPr>
      <w:r>
        <w:rPr/>
        <w:t>（</w:t>
      </w:r>
      <w:r>
        <w:rPr>
          <w:rFonts w:ascii="Times New Roman" w:hAnsi="Times New Roman" w:cs="Times New Roman" w:eastAsia="Times New Roman" w:hint="default"/>
        </w:rPr>
        <w:t>1</w:t>
      </w:r>
      <w:r>
        <w:rPr/>
        <w:t>）深圳润和汇智是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月本公司子公司北京润和投资新设的全资子公司，本年度公司对深圳润和汇智的合并期间为</w:t>
      </w:r>
    </w:p>
    <w:p>
      <w:pPr>
        <w:pStyle w:val="BodyText"/>
        <w:spacing w:line="240" w:lineRule="auto" w:before="62"/>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8-12</w:t>
      </w:r>
      <w:r>
        <w:rPr/>
        <w:t>月。</w:t>
      </w:r>
    </w:p>
    <w:p>
      <w:pPr>
        <w:pStyle w:val="BodyText"/>
        <w:spacing w:line="240" w:lineRule="auto" w:before="62"/>
        <w:ind w:right="0"/>
        <w:jc w:val="left"/>
      </w:pPr>
      <w:r>
        <w:rPr/>
        <w:t>（</w:t>
      </w:r>
      <w:r>
        <w:rPr>
          <w:rFonts w:ascii="Times New Roman" w:hAnsi="Times New Roman" w:cs="Times New Roman" w:eastAsia="Times New Roman" w:hint="default"/>
        </w:rPr>
        <w:t>2</w:t>
      </w:r>
      <w:r>
        <w:rPr/>
        <w:t>）香港润和是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月本公司投资新设的全资子公司，本年度公司对香港润和的合并期间为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5-12</w:t>
      </w:r>
      <w:r>
        <w:rPr/>
        <w:t>月。</w:t>
      </w:r>
    </w:p>
    <w:p>
      <w:pPr>
        <w:pStyle w:val="BodyText"/>
        <w:spacing w:line="300" w:lineRule="auto" w:before="62"/>
        <w:ind w:right="157"/>
        <w:jc w:val="left"/>
      </w:pPr>
      <w:r>
        <w:rPr/>
        <w:t>（</w:t>
      </w:r>
      <w:r>
        <w:rPr>
          <w:rFonts w:ascii="Times New Roman" w:hAnsi="Times New Roman" w:cs="Times New Roman" w:eastAsia="Times New Roman" w:hint="default"/>
        </w:rPr>
        <w:t>3</w:t>
      </w:r>
      <w:r>
        <w:rPr/>
        <w:t>）外包园置业是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月本公司子公司外包园公司投资新设的全资子公司，于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月将其股权转让与南京润宏置 业有限公司（以下简称</w:t>
      </w:r>
      <w:r>
        <w:rPr>
          <w:rFonts w:ascii="Times New Roman" w:hAnsi="Times New Roman" w:cs="Times New Roman" w:eastAsia="Times New Roman" w:hint="default"/>
        </w:rPr>
        <w:t>“</w:t>
      </w:r>
      <w:r>
        <w:rPr/>
        <w:t>润宏置业</w:t>
      </w:r>
      <w:r>
        <w:rPr>
          <w:rFonts w:ascii="Times New Roman" w:hAnsi="Times New Roman" w:cs="Times New Roman" w:eastAsia="Times New Roman" w:hint="default"/>
        </w:rPr>
        <w:t>")</w:t>
      </w:r>
      <w:r>
        <w:rPr/>
        <w:t>，故本年度公司对外包园置业的合并期间为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10-12</w:t>
      </w:r>
      <w:r>
        <w:rPr/>
        <w:t>月。</w:t>
      </w:r>
    </w:p>
    <w:p>
      <w:pPr>
        <w:spacing w:line="240" w:lineRule="auto" w:before="5"/>
        <w:rPr>
          <w:rFonts w:ascii="宋体" w:hAnsi="宋体" w:cs="宋体" w:eastAsia="宋体" w:hint="default"/>
          <w:sz w:val="22"/>
          <w:szCs w:val="22"/>
        </w:rPr>
      </w:pPr>
    </w:p>
    <w:p>
      <w:pPr>
        <w:spacing w:line="487" w:lineRule="auto" w:before="0"/>
        <w:ind w:left="152" w:right="7124" w:firstLine="0"/>
        <w:jc w:val="left"/>
        <w:rPr>
          <w:rFonts w:ascii="宋体" w:hAnsi="宋体" w:cs="宋体" w:eastAsia="宋体" w:hint="default"/>
          <w:sz w:val="21"/>
          <w:szCs w:val="21"/>
        </w:rPr>
      </w:pPr>
      <w:bookmarkStart w:name="6、其他" w:id="411"/>
      <w:bookmarkEnd w:id="41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12"/>
      <w:bookmarkEnd w:id="412"/>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13"/>
      <w:bookmarkEnd w:id="41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0"/>
        <w:jc w:val="left"/>
        <w:rPr>
          <w:b w:val="0"/>
          <w:bCs w:val="0"/>
        </w:rPr>
      </w:pPr>
      <w:bookmarkStart w:name="（1）企业集团的构成" w:id="414"/>
      <w:bookmarkEnd w:id="41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江苏润和南京软 件外包园投资有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西安润和软件信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北京润和汇智信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深圳润和汇智信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上海润和信息技 术服务有限公司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株式会社ホープ ラン東京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4"/>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1"/>
                <w:w w:val="99"/>
                <w:sz w:val="18"/>
              </w:rPr>
              <w:t> </w:t>
            </w:r>
            <w:r>
              <w:rPr>
                <w:rFonts w:ascii="Times New Roman"/>
                <w:spacing w:val="-4"/>
                <w:sz w:val="18"/>
              </w:rPr>
              <w:t>SOFTWARE</w:t>
            </w:r>
            <w:r>
              <w:rPr>
                <w:rFonts w:ascii="Times New Roman"/>
                <w:spacing w:val="-39"/>
                <w:sz w:val="18"/>
              </w:rPr>
              <w:t> </w:t>
            </w:r>
            <w:r>
              <w:rPr>
                <w:rFonts w:ascii="Times New Roman"/>
                <w:spacing w:val="-39"/>
                <w:sz w:val="18"/>
              </w:rPr>
            </w:r>
            <w:r>
              <w:rPr>
                <w:rFonts w:ascii="Times New Roman"/>
                <w:sz w:val="18"/>
              </w:rPr>
              <w:t>SINGAPORE</w:t>
            </w:r>
            <w:r>
              <w:rPr>
                <w:rFonts w:ascii="Times New Roman"/>
                <w:sz w:val="18"/>
              </w:rPr>
              <w:t> PTE.</w:t>
            </w:r>
            <w:r>
              <w:rPr>
                <w:rFonts w:ascii="Times New Roman"/>
                <w:spacing w:val="2"/>
                <w:sz w:val="18"/>
              </w:rPr>
              <w:t> </w:t>
            </w:r>
            <w:r>
              <w:rPr>
                <w:rFonts w:ascii="Times New Roman"/>
                <w:spacing w:val="-8"/>
                <w:sz w:val="18"/>
              </w:rPr>
              <w:t>LTD</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HopeRun</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4" w:right="142"/>
              <w:jc w:val="left"/>
              <w:rPr>
                <w:rFonts w:ascii="Times New Roman" w:hAnsi="Times New Roman" w:cs="Times New Roman" w:eastAsia="Times New Roman" w:hint="default"/>
                <w:sz w:val="18"/>
                <w:szCs w:val="18"/>
              </w:rPr>
            </w:pPr>
            <w:r>
              <w:rPr>
                <w:rFonts w:ascii="Times New Roman"/>
                <w:sz w:val="18"/>
              </w:rPr>
              <w:t>Technology</w:t>
            </w:r>
            <w:r>
              <w:rPr>
                <w:rFonts w:ascii="Times New Roman"/>
                <w:spacing w:val="-14"/>
                <w:sz w:val="18"/>
              </w:rPr>
              <w:t> </w:t>
            </w:r>
            <w:r>
              <w:rPr>
                <w:rFonts w:ascii="Times New Roman"/>
                <w:sz w:val="18"/>
              </w:rPr>
              <w:t>Co.,</w:t>
            </w:r>
            <w:r>
              <w:rPr>
                <w:rFonts w:ascii="Times New Roman"/>
                <w:sz w:val="18"/>
              </w:rPr>
              <w:t> Ltd</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4"/>
                <w:sz w:val="18"/>
              </w:rPr>
              <w:t> </w:t>
            </w:r>
            <w:r>
              <w:rPr>
                <w:rFonts w:ascii="Times New Roman"/>
                <w:sz w:val="18"/>
              </w:rPr>
              <w:t>LIMITED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75"/>
              <w:jc w:val="left"/>
              <w:rPr>
                <w:rFonts w:ascii="Times New Roman" w:hAnsi="Times New Roman" w:cs="Times New Roman" w:eastAsia="Times New Roman" w:hint="default"/>
                <w:sz w:val="18"/>
                <w:szCs w:val="18"/>
              </w:rPr>
            </w:pPr>
            <w:r>
              <w:rPr>
                <w:rFonts w:ascii="Times New Roman"/>
                <w:sz w:val="18"/>
              </w:rPr>
              <w:t>SilkRoad Software</w:t>
            </w:r>
            <w:r>
              <w:rPr>
                <w:rFonts w:ascii="Times New Roman"/>
                <w:spacing w:val="-4"/>
                <w:sz w:val="18"/>
              </w:rPr>
              <w:t> </w:t>
            </w:r>
            <w:r>
              <w:rPr>
                <w:rFonts w:ascii="Times New Roman"/>
                <w:sz w:val="18"/>
              </w:rPr>
              <w:t>&amp;</w:t>
            </w:r>
            <w:r>
              <w:rPr>
                <w:rFonts w:ascii="Times New Roman"/>
                <w:w w:val="99"/>
                <w:sz w:val="18"/>
              </w:rPr>
              <w:t> </w:t>
            </w:r>
            <w:r>
              <w:rPr>
                <w:rFonts w:ascii="Times New Roman"/>
                <w:sz w:val="18"/>
              </w:rPr>
              <w:t>Service</w:t>
            </w:r>
            <w:r>
              <w:rPr>
                <w:rFonts w:ascii="Times New Roman"/>
                <w:spacing w:val="-5"/>
                <w:sz w:val="18"/>
              </w:rPr>
              <w:t> </w:t>
            </w:r>
            <w:r>
              <w:rPr>
                <w:rFonts w:ascii="Times New Roman"/>
                <w:sz w:val="18"/>
              </w:rPr>
              <w:t>.Inc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美国加利福尼亚 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美国加利福尼亚 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pacing w:val="-6"/>
                <w:sz w:val="18"/>
                <w:szCs w:val="18"/>
              </w:rPr>
              <w:t>丝略软件（上海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p>
            <w:pPr>
              <w:pStyle w:val="TableParagraph"/>
              <w:spacing w:line="558" w:lineRule="exact"/>
              <w:ind w:left="2"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8pt;height:27.9pt;mso-position-horizontal-relative:char;mso-position-vertical-relative:line" coordorigin="0,0" coordsize="1356,558">
                  <v:group style="position:absolute;left:0;top:0;width:1356;height:156" coordorigin="0,0" coordsize="1356,156">
                    <v:shape style="position:absolute;left:0;top:0;width:1356;height:156" coordorigin="0,0" coordsize="1356,156"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08pt" strokecolor="#ffffff">
                      <v:path arrowok="t"/>
                    </v:shape>
                  </v:group>
                  <v:group style="position:absolute;left:22;top:156;width:1313;height:392" coordorigin="22,156" coordsize="1313,392">
                    <v:shape style="position:absolute;left:22;top:156;width:1313;height:392" coordorigin="22,156" coordsize="1313,392" path="m22,547l1334,547,1334,156,22,156,22,547xe" filled="true" fillcolor="#ffffff" stroked="false">
                      <v:path arrowok="t"/>
                      <v:fill type="solid"/>
                    </v:shape>
                  </v:group>
                </v:group>
              </w:pict>
            </w:r>
            <w:r>
              <w:rPr>
                <w:rFonts w:ascii="宋体" w:hAnsi="宋体" w:cs="宋体" w:eastAsia="宋体"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江苏开拓信息与 系统有限公司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中国无锡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系统集成服务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北京捷科智诚科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上海捷科智诚科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福州捷科智诚信 息科技有限公司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北京联创智融信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重庆度融信息技 术有限公司</w:t>
            </w:r>
            <w:r>
              <w:rPr>
                <w:rFonts w:ascii="宋体" w:hAnsi="宋体" w:cs="宋体" w:eastAsia="宋体" w:hint="default"/>
                <w:spacing w:val="1"/>
                <w:sz w:val="18"/>
                <w:szCs w:val="18"/>
              </w:rPr>
              <w:t> </w:t>
            </w:r>
            <w:r>
              <w:rPr>
                <w:rFonts w:ascii="宋体" w:hAnsi="宋体" w:cs="宋体" w:eastAsia="宋体" w:hint="default"/>
                <w:sz w:val="18"/>
                <w:szCs w:val="18"/>
              </w:rPr>
              <w:t>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成都联创智融信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香港润和信息技 术投资有限公司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上海菲耐得信息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57" w:lineRule="auto" w:before="49"/>
        <w:ind w:left="584" w:right="222" w:hanging="432"/>
        <w:jc w:val="left"/>
      </w:pPr>
      <w:r>
        <w:rPr/>
        <w:t>在子公司的持股比例不同于表决权比例的说明： 本公司直接拥有东京润和</w:t>
      </w:r>
      <w:r>
        <w:rPr>
          <w:rFonts w:ascii="Times New Roman" w:hAnsi="Times New Roman" w:cs="Times New Roman" w:eastAsia="Times New Roman" w:hint="default"/>
        </w:rPr>
        <w:t>91.67%</w:t>
      </w:r>
      <w:r>
        <w:rPr/>
        <w:t>的股权，东京润和持有</w:t>
      </w:r>
      <w:r>
        <w:rPr>
          <w:rFonts w:ascii="Times New Roman" w:hAnsi="Times New Roman" w:cs="Times New Roman" w:eastAsia="Times New Roman" w:hint="default"/>
        </w:rPr>
        <w:t>8.33%</w:t>
      </w:r>
      <w:r>
        <w:rPr/>
        <w:t>的库存股股权，该库存股股权不仅没有表决权，也没有</w:t>
      </w:r>
    </w:p>
    <w:p>
      <w:pPr>
        <w:pStyle w:val="BodyText"/>
        <w:spacing w:line="214" w:lineRule="exact"/>
        <w:ind w:right="0"/>
        <w:jc w:val="left"/>
      </w:pPr>
      <w:r>
        <w:rPr/>
        <w:t>分红请求权和剩余财产分配请求权等其他权利，因此本公司实际拥有东京润和</w:t>
      </w:r>
      <w:r>
        <w:rPr>
          <w:rFonts w:ascii="Times New Roman" w:hAnsi="Times New Roman" w:cs="Times New Roman" w:eastAsia="Times New Roman" w:hint="default"/>
        </w:rPr>
        <w:t>100%</w:t>
      </w:r>
      <w:r>
        <w:rPr/>
        <w:t>权益。</w:t>
      </w:r>
    </w:p>
    <w:p>
      <w:pPr>
        <w:pStyle w:val="BodyText"/>
        <w:spacing w:line="360" w:lineRule="auto" w:before="103"/>
        <w:ind w:right="1854"/>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6714"/>
        <w:jc w:val="left"/>
      </w:pPr>
      <w:r>
        <w:rPr/>
        <w:t>确定公司是代理人还是委托人的依据： 其他说明：</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415"/>
      <w:bookmarkEnd w:id="41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3"/>
        <w:gridCol w:w="1913"/>
        <w:gridCol w:w="1915"/>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本期归属于少数股东的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3"/>
        <w:gridCol w:w="1913"/>
        <w:gridCol w:w="1915"/>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pStyle w:val="BodyText"/>
        <w:spacing w:line="357" w:lineRule="auto" w:before="49"/>
        <w:ind w:right="545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416"/>
      <w:bookmarkEnd w:id="41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4"/>
        <w:gridCol w:w="737"/>
        <w:gridCol w:w="737"/>
        <w:gridCol w:w="734"/>
        <w:gridCol w:w="737"/>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3"/>
        <w:gridCol w:w="1066"/>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使用企业集团资产和清偿企业集团债务的重大限制" w:id="417"/>
      <w:bookmarkEnd w:id="41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18"/>
      <w:bookmarkEnd w:id="41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在子公司的所有者权益份额发生变化且仍控制子公司的交易" w:id="419"/>
      <w:bookmarkEnd w:id="41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20"/>
      <w:bookmarkEnd w:id="42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21"/>
      <w:bookmarkEnd w:id="42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在合营安排或联营企业中的权益" w:id="422"/>
      <w:bookmarkEnd w:id="42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3"/>
      <w:bookmarkEnd w:id="42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上海云角信息技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b/>
          <w:bCs/>
          <w:sz w:val="25"/>
          <w:szCs w:val="25"/>
        </w:rPr>
      </w:pPr>
    </w:p>
    <w:p>
      <w:pPr>
        <w:pStyle w:val="BodyText"/>
        <w:spacing w:line="240" w:lineRule="auto" w:before="44"/>
        <w:ind w:right="90"/>
        <w:jc w:val="left"/>
      </w:pPr>
      <w:r>
        <w:rPr/>
        <w:t>在合营企业或联营企业的持股比例不同于表决权比例的说明：</w:t>
      </w:r>
    </w:p>
    <w:p>
      <w:pPr>
        <w:pStyle w:val="BodyText"/>
        <w:spacing w:line="300" w:lineRule="auto" w:before="117"/>
        <w:ind w:right="90"/>
        <w:jc w:val="left"/>
      </w:pP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日第四届董事会第三十八次会议，审议通过《关于公司收购上海云角信息技术有限公司部分股权并增 </w:t>
      </w:r>
      <w:r>
        <w:rPr>
          <w:spacing w:val="-4"/>
        </w:rPr>
        <w:t>资的议案》，公司拟以自有资金</w:t>
      </w:r>
      <w:r>
        <w:rPr>
          <w:rFonts w:ascii="Times New Roman" w:hAnsi="Times New Roman" w:cs="Times New Roman" w:eastAsia="Times New Roman" w:hint="default"/>
          <w:spacing w:val="-4"/>
        </w:rPr>
        <w:t>4,000</w:t>
      </w:r>
      <w:r>
        <w:rPr>
          <w:spacing w:val="-4"/>
        </w:rPr>
        <w:t>万元，通过受让及增资的方式，获得上海云角信息技术有限公司（以下简称</w:t>
      </w:r>
      <w:r>
        <w:rPr>
          <w:rFonts w:ascii="Times New Roman" w:hAnsi="Times New Roman" w:cs="Times New Roman" w:eastAsia="Times New Roman" w:hint="default"/>
          <w:spacing w:val="-4"/>
        </w:rPr>
        <w:t>“</w:t>
      </w:r>
      <w:r>
        <w:rPr>
          <w:spacing w:val="-4"/>
        </w:rPr>
        <w:t>云角信息</w:t>
      </w:r>
      <w:r>
        <w:rPr>
          <w:rFonts w:ascii="Times New Roman" w:hAnsi="Times New Roman" w:cs="Times New Roman" w:eastAsia="Times New Roman" w:hint="default"/>
          <w:spacing w:val="-4"/>
        </w:rPr>
        <w:t>”</w:t>
      </w:r>
      <w:r>
        <w:rPr>
          <w:spacing w:val="-4"/>
        </w:rPr>
        <w:t>）</w:t>
      </w:r>
      <w:r>
        <w:rPr>
          <w:spacing w:val="-60"/>
        </w:rPr>
        <w:t> </w:t>
      </w:r>
      <w:r>
        <w:rPr>
          <w:rFonts w:ascii="Times New Roman" w:hAnsi="Times New Roman" w:cs="Times New Roman" w:eastAsia="Times New Roman" w:hint="default"/>
        </w:rPr>
        <w:t>20%</w:t>
      </w:r>
      <w:r>
        <w:rPr/>
        <w:t>的股权。截止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日，公司已支付完股权转让款及增资款并完成工商变更登记手续。</w:t>
      </w:r>
    </w:p>
    <w:p>
      <w:pPr>
        <w:pStyle w:val="BodyText"/>
        <w:spacing w:line="240" w:lineRule="auto" w:before="53"/>
        <w:ind w:right="9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90"/>
        <w:jc w:val="left"/>
        <w:rPr>
          <w:b w:val="0"/>
          <w:bCs w:val="0"/>
        </w:rPr>
      </w:pPr>
      <w:bookmarkStart w:name="（2）重要合营企业的主要财务信息" w:id="424"/>
      <w:bookmarkEnd w:id="42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88"/>
        <w:gridCol w:w="3192"/>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88"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49"/>
        <w:ind w:right="9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0"/>
        <w:jc w:val="left"/>
        <w:rPr>
          <w:b w:val="0"/>
          <w:bCs w:val="0"/>
        </w:rPr>
      </w:pPr>
      <w:bookmarkStart w:name="（3）重要联营企业的主要财务信息" w:id="425"/>
      <w:bookmarkEnd w:id="42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514"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30,203,709.56</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2,155,088.73</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32,358,798.29</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3,947,464.70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3,947,464.70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28,411,333.59</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5,682,266.72</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19,147,026.69</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6,378,915.19</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6,378,915.19</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0"/>
        <w:jc w:val="left"/>
        <w:rPr>
          <w:b w:val="0"/>
          <w:bCs w:val="0"/>
        </w:rPr>
      </w:pPr>
      <w:bookmarkStart w:name="（4）不重要的合营企业和联营企业的汇总财务信息" w:id="426"/>
      <w:bookmarkEnd w:id="42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6"/>
        <w:gridCol w:w="3060"/>
        <w:gridCol w:w="3185"/>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合营企业或联营企业向本公司转移资金的能力存在重大限制的说明" w:id="427"/>
      <w:bookmarkEnd w:id="42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28"/>
      <w:bookmarkEnd w:id="42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5"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与合营企业投资相关的未确认承诺" w:id="429"/>
      <w:bookmarkEnd w:id="42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30"/>
      <w:bookmarkEnd w:id="43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31"/>
      <w:bookmarkEnd w:id="43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49"/>
        <w:ind w:right="4554"/>
        <w:jc w:val="left"/>
      </w:pPr>
      <w:r>
        <w:rPr/>
        <w:t>在共同经营中的持股比例或享有的份额不同于表决权比例的说明： 共同经营为单独主体的，分类为共同经营的依据：</w:t>
      </w:r>
    </w:p>
    <w:p>
      <w:pPr>
        <w:pStyle w:val="BodyText"/>
        <w:spacing w:line="240" w:lineRule="auto" w:before="2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在未纳入合并财务报表范围的结构化主体中的权益" w:id="432"/>
      <w:bookmarkEnd w:id="43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其他" w:id="433"/>
      <w:bookmarkEnd w:id="433"/>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34"/>
      <w:bookmarkEnd w:id="43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本公司与金融工具相关的风险源于本公司在经营过程中所确认的各类金融资产和金融负债，包括：信用风险、流动性风险和</w:t>
      </w:r>
      <w:r>
        <w:rPr>
          <w:spacing w:val="-66"/>
        </w:rPr>
        <w:t> </w:t>
      </w:r>
      <w:r>
        <w:rPr>
          <w:spacing w:val="-66"/>
        </w:rPr>
      </w:r>
      <w:r>
        <w:rPr/>
        <w:t>市场风险。 </w:t>
      </w:r>
      <w:r>
        <w:rPr>
          <w:spacing w:val="-2"/>
        </w:rPr>
        <w:t>本公司从事风险管理的目标是在风险和收益之间取得平衡，将风险对本公司经营业绩的负面影响降至最低水平，使股东和其</w:t>
      </w:r>
      <w:r>
        <w:rPr>
          <w:spacing w:val="-64"/>
        </w:rPr>
        <w:t> </w:t>
      </w:r>
      <w:r>
        <w:rPr>
          <w:spacing w:val="-64"/>
        </w:rPr>
      </w:r>
      <w:r>
        <w:rPr>
          <w:spacing w:val="-2"/>
        </w:rPr>
        <w:t>他权益投资者的利益最大化。基于该风险管理目标，本公司风险管理的基本策略是确认和分析本公司面临的各种风险，建立</w:t>
      </w:r>
      <w:r>
        <w:rPr>
          <w:spacing w:val="-63"/>
        </w:rPr>
        <w:t> </w:t>
      </w:r>
      <w:r>
        <w:rPr>
          <w:spacing w:val="-63"/>
        </w:rPr>
      </w:r>
      <w:r>
        <w:rPr/>
        <w:t>适当的风险承受底线和进行风险管理，并及时可靠地对各种风险进行监督，将风险控制在限定的范围内。 </w:t>
      </w:r>
      <w:r>
        <w:rPr>
          <w:spacing w:val="-2"/>
        </w:rPr>
        <w:t>本公司风险管理的总体目标是在不过度影响公司竞争力和应变力的情况下，制定尽可能降低各类与金融工具相关风险的风险</w:t>
      </w:r>
      <w:r>
        <w:rPr>
          <w:spacing w:val="-64"/>
        </w:rPr>
        <w:t> </w:t>
      </w:r>
      <w:r>
        <w:rPr>
          <w:spacing w:val="-64"/>
        </w:rPr>
      </w:r>
      <w:r>
        <w:rPr/>
        <w:t>管理政策。</w:t>
      </w:r>
    </w:p>
    <w:p>
      <w:pPr>
        <w:spacing w:after="0" w:line="316"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公允价值的披露" w:id="435"/>
      <w:bookmarkEnd w:id="435"/>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36"/>
      <w:bookmarkEnd w:id="43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111,500.00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111,500.00</w:t>
            </w:r>
            <w:r>
              <w:rPr>
                <w:rFonts w:ascii="Times New Roman"/>
                <w:sz w:val="18"/>
              </w:rPr>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8"/>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111,500.00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111,500.00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持续和非持续第一层次公允价值计量项目市价的确定依据" w:id="437"/>
      <w:bookmarkEnd w:id="43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38"/>
      <w:bookmarkEnd w:id="43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39"/>
      <w:bookmarkEnd w:id="43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40"/>
      <w:bookmarkEnd w:id="44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41"/>
      <w:bookmarkEnd w:id="44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42"/>
      <w:bookmarkEnd w:id="44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43"/>
      <w:bookmarkEnd w:id="44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735"/>
        <w:gridCol w:w="1577"/>
        <w:gridCol w:w="1579"/>
        <w:gridCol w:w="1577"/>
        <w:gridCol w:w="1838"/>
      </w:tblGrid>
      <w:tr>
        <w:trPr>
          <w:trHeight w:val="468" w:hRule="exact"/>
        </w:trPr>
        <w:tc>
          <w:tcPr>
            <w:tcW w:w="1735" w:type="dxa"/>
            <w:tcBorders>
              <w:top w:val="single" w:sz="6" w:space="0" w:color="000000"/>
              <w:left w:val="single" w:sz="6" w:space="0" w:color="000000"/>
              <w:bottom w:val="single" w:sz="8" w:space="0" w:color="000000"/>
              <w:right w:val="single" w:sz="6" w:space="0" w:color="000000"/>
            </w:tcBorders>
          </w:tcPr>
          <w:p>
            <w:pPr>
              <w:pStyle w:val="TableParagraph"/>
              <w:tabs>
                <w:tab w:pos="1025" w:val="left" w:leader="none"/>
              </w:tabs>
              <w:spacing w:line="240" w:lineRule="auto" w:before="121"/>
              <w:ind w:left="501"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5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1"/>
              <w:ind w:right="0"/>
              <w:jc w:val="center"/>
              <w:rPr>
                <w:rFonts w:ascii="宋体" w:hAnsi="宋体" w:cs="宋体" w:eastAsia="宋体" w:hint="default"/>
                <w:sz w:val="20"/>
                <w:szCs w:val="20"/>
              </w:rPr>
            </w:pPr>
            <w:r>
              <w:rPr>
                <w:rFonts w:ascii="宋体" w:hAnsi="宋体" w:cs="宋体" w:eastAsia="宋体" w:hint="default"/>
                <w:sz w:val="20"/>
                <w:szCs w:val="20"/>
              </w:rPr>
              <w:t>价值计量方法</w:t>
            </w:r>
          </w:p>
        </w:tc>
        <w:tc>
          <w:tcPr>
            <w:tcW w:w="157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68"/>
              <w:ind w:left="333" w:right="0"/>
              <w:jc w:val="left"/>
              <w:rPr>
                <w:rFonts w:ascii="Times New Roman" w:hAnsi="Times New Roman" w:cs="Times New Roman" w:eastAsia="Times New Roman" w:hint="default"/>
                <w:sz w:val="20"/>
                <w:szCs w:val="20"/>
              </w:rPr>
            </w:pPr>
            <w:r>
              <w:rPr>
                <w:rFonts w:ascii="Times New Roman"/>
                <w:sz w:val="20"/>
              </w:rPr>
              <w:t>2015.12.31</w:t>
            </w:r>
          </w:p>
        </w:tc>
        <w:tc>
          <w:tcPr>
            <w:tcW w:w="15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68"/>
              <w:ind w:left="331" w:right="0"/>
              <w:jc w:val="left"/>
              <w:rPr>
                <w:rFonts w:ascii="Times New Roman" w:hAnsi="Times New Roman" w:cs="Times New Roman" w:eastAsia="Times New Roman" w:hint="default"/>
                <w:sz w:val="20"/>
                <w:szCs w:val="20"/>
              </w:rPr>
            </w:pPr>
            <w:r>
              <w:rPr>
                <w:rFonts w:ascii="Times New Roman"/>
                <w:sz w:val="20"/>
              </w:rPr>
              <w:t>2014.12.31</w:t>
            </w:r>
          </w:p>
        </w:tc>
        <w:tc>
          <w:tcPr>
            <w:tcW w:w="183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21"/>
              <w:ind w:right="19"/>
              <w:jc w:val="right"/>
              <w:rPr>
                <w:rFonts w:ascii="宋体" w:hAnsi="宋体" w:cs="宋体" w:eastAsia="宋体" w:hint="default"/>
                <w:sz w:val="20"/>
                <w:szCs w:val="20"/>
              </w:rPr>
            </w:pPr>
            <w:r>
              <w:rPr>
                <w:rFonts w:ascii="宋体" w:hAnsi="宋体" w:cs="宋体" w:eastAsia="宋体" w:hint="default"/>
                <w:w w:val="95"/>
                <w:sz w:val="20"/>
                <w:szCs w:val="20"/>
              </w:rPr>
              <w:t>公允价值所属的层次</w:t>
            </w:r>
            <w:r>
              <w:rPr>
                <w:rFonts w:ascii="宋体" w:hAnsi="宋体" w:cs="宋体" w:eastAsia="宋体" w:hint="default"/>
                <w:sz w:val="20"/>
                <w:szCs w:val="20"/>
              </w:rPr>
            </w:r>
          </w:p>
        </w:tc>
      </w:tr>
      <w:tr>
        <w:trPr>
          <w:trHeight w:val="468" w:hRule="exact"/>
        </w:trPr>
        <w:tc>
          <w:tcPr>
            <w:tcW w:w="1735" w:type="dxa"/>
            <w:vMerge w:val="restart"/>
            <w:tcBorders>
              <w:top w:val="single" w:sz="8" w:space="0" w:color="000000"/>
              <w:left w:val="single" w:sz="6" w:space="0" w:color="000000"/>
              <w:right w:val="single" w:sz="6" w:space="0" w:color="000000"/>
            </w:tcBorders>
          </w:tcPr>
          <w:p>
            <w:pPr>
              <w:pStyle w:val="TableParagraph"/>
              <w:spacing w:line="240" w:lineRule="auto" w:before="119"/>
              <w:ind w:left="6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5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9"/>
              <w:ind w:left="2" w:right="0"/>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6"/>
              <w:ind w:right="106"/>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15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6"/>
              <w:ind w:right="1"/>
              <w:jc w:val="right"/>
              <w:rPr>
                <w:rFonts w:ascii="Times New Roman" w:hAnsi="Times New Roman" w:cs="Times New Roman" w:eastAsia="Times New Roman" w:hint="default"/>
                <w:sz w:val="20"/>
                <w:szCs w:val="20"/>
              </w:rPr>
            </w:pPr>
            <w:r>
              <w:rPr>
                <w:rFonts w:ascii="Times New Roman"/>
                <w:w w:val="95"/>
                <w:sz w:val="20"/>
              </w:rPr>
              <w:t>22,500,000.00</w:t>
            </w:r>
            <w:r>
              <w:rPr>
                <w:rFonts w:ascii="Times New Roman"/>
                <w:sz w:val="20"/>
              </w:rPr>
            </w:r>
          </w:p>
        </w:tc>
        <w:tc>
          <w:tcPr>
            <w:tcW w:w="183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66"/>
              <w:ind w:right="7"/>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r>
      <w:tr>
        <w:trPr>
          <w:trHeight w:val="468" w:hRule="exact"/>
        </w:trPr>
        <w:tc>
          <w:tcPr>
            <w:tcW w:w="1735" w:type="dxa"/>
            <w:vMerge/>
            <w:tcBorders>
              <w:left w:val="single" w:sz="6" w:space="0" w:color="000000"/>
              <w:bottom w:val="single" w:sz="8" w:space="0" w:color="000000"/>
              <w:right w:val="single" w:sz="6" w:space="0" w:color="000000"/>
            </w:tcBorders>
          </w:tcPr>
          <w:p>
            <w:pPr/>
          </w:p>
        </w:tc>
        <w:tc>
          <w:tcPr>
            <w:tcW w:w="15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7"/>
              <w:ind w:left="2" w:right="0"/>
              <w:jc w:val="center"/>
              <w:rPr>
                <w:rFonts w:ascii="宋体" w:hAnsi="宋体" w:cs="宋体" w:eastAsia="宋体" w:hint="default"/>
                <w:sz w:val="20"/>
                <w:szCs w:val="20"/>
              </w:rPr>
            </w:pPr>
            <w:r>
              <w:rPr>
                <w:rFonts w:ascii="宋体" w:hAnsi="宋体" w:cs="宋体" w:eastAsia="宋体" w:hint="default"/>
                <w:sz w:val="20"/>
                <w:szCs w:val="20"/>
              </w:rPr>
              <w:t>公允价值</w:t>
            </w:r>
          </w:p>
        </w:tc>
        <w:tc>
          <w:tcPr>
            <w:tcW w:w="15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3"/>
              <w:ind w:right="0"/>
              <w:jc w:val="right"/>
              <w:rPr>
                <w:rFonts w:ascii="Times New Roman" w:hAnsi="Times New Roman" w:cs="Times New Roman" w:eastAsia="Times New Roman" w:hint="default"/>
                <w:sz w:val="20"/>
                <w:szCs w:val="20"/>
              </w:rPr>
            </w:pPr>
            <w:r>
              <w:rPr>
                <w:rFonts w:ascii="Times New Roman"/>
                <w:w w:val="95"/>
                <w:sz w:val="20"/>
              </w:rPr>
              <w:t>1,924,889.75</w:t>
            </w:r>
            <w:r>
              <w:rPr>
                <w:rFonts w:ascii="Times New Roman"/>
                <w:sz w:val="20"/>
              </w:rPr>
            </w:r>
          </w:p>
        </w:tc>
        <w:tc>
          <w:tcPr>
            <w:tcW w:w="15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3"/>
              <w:ind w:right="1"/>
              <w:jc w:val="right"/>
              <w:rPr>
                <w:rFonts w:ascii="Times New Roman" w:hAnsi="Times New Roman" w:cs="Times New Roman" w:eastAsia="Times New Roman" w:hint="default"/>
                <w:sz w:val="20"/>
                <w:szCs w:val="20"/>
              </w:rPr>
            </w:pPr>
            <w:r>
              <w:rPr>
                <w:rFonts w:ascii="Times New Roman"/>
                <w:w w:val="95"/>
                <w:sz w:val="20"/>
              </w:rPr>
              <w:t>22,632,731.21</w:t>
            </w:r>
            <w:r>
              <w:rPr>
                <w:rFonts w:ascii="Times New Roman"/>
                <w:sz w:val="20"/>
              </w:rPr>
            </w:r>
          </w:p>
        </w:tc>
        <w:tc>
          <w:tcPr>
            <w:tcW w:w="183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17"/>
              <w:ind w:left="511" w:right="0"/>
              <w:jc w:val="left"/>
              <w:rPr>
                <w:rFonts w:ascii="宋体" w:hAnsi="宋体" w:cs="宋体" w:eastAsia="宋体" w:hint="default"/>
                <w:sz w:val="20"/>
                <w:szCs w:val="20"/>
              </w:rPr>
            </w:pPr>
            <w:r>
              <w:rPr>
                <w:rFonts w:ascii="宋体" w:hAnsi="宋体" w:cs="宋体" w:eastAsia="宋体" w:hint="default"/>
                <w:sz w:val="20"/>
                <w:szCs w:val="20"/>
              </w:rPr>
              <w:t>第二层次</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bookmarkStart w:name="9、其他" w:id="444"/>
      <w:bookmarkEnd w:id="444"/>
      <w:r>
        <w:rPr>
          <w:b w:val="0"/>
          <w:bCs w:val="0"/>
        </w:rPr>
      </w: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62" w:firstLine="432"/>
        <w:jc w:val="left"/>
      </w:pPr>
      <w:r>
        <w:rPr/>
        <w:t>二层次公允价值计量用的估值技术和重要参数的定性及定量信息：以本公司对北京信思成的期末净资产享有的份额作 为公允价值。</w:t>
      </w:r>
    </w:p>
    <w:p>
      <w:pPr>
        <w:spacing w:after="0" w:line="316"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关联方及关联交易" w:id="445"/>
      <w:bookmarkEnd w:id="445"/>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446"/>
      <w:bookmarkEnd w:id="44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firstLine="91"/>
              <w:jc w:val="both"/>
              <w:rPr>
                <w:rFonts w:ascii="宋体" w:hAnsi="宋体" w:cs="宋体" w:eastAsia="宋体" w:hint="default"/>
                <w:sz w:val="18"/>
                <w:szCs w:val="18"/>
              </w:rPr>
            </w:pPr>
            <w:r>
              <w:rPr>
                <w:rFonts w:ascii="宋体" w:hAnsi="宋体" w:cs="宋体" w:eastAsia="宋体" w:hint="default"/>
                <w:sz w:val="18"/>
                <w:szCs w:val="18"/>
              </w:rPr>
              <w:t>江苏润和科技投资 </w:t>
            </w:r>
            <w:r>
              <w:rPr>
                <w:rFonts w:ascii="宋体" w:hAnsi="宋体" w:cs="宋体" w:eastAsia="宋体" w:hint="default"/>
                <w:spacing w:val="-10"/>
                <w:sz w:val="18"/>
                <w:szCs w:val="18"/>
              </w:rPr>
              <w:t>集团有限公司（以下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润和投资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17.46%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17.46%</w:t>
            </w:r>
          </w:p>
        </w:tc>
      </w:tr>
    </w:tbl>
    <w:p>
      <w:pPr>
        <w:pStyle w:val="BodyText"/>
        <w:spacing w:line="240" w:lineRule="auto" w:before="49"/>
        <w:ind w:right="0"/>
        <w:jc w:val="left"/>
      </w:pPr>
      <w:r>
        <w:rPr/>
        <w:t>本企业的母公司情况的说明</w:t>
      </w:r>
    </w:p>
    <w:p>
      <w:pPr>
        <w:pStyle w:val="BodyText"/>
        <w:spacing w:line="300" w:lineRule="auto" w:before="117"/>
        <w:ind w:right="151"/>
        <w:jc w:val="left"/>
      </w:pPr>
      <w:r>
        <w:rPr/>
        <w:t>本企业最终控制方是自然人周红卫、姚宁，截止</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日，周红卫、姚宁分别直接持有润和软件</w:t>
      </w:r>
      <w:r>
        <w:rPr>
          <w:spacing w:val="-57"/>
        </w:rPr>
        <w:t> </w:t>
      </w:r>
      <w:r>
        <w:rPr>
          <w:rFonts w:ascii="Times New Roman" w:hAnsi="Times New Roman" w:cs="Times New Roman" w:eastAsia="Times New Roman" w:hint="default"/>
        </w:rPr>
        <w:t>8.23%</w:t>
      </w:r>
      <w:r>
        <w:rPr/>
        <w:t>、</w:t>
      </w:r>
      <w:r>
        <w:rPr>
          <w:rFonts w:ascii="Times New Roman" w:hAnsi="Times New Roman" w:cs="Times New Roman" w:eastAsia="Times New Roman" w:hint="default"/>
        </w:rPr>
        <w:t>3.88%</w:t>
      </w:r>
      <w:r>
        <w:rPr/>
        <w:t>的 股权，并通过共同控制润和投资，合计控制公司</w:t>
      </w:r>
      <w:r>
        <w:rPr>
          <w:spacing w:val="-48"/>
        </w:rPr>
        <w:t> </w:t>
      </w:r>
      <w:r>
        <w:rPr>
          <w:rFonts w:ascii="Times New Roman" w:hAnsi="Times New Roman" w:cs="Times New Roman" w:eastAsia="Times New Roman" w:hint="default"/>
        </w:rPr>
        <w:t>29.57%</w:t>
      </w:r>
      <w:r>
        <w:rPr/>
        <w:t>的表决权股份。</w:t>
      </w:r>
    </w:p>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本企业的子公司情况" w:id="447"/>
      <w:bookmarkEnd w:id="44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本企业子公司的情况详见附注</w:t>
      </w:r>
      <w:r>
        <w:rPr>
          <w:spacing w:val="1"/>
        </w:rPr>
        <w:t> </w:t>
      </w:r>
      <w:r>
        <w:rPr/>
        <w:t>九、在其他主体中的权益</w:t>
      </w:r>
      <w:r>
        <w:rPr>
          <w:spacing w:val="-92"/>
        </w:rPr>
        <w:t>。</w:t>
      </w:r>
      <w:r>
        <w:rPr/>
        <w:t>。</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本企业合营和联营企业情况" w:id="448"/>
      <w:bookmarkEnd w:id="44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314"/>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其他关联方情况" w:id="449"/>
      <w:bookmarkEnd w:id="44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南京澜和电子商务有限公司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南京淳泰投资管理有限公司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斯润天朗（北京）科技有限公司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Cloud 4 device technology</w:t>
            </w:r>
            <w:r>
              <w:rPr>
                <w:rFonts w:ascii="Times New Roman"/>
                <w:spacing w:val="-8"/>
                <w:sz w:val="18"/>
              </w:rPr>
              <w:t> </w:t>
            </w:r>
            <w:r>
              <w:rPr>
                <w:rFonts w:ascii="Times New Roman"/>
                <w:sz w:val="18"/>
              </w:rPr>
              <w:t>Corp.</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宁波宏创股权投资合伙企业（有限合伙）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持有上市公司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周邦建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宁波宏创的实际控制人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主要自然人股东</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主要自然人股东</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关联交易情况" w:id="450"/>
      <w:bookmarkEnd w:id="45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51"/>
      <w:bookmarkEnd w:id="45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2"/>
        <w:gridCol w:w="1709"/>
        <w:gridCol w:w="1706"/>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6"/>
        <w:gridCol w:w="2258"/>
        <w:gridCol w:w="2258"/>
        <w:gridCol w:w="2654"/>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关联受托管理/承包及委托管理/出包情况" w:id="452"/>
      <w:bookmarkEnd w:id="45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pStyle w:val="BodyText"/>
        <w:spacing w:line="338"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2544" w:space="6283"/>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453"/>
      <w:bookmarkEnd w:id="45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7"/>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南京市润企科技小额贷款有 限公司</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292,683.60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292,683.60</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江苏润和科技投资集团有限 公司</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360,471.60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653,155.20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292,683.60</w:t>
            </w:r>
          </w:p>
        </w:tc>
      </w:tr>
    </w:tbl>
    <w:p>
      <w:pPr>
        <w:pStyle w:val="BodyText"/>
        <w:spacing w:line="240" w:lineRule="auto" w:before="49"/>
        <w:ind w:right="0"/>
        <w:jc w:val="left"/>
      </w:pPr>
      <w:r>
        <w:rPr/>
        <w:t>本公司作为承租方：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0"/>
        <w:ind w:right="0"/>
        <w:jc w:val="left"/>
      </w:pPr>
      <w:r>
        <w:rPr/>
        <w:t>关联租赁情况说明</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关联担保情况" w:id="454"/>
      <w:bookmarkEnd w:id="45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0"/>
        <w:ind w:right="0"/>
        <w:jc w:val="left"/>
      </w:pPr>
      <w:r>
        <w:rPr/>
        <w:t>本公司作为被担保方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江苏润和科技投资集团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江苏润和科技投资集团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江苏润和科技投资集团 有限公司、周红卫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江苏润和科技投资集团 有限公司、周红卫、任 琪</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江苏润和科技投资集团 有限公司、周红卫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周红卫、任琪、姚宁、 朱彤</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江苏润和科技投资集团 有限公司、南京润和数 码有限公司、周红卫、 任琪、姚宁、朱彤</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江苏润和科技投资集团 有限公司、江苏开拓信 息与系统有限公司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王杰、汪芳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王杰、汪芳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王杰、汪芳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王杰、汪芳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周邦建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646,500.00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关联方资金拆借" w:id="455"/>
      <w:bookmarkEnd w:id="45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6）关联方资产转让、债务重组情况" w:id="456"/>
      <w:bookmarkEnd w:id="45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3" w:right="0"/>
              <w:jc w:val="left"/>
              <w:rPr>
                <w:rFonts w:ascii="Times New Roman" w:hAnsi="Times New Roman" w:cs="Times New Roman" w:eastAsia="Times New Roman" w:hint="default"/>
                <w:sz w:val="18"/>
                <w:szCs w:val="18"/>
              </w:rPr>
            </w:pPr>
            <w:r>
              <w:rPr>
                <w:rFonts w:ascii="Times New Roman"/>
                <w:sz w:val="18"/>
              </w:rPr>
              <w:t>203,861,300.00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键管理人员报酬" w:id="457"/>
      <w:bookmarkEnd w:id="45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其他关联交易" w:id="458"/>
      <w:bookmarkEnd w:id="45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59"/>
      <w:bookmarkEnd w:id="45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60"/>
      <w:bookmarkEnd w:id="46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南京润宏置业有限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101,930,650.00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南京市润企科技小 额贷款有限公司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1,951.60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南京市润企科技小 额贷款有限公司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-231,217.70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-231,217.70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项目" w:id="461"/>
      <w:bookmarkEnd w:id="46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1,630,324.00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宁波宏创股权投资合伙企业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96,383,830.00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0"/>
        <w:jc w:val="left"/>
        <w:rPr>
          <w:b w:val="0"/>
          <w:bCs w:val="0"/>
        </w:rPr>
      </w:pPr>
      <w:bookmarkStart w:name="7、关联方承诺" w:id="462"/>
      <w:bookmarkEnd w:id="46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812" w:firstLine="0"/>
        <w:jc w:val="left"/>
        <w:rPr>
          <w:rFonts w:ascii="宋体" w:hAnsi="宋体" w:cs="宋体" w:eastAsia="宋体" w:hint="default"/>
          <w:sz w:val="21"/>
          <w:szCs w:val="21"/>
        </w:rPr>
      </w:pPr>
      <w:bookmarkStart w:name="8、其他" w:id="463"/>
      <w:bookmarkEnd w:id="46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64"/>
      <w:bookmarkEnd w:id="464"/>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5"/>
      <w:bookmarkEnd w:id="46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1,080,000.00</w:t>
            </w:r>
            <w:r>
              <w:rPr>
                <w:rFonts w:ascii="Times New Roman"/>
                <w:sz w:val="18"/>
              </w:rPr>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1,080,000.00</w:t>
            </w:r>
            <w:r>
              <w:rPr>
                <w:rFonts w:ascii="Times New Roman"/>
                <w:sz w:val="18"/>
              </w:rPr>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bl>
    <w:p>
      <w:pPr>
        <w:pStyle w:val="BodyText"/>
        <w:spacing w:line="240" w:lineRule="auto" w:before="49"/>
        <w:ind w:right="90"/>
        <w:jc w:val="left"/>
      </w:pPr>
      <w:r>
        <w:rPr/>
        <w:t>其他说明</w:t>
      </w:r>
    </w:p>
    <w:p>
      <w:pPr>
        <w:pStyle w:val="BodyText"/>
        <w:spacing w:line="304" w:lineRule="auto" w:before="115"/>
        <w:ind w:right="184" w:hanging="1"/>
        <w:jc w:val="left"/>
      </w:pPr>
      <w:r>
        <w:rPr/>
        <w:t>注</w:t>
      </w:r>
      <w:r>
        <w:rPr>
          <w:rFonts w:ascii="Times New Roman" w:hAnsi="Times New Roman" w:cs="Times New Roman" w:eastAsia="Times New Roman" w:hint="default"/>
        </w:rPr>
        <w:t>1</w:t>
      </w:r>
      <w:r>
        <w:rPr/>
        <w:t>：</w:t>
      </w:r>
      <w:r>
        <w:rPr>
          <w:spacing w:val="-50"/>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日，根据贵公司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年限制性股票 </w:t>
      </w:r>
      <w:r>
        <w:rPr>
          <w:spacing w:val="-2"/>
        </w:rPr>
        <w:t>激励计划（草案修订稿）》、第四届董事会第三十七次会议决议和修改后的章程规定，对董必华等</w:t>
      </w:r>
      <w:r>
        <w:rPr>
          <w:rFonts w:ascii="Times New Roman" w:hAnsi="Times New Roman" w:cs="Times New Roman" w:eastAsia="Times New Roman" w:hint="default"/>
          <w:spacing w:val="-2"/>
        </w:rPr>
        <w:t>91</w:t>
      </w:r>
      <w:r>
        <w:rPr>
          <w:spacing w:val="-2"/>
        </w:rPr>
        <w:t>名激励对象授予限制性</w:t>
      </w:r>
      <w:r>
        <w:rPr>
          <w:spacing w:val="-65"/>
        </w:rPr>
        <w:t> </w:t>
      </w:r>
      <w:r>
        <w:rPr>
          <w:spacing w:val="-65"/>
        </w:rPr>
      </w:r>
      <w:r>
        <w:rPr/>
        <w:t>股票数量共</w:t>
      </w:r>
      <w:r>
        <w:rPr>
          <w:rFonts w:ascii="Times New Roman" w:hAnsi="Times New Roman" w:cs="Times New Roman" w:eastAsia="Times New Roman" w:hint="default"/>
        </w:rPr>
        <w:t>1,080,000.00</w:t>
      </w:r>
      <w:r>
        <w:rPr/>
        <w:t>股，授予价格为</w:t>
      </w:r>
      <w:r>
        <w:rPr>
          <w:rFonts w:ascii="Times New Roman" w:hAnsi="Times New Roman" w:cs="Times New Roman" w:eastAsia="Times New Roman" w:hint="default"/>
        </w:rPr>
        <w:t>18.73</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日止，公司已收到限制性股票激励对象缴纳的出资款 </w:t>
      </w:r>
      <w:r>
        <w:rPr>
          <w:spacing w:val="-1"/>
        </w:rPr>
        <w:t>人民币</w:t>
      </w:r>
      <w:r>
        <w:rPr>
          <w:rFonts w:ascii="Times New Roman" w:hAnsi="Times New Roman" w:cs="Times New Roman" w:eastAsia="Times New Roman" w:hint="default"/>
          <w:spacing w:val="-1"/>
        </w:rPr>
        <w:t>20,228,400.00</w:t>
      </w:r>
      <w:r>
        <w:rPr>
          <w:spacing w:val="-1"/>
        </w:rPr>
        <w:t>元，其中计入股本人民币</w:t>
      </w:r>
      <w:r>
        <w:rPr>
          <w:rFonts w:ascii="Times New Roman" w:hAnsi="Times New Roman" w:cs="Times New Roman" w:eastAsia="Times New Roman" w:hint="default"/>
          <w:spacing w:val="-1"/>
        </w:rPr>
        <w:t>1,080,000.00</w:t>
      </w:r>
      <w:r>
        <w:rPr>
          <w:spacing w:val="-1"/>
        </w:rPr>
        <w:t>元，计入资本公积人民币</w:t>
      </w:r>
      <w:r>
        <w:rPr>
          <w:rFonts w:ascii="Times New Roman" w:hAnsi="Times New Roman" w:cs="Times New Roman" w:eastAsia="Times New Roman" w:hint="default"/>
          <w:spacing w:val="-1"/>
        </w:rPr>
        <w:t>19,148,400.00</w:t>
      </w:r>
      <w:r>
        <w:rPr>
          <w:spacing w:val="-1"/>
        </w:rPr>
        <w:t>元。本次定向发行限制性股</w:t>
      </w:r>
      <w:r>
        <w:rPr>
          <w:spacing w:val="-71"/>
        </w:rPr>
        <w:t> </w:t>
      </w:r>
      <w:r>
        <w:rPr>
          <w:spacing w:val="-71"/>
        </w:rPr>
      </w:r>
      <w:r>
        <w:rPr/>
        <w:t>票所筹集的资金将全部用于补充公司流动资金。 公司本次预留限制性股票授予日为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日，预留限制性股票的上市日期为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w:t>
      </w:r>
    </w:p>
    <w:p>
      <w:pPr>
        <w:pStyle w:val="BodyText"/>
        <w:spacing w:line="240" w:lineRule="auto" w:before="9"/>
        <w:ind w:right="90"/>
        <w:jc w:val="left"/>
      </w:pPr>
      <w:r>
        <w:rPr/>
        <w:t>注</w:t>
      </w:r>
      <w:r>
        <w:rPr>
          <w:rFonts w:ascii="Times New Roman" w:hAnsi="Times New Roman" w:cs="Times New Roman" w:eastAsia="Times New Roman" w:hint="default"/>
        </w:rPr>
        <w:t>2</w:t>
      </w:r>
      <w:r>
        <w:rPr/>
        <w:t>：解锁安排</w:t>
      </w:r>
    </w:p>
    <w:p>
      <w:pPr>
        <w:pStyle w:val="BodyText"/>
        <w:spacing w:line="300" w:lineRule="auto" w:before="62"/>
        <w:ind w:right="177"/>
        <w:jc w:val="left"/>
      </w:pPr>
      <w:r>
        <w:rPr/>
        <w:t>激励计划首次授予的限制性股票自首次授予日起满</w:t>
      </w:r>
      <w:r>
        <w:rPr>
          <w:rFonts w:ascii="Times New Roman" w:hAnsi="Times New Roman" w:cs="Times New Roman" w:eastAsia="Times New Roman" w:hint="default"/>
        </w:rPr>
        <w:t>12 </w:t>
      </w:r>
      <w:r>
        <w:rPr/>
        <w:t>个月后，激励对象应当在未来</w:t>
      </w:r>
      <w:r>
        <w:rPr>
          <w:rFonts w:ascii="Times New Roman" w:hAnsi="Times New Roman" w:cs="Times New Roman" w:eastAsia="Times New Roman" w:hint="default"/>
        </w:rPr>
        <w:t>36</w:t>
      </w:r>
      <w:r>
        <w:rPr>
          <w:rFonts w:ascii="Times New Roman" w:hAnsi="Times New Roman" w:cs="Times New Roman" w:eastAsia="Times New Roman" w:hint="default"/>
          <w:spacing w:val="7"/>
        </w:rPr>
        <w:t> </w:t>
      </w:r>
      <w:r>
        <w:rPr/>
        <w:t>个月内分三期解锁，具体时间安排如 下：</w:t>
      </w:r>
    </w:p>
    <w:tbl>
      <w:tblPr>
        <w:tblW w:w="0" w:type="auto"/>
        <w:jc w:val="left"/>
        <w:tblInd w:w="145" w:type="dxa"/>
        <w:tblLayout w:type="fixed"/>
        <w:tblCellMar>
          <w:top w:w="0" w:type="dxa"/>
          <w:left w:w="0" w:type="dxa"/>
          <w:bottom w:w="0" w:type="dxa"/>
          <w:right w:w="0" w:type="dxa"/>
        </w:tblCellMar>
        <w:tblLook w:val="01E0"/>
      </w:tblPr>
      <w:tblGrid>
        <w:gridCol w:w="1702"/>
        <w:gridCol w:w="4678"/>
        <w:gridCol w:w="1418"/>
      </w:tblGrid>
      <w:tr>
        <w:trPr>
          <w:trHeight w:val="350" w:hRule="exact"/>
        </w:trPr>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544" w:right="0"/>
              <w:jc w:val="left"/>
              <w:rPr>
                <w:rFonts w:ascii="宋体" w:hAnsi="宋体" w:cs="宋体" w:eastAsia="宋体" w:hint="default"/>
                <w:sz w:val="20"/>
                <w:szCs w:val="20"/>
              </w:rPr>
            </w:pPr>
            <w:r>
              <w:rPr>
                <w:rFonts w:ascii="宋体" w:hAnsi="宋体" w:cs="宋体" w:eastAsia="宋体" w:hint="default"/>
                <w:sz w:val="20"/>
                <w:szCs w:val="20"/>
              </w:rPr>
              <w:t>解锁期</w:t>
            </w:r>
          </w:p>
        </w:tc>
        <w:tc>
          <w:tcPr>
            <w:tcW w:w="467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解锁时间</w:t>
            </w:r>
          </w:p>
        </w:tc>
        <w:tc>
          <w:tcPr>
            <w:tcW w:w="141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
              <w:ind w:left="302" w:right="0"/>
              <w:jc w:val="left"/>
              <w:rPr>
                <w:rFonts w:ascii="宋体" w:hAnsi="宋体" w:cs="宋体" w:eastAsia="宋体" w:hint="default"/>
                <w:sz w:val="20"/>
                <w:szCs w:val="20"/>
              </w:rPr>
            </w:pPr>
            <w:r>
              <w:rPr>
                <w:rFonts w:ascii="宋体" w:hAnsi="宋体" w:cs="宋体" w:eastAsia="宋体" w:hint="default"/>
                <w:sz w:val="20"/>
                <w:szCs w:val="20"/>
              </w:rPr>
              <w:t>解锁比例</w:t>
            </w:r>
          </w:p>
        </w:tc>
      </w:tr>
      <w:tr>
        <w:trPr>
          <w:trHeight w:val="65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第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个解锁期</w:t>
            </w:r>
          </w:p>
        </w:tc>
        <w:tc>
          <w:tcPr>
            <w:tcW w:w="4678"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261"/>
              <w:jc w:val="left"/>
              <w:rPr>
                <w:rFonts w:ascii="宋体" w:hAnsi="宋体" w:cs="宋体" w:eastAsia="宋体" w:hint="default"/>
                <w:sz w:val="20"/>
                <w:szCs w:val="20"/>
              </w:rPr>
            </w:pPr>
            <w:r>
              <w:rPr>
                <w:rFonts w:ascii="宋体" w:hAnsi="宋体" w:cs="宋体" w:eastAsia="宋体" w:hint="default"/>
                <w:sz w:val="20"/>
                <w:szCs w:val="20"/>
              </w:rPr>
              <w:t>自首次授予日起</w:t>
            </w:r>
            <w:r>
              <w:rPr>
                <w:rFonts w:ascii="Times New Roman" w:hAnsi="Times New Roman" w:cs="Times New Roman" w:eastAsia="Times New Roman" w:hint="default"/>
                <w:sz w:val="20"/>
                <w:szCs w:val="20"/>
              </w:rPr>
              <w:t>12</w:t>
            </w:r>
            <w:r>
              <w:rPr>
                <w:rFonts w:ascii="宋体" w:hAnsi="宋体" w:cs="宋体" w:eastAsia="宋体" w:hint="default"/>
                <w:sz w:val="20"/>
                <w:szCs w:val="20"/>
              </w:rPr>
              <w:t>个月后的首个交易日起</w:t>
            </w:r>
            <w:r>
              <w:rPr>
                <w:rFonts w:ascii="宋体" w:hAnsi="宋体" w:cs="宋体" w:eastAsia="宋体" w:hint="default"/>
                <w:w w:val="99"/>
                <w:sz w:val="20"/>
                <w:szCs w:val="20"/>
              </w:rPr>
              <w:t> </w:t>
            </w:r>
            <w:r>
              <w:rPr>
                <w:rFonts w:ascii="宋体" w:hAnsi="宋体" w:cs="宋体" w:eastAsia="宋体" w:hint="default"/>
                <w:sz w:val="20"/>
                <w:szCs w:val="20"/>
              </w:rPr>
              <w:t>至首次授予日起</w:t>
            </w:r>
            <w:r>
              <w:rPr>
                <w:rFonts w:ascii="Times New Roman" w:hAnsi="Times New Roman" w:cs="Times New Roman" w:eastAsia="Times New Roman" w:hint="default"/>
                <w:sz w:val="20"/>
                <w:szCs w:val="20"/>
              </w:rPr>
              <w:t>24</w:t>
            </w:r>
            <w:r>
              <w:rPr>
                <w:rFonts w:ascii="宋体" w:hAnsi="宋体" w:cs="宋体" w:eastAsia="宋体" w:hint="default"/>
                <w:sz w:val="20"/>
                <w:szCs w:val="20"/>
              </w:rPr>
              <w:t>个月内的最后一个交易日当日止</w:t>
            </w:r>
          </w:p>
        </w:tc>
        <w:tc>
          <w:tcPr>
            <w:tcW w:w="14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6"/>
              <w:jc w:val="right"/>
              <w:rPr>
                <w:rFonts w:ascii="Times New Roman" w:hAnsi="Times New Roman" w:cs="Times New Roman" w:eastAsia="Times New Roman" w:hint="default"/>
                <w:sz w:val="20"/>
                <w:szCs w:val="20"/>
              </w:rPr>
            </w:pPr>
            <w:r>
              <w:rPr>
                <w:rFonts w:ascii="Times New Roman"/>
                <w:sz w:val="20"/>
              </w:rPr>
              <w:t>30%</w:t>
            </w:r>
          </w:p>
        </w:tc>
      </w:tr>
      <w:tr>
        <w:trPr>
          <w:trHeight w:val="660"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个解锁期</w:t>
            </w:r>
          </w:p>
        </w:tc>
        <w:tc>
          <w:tcPr>
            <w:tcW w:w="4678"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262"/>
              <w:jc w:val="left"/>
              <w:rPr>
                <w:rFonts w:ascii="宋体" w:hAnsi="宋体" w:cs="宋体" w:eastAsia="宋体" w:hint="default"/>
                <w:sz w:val="20"/>
                <w:szCs w:val="20"/>
              </w:rPr>
            </w:pPr>
            <w:r>
              <w:rPr>
                <w:rFonts w:ascii="宋体" w:hAnsi="宋体" w:cs="宋体" w:eastAsia="宋体" w:hint="default"/>
                <w:sz w:val="20"/>
                <w:szCs w:val="20"/>
              </w:rPr>
              <w:t>自首次授予日起</w:t>
            </w:r>
            <w:r>
              <w:rPr>
                <w:rFonts w:ascii="Times New Roman" w:hAnsi="Times New Roman" w:cs="Times New Roman" w:eastAsia="Times New Roman" w:hint="default"/>
                <w:sz w:val="20"/>
                <w:szCs w:val="20"/>
              </w:rPr>
              <w:t>24</w:t>
            </w:r>
            <w:r>
              <w:rPr>
                <w:rFonts w:ascii="宋体" w:hAnsi="宋体" w:cs="宋体" w:eastAsia="宋体" w:hint="default"/>
                <w:sz w:val="20"/>
                <w:szCs w:val="20"/>
              </w:rPr>
              <w:t>个月后的首个交易日起</w:t>
            </w:r>
            <w:r>
              <w:rPr>
                <w:rFonts w:ascii="宋体" w:hAnsi="宋体" w:cs="宋体" w:eastAsia="宋体" w:hint="default"/>
                <w:w w:val="99"/>
                <w:sz w:val="20"/>
                <w:szCs w:val="20"/>
              </w:rPr>
              <w:t> </w:t>
            </w:r>
            <w:r>
              <w:rPr>
                <w:rFonts w:ascii="宋体" w:hAnsi="宋体" w:cs="宋体" w:eastAsia="宋体" w:hint="default"/>
                <w:sz w:val="20"/>
                <w:szCs w:val="20"/>
              </w:rPr>
              <w:t>至首次授予日起</w:t>
            </w:r>
            <w:r>
              <w:rPr>
                <w:rFonts w:ascii="Times New Roman" w:hAnsi="Times New Roman" w:cs="Times New Roman" w:eastAsia="Times New Roman" w:hint="default"/>
                <w:sz w:val="20"/>
                <w:szCs w:val="20"/>
              </w:rPr>
              <w:t>36</w:t>
            </w:r>
            <w:r>
              <w:rPr>
                <w:rFonts w:ascii="宋体" w:hAnsi="宋体" w:cs="宋体" w:eastAsia="宋体" w:hint="default"/>
                <w:sz w:val="20"/>
                <w:szCs w:val="20"/>
              </w:rPr>
              <w:t>个月内的最后一个交易日当日止</w:t>
            </w:r>
          </w:p>
        </w:tc>
        <w:tc>
          <w:tcPr>
            <w:tcW w:w="14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sz w:val="20"/>
              </w:rPr>
              <w:t>30%</w:t>
            </w:r>
          </w:p>
        </w:tc>
      </w:tr>
      <w:tr>
        <w:trPr>
          <w:trHeight w:val="660"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第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个解锁期</w:t>
            </w:r>
          </w:p>
        </w:tc>
        <w:tc>
          <w:tcPr>
            <w:tcW w:w="4678"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2" w:right="261"/>
              <w:jc w:val="left"/>
              <w:rPr>
                <w:rFonts w:ascii="宋体" w:hAnsi="宋体" w:cs="宋体" w:eastAsia="宋体" w:hint="default"/>
                <w:sz w:val="20"/>
                <w:szCs w:val="20"/>
              </w:rPr>
            </w:pPr>
            <w:r>
              <w:rPr>
                <w:rFonts w:ascii="宋体" w:hAnsi="宋体" w:cs="宋体" w:eastAsia="宋体" w:hint="default"/>
                <w:sz w:val="20"/>
                <w:szCs w:val="20"/>
              </w:rPr>
              <w:t>自首次授予日起</w:t>
            </w:r>
            <w:r>
              <w:rPr>
                <w:rFonts w:ascii="Times New Roman" w:hAnsi="Times New Roman" w:cs="Times New Roman" w:eastAsia="Times New Roman" w:hint="default"/>
                <w:sz w:val="20"/>
                <w:szCs w:val="20"/>
              </w:rPr>
              <w:t>36</w:t>
            </w:r>
            <w:r>
              <w:rPr>
                <w:rFonts w:ascii="宋体" w:hAnsi="宋体" w:cs="宋体" w:eastAsia="宋体" w:hint="default"/>
                <w:sz w:val="20"/>
                <w:szCs w:val="20"/>
              </w:rPr>
              <w:t>个月后的首个交易日起</w:t>
            </w:r>
            <w:r>
              <w:rPr>
                <w:rFonts w:ascii="宋体" w:hAnsi="宋体" w:cs="宋体" w:eastAsia="宋体" w:hint="default"/>
                <w:w w:val="99"/>
                <w:sz w:val="20"/>
                <w:szCs w:val="20"/>
              </w:rPr>
              <w:t> </w:t>
            </w:r>
            <w:r>
              <w:rPr>
                <w:rFonts w:ascii="宋体" w:hAnsi="宋体" w:cs="宋体" w:eastAsia="宋体" w:hint="default"/>
                <w:sz w:val="20"/>
                <w:szCs w:val="20"/>
              </w:rPr>
              <w:t>至首次授予日起</w:t>
            </w:r>
            <w:r>
              <w:rPr>
                <w:rFonts w:ascii="Times New Roman" w:hAnsi="Times New Roman" w:cs="Times New Roman" w:eastAsia="Times New Roman" w:hint="default"/>
                <w:sz w:val="20"/>
                <w:szCs w:val="20"/>
              </w:rPr>
              <w:t>48</w:t>
            </w:r>
            <w:r>
              <w:rPr>
                <w:rFonts w:ascii="宋体" w:hAnsi="宋体" w:cs="宋体" w:eastAsia="宋体" w:hint="default"/>
                <w:sz w:val="20"/>
                <w:szCs w:val="20"/>
              </w:rPr>
              <w:t>个月内的最后一个交易日当日止</w:t>
            </w:r>
          </w:p>
        </w:tc>
        <w:tc>
          <w:tcPr>
            <w:tcW w:w="14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6"/>
              <w:jc w:val="right"/>
              <w:rPr>
                <w:rFonts w:ascii="Times New Roman" w:hAnsi="Times New Roman" w:cs="Times New Roman" w:eastAsia="Times New Roman" w:hint="default"/>
                <w:sz w:val="20"/>
                <w:szCs w:val="20"/>
              </w:rPr>
            </w:pPr>
            <w:r>
              <w:rPr>
                <w:rFonts w:ascii="Times New Roman"/>
                <w:sz w:val="20"/>
              </w:rPr>
              <w:t>40%</w:t>
            </w:r>
          </w:p>
        </w:tc>
      </w:tr>
    </w:tbl>
    <w:p>
      <w:pPr>
        <w:pStyle w:val="BodyText"/>
        <w:spacing w:line="240" w:lineRule="auto" w:before="32"/>
        <w:ind w:right="0"/>
        <w:jc w:val="left"/>
      </w:pPr>
      <w:r>
        <w:rPr/>
        <w:t>激励计划预留的限制性股票自相应的授权日起满</w:t>
      </w:r>
      <w:r>
        <w:rPr>
          <w:rFonts w:ascii="Times New Roman" w:hAnsi="Times New Roman" w:cs="Times New Roman" w:eastAsia="Times New Roman" w:hint="default"/>
        </w:rPr>
        <w:t>12  </w:t>
      </w:r>
      <w:r>
        <w:rPr>
          <w:spacing w:val="-5"/>
        </w:rPr>
        <w:t>个月后，激励对象应当在未来</w:t>
      </w:r>
      <w:r>
        <w:rPr>
          <w:rFonts w:ascii="Times New Roman" w:hAnsi="Times New Roman" w:cs="Times New Roman" w:eastAsia="Times New Roman" w:hint="default"/>
          <w:spacing w:val="-5"/>
        </w:rPr>
        <w:t>24</w:t>
      </w:r>
      <w:r>
        <w:rPr>
          <w:rFonts w:ascii="Times New Roman" w:hAnsi="Times New Roman" w:cs="Times New Roman" w:eastAsia="Times New Roman" w:hint="default"/>
          <w:spacing w:val="19"/>
        </w:rPr>
        <w:t> </w:t>
      </w:r>
      <w:r>
        <w:rPr>
          <w:spacing w:val="-4"/>
        </w:rPr>
        <w:t>个月内分两期解锁，具体时间安排如下：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560"/>
        <w:gridCol w:w="5244"/>
        <w:gridCol w:w="1133"/>
      </w:tblGrid>
      <w:tr>
        <w:trPr>
          <w:trHeight w:val="348" w:hRule="exact"/>
        </w:trPr>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75" w:right="0"/>
              <w:jc w:val="left"/>
              <w:rPr>
                <w:rFonts w:ascii="宋体" w:hAnsi="宋体" w:cs="宋体" w:eastAsia="宋体" w:hint="default"/>
                <w:sz w:val="20"/>
                <w:szCs w:val="20"/>
              </w:rPr>
            </w:pPr>
            <w:r>
              <w:rPr>
                <w:rFonts w:ascii="宋体" w:hAnsi="宋体" w:cs="宋体" w:eastAsia="宋体" w:hint="default"/>
                <w:sz w:val="20"/>
                <w:szCs w:val="20"/>
              </w:rPr>
              <w:t>解锁期</w:t>
            </w:r>
          </w:p>
        </w:tc>
        <w:tc>
          <w:tcPr>
            <w:tcW w:w="52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解锁时间</w:t>
            </w:r>
          </w:p>
        </w:tc>
        <w:tc>
          <w:tcPr>
            <w:tcW w:w="113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
              <w:ind w:left="160" w:right="0"/>
              <w:jc w:val="left"/>
              <w:rPr>
                <w:rFonts w:ascii="宋体" w:hAnsi="宋体" w:cs="宋体" w:eastAsia="宋体" w:hint="default"/>
                <w:sz w:val="20"/>
                <w:szCs w:val="20"/>
              </w:rPr>
            </w:pPr>
            <w:r>
              <w:rPr>
                <w:rFonts w:ascii="宋体" w:hAnsi="宋体" w:cs="宋体" w:eastAsia="宋体" w:hint="default"/>
                <w:sz w:val="20"/>
                <w:szCs w:val="20"/>
              </w:rPr>
              <w:t>解锁比例</w:t>
            </w:r>
          </w:p>
        </w:tc>
      </w:tr>
      <w:tr>
        <w:trPr>
          <w:trHeight w:val="660" w:hRule="exact"/>
        </w:trPr>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第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个解锁期</w:t>
            </w:r>
          </w:p>
        </w:tc>
        <w:tc>
          <w:tcPr>
            <w:tcW w:w="5244"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4" w:right="425"/>
              <w:jc w:val="left"/>
              <w:rPr>
                <w:rFonts w:ascii="宋体" w:hAnsi="宋体" w:cs="宋体" w:eastAsia="宋体" w:hint="default"/>
                <w:sz w:val="20"/>
                <w:szCs w:val="20"/>
              </w:rPr>
            </w:pPr>
            <w:r>
              <w:rPr>
                <w:rFonts w:ascii="宋体" w:hAnsi="宋体" w:cs="宋体" w:eastAsia="宋体" w:hint="default"/>
                <w:sz w:val="20"/>
                <w:szCs w:val="20"/>
              </w:rPr>
              <w:t>自预留限制性股票的授权日起</w:t>
            </w:r>
            <w:r>
              <w:rPr>
                <w:rFonts w:ascii="Times New Roman" w:hAnsi="Times New Roman" w:cs="Times New Roman" w:eastAsia="Times New Roman" w:hint="default"/>
                <w:sz w:val="20"/>
                <w:szCs w:val="20"/>
              </w:rPr>
              <w:t>12</w:t>
            </w:r>
            <w:r>
              <w:rPr>
                <w:rFonts w:ascii="宋体" w:hAnsi="宋体" w:cs="宋体" w:eastAsia="宋体" w:hint="default"/>
                <w:sz w:val="20"/>
                <w:szCs w:val="20"/>
              </w:rPr>
              <w:t>个月后的首个交易日起</w:t>
            </w:r>
            <w:r>
              <w:rPr>
                <w:rFonts w:ascii="宋体" w:hAnsi="宋体" w:cs="宋体" w:eastAsia="宋体" w:hint="default"/>
                <w:w w:val="99"/>
                <w:sz w:val="20"/>
                <w:szCs w:val="20"/>
              </w:rPr>
              <w:t> </w:t>
            </w:r>
            <w:r>
              <w:rPr>
                <w:rFonts w:ascii="宋体" w:hAnsi="宋体" w:cs="宋体" w:eastAsia="宋体" w:hint="default"/>
                <w:sz w:val="20"/>
                <w:szCs w:val="20"/>
              </w:rPr>
              <w:t>至相应的授权日起</w:t>
            </w:r>
            <w:r>
              <w:rPr>
                <w:rFonts w:ascii="Times New Roman" w:hAnsi="Times New Roman" w:cs="Times New Roman" w:eastAsia="Times New Roman" w:hint="default"/>
                <w:sz w:val="20"/>
                <w:szCs w:val="20"/>
              </w:rPr>
              <w:t>24</w:t>
            </w:r>
            <w:r>
              <w:rPr>
                <w:rFonts w:ascii="宋体" w:hAnsi="宋体" w:cs="宋体" w:eastAsia="宋体" w:hint="default"/>
                <w:sz w:val="20"/>
                <w:szCs w:val="20"/>
              </w:rPr>
              <w:t>个月内的最后一个交易日当日止</w:t>
            </w:r>
          </w:p>
        </w:tc>
        <w:tc>
          <w:tcPr>
            <w:tcW w:w="113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z w:val="20"/>
              </w:rPr>
              <w:t>40%</w:t>
            </w:r>
          </w:p>
        </w:tc>
      </w:tr>
      <w:tr>
        <w:trPr>
          <w:trHeight w:val="660" w:hRule="exact"/>
        </w:trPr>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个解锁期</w:t>
            </w:r>
          </w:p>
        </w:tc>
        <w:tc>
          <w:tcPr>
            <w:tcW w:w="5244"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4" w:right="425"/>
              <w:jc w:val="left"/>
              <w:rPr>
                <w:rFonts w:ascii="宋体" w:hAnsi="宋体" w:cs="宋体" w:eastAsia="宋体" w:hint="default"/>
                <w:sz w:val="20"/>
                <w:szCs w:val="20"/>
              </w:rPr>
            </w:pPr>
            <w:r>
              <w:rPr>
                <w:rFonts w:ascii="宋体" w:hAnsi="宋体" w:cs="宋体" w:eastAsia="宋体" w:hint="default"/>
                <w:sz w:val="20"/>
                <w:szCs w:val="20"/>
              </w:rPr>
              <w:t>自预留限制性股票的授权日起</w:t>
            </w:r>
            <w:r>
              <w:rPr>
                <w:rFonts w:ascii="Times New Roman" w:hAnsi="Times New Roman" w:cs="Times New Roman" w:eastAsia="Times New Roman" w:hint="default"/>
                <w:sz w:val="20"/>
                <w:szCs w:val="20"/>
              </w:rPr>
              <w:t>24</w:t>
            </w:r>
            <w:r>
              <w:rPr>
                <w:rFonts w:ascii="宋体" w:hAnsi="宋体" w:cs="宋体" w:eastAsia="宋体" w:hint="default"/>
                <w:sz w:val="20"/>
                <w:szCs w:val="20"/>
              </w:rPr>
              <w:t>个月后的首个交易日起</w:t>
            </w:r>
            <w:r>
              <w:rPr>
                <w:rFonts w:ascii="宋体" w:hAnsi="宋体" w:cs="宋体" w:eastAsia="宋体" w:hint="default"/>
                <w:w w:val="99"/>
                <w:sz w:val="20"/>
                <w:szCs w:val="20"/>
              </w:rPr>
              <w:t> </w:t>
            </w:r>
            <w:r>
              <w:rPr>
                <w:rFonts w:ascii="宋体" w:hAnsi="宋体" w:cs="宋体" w:eastAsia="宋体" w:hint="default"/>
                <w:sz w:val="20"/>
                <w:szCs w:val="20"/>
              </w:rPr>
              <w:t>至相应的授权日起</w:t>
            </w:r>
            <w:r>
              <w:rPr>
                <w:rFonts w:ascii="Times New Roman" w:hAnsi="Times New Roman" w:cs="Times New Roman" w:eastAsia="Times New Roman" w:hint="default"/>
                <w:sz w:val="20"/>
                <w:szCs w:val="20"/>
              </w:rPr>
              <w:t>36</w:t>
            </w:r>
            <w:r>
              <w:rPr>
                <w:rFonts w:ascii="宋体" w:hAnsi="宋体" w:cs="宋体" w:eastAsia="宋体" w:hint="default"/>
                <w:sz w:val="20"/>
                <w:szCs w:val="20"/>
              </w:rPr>
              <w:t>个月内的最后一个交易日当日止</w:t>
            </w:r>
          </w:p>
        </w:tc>
        <w:tc>
          <w:tcPr>
            <w:tcW w:w="113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sz w:val="20"/>
              </w:rPr>
              <w:t>60%</w:t>
            </w:r>
          </w:p>
        </w:tc>
      </w:tr>
    </w:tbl>
    <w:p>
      <w:pPr>
        <w:pStyle w:val="BodyText"/>
        <w:spacing w:line="240" w:lineRule="auto" w:before="8"/>
        <w:ind w:right="90"/>
        <w:jc w:val="left"/>
      </w:pPr>
      <w:r>
        <w:rPr/>
        <w:t>注</w:t>
      </w:r>
      <w:r>
        <w:rPr>
          <w:rFonts w:ascii="Times New Roman" w:hAnsi="Times New Roman" w:cs="Times New Roman" w:eastAsia="Times New Roman" w:hint="default"/>
        </w:rPr>
        <w:t>3</w:t>
      </w:r>
      <w:r>
        <w:rPr/>
        <w:t>：解锁条件</w:t>
      </w:r>
    </w:p>
    <w:p>
      <w:pPr>
        <w:pStyle w:val="BodyText"/>
        <w:spacing w:line="240" w:lineRule="auto" w:before="62"/>
        <w:ind w:right="90"/>
        <w:jc w:val="left"/>
      </w:pPr>
      <w:r>
        <w:rPr/>
        <w:t>①达到公司业绩考核条件</w:t>
      </w:r>
    </w:p>
    <w:p>
      <w:pPr>
        <w:pStyle w:val="BodyText"/>
        <w:spacing w:line="300" w:lineRule="auto" w:before="76"/>
        <w:ind w:right="183"/>
        <w:jc w:val="left"/>
      </w:pPr>
      <w:r>
        <w:rPr/>
        <w:t>激励计划首次授予的限制性股票分三期进行解锁，对应的业绩考核期为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 </w:t>
      </w:r>
      <w:r>
        <w:rPr>
          <w:spacing w:val="-3"/>
        </w:rPr>
        <w:t>年、</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9"/>
        </w:rPr>
        <w:t> </w:t>
      </w:r>
      <w:r>
        <w:rPr/>
        <w:t>年三个会计年度，公司业绩 考核指标为归属于母公司所有者扣除非经常性损益后的净利润和营业收入。各年度业绩考核目标如下：</w:t>
      </w:r>
    </w:p>
    <w:p>
      <w:pPr>
        <w:spacing w:after="0" w:line="300" w:lineRule="auto"/>
        <w:jc w:val="left"/>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22"/>
        <w:gridCol w:w="5141"/>
      </w:tblGrid>
      <w:tr>
        <w:trPr>
          <w:trHeight w:val="350" w:hRule="exact"/>
        </w:trPr>
        <w:tc>
          <w:tcPr>
            <w:tcW w:w="152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55" w:right="0"/>
              <w:jc w:val="left"/>
              <w:rPr>
                <w:rFonts w:ascii="宋体" w:hAnsi="宋体" w:cs="宋体" w:eastAsia="宋体" w:hint="default"/>
                <w:sz w:val="20"/>
                <w:szCs w:val="20"/>
              </w:rPr>
            </w:pPr>
            <w:r>
              <w:rPr>
                <w:rFonts w:ascii="宋体" w:hAnsi="宋体" w:cs="宋体" w:eastAsia="宋体" w:hint="default"/>
                <w:sz w:val="20"/>
                <w:szCs w:val="20"/>
              </w:rPr>
              <w:t>解锁期</w:t>
            </w:r>
          </w:p>
        </w:tc>
        <w:tc>
          <w:tcPr>
            <w:tcW w:w="514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业绩考核目标</w:t>
            </w:r>
          </w:p>
        </w:tc>
      </w:tr>
      <w:tr>
        <w:trPr>
          <w:trHeight w:val="658" w:hRule="exact"/>
        </w:trPr>
        <w:tc>
          <w:tcPr>
            <w:tcW w:w="1522"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第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个解锁期</w:t>
            </w:r>
          </w:p>
        </w:tc>
        <w:tc>
          <w:tcPr>
            <w:tcW w:w="5141" w:type="dxa"/>
            <w:tcBorders>
              <w:top w:val="single" w:sz="8" w:space="0" w:color="000000"/>
              <w:left w:val="single" w:sz="6" w:space="0" w:color="000000"/>
              <w:bottom w:val="single" w:sz="8" w:space="0" w:color="000000"/>
              <w:right w:val="nil" w:sz="6" w:space="0" w:color="auto"/>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2014  </w:t>
            </w:r>
            <w:r>
              <w:rPr>
                <w:rFonts w:ascii="宋体" w:hAnsi="宋体" w:cs="宋体" w:eastAsia="宋体" w:hint="default"/>
                <w:sz w:val="20"/>
                <w:szCs w:val="20"/>
              </w:rPr>
              <w:t>年的净利润较</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50%</w:t>
            </w:r>
            <w:r>
              <w:rPr>
                <w:rFonts w:ascii="宋体" w:hAnsi="宋体" w:cs="宋体" w:eastAsia="宋体" w:hint="default"/>
                <w:sz w:val="20"/>
                <w:szCs w:val="20"/>
              </w:rPr>
              <w:t>；</w:t>
            </w:r>
          </w:p>
          <w:p>
            <w:pPr>
              <w:pStyle w:val="TableParagraph"/>
              <w:spacing w:line="240" w:lineRule="auto" w:before="35"/>
              <w:ind w:left="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2014  </w:t>
            </w:r>
            <w:r>
              <w:rPr>
                <w:rFonts w:ascii="宋体" w:hAnsi="宋体" w:cs="宋体" w:eastAsia="宋体" w:hint="default"/>
                <w:sz w:val="20"/>
                <w:szCs w:val="20"/>
              </w:rPr>
              <w:t>年的营业收入较</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50%</w:t>
            </w:r>
            <w:r>
              <w:rPr>
                <w:rFonts w:ascii="宋体" w:hAnsi="宋体" w:cs="宋体" w:eastAsia="宋体" w:hint="default"/>
                <w:sz w:val="20"/>
                <w:szCs w:val="20"/>
              </w:rPr>
              <w:t>。</w:t>
            </w:r>
          </w:p>
        </w:tc>
      </w:tr>
      <w:tr>
        <w:trPr>
          <w:trHeight w:val="660" w:hRule="exact"/>
        </w:trPr>
        <w:tc>
          <w:tcPr>
            <w:tcW w:w="1522"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个解锁期</w:t>
            </w:r>
          </w:p>
        </w:tc>
        <w:tc>
          <w:tcPr>
            <w:tcW w:w="5141" w:type="dxa"/>
            <w:tcBorders>
              <w:top w:val="single" w:sz="8" w:space="0" w:color="000000"/>
              <w:left w:val="single" w:sz="6" w:space="0" w:color="000000"/>
              <w:bottom w:val="single" w:sz="8" w:space="0" w:color="000000"/>
              <w:right w:val="nil" w:sz="6" w:space="0" w:color="auto"/>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2015  </w:t>
            </w:r>
            <w:r>
              <w:rPr>
                <w:rFonts w:ascii="宋体" w:hAnsi="宋体" w:cs="宋体" w:eastAsia="宋体" w:hint="default"/>
                <w:sz w:val="20"/>
                <w:szCs w:val="20"/>
              </w:rPr>
              <w:t>年的净利润较</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100%</w:t>
            </w:r>
            <w:r>
              <w:rPr>
                <w:rFonts w:ascii="宋体" w:hAnsi="宋体" w:cs="宋体" w:eastAsia="宋体" w:hint="default"/>
                <w:sz w:val="20"/>
                <w:szCs w:val="20"/>
              </w:rPr>
              <w:t>；</w:t>
            </w:r>
          </w:p>
          <w:p>
            <w:pPr>
              <w:pStyle w:val="TableParagraph"/>
              <w:spacing w:line="240" w:lineRule="auto" w:before="35"/>
              <w:ind w:left="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2015  </w:t>
            </w:r>
            <w:r>
              <w:rPr>
                <w:rFonts w:ascii="宋体" w:hAnsi="宋体" w:cs="宋体" w:eastAsia="宋体" w:hint="default"/>
                <w:sz w:val="20"/>
                <w:szCs w:val="20"/>
              </w:rPr>
              <w:t>年的营业收入较</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110%</w:t>
            </w:r>
            <w:r>
              <w:rPr>
                <w:rFonts w:ascii="宋体" w:hAnsi="宋体" w:cs="宋体" w:eastAsia="宋体" w:hint="default"/>
                <w:sz w:val="20"/>
                <w:szCs w:val="20"/>
              </w:rPr>
              <w:t>。</w:t>
            </w:r>
          </w:p>
        </w:tc>
      </w:tr>
      <w:tr>
        <w:trPr>
          <w:trHeight w:val="660" w:hRule="exact"/>
        </w:trPr>
        <w:tc>
          <w:tcPr>
            <w:tcW w:w="1522"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第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个解锁期</w:t>
            </w:r>
          </w:p>
        </w:tc>
        <w:tc>
          <w:tcPr>
            <w:tcW w:w="5141" w:type="dxa"/>
            <w:tcBorders>
              <w:top w:val="single" w:sz="8" w:space="0" w:color="000000"/>
              <w:left w:val="single" w:sz="6" w:space="0" w:color="000000"/>
              <w:bottom w:val="single" w:sz="8" w:space="0" w:color="000000"/>
              <w:right w:val="nil" w:sz="6" w:space="0" w:color="auto"/>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2016  </w:t>
            </w:r>
            <w:r>
              <w:rPr>
                <w:rFonts w:ascii="宋体" w:hAnsi="宋体" w:cs="宋体" w:eastAsia="宋体" w:hint="default"/>
                <w:sz w:val="20"/>
                <w:szCs w:val="20"/>
              </w:rPr>
              <w:t>年的净利润较</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200%</w:t>
            </w:r>
            <w:r>
              <w:rPr>
                <w:rFonts w:ascii="宋体" w:hAnsi="宋体" w:cs="宋体" w:eastAsia="宋体" w:hint="default"/>
                <w:sz w:val="20"/>
                <w:szCs w:val="20"/>
              </w:rPr>
              <w:t>；</w:t>
            </w:r>
          </w:p>
          <w:p>
            <w:pPr>
              <w:pStyle w:val="TableParagraph"/>
              <w:spacing w:line="240" w:lineRule="auto" w:before="35"/>
              <w:ind w:left="4"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2016  </w:t>
            </w:r>
            <w:r>
              <w:rPr>
                <w:rFonts w:ascii="宋体" w:hAnsi="宋体" w:cs="宋体" w:eastAsia="宋体" w:hint="default"/>
                <w:sz w:val="20"/>
                <w:szCs w:val="20"/>
              </w:rPr>
              <w:t>年的营业收入较</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年增长率不低于</w:t>
            </w:r>
            <w:r>
              <w:rPr>
                <w:rFonts w:ascii="Times New Roman" w:hAnsi="Times New Roman" w:cs="Times New Roman" w:eastAsia="Times New Roman" w:hint="default"/>
                <w:sz w:val="20"/>
                <w:szCs w:val="20"/>
              </w:rPr>
              <w:t>150%</w:t>
            </w:r>
            <w:r>
              <w:rPr>
                <w:rFonts w:ascii="宋体" w:hAnsi="宋体" w:cs="宋体" w:eastAsia="宋体" w:hint="default"/>
                <w:sz w:val="20"/>
                <w:szCs w:val="20"/>
              </w:rPr>
              <w:t>。</w:t>
            </w:r>
          </w:p>
        </w:tc>
      </w:tr>
    </w:tbl>
    <w:p>
      <w:pPr>
        <w:pStyle w:val="BodyText"/>
        <w:spacing w:line="309" w:lineRule="auto" w:before="8"/>
        <w:ind w:right="0"/>
        <w:jc w:val="left"/>
      </w:pPr>
      <w:r>
        <w:rPr/>
        <w:t>注：其中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 激励计划预留的限制性股票分两期进行解锁，对应的业绩考核年度为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24"/>
        </w:rPr>
        <w:t> </w:t>
      </w:r>
      <w:r>
        <w:rPr/>
        <w:t>年两个会计年度，各年度的业绩考核目 标与首次授予的限制性股票相应年度的业绩考核目标一致。 </w:t>
      </w:r>
      <w:r>
        <w:rPr>
          <w:spacing w:val="-2"/>
        </w:rPr>
        <w:t>激励计划限制性股票锁定期内，各年度归属于母公司所有者的净利润及归属于母公司所有者扣除非经常性损益后的净利润均</w:t>
      </w:r>
      <w:r>
        <w:rPr>
          <w:spacing w:val="-64"/>
        </w:rPr>
        <w:t> </w:t>
      </w:r>
      <w:r>
        <w:rPr>
          <w:spacing w:val="-64"/>
        </w:rPr>
      </w:r>
      <w:r>
        <w:rPr/>
        <w:t>不得低于授权日前最近三个会计年度的平均水平且不得为负。</w:t>
      </w:r>
    </w:p>
    <w:p>
      <w:pPr>
        <w:pStyle w:val="BodyText"/>
        <w:spacing w:line="316" w:lineRule="auto" w:before="24"/>
        <w:ind w:right="0"/>
        <w:jc w:val="left"/>
      </w:pPr>
      <w:r>
        <w:rPr/>
        <w:t>②达到个人绩效考核条件 </w:t>
      </w:r>
      <w:r>
        <w:rPr>
          <w:spacing w:val="-2"/>
        </w:rPr>
        <w:t>激励对象的个人绩效考核条件按照公司制定的考核办法予以执行，公司分年度对激励对象进行绩效考核并确定考核结果。个</w:t>
      </w:r>
      <w:r>
        <w:rPr>
          <w:spacing w:val="-64"/>
        </w:rPr>
        <w:t> </w:t>
      </w:r>
      <w:r>
        <w:rPr>
          <w:spacing w:val="-64"/>
        </w:rPr>
      </w:r>
      <w:r>
        <w:rPr/>
        <w:t>人绩效考核结果分为五个等级，不同等级就对应解锁期所获授的限制性股票的可申请解锁比例有所不同，具体如下：</w:t>
      </w:r>
    </w:p>
    <w:tbl>
      <w:tblPr>
        <w:tblW w:w="0" w:type="auto"/>
        <w:jc w:val="left"/>
        <w:tblInd w:w="145" w:type="dxa"/>
        <w:tblLayout w:type="fixed"/>
        <w:tblCellMar>
          <w:top w:w="0" w:type="dxa"/>
          <w:left w:w="0" w:type="dxa"/>
          <w:bottom w:w="0" w:type="dxa"/>
          <w:right w:w="0" w:type="dxa"/>
        </w:tblCellMar>
        <w:tblLook w:val="01E0"/>
      </w:tblPr>
      <w:tblGrid>
        <w:gridCol w:w="1524"/>
        <w:gridCol w:w="1030"/>
        <w:gridCol w:w="1274"/>
        <w:gridCol w:w="1277"/>
        <w:gridCol w:w="1416"/>
        <w:gridCol w:w="1277"/>
      </w:tblGrid>
      <w:tr>
        <w:trPr>
          <w:trHeight w:val="348" w:hRule="exact"/>
        </w:trPr>
        <w:tc>
          <w:tcPr>
            <w:tcW w:w="15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考核等级</w:t>
            </w:r>
          </w:p>
        </w:tc>
        <w:tc>
          <w:tcPr>
            <w:tcW w:w="103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w w:val="99"/>
                <w:sz w:val="20"/>
              </w:rPr>
              <w:t>A</w:t>
            </w:r>
            <w:r>
              <w:rPr>
                <w:rFonts w:ascii="Times New Roman"/>
                <w:sz w:val="20"/>
              </w:rPr>
            </w:r>
          </w:p>
        </w:tc>
        <w:tc>
          <w:tcPr>
            <w:tcW w:w="127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w w:val="99"/>
                <w:sz w:val="20"/>
              </w:rPr>
              <w:t>B</w:t>
            </w:r>
            <w:r>
              <w:rPr>
                <w:rFonts w:ascii="Times New Roman"/>
                <w:sz w:val="20"/>
              </w:rPr>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C</w:t>
            </w:r>
            <w:r>
              <w:rPr>
                <w:rFonts w:ascii="Times New Roman"/>
                <w:sz w:val="20"/>
              </w:rPr>
            </w: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w w:val="99"/>
                <w:sz w:val="20"/>
              </w:rPr>
              <w:t>D</w:t>
            </w:r>
            <w:r>
              <w:rPr>
                <w:rFonts w:ascii="Times New Roman"/>
                <w:sz w:val="20"/>
              </w:rPr>
            </w:r>
          </w:p>
        </w:tc>
        <w:tc>
          <w:tcPr>
            <w:tcW w:w="127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8"/>
              <w:ind w:left="571" w:right="0"/>
              <w:jc w:val="left"/>
              <w:rPr>
                <w:rFonts w:ascii="Times New Roman" w:hAnsi="Times New Roman" w:cs="Times New Roman" w:eastAsia="Times New Roman" w:hint="default"/>
                <w:sz w:val="20"/>
                <w:szCs w:val="20"/>
              </w:rPr>
            </w:pPr>
            <w:r>
              <w:rPr>
                <w:rFonts w:ascii="Times New Roman"/>
                <w:w w:val="99"/>
                <w:sz w:val="20"/>
              </w:rPr>
              <w:t>E</w:t>
            </w:r>
            <w:r>
              <w:rPr>
                <w:rFonts w:ascii="Times New Roman"/>
                <w:sz w:val="20"/>
              </w:rPr>
            </w:r>
          </w:p>
        </w:tc>
      </w:tr>
      <w:tr>
        <w:trPr>
          <w:trHeight w:val="348" w:hRule="exact"/>
        </w:trPr>
        <w:tc>
          <w:tcPr>
            <w:tcW w:w="1524"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hAnsi="宋体" w:cs="宋体" w:eastAsia="宋体" w:hint="default"/>
                <w:sz w:val="20"/>
                <w:szCs w:val="20"/>
              </w:rPr>
              <w:t>可解锁比例</w:t>
            </w:r>
          </w:p>
        </w:tc>
        <w:tc>
          <w:tcPr>
            <w:tcW w:w="2304" w:type="dxa"/>
            <w:gridSpan w:val="2"/>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8" w:right="0"/>
              <w:jc w:val="center"/>
              <w:rPr>
                <w:rFonts w:ascii="Times New Roman" w:hAnsi="Times New Roman" w:cs="Times New Roman" w:eastAsia="Times New Roman" w:hint="default"/>
                <w:sz w:val="20"/>
                <w:szCs w:val="20"/>
              </w:rPr>
            </w:pPr>
            <w:r>
              <w:rPr>
                <w:rFonts w:ascii="Times New Roman"/>
                <w:sz w:val="20"/>
              </w:rPr>
              <w:t>100%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0"/>
                <w:szCs w:val="20"/>
              </w:rPr>
            </w:pPr>
            <w:r>
              <w:rPr>
                <w:rFonts w:ascii="Times New Roman"/>
                <w:sz w:val="20"/>
              </w:rPr>
              <w:t>80%</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0"/>
                <w:szCs w:val="20"/>
              </w:rPr>
            </w:pPr>
            <w:r>
              <w:rPr>
                <w:rFonts w:ascii="Times New Roman"/>
                <w:sz w:val="20"/>
              </w:rPr>
              <w:t>60%</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left="499" w:right="0"/>
              <w:jc w:val="left"/>
              <w:rPr>
                <w:rFonts w:ascii="Times New Roman" w:hAnsi="Times New Roman" w:cs="Times New Roman" w:eastAsia="Times New Roman" w:hint="default"/>
                <w:sz w:val="20"/>
                <w:szCs w:val="20"/>
              </w:rPr>
            </w:pPr>
            <w:r>
              <w:rPr>
                <w:rFonts w:ascii="Times New Roman"/>
                <w:sz w:val="20"/>
              </w:rPr>
              <w:t>0%</w:t>
            </w:r>
          </w:p>
        </w:tc>
      </w:tr>
    </w:tbl>
    <w:p>
      <w:pPr>
        <w:pStyle w:val="BodyText"/>
        <w:spacing w:line="240" w:lineRule="auto" w:before="19"/>
        <w:ind w:right="0"/>
        <w:jc w:val="left"/>
      </w:pPr>
      <w:r>
        <w:rPr/>
        <w:t>注：考评结果为</w:t>
      </w:r>
      <w:r>
        <w:rPr>
          <w:rFonts w:ascii="Times New Roman" w:hAnsi="Times New Roman" w:cs="Times New Roman" w:eastAsia="Times New Roman" w:hint="default"/>
        </w:rPr>
        <w:t>A</w:t>
      </w:r>
      <w:r>
        <w:rPr/>
        <w:t>、</w:t>
      </w:r>
      <w:r>
        <w:rPr>
          <w:rFonts w:ascii="Times New Roman" w:hAnsi="Times New Roman" w:cs="Times New Roman" w:eastAsia="Times New Roman" w:hint="default"/>
        </w:rPr>
        <w:t>B  </w:t>
      </w:r>
      <w:r>
        <w:rPr/>
        <w:t>的即达到完全解锁条件，考核结果为</w:t>
      </w:r>
      <w:r>
        <w:rPr>
          <w:rFonts w:ascii="Times New Roman" w:hAnsi="Times New Roman" w:cs="Times New Roman" w:eastAsia="Times New Roman" w:hint="default"/>
        </w:rPr>
        <w:t>C</w:t>
      </w:r>
      <w:r>
        <w:rPr/>
        <w:t>、</w:t>
      </w:r>
      <w:r>
        <w:rPr>
          <w:rFonts w:ascii="Times New Roman" w:hAnsi="Times New Roman" w:cs="Times New Roman" w:eastAsia="Times New Roman" w:hint="default"/>
        </w:rPr>
        <w:t>D  </w:t>
      </w:r>
      <w:r>
        <w:rPr/>
        <w:t>的仅可完成部分解锁，考评结果为</w:t>
      </w:r>
      <w:r>
        <w:rPr>
          <w:rFonts w:ascii="Times New Roman" w:hAnsi="Times New Roman" w:cs="Times New Roman" w:eastAsia="Times New Roman" w:hint="default"/>
        </w:rPr>
        <w:t>E</w:t>
      </w:r>
      <w:r>
        <w:rPr>
          <w:rFonts w:ascii="Times New Roman" w:hAnsi="Times New Roman" w:cs="Times New Roman" w:eastAsia="Times New Roman" w:hint="default"/>
          <w:spacing w:val="-11"/>
        </w:rPr>
        <w:t> </w:t>
      </w:r>
      <w:r>
        <w:rPr/>
        <w:t>的不得解锁。</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66"/>
      <w:bookmarkEnd w:id="46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715"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期权定价模型</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33,703,113.94</w:t>
            </w:r>
            <w:r>
              <w:rPr>
                <w:rFonts w:ascii="Times New Roman"/>
                <w:sz w:val="18"/>
              </w:rPr>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31,875,413.94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以现金结算的股份支付情况" w:id="467"/>
      <w:bookmarkEnd w:id="46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股份支付的修改、终止情况" w:id="468"/>
      <w:bookmarkEnd w:id="46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3" w:firstLine="432"/>
        <w:jc w:val="both"/>
      </w:pPr>
      <w:r>
        <w:rPr/>
        <w:t>公司于</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日召开第四届董事会第三十二次会议，审议通过了《关于回购注销</w:t>
      </w:r>
      <w:r>
        <w:rPr>
          <w:rFonts w:ascii="Times New Roman" w:hAnsi="Times New Roman" w:cs="Times New Roman" w:eastAsia="Times New Roman" w:hint="default"/>
        </w:rPr>
        <w:t>2014</w:t>
      </w:r>
      <w:r>
        <w:rPr/>
        <w:t>年限制性股票激励计划 部分已获授但尚未解锁的限制性股票的议案》。鉴于公司</w:t>
      </w:r>
      <w:r>
        <w:rPr>
          <w:rFonts w:ascii="Times New Roman" w:hAnsi="Times New Roman" w:cs="Times New Roman" w:eastAsia="Times New Roman" w:hint="default"/>
        </w:rPr>
        <w:t>2014</w:t>
      </w:r>
      <w:r>
        <w:rPr>
          <w:rFonts w:ascii="Times New Roman" w:hAnsi="Times New Roman" w:cs="Times New Roman" w:eastAsia="Times New Roman" w:hint="default"/>
          <w:spacing w:val="28"/>
        </w:rPr>
        <w:t> </w:t>
      </w:r>
      <w:r>
        <w:rPr/>
        <w:t>年限制性股票激励计划原激励对象张传位、范蕾、孙明志、 </w:t>
      </w:r>
      <w:r>
        <w:rPr>
          <w:spacing w:val="-6"/>
        </w:rPr>
        <w:t>王继伟、王莹、顾进峰、蒋新星、吴茵、戴岱、涂庆红、陈立菲共计</w:t>
      </w:r>
      <w:r>
        <w:rPr>
          <w:rFonts w:ascii="Times New Roman" w:hAnsi="Times New Roman" w:cs="Times New Roman" w:eastAsia="Times New Roman" w:hint="default"/>
          <w:spacing w:val="-6"/>
        </w:rPr>
        <w:t>11 </w:t>
      </w:r>
      <w:r>
        <w:rPr/>
        <w:t>人已离职，根据公司于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22"/>
        </w:rPr>
        <w:t> </w:t>
      </w:r>
      <w:r>
        <w:rPr/>
        <w:t>日召开的</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spacing w:val="-3"/>
        </w:rPr>
        <w:t>年第五次临时股东大会审议通过的《江苏润和软件股份有限公司</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7"/>
        </w:rPr>
        <w:t> </w:t>
      </w:r>
      <w:r>
        <w:rPr>
          <w:spacing w:val="-14"/>
        </w:rPr>
        <w:t>年限制性股票激励计划（草案修订稿）》（以下简称</w:t>
      </w:r>
      <w:r>
        <w:rPr>
          <w:rFonts w:ascii="Times New Roman" w:hAnsi="Times New Roman" w:cs="Times New Roman" w:eastAsia="Times New Roman" w:hint="default"/>
          <w:spacing w:val="-14"/>
        </w:rPr>
        <w:t>“</w:t>
      </w:r>
      <w:r>
        <w:rPr>
          <w:spacing w:val="-14"/>
        </w:rPr>
        <w:t>《激</w:t>
      </w:r>
      <w:r>
        <w:rPr>
          <w:spacing w:val="-85"/>
        </w:rPr>
        <w:t> </w:t>
      </w:r>
      <w:r>
        <w:rPr>
          <w:spacing w:val="-2"/>
        </w:rPr>
        <w:t>励计划（草案修订稿）》</w:t>
      </w:r>
      <w:r>
        <w:rPr>
          <w:rFonts w:ascii="Times New Roman" w:hAnsi="Times New Roman" w:cs="Times New Roman" w:eastAsia="Times New Roman" w:hint="default"/>
          <w:spacing w:val="-2"/>
        </w:rPr>
        <w:t>”</w:t>
      </w:r>
      <w:r>
        <w:rPr>
          <w:spacing w:val="-2"/>
        </w:rPr>
        <w:t>）的规定以及股东大会的授权，公司董事会同意对上述</w:t>
      </w:r>
      <w:r>
        <w:rPr>
          <w:rFonts w:ascii="Times New Roman" w:hAnsi="Times New Roman" w:cs="Times New Roman" w:eastAsia="Times New Roman" w:hint="default"/>
          <w:spacing w:val="-2"/>
        </w:rPr>
        <w:t>11</w:t>
      </w:r>
      <w:r>
        <w:rPr>
          <w:rFonts w:ascii="Times New Roman" w:hAnsi="Times New Roman" w:cs="Times New Roman" w:eastAsia="Times New Roman" w:hint="default"/>
        </w:rPr>
        <w:t> </w:t>
      </w:r>
      <w:r>
        <w:rPr>
          <w:spacing w:val="-1"/>
        </w:rPr>
        <w:t>名原激励对象已获授但尚未解锁的限制</w:t>
      </w:r>
      <w:r>
        <w:rPr>
          <w:spacing w:val="-75"/>
        </w:rPr>
        <w:t> </w:t>
      </w:r>
      <w:r>
        <w:rPr>
          <w:spacing w:val="-75"/>
        </w:rPr>
      </w:r>
      <w:r>
        <w:rPr/>
        <w:t>性股票共计</w:t>
      </w:r>
      <w:r>
        <w:rPr>
          <w:rFonts w:ascii="Times New Roman" w:hAnsi="Times New Roman" w:cs="Times New Roman" w:eastAsia="Times New Roman" w:hint="default"/>
        </w:rPr>
        <w:t>185,000</w:t>
      </w:r>
      <w:r>
        <w:rPr>
          <w:rFonts w:ascii="Times New Roman" w:hAnsi="Times New Roman" w:cs="Times New Roman" w:eastAsia="Times New Roman" w:hint="default"/>
          <w:spacing w:val="24"/>
        </w:rPr>
        <w:t> </w:t>
      </w:r>
      <w:r>
        <w:rPr/>
        <w:t>股进行回购注销。</w:t>
      </w:r>
    </w:p>
    <w:p>
      <w:pPr>
        <w:pStyle w:val="BodyText"/>
        <w:spacing w:line="240" w:lineRule="auto" w:before="13"/>
        <w:ind w:left="58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日止，经中国证券登记结算有限责任公司深圳分公司审核确认，公司上述限制性股票的注销事宜已</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完成。</w:t>
      </w:r>
    </w:p>
    <w:p>
      <w:pPr>
        <w:pStyle w:val="BodyText"/>
        <w:spacing w:line="300" w:lineRule="auto" w:before="76"/>
        <w:ind w:right="124" w:firstLine="432"/>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日召开第四届董事会第三十九次会议，审议通过了《关于回购注销</w:t>
      </w:r>
      <w:r>
        <w:rPr>
          <w:rFonts w:ascii="Times New Roman" w:hAnsi="Times New Roman" w:cs="Times New Roman" w:eastAsia="Times New Roman" w:hint="default"/>
        </w:rPr>
        <w:t>2014</w:t>
      </w:r>
      <w:r>
        <w:rPr/>
        <w:t>年限制性股票激励计划部 </w:t>
      </w:r>
      <w:r>
        <w:rPr>
          <w:spacing w:val="-2"/>
        </w:rPr>
        <w:t>分已获授但尚未解锁的限制性股票的议案》。鉴于公司</w:t>
      </w:r>
      <w:r>
        <w:rPr>
          <w:rFonts w:ascii="Times New Roman" w:hAnsi="Times New Roman" w:cs="Times New Roman" w:eastAsia="Times New Roman" w:hint="default"/>
          <w:spacing w:val="-2"/>
        </w:rPr>
        <w:t>2014</w:t>
      </w:r>
      <w:r>
        <w:rPr>
          <w:spacing w:val="-2"/>
        </w:rPr>
        <w:t>年限制性股票激励计划原激励对象杨凡、张峥、韩孝阳、邓一波</w:t>
      </w:r>
      <w:r>
        <w:rPr>
          <w:spacing w:val="-63"/>
        </w:rPr>
        <w:t> </w:t>
      </w:r>
      <w:r>
        <w:rPr>
          <w:spacing w:val="-63"/>
        </w:rPr>
      </w:r>
      <w:r>
        <w:rPr/>
        <w:t>共计</w:t>
      </w:r>
      <w:r>
        <w:rPr>
          <w:rFonts w:ascii="Times New Roman" w:hAnsi="Times New Roman" w:cs="Times New Roman" w:eastAsia="Times New Roman" w:hint="default"/>
        </w:rPr>
        <w:t>4</w:t>
      </w:r>
      <w:r>
        <w:rPr/>
        <w:t>人因个人原因已离职，原激励对象杨斌与公司协商解除劳动合同，激励对象强征因在第一个解锁期的个人绩效考核结 果为</w:t>
      </w:r>
      <w:r>
        <w:rPr>
          <w:rFonts w:ascii="Times New Roman" w:hAnsi="Times New Roman" w:cs="Times New Roman" w:eastAsia="Times New Roman" w:hint="default"/>
        </w:rPr>
        <w:t>E</w:t>
      </w:r>
      <w:r>
        <w:rPr/>
        <w:t>，根据公司《激励计划（草案修订稿）》的规定和股东大会的授权，公司董事会同意：取消已离职人员杨凡、张峥、 韩孝阳、邓一波</w:t>
      </w:r>
      <w:r>
        <w:rPr>
          <w:rFonts w:ascii="Times New Roman" w:hAnsi="Times New Roman" w:cs="Times New Roman" w:eastAsia="Times New Roman" w:hint="default"/>
        </w:rPr>
        <w:t>4</w:t>
      </w:r>
      <w:r>
        <w:rPr/>
        <w:t>人的激励对象资格并回购注销其已获授权但尚未解锁的全部限制性股票共计</w:t>
      </w:r>
      <w:r>
        <w:rPr>
          <w:rFonts w:ascii="Times New Roman" w:hAnsi="Times New Roman" w:cs="Times New Roman" w:eastAsia="Times New Roman" w:hint="default"/>
        </w:rPr>
        <w:t>60,000</w:t>
      </w:r>
      <w:r>
        <w:rPr/>
        <w:t>股；将激励对象杨斌已 满足解锁条件的</w:t>
      </w:r>
      <w:r>
        <w:rPr>
          <w:rFonts w:ascii="Times New Roman" w:hAnsi="Times New Roman" w:cs="Times New Roman" w:eastAsia="Times New Roman" w:hint="default"/>
        </w:rPr>
        <w:t>3,000</w:t>
      </w:r>
      <w:r>
        <w:rPr/>
        <w:t>股限制性股票根据考核结果解锁，并将其剩余</w:t>
      </w:r>
      <w:r>
        <w:rPr>
          <w:rFonts w:ascii="Times New Roman" w:hAnsi="Times New Roman" w:cs="Times New Roman" w:eastAsia="Times New Roman" w:hint="default"/>
        </w:rPr>
        <w:t>7,000</w:t>
      </w:r>
      <w:r>
        <w:rPr/>
        <w:t>股已获授权但尚未解锁的限制性股票由公司回购后 予以注销；将激励对象强征已获授但尚未解锁的</w:t>
      </w:r>
      <w:r>
        <w:rPr>
          <w:rFonts w:ascii="Times New Roman" w:hAnsi="Times New Roman" w:cs="Times New Roman" w:eastAsia="Times New Roman" w:hint="default"/>
        </w:rPr>
        <w:t>2014</w:t>
      </w:r>
      <w:r>
        <w:rPr/>
        <w:t>年限制性股票</w:t>
      </w:r>
      <w:r>
        <w:rPr>
          <w:rFonts w:ascii="Times New Roman" w:hAnsi="Times New Roman" w:cs="Times New Roman" w:eastAsia="Times New Roman" w:hint="default"/>
        </w:rPr>
        <w:t>7,500</w:t>
      </w:r>
      <w:r>
        <w:rPr/>
        <w:t>股进行回购注销。</w:t>
      </w:r>
    </w:p>
    <w:p>
      <w:pPr>
        <w:pStyle w:val="BodyText"/>
        <w:spacing w:line="300" w:lineRule="auto" w:before="13"/>
        <w:ind w:left="584" w:right="1152"/>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日止，公司上述限制性股票的注销事宜尚未完成。 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日止，上述限制性股票已在中国证券登记结算有限责任公司深圳分公司完成注销手续。</w:t>
      </w:r>
    </w:p>
    <w:p>
      <w:pPr>
        <w:spacing w:line="240" w:lineRule="auto" w:before="5"/>
        <w:rPr>
          <w:rFonts w:ascii="宋体" w:hAnsi="宋体" w:cs="宋体" w:eastAsia="宋体" w:hint="default"/>
          <w:sz w:val="22"/>
          <w:szCs w:val="22"/>
        </w:rPr>
      </w:pPr>
    </w:p>
    <w:p>
      <w:pPr>
        <w:spacing w:line="487" w:lineRule="auto" w:before="0"/>
        <w:ind w:left="152" w:right="7365" w:firstLine="0"/>
        <w:jc w:val="left"/>
        <w:rPr>
          <w:rFonts w:ascii="宋体" w:hAnsi="宋体" w:cs="宋体" w:eastAsia="宋体" w:hint="default"/>
          <w:sz w:val="21"/>
          <w:szCs w:val="21"/>
        </w:rPr>
      </w:pPr>
      <w:bookmarkStart w:name="5、其他" w:id="469"/>
      <w:bookmarkEnd w:id="46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70"/>
      <w:bookmarkEnd w:id="470"/>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1"/>
      <w:bookmarkEnd w:id="47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5"/>
        <w:ind w:right="4914"/>
        <w:jc w:val="left"/>
      </w:pPr>
      <w:r>
        <w:rPr/>
        <w:t>资产负债表日存在的重要承诺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日止，本公司无需要披露的重大承诺事项。</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bookmarkStart w:name="2、或有事项" w:id="472"/>
      <w:bookmarkEnd w:id="47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73"/>
      <w:bookmarkEnd w:id="47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pStyle w:val="Heading3"/>
        <w:spacing w:line="240" w:lineRule="auto"/>
        <w:ind w:right="0"/>
        <w:jc w:val="left"/>
        <w:rPr>
          <w:b w:val="0"/>
          <w:bCs w:val="0"/>
        </w:rPr>
      </w:pPr>
      <w:bookmarkStart w:name="（2）公司没有需要披露的重要或有事项，也应予以说明" w:id="474"/>
      <w:bookmarkEnd w:id="47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6883" w:firstLine="0"/>
        <w:jc w:val="left"/>
        <w:rPr>
          <w:rFonts w:ascii="宋体" w:hAnsi="宋体" w:cs="宋体" w:eastAsia="宋体" w:hint="default"/>
          <w:sz w:val="21"/>
          <w:szCs w:val="21"/>
        </w:rPr>
      </w:pPr>
      <w:bookmarkStart w:name="3、其他" w:id="475"/>
      <w:bookmarkEnd w:id="47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76"/>
      <w:bookmarkEnd w:id="476"/>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77"/>
      <w:bookmarkEnd w:id="47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利润分配情况" w:id="478"/>
      <w:bookmarkEnd w:id="47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53,715,202.50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销售退回" w:id="479"/>
      <w:bookmarkEnd w:id="47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732" w:firstLine="0"/>
        <w:jc w:val="left"/>
        <w:rPr>
          <w:rFonts w:ascii="宋体" w:hAnsi="宋体" w:cs="宋体" w:eastAsia="宋体" w:hint="default"/>
          <w:sz w:val="21"/>
          <w:szCs w:val="21"/>
        </w:rPr>
      </w:pPr>
      <w:bookmarkStart w:name="4、其他资产负债表日后事项说明" w:id="480"/>
      <w:bookmarkEnd w:id="480"/>
      <w:r>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bookmarkStart w:name="十六、其他重要事项" w:id="481"/>
      <w:bookmarkEnd w:id="481"/>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82"/>
      <w:bookmarkEnd w:id="4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1"/>
        <w:ind w:right="0"/>
        <w:jc w:val="left"/>
        <w:rPr>
          <w:b w:val="0"/>
          <w:bCs w:val="0"/>
        </w:rPr>
      </w:pPr>
      <w:bookmarkStart w:name="（1）追溯重述法" w:id="483"/>
      <w:bookmarkEnd w:id="48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4"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来适用法" w:id="484"/>
      <w:bookmarkEnd w:id="48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债务重组" w:id="485"/>
      <w:bookmarkEnd w:id="48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86"/>
      <w:bookmarkEnd w:id="48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87"/>
      <w:bookmarkEnd w:id="48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88"/>
      <w:bookmarkEnd w:id="48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89"/>
      <w:bookmarkEnd w:id="48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90"/>
      <w:bookmarkEnd w:id="49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3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分部信息" w:id="491"/>
      <w:bookmarkEnd w:id="49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92"/>
      <w:bookmarkEnd w:id="49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93"/>
      <w:bookmarkEnd w:id="49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90"/>
        <w:jc w:val="left"/>
        <w:rPr>
          <w:b w:val="0"/>
          <w:bCs w:val="0"/>
        </w:rPr>
      </w:pPr>
      <w:bookmarkStart w:name="（3）公司无报告分部的，或者不能披露各报告分部的资产总额和负债总额的，应说明原因" w:id="494"/>
      <w:bookmarkEnd w:id="49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0"/>
        <w:jc w:val="left"/>
        <w:rPr>
          <w:b w:val="0"/>
          <w:bCs w:val="0"/>
        </w:rPr>
      </w:pPr>
      <w:bookmarkStart w:name="（4）其他说明" w:id="495"/>
      <w:bookmarkEnd w:id="49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bookmarkStart w:name="7、其他对投资者决策有影响的重要交易和事项" w:id="496"/>
      <w:bookmarkEnd w:id="49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0"/>
        <w:jc w:val="left"/>
        <w:rPr>
          <w:b w:val="0"/>
          <w:bCs w:val="0"/>
        </w:rPr>
      </w:pPr>
      <w:bookmarkStart w:name="8、其他" w:id="497"/>
      <w:bookmarkEnd w:id="497"/>
      <w:r>
        <w:rPr>
          <w:b w:val="0"/>
          <w:bCs w:val="0"/>
        </w:rPr>
      </w: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90"/>
        <w:jc w:val="left"/>
      </w:pPr>
      <w:r>
        <w:rPr/>
        <w:t>（</w:t>
      </w:r>
      <w:r>
        <w:rPr>
          <w:rFonts w:ascii="Times New Roman" w:hAnsi="Times New Roman" w:cs="Times New Roman" w:eastAsia="Times New Roman" w:hint="default"/>
        </w:rPr>
        <w:t>1</w:t>
      </w:r>
      <w:r>
        <w:rPr/>
        <w:t>）与杭州亚细亚集创科技有限公司、王敏的诉讼事项 </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11</w:t>
      </w:r>
      <w:r>
        <w:rPr>
          <w:spacing w:val="-4"/>
        </w:rPr>
        <w:t>月，本公司就与杭州亚细亚集创科技有限公司、王敏的买卖合同纠纷，向江苏省南京市雨花台区人民法院提起诉讼，</w:t>
      </w:r>
      <w:r>
        <w:rPr>
          <w:spacing w:val="-35"/>
        </w:rPr>
        <w:t> </w:t>
      </w:r>
      <w:r>
        <w:rPr>
          <w:spacing w:val="-35"/>
        </w:rPr>
      </w:r>
      <w:r>
        <w:rPr/>
        <w:t>要求两被告共同偿还本公司货款</w:t>
      </w:r>
      <w:r>
        <w:rPr>
          <w:rFonts w:ascii="Times New Roman" w:hAnsi="Times New Roman" w:cs="Times New Roman" w:eastAsia="Times New Roman" w:hint="default"/>
        </w:rPr>
        <w:t>7,606,552.76 </w:t>
      </w:r>
      <w:r>
        <w:rPr/>
        <w:t>元及利息</w:t>
      </w:r>
      <w:r>
        <w:rPr>
          <w:rFonts w:ascii="Times New Roman" w:hAnsi="Times New Roman" w:cs="Times New Roman" w:eastAsia="Times New Roman" w:hint="default"/>
        </w:rPr>
        <w:t>434,910.13</w:t>
      </w:r>
      <w:r>
        <w:rPr>
          <w:rFonts w:ascii="Times New Roman" w:hAnsi="Times New Roman" w:cs="Times New Roman" w:eastAsia="Times New Roman" w:hint="default"/>
          <w:spacing w:val="2"/>
        </w:rPr>
        <w:t> </w:t>
      </w:r>
      <w:r>
        <w:rPr/>
        <w:t>元以及从立案之日起至判决给付之日利息，王敏抵押房产 优先偿还欠款；并要求两被告共同向本公司支付违约金</w:t>
      </w:r>
      <w:r>
        <w:rPr>
          <w:rFonts w:ascii="Times New Roman" w:hAnsi="Times New Roman" w:cs="Times New Roman" w:eastAsia="Times New Roman" w:hint="default"/>
        </w:rPr>
        <w:t>1,094,385.60</w:t>
      </w:r>
      <w:r>
        <w:rPr/>
        <w:t>元。</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日，公司收到了江苏省南京市雨花 台区人民法院签发的（</w:t>
      </w:r>
      <w:r>
        <w:rPr>
          <w:rFonts w:ascii="Times New Roman" w:hAnsi="Times New Roman" w:cs="Times New Roman" w:eastAsia="Times New Roman" w:hint="default"/>
        </w:rPr>
        <w:t>2014</w:t>
      </w:r>
      <w:r>
        <w:rPr/>
        <w:t>）雨商初字第</w:t>
      </w:r>
      <w:r>
        <w:rPr>
          <w:rFonts w:ascii="Times New Roman" w:hAnsi="Times New Roman" w:cs="Times New Roman" w:eastAsia="Times New Roman" w:hint="default"/>
        </w:rPr>
        <w:t>414</w:t>
      </w:r>
      <w:r>
        <w:rPr>
          <w:rFonts w:ascii="Times New Roman" w:hAnsi="Times New Roman" w:cs="Times New Roman" w:eastAsia="Times New Roman" w:hint="default"/>
          <w:spacing w:val="26"/>
        </w:rPr>
        <w:t> </w:t>
      </w:r>
      <w:r>
        <w:rPr/>
        <w:t>号《受理案件通知书》。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日，南京市雨花台区人民法院签发了了（</w:t>
      </w:r>
      <w:r>
        <w:rPr>
          <w:rFonts w:ascii="Times New Roman" w:hAnsi="Times New Roman" w:cs="Times New Roman" w:eastAsia="Times New Roman" w:hint="default"/>
        </w:rPr>
        <w:t>2014</w:t>
      </w:r>
      <w:r>
        <w:rPr/>
        <w:t>）雨商初字第</w:t>
      </w:r>
      <w:r>
        <w:rPr>
          <w:rFonts w:ascii="Times New Roman" w:hAnsi="Times New Roman" w:cs="Times New Roman" w:eastAsia="Times New Roman" w:hint="default"/>
        </w:rPr>
        <w:t>414</w:t>
      </w:r>
      <w:r>
        <w:rPr>
          <w:rFonts w:ascii="Times New Roman" w:hAnsi="Times New Roman" w:cs="Times New Roman" w:eastAsia="Times New Roman" w:hint="default"/>
          <w:spacing w:val="21"/>
        </w:rPr>
        <w:t> </w:t>
      </w:r>
      <w:r>
        <w:rPr>
          <w:spacing w:val="-3"/>
        </w:rPr>
        <w:t>号《民事裁定书》，裁定如下：将被告杭州亚</w:t>
      </w:r>
      <w:r>
        <w:rPr/>
        <w:t> 细亚集创科技有限公司、被告王敏价值</w:t>
      </w:r>
      <w:r>
        <w:rPr>
          <w:rFonts w:ascii="Times New Roman" w:hAnsi="Times New Roman" w:cs="Times New Roman" w:eastAsia="Times New Roman" w:hint="default"/>
        </w:rPr>
        <w:t>870</w:t>
      </w:r>
      <w:r>
        <w:rPr>
          <w:rFonts w:ascii="Times New Roman" w:hAnsi="Times New Roman" w:cs="Times New Roman" w:eastAsia="Times New Roman" w:hint="default"/>
          <w:spacing w:val="-2"/>
        </w:rPr>
        <w:t> </w:t>
      </w:r>
      <w:r>
        <w:rPr/>
        <w:t>万元的财产予以查封、冻结。本裁定书送达后立即执行。如不服本裁定，可以向 本院申请复议一次。复议期间不停止裁定的执行。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日，本案开庭审理，判决如下：被告杭州亚细亚集创科技有限公司支付原告</w:t>
      </w:r>
      <w:r>
        <w:rPr>
          <w:rFonts w:ascii="Times New Roman" w:hAnsi="Times New Roman" w:cs="Times New Roman" w:eastAsia="Times New Roman" w:hint="default"/>
        </w:rPr>
        <w:t>7,606,552.76</w:t>
      </w:r>
      <w:r>
        <w:rPr>
          <w:rFonts w:ascii="Times New Roman" w:hAnsi="Times New Roman" w:cs="Times New Roman" w:eastAsia="Times New Roman" w:hint="default"/>
          <w:spacing w:val="26"/>
        </w:rPr>
        <w:t> </w:t>
      </w:r>
      <w:r>
        <w:rPr/>
        <w:t>元，并承担利息损失 </w:t>
      </w:r>
      <w:r>
        <w:rPr>
          <w:spacing w:val="-2"/>
        </w:rPr>
        <w:t>及违约金；被告王敏对被告杭州亚细亚集创科技有限公司的上述付款义务承担连带清偿责任；被告杭州亚细亚集创科技有限</w:t>
      </w:r>
      <w:r>
        <w:rPr>
          <w:spacing w:val="-64"/>
        </w:rPr>
        <w:t> </w:t>
      </w:r>
      <w:r>
        <w:rPr>
          <w:spacing w:val="-64"/>
        </w:rPr>
      </w:r>
      <w:r>
        <w:rPr/>
        <w:t>公司不履行上述付款义务时，原告有权就王敏名下的位于杭州西湖区兰亭公寓</w:t>
      </w:r>
      <w:r>
        <w:rPr>
          <w:rFonts w:ascii="Times New Roman" w:hAnsi="Times New Roman" w:cs="Times New Roman" w:eastAsia="Times New Roman" w:hint="default"/>
        </w:rPr>
        <w:t>2</w:t>
      </w:r>
      <w:r>
        <w:rPr/>
        <w:t>幢第五层房产变卖，拍卖的价款在</w:t>
      </w:r>
      <w:r>
        <w:rPr>
          <w:rFonts w:ascii="Times New Roman" w:hAnsi="Times New Roman" w:cs="Times New Roman" w:eastAsia="Times New Roman" w:hint="default"/>
        </w:rPr>
        <w:t>1,000</w:t>
      </w:r>
      <w:r>
        <w:rPr/>
        <w:t>万元</w:t>
      </w:r>
      <w:r>
        <w:rPr>
          <w:spacing w:val="-3"/>
        </w:rPr>
        <w:t> </w:t>
      </w:r>
      <w:r>
        <w:rPr/>
        <w:t>范围内优先受偿。如果被告未在指定期间履行给付金钱义务，则加倍支付迟延履行期间的债务利息。</w:t>
      </w:r>
      <w:r>
        <w:rPr/>
        <w:t> 目前公司已申请对被查封财产予以强制执行，法院聘请了评估机构进行评估并出具了评估报告，被查封财产等待拍卖。</w:t>
      </w:r>
    </w:p>
    <w:p>
      <w:pPr>
        <w:pStyle w:val="BodyText"/>
        <w:spacing w:line="240" w:lineRule="auto" w:before="27"/>
        <w:ind w:left="153" w:right="90"/>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日止，除上述事项外本公司无需要披露的其他重要事项。</w:t>
      </w:r>
    </w:p>
    <w:p>
      <w:pPr>
        <w:spacing w:line="240" w:lineRule="auto" w:before="3"/>
        <w:rPr>
          <w:rFonts w:ascii="宋体" w:hAnsi="宋体" w:cs="宋体" w:eastAsia="宋体" w:hint="default"/>
          <w:sz w:val="24"/>
          <w:szCs w:val="24"/>
        </w:rPr>
      </w:pPr>
    </w:p>
    <w:p>
      <w:pPr>
        <w:pStyle w:val="Heading2"/>
        <w:spacing w:line="240" w:lineRule="auto"/>
        <w:ind w:right="90"/>
        <w:jc w:val="left"/>
        <w:rPr>
          <w:b w:val="0"/>
          <w:bCs w:val="0"/>
        </w:rPr>
      </w:pPr>
      <w:bookmarkStart w:name="十七、母公司财务报表主要项目注释" w:id="498"/>
      <w:bookmarkEnd w:id="498"/>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0"/>
        <w:jc w:val="left"/>
        <w:rPr>
          <w:b w:val="0"/>
          <w:bCs w:val="0"/>
        </w:rPr>
      </w:pPr>
      <w:bookmarkStart w:name="1、应收账款" w:id="499"/>
      <w:bookmarkEnd w:id="49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bookmarkStart w:name="（1）应收账款分类披露" w:id="500"/>
      <w:bookmarkEnd w:id="50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226,898,</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257.51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17,290,9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09.91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7.62%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209,607,3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47.60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193,912</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,829.37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12,683,49</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8.42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181,229,33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0.95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226,898,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257.51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17,290,9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09.91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7.62%</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209,607,3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47.60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193,912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,829.37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12,683,49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8.42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6.54%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181,229,33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0.95</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0"/>
        <w:jc w:val="left"/>
      </w:pPr>
      <w:r>
        <w:rPr/>
        <w:t>期末单项金额重大并单项计提坏账准备的应收账款：</w:t>
      </w:r>
    </w:p>
    <w:p>
      <w:pPr>
        <w:pStyle w:val="BodyText"/>
        <w:spacing w:line="240" w:lineRule="auto" w:before="115"/>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5"/>
          <w:pgSz w:w="11910" w:h="16840"/>
          <w:pgMar w:footer="982" w:header="745" w:top="1060" w:bottom="1180" w:left="980" w:right="940"/>
          <w:pgNumType w:start="195"/>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2" w:top="1060" w:bottom="1180" w:left="980" w:right="980"/>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113" w:space="4714"/>
            <w:col w:w="112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0"/>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4D4D4"/>
          </w:tcPr>
          <w:p>
            <w:pPr/>
          </w:p>
        </w:tc>
        <w:tc>
          <w:tcPr>
            <w:tcW w:w="23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4D4D4"/>
          </w:tcPr>
          <w:p>
            <w:pPr/>
          </w:p>
        </w:tc>
        <w:tc>
          <w:tcPr>
            <w:tcW w:w="230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196,795,131.73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9,839,756.59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23,382,991.79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2,338,299.18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3,214,559.70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1,607,279.85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3,505,574.29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3,505,574.29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226,898,257.51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17,290,909.91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7.62%</w:t>
            </w:r>
          </w:p>
        </w:tc>
      </w:tr>
    </w:tbl>
    <w:p>
      <w:pPr>
        <w:pStyle w:val="BodyText"/>
        <w:spacing w:line="357" w:lineRule="auto" w:before="49"/>
        <w:ind w:right="0"/>
        <w:jc w:val="left"/>
      </w:pPr>
      <w:r>
        <w:rPr/>
        <w:t>确定该组合依据的说明： 对单项金额重大单独测试未发生减值的应收款项汇同单项金额不重大的应收款项，本公司以账龄作为信用风险特征组合。 组合中，采用余额百分比法计提坏账准备的应收账款：</w:t>
      </w:r>
    </w:p>
    <w:p>
      <w:pPr>
        <w:pStyle w:val="BodyText"/>
        <w:spacing w:line="338" w:lineRule="auto" w:before="29"/>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501"/>
      <w:bookmarkEnd w:id="50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pStyle w:val="BodyText"/>
        <w:spacing w:line="340" w:lineRule="auto" w:before="44"/>
        <w:ind w:right="-13"/>
        <w:jc w:val="left"/>
      </w:pPr>
      <w:r>
        <w:rPr/>
        <w:t>本期计提坏账准备金额</w:t>
      </w:r>
      <w:r>
        <w:rPr>
          <w:spacing w:val="-51"/>
        </w:rPr>
        <w:t> </w:t>
      </w:r>
      <w:r>
        <w:rPr>
          <w:rFonts w:ascii="Times New Roman" w:hAnsi="Times New Roman" w:cs="Times New Roman" w:eastAsia="Times New Roman" w:hint="default"/>
        </w:rPr>
        <w:t>4,607,411.49</w:t>
      </w:r>
      <w:r>
        <w:rPr>
          <w:rFonts w:ascii="Times New Roman" w:hAnsi="Times New Roman" w:cs="Times New Roman" w:eastAsia="Times New Roman" w:hint="default"/>
          <w:spacing w:val="-6"/>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043" w:space="278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502"/>
      <w:bookmarkEnd w:id="50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其中重要的应收账款核销情况：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按欠款方归集的期末余额前五名的应收账款情况" w:id="503"/>
      <w:bookmarkEnd w:id="50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tbl>
      <w:tblPr>
        <w:tblW w:w="0" w:type="auto"/>
        <w:jc w:val="left"/>
        <w:tblInd w:w="145" w:type="dxa"/>
        <w:tblLayout w:type="fixed"/>
        <w:tblCellMar>
          <w:top w:w="0" w:type="dxa"/>
          <w:left w:w="0" w:type="dxa"/>
          <w:bottom w:w="0" w:type="dxa"/>
          <w:right w:w="0" w:type="dxa"/>
        </w:tblCellMar>
        <w:tblLook w:val="01E0"/>
      </w:tblPr>
      <w:tblGrid>
        <w:gridCol w:w="1843"/>
        <w:gridCol w:w="1843"/>
        <w:gridCol w:w="2129"/>
        <w:gridCol w:w="1699"/>
      </w:tblGrid>
      <w:tr>
        <w:trPr>
          <w:trHeight w:val="662" w:hRule="exact"/>
        </w:trPr>
        <w:tc>
          <w:tcPr>
            <w:tcW w:w="18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513"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129"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4"/>
              <w:ind w:left="556" w:right="59" w:hanging="500"/>
              <w:jc w:val="left"/>
              <w:rPr>
                <w:rFonts w:ascii="宋体" w:hAnsi="宋体" w:cs="宋体" w:eastAsia="宋体" w:hint="default"/>
                <w:sz w:val="20"/>
                <w:szCs w:val="20"/>
              </w:rPr>
            </w:pPr>
            <w:r>
              <w:rPr>
                <w:rFonts w:ascii="宋体" w:hAnsi="宋体" w:cs="宋体" w:eastAsia="宋体" w:hint="default"/>
                <w:sz w:val="20"/>
                <w:szCs w:val="20"/>
              </w:rPr>
              <w:t>占应收账款期末余额合</w:t>
            </w:r>
            <w:r>
              <w:rPr>
                <w:rFonts w:ascii="宋体" w:hAnsi="宋体" w:cs="宋体" w:eastAsia="宋体" w:hint="default"/>
                <w:w w:val="99"/>
                <w:sz w:val="20"/>
                <w:szCs w:val="20"/>
              </w:rPr>
              <w:t> </w:t>
            </w:r>
            <w:r>
              <w:rPr>
                <w:rFonts w:ascii="宋体" w:hAnsi="宋体" w:cs="宋体" w:eastAsia="宋体" w:hint="default"/>
                <w:sz w:val="20"/>
                <w:szCs w:val="20"/>
              </w:rPr>
              <w:t>计数的比例</w:t>
            </w:r>
          </w:p>
        </w:tc>
        <w:tc>
          <w:tcPr>
            <w:tcW w:w="1699"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4"/>
              <w:ind w:left="441" w:right="451"/>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w w:val="99"/>
                <w:sz w:val="20"/>
                <w:szCs w:val="20"/>
              </w:rPr>
              <w:t> </w:t>
            </w:r>
            <w:r>
              <w:rPr>
                <w:rFonts w:ascii="宋体" w:hAnsi="宋体" w:cs="宋体" w:eastAsia="宋体" w:hint="default"/>
                <w:sz w:val="20"/>
                <w:szCs w:val="20"/>
              </w:rPr>
              <w:t>期末余额</w:t>
            </w:r>
          </w:p>
        </w:tc>
      </w:tr>
    </w:tbl>
    <w:p>
      <w:pPr>
        <w:spacing w:after="0" w:line="285" w:lineRule="auto"/>
        <w:jc w:val="left"/>
        <w:rPr>
          <w:rFonts w:ascii="宋体" w:hAnsi="宋体" w:cs="宋体" w:eastAsia="宋体" w:hint="default"/>
          <w:sz w:val="20"/>
          <w:szCs w:val="20"/>
        </w:rPr>
        <w:sectPr>
          <w:type w:val="continuous"/>
          <w:pgSz w:w="11910" w:h="16840"/>
          <w:pgMar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843"/>
        <w:gridCol w:w="1843"/>
        <w:gridCol w:w="2129"/>
        <w:gridCol w:w="1699"/>
      </w:tblGrid>
      <w:tr>
        <w:trPr>
          <w:trHeight w:val="350" w:hRule="exact"/>
        </w:trPr>
        <w:tc>
          <w:tcPr>
            <w:tcW w:w="18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18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20,122,572.52</w:t>
            </w:r>
            <w:r>
              <w:rPr>
                <w:rFonts w:ascii="Times New Roman"/>
                <w:sz w:val="20"/>
              </w:rPr>
            </w:r>
          </w:p>
        </w:tc>
        <w:tc>
          <w:tcPr>
            <w:tcW w:w="212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8.87%</w:t>
            </w:r>
          </w:p>
        </w:tc>
        <w:tc>
          <w:tcPr>
            <w:tcW w:w="1699"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1,006,128.63</w:t>
            </w:r>
            <w:r>
              <w:rPr>
                <w:rFonts w:ascii="Times New Roman"/>
                <w:sz w:val="20"/>
              </w:rPr>
            </w:r>
          </w:p>
        </w:tc>
      </w:tr>
      <w:tr>
        <w:trPr>
          <w:trHeight w:val="346" w:hRule="exact"/>
        </w:trPr>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18,851,467.00</w:t>
            </w:r>
            <w:r>
              <w:rPr>
                <w:rFonts w:ascii="Times New Roman"/>
                <w:sz w:val="20"/>
              </w:rPr>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8.31%</w:t>
            </w:r>
          </w:p>
        </w:tc>
        <w:tc>
          <w:tcPr>
            <w:tcW w:w="169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w w:val="95"/>
                <w:sz w:val="20"/>
              </w:rPr>
              <w:t>942,573.35</w:t>
            </w:r>
            <w:r>
              <w:rPr>
                <w:rFonts w:ascii="Times New Roman"/>
                <w:sz w:val="20"/>
              </w:rPr>
            </w:r>
          </w:p>
        </w:tc>
      </w:tr>
      <w:tr>
        <w:trPr>
          <w:trHeight w:val="348" w:hRule="exact"/>
        </w:trPr>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15,254,146.73</w:t>
            </w:r>
            <w:r>
              <w:rPr>
                <w:rFonts w:ascii="Times New Roman"/>
                <w:sz w:val="20"/>
              </w:rPr>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6.72%</w:t>
            </w:r>
          </w:p>
        </w:tc>
        <w:tc>
          <w:tcPr>
            <w:tcW w:w="169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762,707.34</w:t>
            </w:r>
            <w:r>
              <w:rPr>
                <w:rFonts w:ascii="Times New Roman"/>
                <w:sz w:val="20"/>
              </w:rPr>
            </w:r>
          </w:p>
        </w:tc>
      </w:tr>
      <w:tr>
        <w:trPr>
          <w:trHeight w:val="346" w:hRule="exact"/>
        </w:trPr>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12,484,465.00</w:t>
            </w:r>
            <w:r>
              <w:rPr>
                <w:rFonts w:ascii="Times New Roman"/>
                <w:sz w:val="20"/>
              </w:rPr>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5.50%</w:t>
            </w:r>
          </w:p>
        </w:tc>
        <w:tc>
          <w:tcPr>
            <w:tcW w:w="169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w w:val="95"/>
                <w:sz w:val="20"/>
              </w:rPr>
              <w:t>624,223.25</w:t>
            </w:r>
            <w:r>
              <w:rPr>
                <w:rFonts w:ascii="Times New Roman"/>
                <w:sz w:val="20"/>
              </w:rPr>
            </w:r>
          </w:p>
        </w:tc>
      </w:tr>
      <w:tr>
        <w:trPr>
          <w:trHeight w:val="348" w:hRule="exact"/>
        </w:trPr>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12,021,780.28</w:t>
            </w:r>
            <w:r>
              <w:rPr>
                <w:rFonts w:ascii="Times New Roman"/>
                <w:sz w:val="20"/>
              </w:rPr>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5.30%</w:t>
            </w:r>
          </w:p>
        </w:tc>
        <w:tc>
          <w:tcPr>
            <w:tcW w:w="169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601,089.01</w:t>
            </w:r>
            <w:r>
              <w:rPr>
                <w:rFonts w:ascii="Times New Roman"/>
                <w:sz w:val="20"/>
              </w:rPr>
            </w:r>
          </w:p>
        </w:tc>
      </w:tr>
      <w:tr>
        <w:trPr>
          <w:trHeight w:val="348" w:hRule="exact"/>
        </w:trPr>
        <w:tc>
          <w:tcPr>
            <w:tcW w:w="1843" w:type="dxa"/>
            <w:tcBorders>
              <w:top w:val="single" w:sz="8" w:space="0" w:color="000000"/>
              <w:left w:val="single" w:sz="6" w:space="0" w:color="000000"/>
              <w:bottom w:val="single" w:sz="8" w:space="0" w:color="000000"/>
              <w:right w:val="single" w:sz="6" w:space="0" w:color="000000"/>
            </w:tcBorders>
          </w:tcPr>
          <w:p>
            <w:pPr>
              <w:pStyle w:val="TableParagraph"/>
              <w:tabs>
                <w:tab w:pos="1077" w:val="left" w:leader="none"/>
              </w:tabs>
              <w:spacing w:line="259" w:lineRule="exact"/>
              <w:ind w:left="554"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78,734,431.53</w:t>
            </w:r>
            <w:r>
              <w:rPr>
                <w:rFonts w:ascii="Times New Roman"/>
                <w:sz w:val="20"/>
              </w:rPr>
            </w:r>
          </w:p>
        </w:tc>
        <w:tc>
          <w:tcPr>
            <w:tcW w:w="21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34.70%</w:t>
            </w:r>
          </w:p>
        </w:tc>
        <w:tc>
          <w:tcPr>
            <w:tcW w:w="169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w w:val="95"/>
                <w:sz w:val="20"/>
              </w:rPr>
              <w:t>3,936,721.58</w:t>
            </w:r>
            <w:r>
              <w:rPr>
                <w:rFonts w:ascii="Times New Roman"/>
                <w:sz w:val="20"/>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bookmarkStart w:name="（5）因金融资产转移而终止确认的应收账款" w:id="504"/>
      <w:bookmarkEnd w:id="50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505"/>
      <w:bookmarkEnd w:id="50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其他应收款" w:id="506"/>
      <w:bookmarkEnd w:id="50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07"/>
      <w:bookmarkEnd w:id="50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271,896,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226.98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13,781,6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78.40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258,114,5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48.58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203,813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,488.14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10,409,51</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3.12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5.11%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193,403,97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5.02</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271,896,</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226.98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13,781,6</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78.40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5.07%</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258,114,5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48.58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203,813</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,488.14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10,409,51</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3.12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5.11%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193,403,97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5.02</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0"/>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477" w:type="dxa"/>
            <w:vMerge/>
            <w:tcBorders>
              <w:left w:val="single" w:sz="4" w:space="0" w:color="000000"/>
              <w:bottom w:val="nil" w:sz="6" w:space="0" w:color="auto"/>
              <w:right w:val="single" w:sz="4" w:space="0" w:color="000000"/>
            </w:tcBorders>
            <w:shd w:val="clear" w:color="auto" w:fill="D4D4D4"/>
          </w:tcPr>
          <w:p>
            <w:pPr/>
          </w:p>
        </w:tc>
        <w:tc>
          <w:tcPr>
            <w:tcW w:w="23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477" w:type="dxa"/>
            <w:tcBorders>
              <w:top w:val="nil" w:sz="6" w:space="0" w:color="auto"/>
              <w:left w:val="single" w:sz="4" w:space="0" w:color="000000"/>
              <w:bottom w:val="single" w:sz="4" w:space="0" w:color="000000"/>
              <w:right w:val="single" w:sz="4" w:space="0" w:color="000000"/>
            </w:tcBorders>
            <w:shd w:val="clear" w:color="auto" w:fill="D4D4D4"/>
          </w:tcPr>
          <w:p>
            <w:pPr/>
          </w:p>
        </w:tc>
        <w:tc>
          <w:tcPr>
            <w:tcW w:w="230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271,344,250.02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13,567,212.50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181,931.46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18,193.15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347,545.50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173,772.75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271,896,226.98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13,781,678.40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5.07%</w:t>
            </w:r>
          </w:p>
        </w:tc>
      </w:tr>
    </w:tbl>
    <w:p>
      <w:pPr>
        <w:pStyle w:val="BodyText"/>
        <w:spacing w:line="357" w:lineRule="auto" w:before="49"/>
        <w:ind w:right="0"/>
        <w:jc w:val="left"/>
      </w:pPr>
      <w:r>
        <w:rPr/>
        <w:t>确定该组合依据的说明： 对单项金额重大单独测试未发生减值的应收款项汇同单项金额不重大的应收款项，本公司以账龄作为信用风险特征组合。 组合中，采用余额百分比法计提坏账准备的其他应收款：</w:t>
      </w:r>
    </w:p>
    <w:p>
      <w:pPr>
        <w:pStyle w:val="BodyText"/>
        <w:spacing w:line="338" w:lineRule="auto" w:before="29"/>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508"/>
      <w:bookmarkEnd w:id="50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38" w:lineRule="auto" w:before="44"/>
        <w:ind w:right="-13"/>
        <w:jc w:val="left"/>
      </w:pPr>
      <w:r>
        <w:rPr/>
        <w:t>本期计提坏账准备金额</w:t>
      </w:r>
      <w:r>
        <w:rPr>
          <w:spacing w:val="-48"/>
        </w:rPr>
        <w:t> </w:t>
      </w:r>
      <w:r>
        <w:rPr>
          <w:rFonts w:ascii="Times New Roman" w:hAnsi="Times New Roman" w:cs="Times New Roman" w:eastAsia="Times New Roman" w:hint="default"/>
        </w:rPr>
        <w:t>3,372,165.28</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050" w:space="2777"/>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其他应收款情况" w:id="509"/>
      <w:bookmarkEnd w:id="50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其他应收款按款项性质分类情况" w:id="510"/>
      <w:bookmarkEnd w:id="51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265,196,974.99</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198,198,000.00</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3,516,398.55</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3,144,218.00</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3,182,853.44</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2,471,270.14</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271,896,226.98</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203,813,488.14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按欠款方归集的期末余额前五名的其他应收款情况" w:id="511"/>
      <w:bookmarkEnd w:id="51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83"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362"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79"/>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江苏润和南京软件外 包园投资有限公司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260,425,082.20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95.78%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13,021,254.11</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丝略软件（上海）有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4,771,892.79</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238,594.64</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社保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671,986.55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33,599.33</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639,716.00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31,985.80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江苏新兴电力建设实 业有限公司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229,500.00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11,475.00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266,738,177.54</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98.18%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13,336,908.88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512"/>
      <w:bookmarkEnd w:id="51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因金融资产转移而终止确认的其他应收款" w:id="513"/>
      <w:bookmarkEnd w:id="51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514"/>
      <w:bookmarkEnd w:id="51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长期股权投资" w:id="515"/>
      <w:bookmarkEnd w:id="51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3,285,305,665.40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3,285,305,665.40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1,011,413,400.40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1,011,413,400.40</w:t>
            </w:r>
          </w:p>
        </w:tc>
      </w:tr>
      <w:tr>
        <w:trPr>
          <w:trHeight w:val="71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3,325,305,665.40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3,325,305,665.40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1,011,413,400.40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1,011,413,400.40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516"/>
      <w:bookmarkEnd w:id="51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67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219"/>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17"/>
                <w:sz w:val="18"/>
              </w:rPr>
              <w:t> </w:t>
            </w:r>
            <w:r>
              <w:rPr>
                <w:rFonts w:ascii="Times New Roman"/>
                <w:sz w:val="18"/>
              </w:rPr>
              <w:t>Co.,</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6,589,850.00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6,589,850.00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Ltd.</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株式会社ホープ ラン東京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4,856,001.00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4,856,001.00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江苏润和南京软 件外包园投资有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181,097,600.00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181,097,600.00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SRS2</w:t>
            </w:r>
            <w:r>
              <w:rPr>
                <w:rFonts w:ascii="Times New Roman"/>
                <w:spacing w:val="-4"/>
                <w:sz w:val="18"/>
              </w:rPr>
              <w:t> </w:t>
            </w:r>
            <w:r>
              <w:rPr>
                <w:rFonts w:ascii="Times New Roman"/>
                <w:sz w:val="18"/>
              </w:rPr>
              <w:t>LIMITED</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2,084,594.40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2,084,594.40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南京润和数码有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5,320,755.00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5,320,755.00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西安润和软件信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北京润和汇智信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江苏开拓信息与 系统有限公司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56,464,600.00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56,464,600.00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上海润和信息技 术服务有限公司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北京捷科智诚科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北京联创智融信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2,197,746,900.00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2,197,746,900.00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香港润和信息技 术投资有限公司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2,466,120.00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2,466,120.00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上海菲耐得信息 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1,011,413,400.40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2,279,213,020.00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5,320,755.00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3,285,305,665.40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517"/>
      <w:bookmarkEnd w:id="51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上海云角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982" w:header="745"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其他说明" w:id="518"/>
      <w:bookmarkEnd w:id="51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t>①公司于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 </w:t>
      </w:r>
      <w:r>
        <w:rPr>
          <w:spacing w:val="-2"/>
        </w:rPr>
        <w:t>月</w:t>
      </w:r>
      <w:r>
        <w:rPr>
          <w:rFonts w:ascii="Times New Roman" w:hAnsi="Times New Roman" w:cs="Times New Roman" w:eastAsia="Times New Roman" w:hint="default"/>
          <w:spacing w:val="-2"/>
        </w:rPr>
        <w:t>22</w:t>
      </w:r>
      <w:r>
        <w:rPr>
          <w:spacing w:val="-2"/>
        </w:rPr>
        <w:t>日召开的第四届董事会第二十九次会议审议通过了《关于公司投资设立香港全资子公司的议案》，同</w:t>
      </w:r>
      <w:r>
        <w:rPr>
          <w:spacing w:val="-82"/>
        </w:rPr>
        <w:t> </w:t>
      </w:r>
      <w:r>
        <w:rPr>
          <w:spacing w:val="-82"/>
        </w:rPr>
      </w:r>
      <w:r>
        <w:rPr/>
        <w:t>意公司以自有资金</w:t>
      </w:r>
      <w:r>
        <w:rPr>
          <w:rFonts w:ascii="Times New Roman" w:hAnsi="Times New Roman" w:cs="Times New Roman" w:eastAsia="Times New Roman" w:hint="default"/>
        </w:rPr>
        <w:t>300</w:t>
      </w:r>
      <w:r>
        <w:rPr/>
        <w:t>万元港币在香港投资设立子公司，于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日完成注册登记。</w:t>
      </w:r>
    </w:p>
    <w:p>
      <w:pPr>
        <w:pStyle w:val="BodyText"/>
        <w:spacing w:line="240" w:lineRule="auto" w:before="13"/>
        <w:ind w:right="0"/>
        <w:jc w:val="left"/>
      </w:pPr>
      <w:r>
        <w:rPr/>
        <w:t>②本年非同一控制下企业合并北京联创智融信息技术有限公司以及上海菲耐得信息科技有限公司事项，详见附注八、</w:t>
      </w:r>
      <w:r>
        <w:rPr>
          <w:rFonts w:ascii="Times New Roman" w:hAnsi="Times New Roman" w:cs="Times New Roman" w:eastAsia="Times New Roman" w:hint="default"/>
        </w:rPr>
        <w:t>1</w:t>
      </w:r>
      <w:r>
        <w:rPr/>
        <w:t>。</w:t>
      </w:r>
    </w:p>
    <w:p>
      <w:pPr>
        <w:pStyle w:val="BodyText"/>
        <w:spacing w:line="240" w:lineRule="auto" w:before="62"/>
        <w:ind w:right="0"/>
        <w:jc w:val="left"/>
      </w:pPr>
      <w:r>
        <w:rPr/>
        <w:t>③本年新增对联营企业投资事项，详见七、</w:t>
      </w:r>
      <w:r>
        <w:rPr>
          <w:rFonts w:ascii="Times New Roman" w:hAnsi="Times New Roman" w:cs="Times New Roman" w:eastAsia="Times New Roman" w:hint="default"/>
        </w:rPr>
        <w:t>17</w:t>
      </w:r>
      <w:r>
        <w:rPr/>
        <w:t>。</w:t>
      </w:r>
    </w:p>
    <w:p>
      <w:pPr>
        <w:pStyle w:val="BodyText"/>
        <w:spacing w:line="240" w:lineRule="auto" w:before="62"/>
        <w:ind w:right="0"/>
        <w:jc w:val="left"/>
      </w:pPr>
      <w:r>
        <w:rPr/>
        <w:t>④本年内长期股权投资没有发生减值的情形，故未计提长期股权投资减值准备。</w:t>
      </w:r>
    </w:p>
    <w:p>
      <w:pPr>
        <w:pStyle w:val="BodyText"/>
        <w:spacing w:line="240" w:lineRule="auto" w:before="76"/>
        <w:ind w:right="0"/>
        <w:jc w:val="left"/>
      </w:pPr>
      <w:r>
        <w:rPr/>
        <w:t>⑤本公司投资变现及投资收益汇回无重大限制。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bookmarkStart w:name="4、营业收入和营业成本" w:id="519"/>
      <w:bookmarkEnd w:id="51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441,252,854.04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311,612,910.78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415,716,413.58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262,860,354.19</w:t>
            </w:r>
            <w:r>
              <w:rPr>
                <w:rFonts w:ascii="Times New Roman"/>
                <w:sz w:val="18"/>
              </w:rPr>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441,252,854.04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311,612,910.78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415,716,413.58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262,860,354.19</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投资收益" w:id="520"/>
      <w:bookmarkEnd w:id="52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-42,982.50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3,460,000.00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3,417,017.50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 w:id="521"/>
      <w:bookmarkEnd w:id="521"/>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22"/>
      <w:bookmarkEnd w:id="522"/>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23"/>
      <w:bookmarkEnd w:id="52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w:t>
      </w:r>
      <w:r>
        <w:rPr>
          <w:spacing w:val="1"/>
        </w:rPr>
        <w:t> </w:t>
      </w:r>
      <w:r>
        <w:rPr/>
        <w:t>元</w:t>
      </w:r>
    </w:p>
    <w:p>
      <w:pPr>
        <w:spacing w:after="0" w:line="240" w:lineRule="auto"/>
        <w:jc w:val="right"/>
        <w:sectPr>
          <w:footerReference w:type="default" r:id="rId27"/>
          <w:pgSz w:w="11910" w:h="16840"/>
          <w:pgMar w:footer="982" w:header="745" w:top="1060" w:bottom="1180" w:left="980" w:right="980"/>
          <w:pgNumType w:start="201"/>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79,061,639.91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8,375,054.72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3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3,446,500.00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-39,706.49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20,079,767.99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-9,788.20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70,773,508.35</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524"/>
      <w:bookmarkEnd w:id="52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2650"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0.64</w:t>
            </w:r>
            <w:r>
              <w:rPr>
                <w:rFonts w:ascii="Times New Roman"/>
                <w:sz w:val="18"/>
              </w:rPr>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0.41</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境内外会计准则下会计数据差异" w:id="525"/>
      <w:bookmarkEnd w:id="52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26"/>
      <w:bookmarkEnd w:id="52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527"/>
      <w:bookmarkEnd w:id="52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28"/>
      <w:bookmarkEnd w:id="52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其他" w:id="529"/>
      <w:bookmarkEnd w:id="52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4" w:right="0"/>
        <w:jc w:val="left"/>
        <w:rPr>
          <w:b w:val="0"/>
          <w:bCs w:val="0"/>
        </w:rPr>
      </w:pPr>
      <w:bookmarkStart w:name="第十一节 备查文件目录" w:id="530"/>
      <w:bookmarkEnd w:id="530"/>
      <w:r>
        <w:rPr>
          <w:b w:val="0"/>
          <w:bCs w:val="0"/>
        </w:rPr>
      </w:r>
      <w:bookmarkStart w:name="_bookmark9" w:id="531"/>
      <w:bookmarkEnd w:id="531"/>
      <w:r>
        <w:rPr>
          <w:b w:val="0"/>
          <w:bCs w:val="0"/>
        </w:rPr>
      </w:r>
      <w:r>
        <w:rPr/>
        <w:t>第十一节</w:t>
      </w:r>
      <w:r>
        <w:rPr>
          <w:spacing w:val="-5"/>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、载有公司法定代表人周红卫先生签名的</w:t>
      </w:r>
      <w:r>
        <w:rPr>
          <w:rFonts w:ascii="Times New Roman" w:hAnsi="Times New Roman" w:cs="Times New Roman" w:eastAsia="Times New Roman" w:hint="default"/>
        </w:rPr>
        <w:t>2015</w:t>
      </w:r>
      <w:r>
        <w:rPr/>
        <w:t>年度报告文本原件；</w:t>
      </w:r>
    </w:p>
    <w:p>
      <w:pPr>
        <w:pStyle w:val="BodyText"/>
        <w:spacing w:line="300" w:lineRule="auto" w:before="62"/>
        <w:ind w:right="144"/>
        <w:jc w:val="left"/>
      </w:pPr>
      <w:r>
        <w:rPr>
          <w:rFonts w:ascii="Times New Roman" w:hAnsi="Times New Roman" w:cs="Times New Roman" w:eastAsia="Times New Roman" w:hint="default"/>
        </w:rPr>
        <w:t>2</w:t>
      </w:r>
      <w:r>
        <w:rPr/>
        <w:t>、载有单位负责人周红卫先生、主管会计工作负责人朱祖龙先生、会计机构负责人朱祖龙先生签名并盖章的财务报告文本 原件；</w:t>
      </w:r>
    </w:p>
    <w:p>
      <w:pPr>
        <w:pStyle w:val="BodyText"/>
        <w:spacing w:line="240" w:lineRule="auto" w:before="31"/>
        <w:ind w:right="0"/>
        <w:jc w:val="left"/>
      </w:pPr>
      <w:r>
        <w:rPr>
          <w:rFonts w:ascii="Times New Roman" w:hAnsi="Times New Roman" w:cs="Times New Roman" w:eastAsia="Times New Roman" w:hint="default"/>
        </w:rPr>
        <w:t>3</w:t>
      </w:r>
      <w:r>
        <w:rPr/>
        <w:t>、报告期内在中国证监会创业板指定信息披露网站披露过的所有文件的正本及公告的原稿；</w:t>
      </w:r>
    </w:p>
    <w:p>
      <w:pPr>
        <w:pStyle w:val="BodyText"/>
        <w:spacing w:line="300" w:lineRule="auto" w:before="62"/>
        <w:ind w:right="6714"/>
        <w:jc w:val="left"/>
      </w:pPr>
      <w:r>
        <w:rPr>
          <w:rFonts w:ascii="Times New Roman" w:hAnsi="Times New Roman" w:cs="Times New Roman" w:eastAsia="Times New Roman" w:hint="default"/>
        </w:rPr>
        <w:t>4</w:t>
      </w:r>
      <w:r>
        <w:rPr/>
        <w:t>、其他有关资料。 以上备查文件的备置地点：公司证券部</w:t>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1147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147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128</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147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158</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147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195</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11476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147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147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147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11478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147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1147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1147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147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147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124</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pt;margin-top:36.265610pt;width:195.7pt;height:11.5pt;mso-position-horizontal-relative:page;mso-position-vertical-relative:page;z-index:-1147984" type="#_x0000_t202" filled="false" stroked="false">
          <v:textbox inset="0,0,0,0">
            <w:txbxContent>
              <w:p>
                <w:pPr>
                  <w:pStyle w:val="BodyText"/>
                  <w:spacing w:line="214" w:lineRule="exact"/>
                  <w:ind w:left="20" w:right="0"/>
                  <w:jc w:val="left"/>
                </w:pPr>
                <w:r>
                  <w:rPr/>
                  <w:t>江苏润和软件股份有限公司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hoperun.com/" TargetMode="External"/><Relationship Id="rId9" Type="http://schemas.openxmlformats.org/officeDocument/2006/relationships/hyperlink" Target="mailto:company@hoperun.com" TargetMode="External"/><Relationship Id="rId10" Type="http://schemas.openxmlformats.org/officeDocument/2006/relationships/hyperlink" Target="http://www.cninfo.com.cn/" TargetMode="External"/><Relationship Id="rId11" Type="http://schemas.openxmlformats.org/officeDocument/2006/relationships/hyperlink" Target="http://w/" TargetMode="External"/><Relationship Id="rId12" Type="http://schemas.openxmlformats.org/officeDocument/2006/relationships/hyperlink" Target="http://ww/" TargetMode="Externa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image" Target="media/image2.png"/><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image" Target="media/image3.png"/><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江苏润和软件股份有限公司</dc:creator>
  <dc:title>江苏润和软件股份有限公司2015年年度报告全文</dc:title>
  <dcterms:created xsi:type="dcterms:W3CDTF">2020-05-04T16:42:27Z</dcterms:created>
  <dcterms:modified xsi:type="dcterms:W3CDTF">2020-05-04T16:42:27Z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2016-03-24T00:00:00Z</vt:filetime>
  </property>
  <property fmtid="{D5CDD505-2E9C-101B-9397-08002B2CF9AE}" pid="3" name="Creator">
    <vt:lpwstr>Acrobat PDFMaker 10.0 Word 版</vt:lpwstr>
  </property>
  <property fmtid="{D5CDD505-2E9C-101B-9397-08002B2CF9AE}" pid="4" name="LastSaved">
    <vt:filetime>2020-05-04T00:00:00Z</vt:filetime>
  </property>
</Properties>
</file>